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5.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6.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091BF" w14:textId="77777777" w:rsidR="003438A2" w:rsidRPr="005D148E" w:rsidRDefault="003438A2" w:rsidP="00B717E3">
      <w:pPr>
        <w:pStyle w:val="Heading1"/>
        <w:pBdr>
          <w:bottom w:val="none" w:sz="0" w:space="0" w:color="auto"/>
        </w:pBdr>
        <w:rPr>
          <w:sz w:val="60"/>
          <w:szCs w:val="60"/>
        </w:rPr>
      </w:pPr>
      <w:bookmarkStart w:id="0" w:name="_Hlk44962704"/>
      <w:r>
        <w:rPr>
          <w:sz w:val="60"/>
          <w:szCs w:val="60"/>
        </w:rPr>
        <w:t>Final</w:t>
      </w:r>
      <w:r w:rsidRPr="005D148E">
        <w:rPr>
          <w:sz w:val="60"/>
          <w:szCs w:val="60"/>
        </w:rPr>
        <w:t xml:space="preserve"> report for the review of biosecurity import requirements for fresh apple</w:t>
      </w:r>
      <w:r>
        <w:rPr>
          <w:sz w:val="60"/>
          <w:szCs w:val="60"/>
        </w:rPr>
        <w:t xml:space="preserve"> fruit from the Pacific Northwest s</w:t>
      </w:r>
      <w:r w:rsidRPr="005D148E">
        <w:rPr>
          <w:sz w:val="60"/>
          <w:szCs w:val="60"/>
        </w:rPr>
        <w:t>tates of the United States of America</w:t>
      </w:r>
    </w:p>
    <w:p w14:paraId="044807FB" w14:textId="5A66C927" w:rsidR="00B717E3" w:rsidRPr="00B717E3" w:rsidRDefault="00B717E3" w:rsidP="00B717E3">
      <w:pPr>
        <w:spacing w:before="240"/>
        <w:rPr>
          <w:sz w:val="24"/>
          <w:szCs w:val="24"/>
        </w:rPr>
      </w:pPr>
      <w:r w:rsidRPr="00B717E3">
        <w:rPr>
          <w:sz w:val="24"/>
          <w:szCs w:val="24"/>
        </w:rPr>
        <w:t>October 2022</w:t>
      </w:r>
    </w:p>
    <w:p w14:paraId="5D26A3DC" w14:textId="06329757" w:rsidR="00B717E3" w:rsidRDefault="00B717E3" w:rsidP="00811E97">
      <w:pPr>
        <w:jc w:val="right"/>
      </w:pPr>
    </w:p>
    <w:p w14:paraId="0FAFC4F0" w14:textId="78A921B4" w:rsidR="00B717E3" w:rsidRDefault="00B717E3" w:rsidP="00811E97">
      <w:pPr>
        <w:jc w:val="right"/>
      </w:pPr>
      <w:r>
        <w:rPr>
          <w:noProof/>
          <w:sz w:val="18"/>
        </w:rPr>
        <w:drawing>
          <wp:inline distT="0" distB="0" distL="0" distR="0" wp14:anchorId="0B7EEF54" wp14:editId="15EE2AC6">
            <wp:extent cx="5725812" cy="4456386"/>
            <wp:effectExtent l="0" t="0" r="8255" b="1905"/>
            <wp:docPr id="29" name="Picture 29" descr="A red apple on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red apple on a tree&#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r="14746"/>
                    <a:stretch/>
                  </pic:blipFill>
                  <pic:spPr bwMode="auto">
                    <a:xfrm>
                      <a:off x="0" y="0"/>
                      <a:ext cx="5739187" cy="4466795"/>
                    </a:xfrm>
                    <a:prstGeom prst="rect">
                      <a:avLst/>
                    </a:prstGeom>
                    <a:ln>
                      <a:noFill/>
                    </a:ln>
                    <a:extLst>
                      <a:ext uri="{53640926-AAD7-44D8-BBD7-CCE9431645EC}">
                        <a14:shadowObscured xmlns:a14="http://schemas.microsoft.com/office/drawing/2010/main"/>
                      </a:ext>
                    </a:extLst>
                  </pic:spPr>
                </pic:pic>
              </a:graphicData>
            </a:graphic>
          </wp:inline>
        </w:drawing>
      </w:r>
    </w:p>
    <w:p w14:paraId="65FD230C" w14:textId="77777777" w:rsidR="003438A2" w:rsidRDefault="003438A2">
      <w:pPr>
        <w:pStyle w:val="Picture"/>
        <w:rPr>
          <w:noProof w:val="0"/>
          <w:sz w:val="18"/>
          <w:lang w:eastAsia="en-US"/>
        </w:rPr>
        <w:sectPr w:rsidR="003438A2" w:rsidSect="00B717E3">
          <w:headerReference w:type="default" r:id="rId9"/>
          <w:headerReference w:type="first" r:id="rId10"/>
          <w:pgSz w:w="11906" w:h="16838"/>
          <w:pgMar w:top="1440" w:right="1440" w:bottom="1440" w:left="1440" w:header="708" w:footer="708" w:gutter="0"/>
          <w:cols w:space="708"/>
          <w:titlePg/>
          <w:docGrid w:linePitch="360"/>
        </w:sectPr>
      </w:pPr>
    </w:p>
    <w:p w14:paraId="149511C1" w14:textId="77777777" w:rsidR="00C26E2A" w:rsidRDefault="00C26E2A" w:rsidP="00C26E2A">
      <w:pPr>
        <w:pStyle w:val="Picture"/>
        <w:rPr>
          <w:noProof w:val="0"/>
          <w:sz w:val="18"/>
          <w:lang w:eastAsia="en-US"/>
        </w:rPr>
      </w:pPr>
      <w:bookmarkStart w:id="1" w:name="_Hlk44962778"/>
      <w:bookmarkEnd w:id="0"/>
      <w:r w:rsidRPr="00334C7F">
        <w:rPr>
          <w:noProof w:val="0"/>
          <w:sz w:val="18"/>
          <w:lang w:eastAsia="en-US"/>
        </w:rPr>
        <w:lastRenderedPageBreak/>
        <w:t>© Commonwealth of Australia 20</w:t>
      </w:r>
      <w:r>
        <w:rPr>
          <w:noProof w:val="0"/>
          <w:sz w:val="18"/>
          <w:lang w:eastAsia="en-US"/>
        </w:rPr>
        <w:t>2</w:t>
      </w:r>
      <w:r w:rsidRPr="008B30D7">
        <w:rPr>
          <w:noProof w:val="0"/>
          <w:sz w:val="18"/>
          <w:lang w:eastAsia="en-US"/>
        </w:rPr>
        <w:t>2</w:t>
      </w:r>
    </w:p>
    <w:p w14:paraId="35D6D655" w14:textId="77777777" w:rsidR="00C26E2A" w:rsidRPr="00517049" w:rsidRDefault="00C26E2A" w:rsidP="00C26E2A">
      <w:pPr>
        <w:pStyle w:val="TableText"/>
        <w:rPr>
          <w:b/>
          <w:szCs w:val="18"/>
        </w:rPr>
      </w:pPr>
      <w:r w:rsidRPr="00517049">
        <w:rPr>
          <w:b/>
          <w:szCs w:val="18"/>
        </w:rPr>
        <w:t>Ownership of intellectual property rights</w:t>
      </w:r>
    </w:p>
    <w:p w14:paraId="0DE93DB8" w14:textId="77777777" w:rsidR="00C26E2A" w:rsidRDefault="00C26E2A" w:rsidP="00C26E2A">
      <w:pPr>
        <w:pStyle w:val="TableText"/>
        <w:spacing w:after="240"/>
      </w:pPr>
      <w:r>
        <w:t>Unless otherwise noted, copyright (and any other intellectual property rights, if any) in this publication is owned by the Commonwealth of Australia (referred to as the Commonwealth).</w:t>
      </w:r>
    </w:p>
    <w:p w14:paraId="47F17038" w14:textId="77777777" w:rsidR="00C26E2A" w:rsidRPr="00517049" w:rsidRDefault="00C26E2A" w:rsidP="00C26E2A">
      <w:pPr>
        <w:pStyle w:val="TableText"/>
        <w:rPr>
          <w:b/>
          <w:szCs w:val="18"/>
        </w:rPr>
      </w:pPr>
      <w:r w:rsidRPr="00517049">
        <w:rPr>
          <w:b/>
          <w:szCs w:val="18"/>
        </w:rPr>
        <w:t>Creative Commons licence</w:t>
      </w:r>
    </w:p>
    <w:p w14:paraId="146AECE9" w14:textId="77777777" w:rsidR="00C26E2A" w:rsidRDefault="00C26E2A" w:rsidP="00C26E2A">
      <w:pPr>
        <w:pStyle w:val="Normalsmall"/>
      </w:pPr>
      <w:r>
        <w:t xml:space="preserve">All material in this publication is licensed under a </w:t>
      </w:r>
      <w:hyperlink r:id="rId11" w:history="1">
        <w:r>
          <w:rPr>
            <w:rStyle w:val="Hyperlink"/>
          </w:rPr>
          <w:t>Creative Commons Attribution 4.0 International Licence</w:t>
        </w:r>
      </w:hyperlink>
      <w:r>
        <w:t xml:space="preserve"> except content supplied by third parties, photographic images, logos and the Commonwealth Coat of Arms.</w:t>
      </w:r>
    </w:p>
    <w:p w14:paraId="650F74F1" w14:textId="77777777" w:rsidR="00C26E2A" w:rsidRPr="00364A4A" w:rsidRDefault="00C26E2A" w:rsidP="00C26E2A">
      <w:pPr>
        <w:pStyle w:val="Normalsmall"/>
      </w:pPr>
      <w:r>
        <w:t xml:space="preserve">Inquiries about the licence and any use of this document should be </w:t>
      </w:r>
      <w:r w:rsidRPr="00364A4A">
        <w:t xml:space="preserve">emailed to </w:t>
      </w:r>
      <w:hyperlink r:id="rId12" w:history="1">
        <w:r>
          <w:rPr>
            <w:rStyle w:val="Hyperlink"/>
          </w:rPr>
          <w:t>copyright@agriculture.gov.au</w:t>
        </w:r>
      </w:hyperlink>
      <w:r w:rsidRPr="00364A4A">
        <w:t>.</w:t>
      </w:r>
    </w:p>
    <w:p w14:paraId="1D063AA3" w14:textId="77777777" w:rsidR="00C26E2A" w:rsidRDefault="00C26E2A" w:rsidP="00C26E2A">
      <w:pPr>
        <w:pStyle w:val="TableText"/>
        <w:spacing w:after="240"/>
      </w:pPr>
      <w:r>
        <w:rPr>
          <w:noProof/>
          <w:lang w:eastAsia="en-AU"/>
        </w:rPr>
        <w:drawing>
          <wp:inline distT="0" distB="0" distL="0" distR="0" wp14:anchorId="6C20AA1A" wp14:editId="3C2AA03B">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3"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13044713" w14:textId="77777777" w:rsidR="00C26E2A" w:rsidRPr="00517049" w:rsidRDefault="00C26E2A" w:rsidP="00C26E2A">
      <w:pPr>
        <w:rPr>
          <w:b/>
          <w:szCs w:val="18"/>
        </w:rPr>
      </w:pPr>
      <w:r w:rsidRPr="00517049">
        <w:rPr>
          <w:b/>
          <w:sz w:val="18"/>
          <w:szCs w:val="18"/>
        </w:rPr>
        <w:t>Cataloguing data</w:t>
      </w:r>
    </w:p>
    <w:p w14:paraId="26275ECC" w14:textId="77777777" w:rsidR="00C26E2A" w:rsidRPr="006269EB" w:rsidRDefault="00C26E2A" w:rsidP="00C26E2A">
      <w:pPr>
        <w:pStyle w:val="TableText"/>
        <w:spacing w:after="240"/>
      </w:pPr>
      <w:r w:rsidRPr="00B155F0">
        <w:rPr>
          <w:szCs w:val="18"/>
        </w:rPr>
        <w:t xml:space="preserve">This </w:t>
      </w:r>
      <w:r w:rsidRPr="006269EB">
        <w:rPr>
          <w:szCs w:val="18"/>
        </w:rPr>
        <w:t xml:space="preserve">publication (and any material sourced from it) should be attributed as: </w:t>
      </w:r>
      <w:r>
        <w:rPr>
          <w:szCs w:val="18"/>
        </w:rPr>
        <w:t>DAFF</w:t>
      </w:r>
      <w:r w:rsidRPr="006269EB">
        <w:rPr>
          <w:szCs w:val="18"/>
        </w:rPr>
        <w:t xml:space="preserve"> 2022, </w:t>
      </w:r>
      <w:r w:rsidRPr="006269EB">
        <w:rPr>
          <w:i/>
          <w:szCs w:val="18"/>
        </w:rPr>
        <w:t>Final report for the review of biosecurity import requirements for fresh apples from the Pacific Northwest states of the United States of America</w:t>
      </w:r>
      <w:r w:rsidRPr="006269EB">
        <w:t xml:space="preserve">, </w:t>
      </w:r>
      <w:r w:rsidRPr="006269EB">
        <w:rPr>
          <w:szCs w:val="18"/>
        </w:rPr>
        <w:t>Department of Agriculture, Fisheries and Forestry</w:t>
      </w:r>
      <w:r w:rsidRPr="006269EB">
        <w:t>, Canberra.</w:t>
      </w:r>
      <w:r w:rsidRPr="00322D56">
        <w:rPr>
          <w:szCs w:val="18"/>
        </w:rPr>
        <w:t xml:space="preserve"> </w:t>
      </w:r>
      <w:r w:rsidRPr="006269EB">
        <w:rPr>
          <w:szCs w:val="18"/>
        </w:rPr>
        <w:t xml:space="preserve">CC BY </w:t>
      </w:r>
      <w:r>
        <w:rPr>
          <w:szCs w:val="18"/>
        </w:rPr>
        <w:t>4</w:t>
      </w:r>
      <w:r w:rsidRPr="006269EB">
        <w:rPr>
          <w:szCs w:val="18"/>
        </w:rPr>
        <w:t>.0.</w:t>
      </w:r>
    </w:p>
    <w:p w14:paraId="4F6C891B" w14:textId="77777777" w:rsidR="00C26E2A" w:rsidRPr="006269EB" w:rsidRDefault="00C26E2A" w:rsidP="00C26E2A">
      <w:pPr>
        <w:pStyle w:val="TableText"/>
        <w:spacing w:after="240"/>
      </w:pPr>
      <w:r w:rsidRPr="006269EB">
        <w:t xml:space="preserve">This publication is available at </w:t>
      </w:r>
      <w:hyperlink r:id="rId14" w:history="1">
        <w:r>
          <w:rPr>
            <w:rStyle w:val="Hyperlink"/>
          </w:rPr>
          <w:t>agriculture.gov.au/biosecurity-trade/policy/risk-analysis/plant/apples-usa-2018</w:t>
        </w:r>
      </w:hyperlink>
      <w:r w:rsidRPr="006269EB">
        <w:t>.</w:t>
      </w:r>
    </w:p>
    <w:p w14:paraId="11D4B836" w14:textId="77777777" w:rsidR="00C26E2A" w:rsidRPr="006269EB" w:rsidRDefault="00C26E2A" w:rsidP="00C26E2A">
      <w:pPr>
        <w:pStyle w:val="TableText"/>
      </w:pPr>
      <w:r w:rsidRPr="006269EB">
        <w:rPr>
          <w:szCs w:val="18"/>
        </w:rPr>
        <w:t>Department of Agriculture, Fisheries and Forestry</w:t>
      </w:r>
      <w:r w:rsidRPr="006269EB">
        <w:br/>
        <w:t>GPO Box 858 Canberra ACT 2601</w:t>
      </w:r>
    </w:p>
    <w:p w14:paraId="28ABBC92" w14:textId="77777777" w:rsidR="00C26E2A" w:rsidRPr="006269EB" w:rsidRDefault="00C26E2A" w:rsidP="00C26E2A">
      <w:pPr>
        <w:pStyle w:val="TableText"/>
        <w:tabs>
          <w:tab w:val="left" w:pos="1134"/>
        </w:tabs>
      </w:pPr>
      <w:r>
        <w:t xml:space="preserve">Telephone </w:t>
      </w:r>
      <w:r w:rsidRPr="006269EB">
        <w:t>+61 2 6272 3933 or 1800 900 090</w:t>
      </w:r>
    </w:p>
    <w:p w14:paraId="5F6DF56B" w14:textId="393F8C1A" w:rsidR="00C26E2A" w:rsidRPr="006269EB" w:rsidRDefault="00C26E2A" w:rsidP="00C26E2A">
      <w:pPr>
        <w:pStyle w:val="TableText"/>
        <w:tabs>
          <w:tab w:val="left" w:pos="1134"/>
        </w:tabs>
        <w:spacing w:after="240"/>
      </w:pPr>
      <w:r w:rsidRPr="006269EB">
        <w:t>Email</w:t>
      </w:r>
      <w:r>
        <w:t xml:space="preserve"> </w:t>
      </w:r>
      <w:hyperlink r:id="rId15" w:history="1">
        <w:r w:rsidR="00130AAA" w:rsidRPr="00BA3AE2">
          <w:rPr>
            <w:rStyle w:val="Hyperlink"/>
          </w:rPr>
          <w:t>plantstakeholders@daff.gov.au</w:t>
        </w:r>
      </w:hyperlink>
    </w:p>
    <w:p w14:paraId="186CF58C" w14:textId="77777777" w:rsidR="00C26E2A" w:rsidRPr="00517049" w:rsidRDefault="00C26E2A" w:rsidP="00C26E2A">
      <w:pPr>
        <w:pStyle w:val="TableText"/>
        <w:rPr>
          <w:b/>
          <w:szCs w:val="18"/>
        </w:rPr>
      </w:pPr>
      <w:r w:rsidRPr="00517049">
        <w:rPr>
          <w:b/>
          <w:szCs w:val="18"/>
        </w:rPr>
        <w:t>Disclaimer</w:t>
      </w:r>
    </w:p>
    <w:p w14:paraId="2714B003" w14:textId="77777777" w:rsidR="00C26E2A" w:rsidRDefault="00C26E2A" w:rsidP="00C26E2A">
      <w:pPr>
        <w:pStyle w:val="TableText"/>
        <w:spacing w:after="240"/>
      </w:pPr>
      <w:r w:rsidRPr="006269EB">
        <w:t>The Australian Government acting through the Department of Agriculture, Fisheries and Forestry has exercised due care and skill in preparing and compiling the information</w:t>
      </w:r>
      <w:r>
        <w:t xml:space="preserve"> and data</w:t>
      </w:r>
      <w:r w:rsidRPr="006269EB">
        <w:t xml:space="preserve"> in this publication. Notwithstanding, the </w:t>
      </w:r>
      <w:r w:rsidRPr="006269EB">
        <w:rPr>
          <w:szCs w:val="18"/>
        </w:rPr>
        <w:t>Department of Agriculture, Fisheries and Forestry</w:t>
      </w:r>
      <w:r w:rsidRPr="006269EB">
        <w:t>,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5FB126C0" w14:textId="77777777" w:rsidR="00C26E2A" w:rsidRPr="00517049" w:rsidRDefault="00C26E2A" w:rsidP="00C26E2A">
      <w:pPr>
        <w:pStyle w:val="Normalsmall"/>
        <w:rPr>
          <w:rFonts w:cstheme="minorHAnsi"/>
        </w:rPr>
      </w:pPr>
      <w:r w:rsidRPr="00517049">
        <w:rPr>
          <w:rStyle w:val="Strong"/>
          <w:rFonts w:cstheme="minorHAnsi"/>
        </w:rPr>
        <w:t>Acknowledgement of Country</w:t>
      </w:r>
    </w:p>
    <w:p w14:paraId="2A286E6A" w14:textId="77777777" w:rsidR="00C26E2A" w:rsidRDefault="00C26E2A" w:rsidP="00C26E2A">
      <w:pPr>
        <w:pStyle w:val="TableText"/>
        <w:spacing w:after="240"/>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4D3AD601" w14:textId="77777777" w:rsidR="003438A2" w:rsidRDefault="003438A2" w:rsidP="007945EC">
      <w:pPr>
        <w:pStyle w:val="TOCHeading"/>
        <w:sectPr w:rsidR="003438A2" w:rsidSect="00E310DC">
          <w:pgSz w:w="11906" w:h="16838"/>
          <w:pgMar w:top="1418" w:right="1418" w:bottom="1418" w:left="1418" w:header="567" w:footer="283" w:gutter="0"/>
          <w:pgNumType w:fmt="lowerRoman"/>
          <w:cols w:space="708"/>
          <w:docGrid w:linePitch="360"/>
        </w:sectPr>
      </w:pPr>
    </w:p>
    <w:bookmarkEnd w:id="1"/>
    <w:p w14:paraId="6530CD1C" w14:textId="77777777" w:rsidR="003438A2" w:rsidRPr="007945EC" w:rsidRDefault="003438A2" w:rsidP="007945EC">
      <w:pPr>
        <w:pStyle w:val="TOCHeading"/>
      </w:pPr>
      <w:r>
        <w:lastRenderedPageBreak/>
        <w:t>Contents</w:t>
      </w:r>
    </w:p>
    <w:p w14:paraId="1C39A8D4" w14:textId="77777777" w:rsidR="003438A2" w:rsidRDefault="003438A2">
      <w:pPr>
        <w:pStyle w:val="TOC1"/>
        <w:rPr>
          <w:rFonts w:eastAsiaTheme="minorEastAsia"/>
          <w:b w:val="0"/>
          <w:lang w:eastAsia="en-AU"/>
        </w:rPr>
      </w:pPr>
      <w:r>
        <w:rPr>
          <w:bCs/>
          <w:szCs w:val="24"/>
        </w:rPr>
        <w:fldChar w:fldCharType="begin" w:fldLock="1"/>
      </w:r>
      <w:r>
        <w:rPr>
          <w:bCs/>
          <w:szCs w:val="24"/>
        </w:rPr>
        <w:instrText xml:space="preserve"> TOC \t "Heading 2,1,Heading 3,2" </w:instrText>
      </w:r>
      <w:r>
        <w:rPr>
          <w:bCs/>
          <w:szCs w:val="24"/>
        </w:rPr>
        <w:fldChar w:fldCharType="separate"/>
      </w:r>
      <w:r>
        <w:t>Acronyms and abbreviations</w:t>
      </w:r>
      <w:r>
        <w:tab/>
      </w:r>
      <w:r>
        <w:fldChar w:fldCharType="begin" w:fldLock="1"/>
      </w:r>
      <w:r>
        <w:instrText xml:space="preserve"> PAGEREF _Toc112768983 \h </w:instrText>
      </w:r>
      <w:r>
        <w:fldChar w:fldCharType="separate"/>
      </w:r>
      <w:r>
        <w:t>ix</w:t>
      </w:r>
      <w:r>
        <w:fldChar w:fldCharType="end"/>
      </w:r>
    </w:p>
    <w:p w14:paraId="6B0E97F1" w14:textId="77777777" w:rsidR="003438A2" w:rsidRDefault="003438A2">
      <w:pPr>
        <w:pStyle w:val="TOC1"/>
        <w:rPr>
          <w:rFonts w:eastAsiaTheme="minorEastAsia"/>
          <w:b w:val="0"/>
          <w:lang w:eastAsia="en-AU"/>
        </w:rPr>
      </w:pPr>
      <w:r>
        <w:t>Summary</w:t>
      </w:r>
      <w:r>
        <w:tab/>
      </w:r>
      <w:r>
        <w:fldChar w:fldCharType="begin" w:fldLock="1"/>
      </w:r>
      <w:r>
        <w:instrText xml:space="preserve"> PAGEREF _Toc112768984 \h </w:instrText>
      </w:r>
      <w:r>
        <w:fldChar w:fldCharType="separate"/>
      </w:r>
      <w:r>
        <w:t>1</w:t>
      </w:r>
      <w:r>
        <w:fldChar w:fldCharType="end"/>
      </w:r>
    </w:p>
    <w:p w14:paraId="29E7EAF8" w14:textId="77777777" w:rsidR="003438A2" w:rsidRDefault="003438A2">
      <w:pPr>
        <w:pStyle w:val="TOC1"/>
        <w:rPr>
          <w:rFonts w:eastAsiaTheme="minorEastAsia"/>
          <w:b w:val="0"/>
          <w:lang w:eastAsia="en-AU"/>
        </w:rPr>
      </w:pPr>
      <w:r>
        <w:t>1</w:t>
      </w:r>
      <w:r>
        <w:rPr>
          <w:rFonts w:eastAsiaTheme="minorEastAsia"/>
          <w:b w:val="0"/>
          <w:lang w:eastAsia="en-AU"/>
        </w:rPr>
        <w:tab/>
      </w:r>
      <w:r>
        <w:t>Introduction</w:t>
      </w:r>
      <w:r>
        <w:tab/>
      </w:r>
      <w:r>
        <w:fldChar w:fldCharType="begin" w:fldLock="1"/>
      </w:r>
      <w:r>
        <w:instrText xml:space="preserve"> PAGEREF _Toc112768985 \h </w:instrText>
      </w:r>
      <w:r>
        <w:fldChar w:fldCharType="separate"/>
      </w:r>
      <w:r>
        <w:t>5</w:t>
      </w:r>
      <w:r>
        <w:fldChar w:fldCharType="end"/>
      </w:r>
    </w:p>
    <w:p w14:paraId="412DEDA8" w14:textId="77777777" w:rsidR="003438A2" w:rsidRDefault="003438A2">
      <w:pPr>
        <w:pStyle w:val="TOC2"/>
        <w:tabs>
          <w:tab w:val="left" w:pos="1588"/>
        </w:tabs>
        <w:rPr>
          <w:rFonts w:eastAsiaTheme="minorEastAsia"/>
          <w:lang w:eastAsia="en-AU"/>
        </w:rPr>
      </w:pPr>
      <w:r>
        <w:t>1.1</w:t>
      </w:r>
      <w:r>
        <w:rPr>
          <w:rFonts w:eastAsiaTheme="minorEastAsia"/>
          <w:lang w:eastAsia="en-AU"/>
        </w:rPr>
        <w:tab/>
      </w:r>
      <w:r>
        <w:t>Australia’s biosecurity policy framework</w:t>
      </w:r>
      <w:r>
        <w:tab/>
      </w:r>
      <w:r>
        <w:fldChar w:fldCharType="begin" w:fldLock="1"/>
      </w:r>
      <w:r>
        <w:instrText xml:space="preserve"> PAGEREF _Toc112768986 \h </w:instrText>
      </w:r>
      <w:r>
        <w:fldChar w:fldCharType="separate"/>
      </w:r>
      <w:r>
        <w:t>5</w:t>
      </w:r>
      <w:r>
        <w:fldChar w:fldCharType="end"/>
      </w:r>
    </w:p>
    <w:p w14:paraId="1A031D66" w14:textId="77777777" w:rsidR="003438A2" w:rsidRDefault="003438A2">
      <w:pPr>
        <w:pStyle w:val="TOC2"/>
        <w:tabs>
          <w:tab w:val="left" w:pos="1588"/>
        </w:tabs>
        <w:rPr>
          <w:rFonts w:eastAsiaTheme="minorEastAsia"/>
          <w:lang w:eastAsia="en-AU"/>
        </w:rPr>
      </w:pPr>
      <w:r>
        <w:t>1.2</w:t>
      </w:r>
      <w:r>
        <w:rPr>
          <w:rFonts w:eastAsiaTheme="minorEastAsia"/>
          <w:lang w:eastAsia="en-AU"/>
        </w:rPr>
        <w:tab/>
      </w:r>
      <w:r>
        <w:t>This risk analysis</w:t>
      </w:r>
      <w:r>
        <w:tab/>
      </w:r>
      <w:r>
        <w:fldChar w:fldCharType="begin" w:fldLock="1"/>
      </w:r>
      <w:r>
        <w:instrText xml:space="preserve"> PAGEREF _Toc112768987 \h </w:instrText>
      </w:r>
      <w:r>
        <w:fldChar w:fldCharType="separate"/>
      </w:r>
      <w:r>
        <w:t>5</w:t>
      </w:r>
      <w:r>
        <w:fldChar w:fldCharType="end"/>
      </w:r>
    </w:p>
    <w:p w14:paraId="048BA3F5" w14:textId="77777777" w:rsidR="003438A2" w:rsidRDefault="003438A2">
      <w:pPr>
        <w:pStyle w:val="TOC1"/>
        <w:rPr>
          <w:rFonts w:eastAsiaTheme="minorEastAsia"/>
          <w:b w:val="0"/>
          <w:lang w:eastAsia="en-AU"/>
        </w:rPr>
      </w:pPr>
      <w:r>
        <w:t>2</w:t>
      </w:r>
      <w:r>
        <w:rPr>
          <w:rFonts w:eastAsiaTheme="minorEastAsia"/>
          <w:b w:val="0"/>
          <w:lang w:eastAsia="en-AU"/>
        </w:rPr>
        <w:tab/>
      </w:r>
      <w:r>
        <w:t>Method for pest risk analysis</w:t>
      </w:r>
      <w:r>
        <w:tab/>
      </w:r>
      <w:r>
        <w:fldChar w:fldCharType="begin" w:fldLock="1"/>
      </w:r>
      <w:r>
        <w:instrText xml:space="preserve"> PAGEREF _Toc112768988 \h </w:instrText>
      </w:r>
      <w:r>
        <w:fldChar w:fldCharType="separate"/>
      </w:r>
      <w:r>
        <w:t>9</w:t>
      </w:r>
      <w:r>
        <w:fldChar w:fldCharType="end"/>
      </w:r>
    </w:p>
    <w:p w14:paraId="7C1D8F92" w14:textId="77777777" w:rsidR="003438A2" w:rsidRDefault="003438A2">
      <w:pPr>
        <w:pStyle w:val="TOC2"/>
        <w:tabs>
          <w:tab w:val="left" w:pos="1588"/>
        </w:tabs>
        <w:rPr>
          <w:rFonts w:eastAsiaTheme="minorEastAsia"/>
          <w:lang w:eastAsia="en-AU"/>
        </w:rPr>
      </w:pPr>
      <w:r>
        <w:t>2.1</w:t>
      </w:r>
      <w:r>
        <w:rPr>
          <w:rFonts w:eastAsiaTheme="minorEastAsia"/>
          <w:lang w:eastAsia="en-AU"/>
        </w:rPr>
        <w:tab/>
      </w:r>
      <w:r>
        <w:t>Stage 1 Initiation</w:t>
      </w:r>
      <w:r>
        <w:tab/>
      </w:r>
      <w:r>
        <w:fldChar w:fldCharType="begin" w:fldLock="1"/>
      </w:r>
      <w:r>
        <w:instrText xml:space="preserve"> PAGEREF _Toc112768989 \h </w:instrText>
      </w:r>
      <w:r>
        <w:fldChar w:fldCharType="separate"/>
      </w:r>
      <w:r>
        <w:t>9</w:t>
      </w:r>
      <w:r>
        <w:fldChar w:fldCharType="end"/>
      </w:r>
    </w:p>
    <w:p w14:paraId="1519BC44" w14:textId="77777777" w:rsidR="003438A2" w:rsidRDefault="003438A2">
      <w:pPr>
        <w:pStyle w:val="TOC2"/>
        <w:tabs>
          <w:tab w:val="left" w:pos="1588"/>
        </w:tabs>
        <w:rPr>
          <w:rFonts w:eastAsiaTheme="minorEastAsia"/>
          <w:lang w:eastAsia="en-AU"/>
        </w:rPr>
      </w:pPr>
      <w:r>
        <w:t>2.2</w:t>
      </w:r>
      <w:r>
        <w:rPr>
          <w:rFonts w:eastAsiaTheme="minorEastAsia"/>
          <w:lang w:eastAsia="en-AU"/>
        </w:rPr>
        <w:tab/>
      </w:r>
      <w:r>
        <w:t>Stage 2 Pest risk assessment</w:t>
      </w:r>
      <w:r>
        <w:tab/>
      </w:r>
      <w:r>
        <w:fldChar w:fldCharType="begin" w:fldLock="1"/>
      </w:r>
      <w:r>
        <w:instrText xml:space="preserve"> PAGEREF _Toc112768990 \h </w:instrText>
      </w:r>
      <w:r>
        <w:fldChar w:fldCharType="separate"/>
      </w:r>
      <w:r>
        <w:t>10</w:t>
      </w:r>
      <w:r>
        <w:fldChar w:fldCharType="end"/>
      </w:r>
    </w:p>
    <w:p w14:paraId="175849A8" w14:textId="77777777" w:rsidR="003438A2" w:rsidRDefault="003438A2">
      <w:pPr>
        <w:pStyle w:val="TOC2"/>
        <w:tabs>
          <w:tab w:val="left" w:pos="1588"/>
        </w:tabs>
        <w:rPr>
          <w:rFonts w:eastAsiaTheme="minorEastAsia"/>
          <w:lang w:eastAsia="en-AU"/>
        </w:rPr>
      </w:pPr>
      <w:r>
        <w:t>2.3</w:t>
      </w:r>
      <w:r>
        <w:rPr>
          <w:rFonts w:eastAsiaTheme="minorEastAsia"/>
          <w:lang w:eastAsia="en-AU"/>
        </w:rPr>
        <w:tab/>
      </w:r>
      <w:r>
        <w:t>Stage 3 Pest risk management</w:t>
      </w:r>
      <w:r>
        <w:tab/>
      </w:r>
      <w:r>
        <w:fldChar w:fldCharType="begin" w:fldLock="1"/>
      </w:r>
      <w:r>
        <w:instrText xml:space="preserve"> PAGEREF _Toc112768991 \h </w:instrText>
      </w:r>
      <w:r>
        <w:fldChar w:fldCharType="separate"/>
      </w:r>
      <w:r>
        <w:t>19</w:t>
      </w:r>
      <w:r>
        <w:fldChar w:fldCharType="end"/>
      </w:r>
    </w:p>
    <w:p w14:paraId="310E7A6A" w14:textId="77777777" w:rsidR="003438A2" w:rsidRDefault="003438A2">
      <w:pPr>
        <w:pStyle w:val="TOC1"/>
        <w:rPr>
          <w:rFonts w:eastAsiaTheme="minorEastAsia"/>
          <w:b w:val="0"/>
          <w:lang w:eastAsia="en-AU"/>
        </w:rPr>
      </w:pPr>
      <w:r>
        <w:t>3</w:t>
      </w:r>
      <w:r>
        <w:rPr>
          <w:rFonts w:eastAsiaTheme="minorEastAsia"/>
          <w:b w:val="0"/>
          <w:lang w:eastAsia="en-AU"/>
        </w:rPr>
        <w:tab/>
      </w:r>
      <w:r>
        <w:t>The Pacific Northwest - United States of America commercial apple production practices</w:t>
      </w:r>
      <w:r>
        <w:tab/>
      </w:r>
      <w:r>
        <w:fldChar w:fldCharType="begin" w:fldLock="1"/>
      </w:r>
      <w:r>
        <w:instrText xml:space="preserve"> PAGEREF _Toc112768992 \h </w:instrText>
      </w:r>
      <w:r>
        <w:fldChar w:fldCharType="separate"/>
      </w:r>
      <w:r>
        <w:t>20</w:t>
      </w:r>
      <w:r>
        <w:fldChar w:fldCharType="end"/>
      </w:r>
    </w:p>
    <w:p w14:paraId="137AF9D2" w14:textId="77777777" w:rsidR="003438A2" w:rsidRDefault="003438A2">
      <w:pPr>
        <w:pStyle w:val="TOC2"/>
        <w:tabs>
          <w:tab w:val="left" w:pos="1588"/>
        </w:tabs>
        <w:rPr>
          <w:rFonts w:eastAsiaTheme="minorEastAsia"/>
          <w:lang w:eastAsia="en-AU"/>
        </w:rPr>
      </w:pPr>
      <w:r>
        <w:t>3.1</w:t>
      </w:r>
      <w:r>
        <w:rPr>
          <w:rFonts w:eastAsiaTheme="minorEastAsia"/>
          <w:lang w:eastAsia="en-AU"/>
        </w:rPr>
        <w:tab/>
      </w:r>
      <w:r>
        <w:t>Assumptions used in estimating unrestricted risk</w:t>
      </w:r>
      <w:r>
        <w:tab/>
      </w:r>
      <w:r>
        <w:fldChar w:fldCharType="begin" w:fldLock="1"/>
      </w:r>
      <w:r>
        <w:instrText xml:space="preserve"> PAGEREF _Toc112768993 \h </w:instrText>
      </w:r>
      <w:r>
        <w:fldChar w:fldCharType="separate"/>
      </w:r>
      <w:r>
        <w:t>20</w:t>
      </w:r>
      <w:r>
        <w:fldChar w:fldCharType="end"/>
      </w:r>
    </w:p>
    <w:p w14:paraId="6FCEA170" w14:textId="77777777" w:rsidR="003438A2" w:rsidRDefault="003438A2">
      <w:pPr>
        <w:pStyle w:val="TOC2"/>
        <w:tabs>
          <w:tab w:val="left" w:pos="1588"/>
        </w:tabs>
        <w:rPr>
          <w:rFonts w:eastAsiaTheme="minorEastAsia"/>
          <w:lang w:eastAsia="en-AU"/>
        </w:rPr>
      </w:pPr>
      <w:r>
        <w:t>3.2</w:t>
      </w:r>
      <w:r>
        <w:rPr>
          <w:rFonts w:eastAsiaTheme="minorEastAsia"/>
          <w:lang w:eastAsia="en-AU"/>
        </w:rPr>
        <w:tab/>
      </w:r>
      <w:r>
        <w:t>Apple production areas</w:t>
      </w:r>
      <w:r>
        <w:tab/>
      </w:r>
      <w:r>
        <w:fldChar w:fldCharType="begin" w:fldLock="1"/>
      </w:r>
      <w:r>
        <w:instrText xml:space="preserve"> PAGEREF _Toc112768994 \h </w:instrText>
      </w:r>
      <w:r>
        <w:fldChar w:fldCharType="separate"/>
      </w:r>
      <w:r>
        <w:t>20</w:t>
      </w:r>
      <w:r>
        <w:fldChar w:fldCharType="end"/>
      </w:r>
    </w:p>
    <w:p w14:paraId="65142FB6" w14:textId="77777777" w:rsidR="003438A2" w:rsidRDefault="003438A2">
      <w:pPr>
        <w:pStyle w:val="TOC2"/>
        <w:tabs>
          <w:tab w:val="left" w:pos="1588"/>
        </w:tabs>
        <w:rPr>
          <w:rFonts w:eastAsiaTheme="minorEastAsia"/>
          <w:lang w:eastAsia="en-AU"/>
        </w:rPr>
      </w:pPr>
      <w:r>
        <w:t>3.3</w:t>
      </w:r>
      <w:r>
        <w:rPr>
          <w:rFonts w:eastAsiaTheme="minorEastAsia"/>
          <w:lang w:eastAsia="en-AU"/>
        </w:rPr>
        <w:tab/>
      </w:r>
      <w:r>
        <w:t>Climate in production areas</w:t>
      </w:r>
      <w:r>
        <w:tab/>
      </w:r>
      <w:r>
        <w:fldChar w:fldCharType="begin" w:fldLock="1"/>
      </w:r>
      <w:r>
        <w:instrText xml:space="preserve"> PAGEREF _Toc112768995 \h </w:instrText>
      </w:r>
      <w:r>
        <w:fldChar w:fldCharType="separate"/>
      </w:r>
      <w:r>
        <w:t>24</w:t>
      </w:r>
      <w:r>
        <w:fldChar w:fldCharType="end"/>
      </w:r>
    </w:p>
    <w:p w14:paraId="527733DB" w14:textId="77777777" w:rsidR="003438A2" w:rsidRDefault="003438A2">
      <w:pPr>
        <w:pStyle w:val="TOC2"/>
        <w:tabs>
          <w:tab w:val="left" w:pos="1588"/>
        </w:tabs>
        <w:rPr>
          <w:rFonts w:eastAsiaTheme="minorEastAsia"/>
          <w:lang w:eastAsia="en-AU"/>
        </w:rPr>
      </w:pPr>
      <w:r>
        <w:t>3.4</w:t>
      </w:r>
      <w:r>
        <w:rPr>
          <w:rFonts w:eastAsiaTheme="minorEastAsia"/>
          <w:lang w:eastAsia="en-AU"/>
        </w:rPr>
        <w:tab/>
      </w:r>
      <w:r>
        <w:t>Pre-harvest</w:t>
      </w:r>
      <w:r>
        <w:tab/>
      </w:r>
      <w:r>
        <w:fldChar w:fldCharType="begin" w:fldLock="1"/>
      </w:r>
      <w:r>
        <w:instrText xml:space="preserve"> PAGEREF _Toc112768996 \h </w:instrText>
      </w:r>
      <w:r>
        <w:fldChar w:fldCharType="separate"/>
      </w:r>
      <w:r>
        <w:t>25</w:t>
      </w:r>
      <w:r>
        <w:fldChar w:fldCharType="end"/>
      </w:r>
    </w:p>
    <w:p w14:paraId="420D3120" w14:textId="77777777" w:rsidR="003438A2" w:rsidRDefault="003438A2">
      <w:pPr>
        <w:pStyle w:val="TOC2"/>
        <w:tabs>
          <w:tab w:val="left" w:pos="1588"/>
        </w:tabs>
        <w:rPr>
          <w:rFonts w:eastAsiaTheme="minorEastAsia"/>
          <w:lang w:eastAsia="en-AU"/>
        </w:rPr>
      </w:pPr>
      <w:r>
        <w:t>3.5</w:t>
      </w:r>
      <w:r>
        <w:rPr>
          <w:rFonts w:eastAsiaTheme="minorEastAsia"/>
          <w:lang w:eastAsia="en-AU"/>
        </w:rPr>
        <w:tab/>
      </w:r>
      <w:r>
        <w:t>Harvesting and handling procedures</w:t>
      </w:r>
      <w:r>
        <w:tab/>
      </w:r>
      <w:r>
        <w:fldChar w:fldCharType="begin" w:fldLock="1"/>
      </w:r>
      <w:r>
        <w:instrText xml:space="preserve"> PAGEREF _Toc112768997 \h </w:instrText>
      </w:r>
      <w:r>
        <w:fldChar w:fldCharType="separate"/>
      </w:r>
      <w:r>
        <w:t>38</w:t>
      </w:r>
      <w:r>
        <w:fldChar w:fldCharType="end"/>
      </w:r>
    </w:p>
    <w:p w14:paraId="0F2266EE" w14:textId="77777777" w:rsidR="003438A2" w:rsidRDefault="003438A2">
      <w:pPr>
        <w:pStyle w:val="TOC2"/>
        <w:tabs>
          <w:tab w:val="left" w:pos="1588"/>
        </w:tabs>
        <w:rPr>
          <w:rFonts w:eastAsiaTheme="minorEastAsia"/>
          <w:lang w:eastAsia="en-AU"/>
        </w:rPr>
      </w:pPr>
      <w:r>
        <w:t>3.6</w:t>
      </w:r>
      <w:r>
        <w:rPr>
          <w:rFonts w:eastAsiaTheme="minorEastAsia"/>
          <w:lang w:eastAsia="en-AU"/>
        </w:rPr>
        <w:tab/>
      </w:r>
      <w:r>
        <w:t>Post-harvest</w:t>
      </w:r>
      <w:r>
        <w:tab/>
      </w:r>
      <w:r>
        <w:fldChar w:fldCharType="begin" w:fldLock="1"/>
      </w:r>
      <w:r>
        <w:instrText xml:space="preserve"> PAGEREF _Toc112768998 \h </w:instrText>
      </w:r>
      <w:r>
        <w:fldChar w:fldCharType="separate"/>
      </w:r>
      <w:r>
        <w:t>38</w:t>
      </w:r>
      <w:r>
        <w:fldChar w:fldCharType="end"/>
      </w:r>
    </w:p>
    <w:p w14:paraId="35D364D2" w14:textId="77777777" w:rsidR="003438A2" w:rsidRDefault="003438A2">
      <w:pPr>
        <w:pStyle w:val="TOC2"/>
        <w:tabs>
          <w:tab w:val="left" w:pos="1588"/>
        </w:tabs>
        <w:rPr>
          <w:rFonts w:eastAsiaTheme="minorEastAsia"/>
          <w:lang w:eastAsia="en-AU"/>
        </w:rPr>
      </w:pPr>
      <w:r>
        <w:t>3.7</w:t>
      </w:r>
      <w:r>
        <w:rPr>
          <w:rFonts w:eastAsiaTheme="minorEastAsia"/>
          <w:lang w:eastAsia="en-AU"/>
        </w:rPr>
        <w:tab/>
      </w:r>
      <w:r>
        <w:t>Export capability</w:t>
      </w:r>
      <w:r>
        <w:tab/>
      </w:r>
      <w:r>
        <w:fldChar w:fldCharType="begin" w:fldLock="1"/>
      </w:r>
      <w:r>
        <w:instrText xml:space="preserve"> PAGEREF _Toc112768999 \h </w:instrText>
      </w:r>
      <w:r>
        <w:fldChar w:fldCharType="separate"/>
      </w:r>
      <w:r>
        <w:t>42</w:t>
      </w:r>
      <w:r>
        <w:fldChar w:fldCharType="end"/>
      </w:r>
    </w:p>
    <w:p w14:paraId="09CF9426" w14:textId="77777777" w:rsidR="003438A2" w:rsidRDefault="003438A2">
      <w:pPr>
        <w:pStyle w:val="TOC1"/>
        <w:rPr>
          <w:rFonts w:eastAsiaTheme="minorEastAsia"/>
          <w:b w:val="0"/>
          <w:lang w:eastAsia="en-AU"/>
        </w:rPr>
      </w:pPr>
      <w:r>
        <w:t>4</w:t>
      </w:r>
      <w:r>
        <w:rPr>
          <w:rFonts w:eastAsiaTheme="minorEastAsia"/>
          <w:b w:val="0"/>
          <w:lang w:eastAsia="en-AU"/>
        </w:rPr>
        <w:tab/>
      </w:r>
      <w:r>
        <w:t>Pest risk assessments for quarantine pests</w:t>
      </w:r>
      <w:r>
        <w:tab/>
      </w:r>
      <w:r>
        <w:fldChar w:fldCharType="begin" w:fldLock="1"/>
      </w:r>
      <w:r>
        <w:instrText xml:space="preserve"> PAGEREF _Toc112769000 \h </w:instrText>
      </w:r>
      <w:r>
        <w:fldChar w:fldCharType="separate"/>
      </w:r>
      <w:r>
        <w:t>43</w:t>
      </w:r>
      <w:r>
        <w:fldChar w:fldCharType="end"/>
      </w:r>
    </w:p>
    <w:p w14:paraId="7B7330B2" w14:textId="77777777" w:rsidR="003438A2" w:rsidRDefault="003438A2">
      <w:pPr>
        <w:pStyle w:val="TOC2"/>
        <w:tabs>
          <w:tab w:val="left" w:pos="1588"/>
        </w:tabs>
        <w:rPr>
          <w:rFonts w:eastAsiaTheme="minorEastAsia"/>
          <w:lang w:eastAsia="en-AU"/>
        </w:rPr>
      </w:pPr>
      <w:r>
        <w:t>4.1</w:t>
      </w:r>
      <w:r>
        <w:rPr>
          <w:rFonts w:eastAsiaTheme="minorEastAsia"/>
          <w:lang w:eastAsia="en-AU"/>
        </w:rPr>
        <w:tab/>
      </w:r>
      <w:r>
        <w:t>Flat scarlet mite</w:t>
      </w:r>
      <w:r>
        <w:tab/>
      </w:r>
      <w:r>
        <w:fldChar w:fldCharType="begin" w:fldLock="1"/>
      </w:r>
      <w:r>
        <w:instrText xml:space="preserve"> PAGEREF _Toc112769001 \h </w:instrText>
      </w:r>
      <w:r>
        <w:fldChar w:fldCharType="separate"/>
      </w:r>
      <w:r>
        <w:t>47</w:t>
      </w:r>
      <w:r>
        <w:fldChar w:fldCharType="end"/>
      </w:r>
    </w:p>
    <w:p w14:paraId="0D201407" w14:textId="77777777" w:rsidR="003438A2" w:rsidRDefault="003438A2">
      <w:pPr>
        <w:pStyle w:val="TOC2"/>
        <w:tabs>
          <w:tab w:val="left" w:pos="1588"/>
        </w:tabs>
        <w:rPr>
          <w:rFonts w:eastAsiaTheme="minorEastAsia"/>
          <w:lang w:eastAsia="en-AU"/>
        </w:rPr>
      </w:pPr>
      <w:r>
        <w:t>4.2</w:t>
      </w:r>
      <w:r>
        <w:rPr>
          <w:rFonts w:eastAsiaTheme="minorEastAsia"/>
          <w:lang w:eastAsia="en-AU"/>
        </w:rPr>
        <w:tab/>
      </w:r>
      <w:r>
        <w:t>Spider mites</w:t>
      </w:r>
      <w:r>
        <w:tab/>
      </w:r>
      <w:r>
        <w:fldChar w:fldCharType="begin" w:fldLock="1"/>
      </w:r>
      <w:r>
        <w:instrText xml:space="preserve"> PAGEREF _Toc112769002 \h </w:instrText>
      </w:r>
      <w:r>
        <w:fldChar w:fldCharType="separate"/>
      </w:r>
      <w:r>
        <w:t>51</w:t>
      </w:r>
      <w:r>
        <w:fldChar w:fldCharType="end"/>
      </w:r>
    </w:p>
    <w:p w14:paraId="22AD11A8" w14:textId="77777777" w:rsidR="003438A2" w:rsidRDefault="003438A2">
      <w:pPr>
        <w:pStyle w:val="TOC2"/>
        <w:tabs>
          <w:tab w:val="left" w:pos="1588"/>
        </w:tabs>
        <w:rPr>
          <w:rFonts w:eastAsiaTheme="minorEastAsia"/>
          <w:lang w:eastAsia="en-AU"/>
        </w:rPr>
      </w:pPr>
      <w:r>
        <w:t>4.3</w:t>
      </w:r>
      <w:r>
        <w:rPr>
          <w:rFonts w:eastAsiaTheme="minorEastAsia"/>
          <w:lang w:eastAsia="en-AU"/>
        </w:rPr>
        <w:tab/>
      </w:r>
      <w:r>
        <w:t>Apple curculio</w:t>
      </w:r>
      <w:r>
        <w:tab/>
      </w:r>
      <w:r>
        <w:fldChar w:fldCharType="begin" w:fldLock="1"/>
      </w:r>
      <w:r>
        <w:instrText xml:space="preserve"> PAGEREF _Toc112769003 \h </w:instrText>
      </w:r>
      <w:r>
        <w:fldChar w:fldCharType="separate"/>
      </w:r>
      <w:r>
        <w:t>56</w:t>
      </w:r>
      <w:r>
        <w:fldChar w:fldCharType="end"/>
      </w:r>
    </w:p>
    <w:p w14:paraId="648B2DF3" w14:textId="77777777" w:rsidR="003438A2" w:rsidRDefault="003438A2">
      <w:pPr>
        <w:pStyle w:val="TOC2"/>
        <w:tabs>
          <w:tab w:val="left" w:pos="1588"/>
        </w:tabs>
        <w:rPr>
          <w:rFonts w:eastAsiaTheme="minorEastAsia"/>
          <w:lang w:eastAsia="en-AU"/>
        </w:rPr>
      </w:pPr>
      <w:r>
        <w:t>4.4</w:t>
      </w:r>
      <w:r>
        <w:rPr>
          <w:rFonts w:eastAsiaTheme="minorEastAsia"/>
          <w:lang w:eastAsia="en-AU"/>
        </w:rPr>
        <w:tab/>
      </w:r>
      <w:r>
        <w:t>Apple leafcurling midge</w:t>
      </w:r>
      <w:r>
        <w:tab/>
      </w:r>
      <w:r>
        <w:fldChar w:fldCharType="begin" w:fldLock="1"/>
      </w:r>
      <w:r>
        <w:instrText xml:space="preserve"> PAGEREF _Toc112769004 \h </w:instrText>
      </w:r>
      <w:r>
        <w:fldChar w:fldCharType="separate"/>
      </w:r>
      <w:r>
        <w:t>65</w:t>
      </w:r>
      <w:r>
        <w:fldChar w:fldCharType="end"/>
      </w:r>
    </w:p>
    <w:p w14:paraId="4A6EADE6" w14:textId="77777777" w:rsidR="003438A2" w:rsidRDefault="003438A2">
      <w:pPr>
        <w:pStyle w:val="TOC2"/>
        <w:tabs>
          <w:tab w:val="left" w:pos="1588"/>
        </w:tabs>
        <w:rPr>
          <w:rFonts w:eastAsiaTheme="minorEastAsia"/>
          <w:lang w:eastAsia="en-AU"/>
        </w:rPr>
      </w:pPr>
      <w:r>
        <w:t>4.5</w:t>
      </w:r>
      <w:r>
        <w:rPr>
          <w:rFonts w:eastAsiaTheme="minorEastAsia"/>
          <w:lang w:eastAsia="en-AU"/>
        </w:rPr>
        <w:tab/>
      </w:r>
      <w:r>
        <w:t>Apple maggot</w:t>
      </w:r>
      <w:r>
        <w:tab/>
      </w:r>
      <w:r>
        <w:fldChar w:fldCharType="begin" w:fldLock="1"/>
      </w:r>
      <w:r>
        <w:instrText xml:space="preserve"> PAGEREF _Toc112769005 \h </w:instrText>
      </w:r>
      <w:r>
        <w:fldChar w:fldCharType="separate"/>
      </w:r>
      <w:r>
        <w:t>70</w:t>
      </w:r>
      <w:r>
        <w:fldChar w:fldCharType="end"/>
      </w:r>
    </w:p>
    <w:p w14:paraId="13123C9B" w14:textId="77777777" w:rsidR="003438A2" w:rsidRDefault="003438A2">
      <w:pPr>
        <w:pStyle w:val="TOC2"/>
        <w:tabs>
          <w:tab w:val="left" w:pos="1588"/>
        </w:tabs>
        <w:rPr>
          <w:rFonts w:eastAsiaTheme="minorEastAsia"/>
          <w:lang w:eastAsia="en-AU"/>
        </w:rPr>
      </w:pPr>
      <w:r>
        <w:t>4.6</w:t>
      </w:r>
      <w:r>
        <w:rPr>
          <w:rFonts w:eastAsiaTheme="minorEastAsia"/>
          <w:lang w:eastAsia="en-AU"/>
        </w:rPr>
        <w:tab/>
      </w:r>
      <w:r>
        <w:t>Chaff scale</w:t>
      </w:r>
      <w:r>
        <w:tab/>
      </w:r>
      <w:r>
        <w:fldChar w:fldCharType="begin" w:fldLock="1"/>
      </w:r>
      <w:r>
        <w:instrText xml:space="preserve"> PAGEREF _Toc112769006 \h </w:instrText>
      </w:r>
      <w:r>
        <w:fldChar w:fldCharType="separate"/>
      </w:r>
      <w:r>
        <w:t>76</w:t>
      </w:r>
      <w:r>
        <w:fldChar w:fldCharType="end"/>
      </w:r>
    </w:p>
    <w:p w14:paraId="3DABB6F0" w14:textId="77777777" w:rsidR="003438A2" w:rsidRDefault="003438A2">
      <w:pPr>
        <w:pStyle w:val="TOC2"/>
        <w:tabs>
          <w:tab w:val="left" w:pos="1588"/>
        </w:tabs>
        <w:rPr>
          <w:rFonts w:eastAsiaTheme="minorEastAsia"/>
          <w:lang w:eastAsia="en-AU"/>
        </w:rPr>
      </w:pPr>
      <w:r>
        <w:t>4.7</w:t>
      </w:r>
      <w:r>
        <w:rPr>
          <w:rFonts w:eastAsiaTheme="minorEastAsia"/>
          <w:lang w:eastAsia="en-AU"/>
        </w:rPr>
        <w:tab/>
      </w:r>
      <w:r>
        <w:t>Lygus bugs</w:t>
      </w:r>
      <w:r>
        <w:tab/>
      </w:r>
      <w:r>
        <w:fldChar w:fldCharType="begin" w:fldLock="1"/>
      </w:r>
      <w:r>
        <w:instrText xml:space="preserve"> PAGEREF _Toc112769007 \h </w:instrText>
      </w:r>
      <w:r>
        <w:fldChar w:fldCharType="separate"/>
      </w:r>
      <w:r>
        <w:t>79</w:t>
      </w:r>
      <w:r>
        <w:fldChar w:fldCharType="end"/>
      </w:r>
    </w:p>
    <w:p w14:paraId="7F95EA9A" w14:textId="77777777" w:rsidR="003438A2" w:rsidRDefault="003438A2">
      <w:pPr>
        <w:pStyle w:val="TOC2"/>
        <w:tabs>
          <w:tab w:val="left" w:pos="1588"/>
        </w:tabs>
        <w:rPr>
          <w:rFonts w:eastAsiaTheme="minorEastAsia"/>
          <w:lang w:eastAsia="en-AU"/>
        </w:rPr>
      </w:pPr>
      <w:r>
        <w:t>4.8</w:t>
      </w:r>
      <w:r>
        <w:rPr>
          <w:rFonts w:eastAsiaTheme="minorEastAsia"/>
          <w:lang w:eastAsia="en-AU"/>
        </w:rPr>
        <w:tab/>
      </w:r>
      <w:r>
        <w:t>Mealybugs</w:t>
      </w:r>
      <w:r>
        <w:tab/>
      </w:r>
      <w:r>
        <w:fldChar w:fldCharType="begin" w:fldLock="1"/>
      </w:r>
      <w:r>
        <w:instrText xml:space="preserve"> PAGEREF _Toc112769008 \h </w:instrText>
      </w:r>
      <w:r>
        <w:fldChar w:fldCharType="separate"/>
      </w:r>
      <w:r>
        <w:t>83</w:t>
      </w:r>
      <w:r>
        <w:fldChar w:fldCharType="end"/>
      </w:r>
    </w:p>
    <w:p w14:paraId="355618D9" w14:textId="77777777" w:rsidR="003438A2" w:rsidRDefault="003438A2">
      <w:pPr>
        <w:pStyle w:val="TOC2"/>
        <w:tabs>
          <w:tab w:val="left" w:pos="1588"/>
        </w:tabs>
        <w:rPr>
          <w:rFonts w:eastAsiaTheme="minorEastAsia"/>
          <w:lang w:eastAsia="en-AU"/>
        </w:rPr>
      </w:pPr>
      <w:r>
        <w:t>4.9</w:t>
      </w:r>
      <w:r>
        <w:rPr>
          <w:rFonts w:eastAsiaTheme="minorEastAsia"/>
          <w:lang w:eastAsia="en-AU"/>
        </w:rPr>
        <w:tab/>
      </w:r>
      <w:r>
        <w:t>Lacanobia fruitworm</w:t>
      </w:r>
      <w:r>
        <w:tab/>
      </w:r>
      <w:r>
        <w:fldChar w:fldCharType="begin" w:fldLock="1"/>
      </w:r>
      <w:r>
        <w:instrText xml:space="preserve"> PAGEREF _Toc112769009 \h </w:instrText>
      </w:r>
      <w:r>
        <w:fldChar w:fldCharType="separate"/>
      </w:r>
      <w:r>
        <w:t>84</w:t>
      </w:r>
      <w:r>
        <w:fldChar w:fldCharType="end"/>
      </w:r>
    </w:p>
    <w:p w14:paraId="4303FCE5" w14:textId="77777777" w:rsidR="003438A2" w:rsidRDefault="003438A2">
      <w:pPr>
        <w:pStyle w:val="TOC2"/>
        <w:tabs>
          <w:tab w:val="left" w:pos="1588"/>
        </w:tabs>
        <w:rPr>
          <w:rFonts w:eastAsiaTheme="minorEastAsia"/>
          <w:lang w:eastAsia="en-AU"/>
        </w:rPr>
      </w:pPr>
      <w:r>
        <w:t>4.10</w:t>
      </w:r>
      <w:r>
        <w:rPr>
          <w:rFonts w:eastAsiaTheme="minorEastAsia"/>
          <w:lang w:eastAsia="en-AU"/>
        </w:rPr>
        <w:tab/>
      </w:r>
      <w:r>
        <w:t>Leafroller moths</w:t>
      </w:r>
      <w:r>
        <w:tab/>
      </w:r>
      <w:r>
        <w:fldChar w:fldCharType="begin" w:fldLock="1"/>
      </w:r>
      <w:r>
        <w:instrText xml:space="preserve"> PAGEREF _Toc112769010 \h </w:instrText>
      </w:r>
      <w:r>
        <w:fldChar w:fldCharType="separate"/>
      </w:r>
      <w:r>
        <w:t>93</w:t>
      </w:r>
      <w:r>
        <w:fldChar w:fldCharType="end"/>
      </w:r>
    </w:p>
    <w:p w14:paraId="0B09C2A6" w14:textId="77777777" w:rsidR="003438A2" w:rsidRDefault="003438A2">
      <w:pPr>
        <w:pStyle w:val="TOC2"/>
        <w:tabs>
          <w:tab w:val="left" w:pos="1588"/>
        </w:tabs>
        <w:rPr>
          <w:rFonts w:eastAsiaTheme="minorEastAsia"/>
          <w:lang w:eastAsia="en-AU"/>
        </w:rPr>
      </w:pPr>
      <w:r>
        <w:t>4.11</w:t>
      </w:r>
      <w:r>
        <w:rPr>
          <w:rFonts w:eastAsiaTheme="minorEastAsia"/>
          <w:lang w:eastAsia="en-AU"/>
        </w:rPr>
        <w:tab/>
      </w:r>
      <w:r>
        <w:t>Codling moth</w:t>
      </w:r>
      <w:r>
        <w:tab/>
      </w:r>
      <w:r>
        <w:fldChar w:fldCharType="begin" w:fldLock="1"/>
      </w:r>
      <w:r>
        <w:instrText xml:space="preserve"> PAGEREF _Toc112769011 \h </w:instrText>
      </w:r>
      <w:r>
        <w:fldChar w:fldCharType="separate"/>
      </w:r>
      <w:r>
        <w:t>97</w:t>
      </w:r>
      <w:r>
        <w:fldChar w:fldCharType="end"/>
      </w:r>
    </w:p>
    <w:p w14:paraId="107D0B89" w14:textId="77777777" w:rsidR="003438A2" w:rsidRDefault="003438A2">
      <w:pPr>
        <w:pStyle w:val="TOC2"/>
        <w:tabs>
          <w:tab w:val="left" w:pos="1588"/>
        </w:tabs>
        <w:rPr>
          <w:rFonts w:eastAsiaTheme="minorEastAsia"/>
          <w:lang w:eastAsia="en-AU"/>
        </w:rPr>
      </w:pPr>
      <w:r>
        <w:t>4.12</w:t>
      </w:r>
      <w:r>
        <w:rPr>
          <w:rFonts w:eastAsiaTheme="minorEastAsia"/>
          <w:lang w:eastAsia="en-AU"/>
        </w:rPr>
        <w:tab/>
      </w:r>
      <w:r>
        <w:t>Grapholita moths</w:t>
      </w:r>
      <w:r>
        <w:tab/>
      </w:r>
      <w:r>
        <w:fldChar w:fldCharType="begin" w:fldLock="1"/>
      </w:r>
      <w:r>
        <w:instrText xml:space="preserve"> PAGEREF _Toc112769012 \h </w:instrText>
      </w:r>
      <w:r>
        <w:fldChar w:fldCharType="separate"/>
      </w:r>
      <w:r>
        <w:t>102</w:t>
      </w:r>
      <w:r>
        <w:fldChar w:fldCharType="end"/>
      </w:r>
    </w:p>
    <w:p w14:paraId="28304736" w14:textId="77777777" w:rsidR="003438A2" w:rsidRDefault="003438A2">
      <w:pPr>
        <w:pStyle w:val="TOC2"/>
        <w:tabs>
          <w:tab w:val="left" w:pos="1588"/>
        </w:tabs>
        <w:rPr>
          <w:rFonts w:eastAsiaTheme="minorEastAsia"/>
          <w:lang w:eastAsia="en-AU"/>
        </w:rPr>
      </w:pPr>
      <w:r>
        <w:t>4.13</w:t>
      </w:r>
      <w:r>
        <w:rPr>
          <w:rFonts w:eastAsiaTheme="minorEastAsia"/>
          <w:lang w:eastAsia="en-AU"/>
        </w:rPr>
        <w:tab/>
      </w:r>
      <w:r>
        <w:t>Apple fruit moth</w:t>
      </w:r>
      <w:r>
        <w:tab/>
      </w:r>
      <w:r>
        <w:fldChar w:fldCharType="begin" w:fldLock="1"/>
      </w:r>
      <w:r>
        <w:instrText xml:space="preserve"> PAGEREF _Toc112769013 \h </w:instrText>
      </w:r>
      <w:r>
        <w:fldChar w:fldCharType="separate"/>
      </w:r>
      <w:r>
        <w:t>109</w:t>
      </w:r>
      <w:r>
        <w:fldChar w:fldCharType="end"/>
      </w:r>
    </w:p>
    <w:p w14:paraId="5F289E2F" w14:textId="77777777" w:rsidR="003438A2" w:rsidRDefault="003438A2">
      <w:pPr>
        <w:pStyle w:val="TOC2"/>
        <w:tabs>
          <w:tab w:val="left" w:pos="1588"/>
        </w:tabs>
        <w:rPr>
          <w:rFonts w:eastAsiaTheme="minorEastAsia"/>
          <w:lang w:eastAsia="en-AU"/>
        </w:rPr>
      </w:pPr>
      <w:r>
        <w:t>4.14</w:t>
      </w:r>
      <w:r>
        <w:rPr>
          <w:rFonts w:eastAsiaTheme="minorEastAsia"/>
          <w:lang w:eastAsia="en-AU"/>
        </w:rPr>
        <w:tab/>
      </w:r>
      <w:r>
        <w:t>Thrips</w:t>
      </w:r>
      <w:r>
        <w:tab/>
      </w:r>
      <w:r>
        <w:fldChar w:fldCharType="begin" w:fldLock="1"/>
      </w:r>
      <w:r>
        <w:instrText xml:space="preserve"> PAGEREF _Toc112769014 \h </w:instrText>
      </w:r>
      <w:r>
        <w:fldChar w:fldCharType="separate"/>
      </w:r>
      <w:r>
        <w:t>114</w:t>
      </w:r>
      <w:r>
        <w:fldChar w:fldCharType="end"/>
      </w:r>
    </w:p>
    <w:p w14:paraId="34495A6D" w14:textId="77777777" w:rsidR="003438A2" w:rsidRDefault="003438A2">
      <w:pPr>
        <w:pStyle w:val="TOC2"/>
        <w:tabs>
          <w:tab w:val="left" w:pos="1588"/>
        </w:tabs>
        <w:rPr>
          <w:rFonts w:eastAsiaTheme="minorEastAsia"/>
          <w:lang w:eastAsia="en-AU"/>
        </w:rPr>
      </w:pPr>
      <w:r>
        <w:t>4.15</w:t>
      </w:r>
      <w:r>
        <w:rPr>
          <w:rFonts w:eastAsiaTheme="minorEastAsia"/>
          <w:lang w:eastAsia="en-AU"/>
        </w:rPr>
        <w:tab/>
      </w:r>
      <w:r>
        <w:t>Fire blight</w:t>
      </w:r>
      <w:r>
        <w:tab/>
      </w:r>
      <w:r>
        <w:fldChar w:fldCharType="begin" w:fldLock="1"/>
      </w:r>
      <w:r>
        <w:instrText xml:space="preserve"> PAGEREF _Toc112769015 \h </w:instrText>
      </w:r>
      <w:r>
        <w:fldChar w:fldCharType="separate"/>
      </w:r>
      <w:r>
        <w:t>116</w:t>
      </w:r>
      <w:r>
        <w:fldChar w:fldCharType="end"/>
      </w:r>
    </w:p>
    <w:p w14:paraId="7D1EC9E8" w14:textId="77777777" w:rsidR="003438A2" w:rsidRDefault="003438A2">
      <w:pPr>
        <w:pStyle w:val="TOC2"/>
        <w:tabs>
          <w:tab w:val="left" w:pos="1588"/>
        </w:tabs>
        <w:rPr>
          <w:rFonts w:eastAsiaTheme="minorEastAsia"/>
          <w:lang w:eastAsia="en-AU"/>
        </w:rPr>
      </w:pPr>
      <w:r>
        <w:t>4.16</w:t>
      </w:r>
      <w:r>
        <w:rPr>
          <w:rFonts w:eastAsiaTheme="minorEastAsia"/>
          <w:lang w:eastAsia="en-AU"/>
        </w:rPr>
        <w:tab/>
      </w:r>
      <w:r>
        <w:t>Coprinus rot</w:t>
      </w:r>
      <w:r>
        <w:tab/>
      </w:r>
      <w:r>
        <w:fldChar w:fldCharType="begin" w:fldLock="1"/>
      </w:r>
      <w:r>
        <w:instrText xml:space="preserve"> PAGEREF _Toc112769016 \h </w:instrText>
      </w:r>
      <w:r>
        <w:fldChar w:fldCharType="separate"/>
      </w:r>
      <w:r>
        <w:t>126</w:t>
      </w:r>
      <w:r>
        <w:fldChar w:fldCharType="end"/>
      </w:r>
    </w:p>
    <w:p w14:paraId="2134BFF8" w14:textId="77777777" w:rsidR="003438A2" w:rsidRDefault="003438A2">
      <w:pPr>
        <w:pStyle w:val="TOC2"/>
        <w:tabs>
          <w:tab w:val="left" w:pos="1588"/>
        </w:tabs>
        <w:rPr>
          <w:rFonts w:eastAsiaTheme="minorEastAsia"/>
          <w:lang w:eastAsia="en-AU"/>
        </w:rPr>
      </w:pPr>
      <w:r>
        <w:lastRenderedPageBreak/>
        <w:t>4.17</w:t>
      </w:r>
      <w:r>
        <w:rPr>
          <w:rFonts w:eastAsiaTheme="minorEastAsia"/>
          <w:lang w:eastAsia="en-AU"/>
        </w:rPr>
        <w:tab/>
      </w:r>
      <w:r>
        <w:t>Phacidiopycnis rot</w:t>
      </w:r>
      <w:r>
        <w:tab/>
      </w:r>
      <w:r>
        <w:fldChar w:fldCharType="begin" w:fldLock="1"/>
      </w:r>
      <w:r>
        <w:instrText xml:space="preserve"> PAGEREF _Toc112769017 \h </w:instrText>
      </w:r>
      <w:r>
        <w:fldChar w:fldCharType="separate"/>
      </w:r>
      <w:r>
        <w:t>135</w:t>
      </w:r>
      <w:r>
        <w:fldChar w:fldCharType="end"/>
      </w:r>
    </w:p>
    <w:p w14:paraId="7FB55C24" w14:textId="77777777" w:rsidR="003438A2" w:rsidRDefault="003438A2">
      <w:pPr>
        <w:pStyle w:val="TOC2"/>
        <w:tabs>
          <w:tab w:val="left" w:pos="1588"/>
        </w:tabs>
        <w:rPr>
          <w:rFonts w:eastAsiaTheme="minorEastAsia"/>
          <w:lang w:eastAsia="en-AU"/>
        </w:rPr>
      </w:pPr>
      <w:r>
        <w:t>4.18</w:t>
      </w:r>
      <w:r>
        <w:rPr>
          <w:rFonts w:eastAsiaTheme="minorEastAsia"/>
          <w:lang w:eastAsia="en-AU"/>
        </w:rPr>
        <w:tab/>
      </w:r>
      <w:r>
        <w:t>Gymnosporangium rusts</w:t>
      </w:r>
      <w:r>
        <w:tab/>
      </w:r>
      <w:r>
        <w:fldChar w:fldCharType="begin" w:fldLock="1"/>
      </w:r>
      <w:r>
        <w:instrText xml:space="preserve"> PAGEREF _Toc112769018 \h </w:instrText>
      </w:r>
      <w:r>
        <w:fldChar w:fldCharType="separate"/>
      </w:r>
      <w:r>
        <w:t>143</w:t>
      </w:r>
      <w:r>
        <w:fldChar w:fldCharType="end"/>
      </w:r>
    </w:p>
    <w:p w14:paraId="6B9CC31E" w14:textId="77777777" w:rsidR="003438A2" w:rsidRDefault="003438A2">
      <w:pPr>
        <w:pStyle w:val="TOC2"/>
        <w:tabs>
          <w:tab w:val="left" w:pos="1588"/>
        </w:tabs>
        <w:rPr>
          <w:rFonts w:eastAsiaTheme="minorEastAsia"/>
          <w:lang w:eastAsia="en-AU"/>
        </w:rPr>
      </w:pPr>
      <w:r>
        <w:t>4.19</w:t>
      </w:r>
      <w:r>
        <w:rPr>
          <w:rFonts w:eastAsiaTheme="minorEastAsia"/>
          <w:lang w:eastAsia="en-AU"/>
        </w:rPr>
        <w:tab/>
      </w:r>
      <w:r>
        <w:t>Bull’s eye rot</w:t>
      </w:r>
      <w:r>
        <w:tab/>
      </w:r>
      <w:r>
        <w:fldChar w:fldCharType="begin" w:fldLock="1"/>
      </w:r>
      <w:r>
        <w:instrText xml:space="preserve"> PAGEREF _Toc112769019 \h </w:instrText>
      </w:r>
      <w:r>
        <w:fldChar w:fldCharType="separate"/>
      </w:r>
      <w:r>
        <w:t>148</w:t>
      </w:r>
      <w:r>
        <w:fldChar w:fldCharType="end"/>
      </w:r>
    </w:p>
    <w:p w14:paraId="77F6416B" w14:textId="77777777" w:rsidR="003438A2" w:rsidRDefault="003438A2">
      <w:pPr>
        <w:pStyle w:val="TOC2"/>
        <w:tabs>
          <w:tab w:val="left" w:pos="1588"/>
        </w:tabs>
        <w:rPr>
          <w:rFonts w:eastAsiaTheme="minorEastAsia"/>
          <w:lang w:eastAsia="en-AU"/>
        </w:rPr>
      </w:pPr>
      <w:r>
        <w:t>4.20</w:t>
      </w:r>
      <w:r>
        <w:rPr>
          <w:rFonts w:eastAsiaTheme="minorEastAsia"/>
          <w:lang w:eastAsia="en-AU"/>
        </w:rPr>
        <w:tab/>
      </w:r>
      <w:r>
        <w:t>European canker</w:t>
      </w:r>
      <w:r>
        <w:tab/>
      </w:r>
      <w:r>
        <w:fldChar w:fldCharType="begin" w:fldLock="1"/>
      </w:r>
      <w:r>
        <w:instrText xml:space="preserve"> PAGEREF _Toc112769020 \h </w:instrText>
      </w:r>
      <w:r>
        <w:fldChar w:fldCharType="separate"/>
      </w:r>
      <w:r>
        <w:t>152</w:t>
      </w:r>
      <w:r>
        <w:fldChar w:fldCharType="end"/>
      </w:r>
    </w:p>
    <w:p w14:paraId="3D3898E3" w14:textId="77777777" w:rsidR="003438A2" w:rsidRDefault="003438A2">
      <w:pPr>
        <w:pStyle w:val="TOC2"/>
        <w:tabs>
          <w:tab w:val="left" w:pos="1588"/>
        </w:tabs>
        <w:rPr>
          <w:rFonts w:eastAsiaTheme="minorEastAsia"/>
          <w:lang w:eastAsia="en-AU"/>
        </w:rPr>
      </w:pPr>
      <w:r>
        <w:t>4.21</w:t>
      </w:r>
      <w:r>
        <w:rPr>
          <w:rFonts w:eastAsiaTheme="minorEastAsia"/>
          <w:lang w:eastAsia="en-AU"/>
        </w:rPr>
        <w:tab/>
      </w:r>
      <w:r>
        <w:t>Speck rot</w:t>
      </w:r>
      <w:r>
        <w:tab/>
      </w:r>
      <w:r>
        <w:fldChar w:fldCharType="begin" w:fldLock="1"/>
      </w:r>
      <w:r>
        <w:instrText xml:space="preserve"> PAGEREF _Toc112769021 \h </w:instrText>
      </w:r>
      <w:r>
        <w:fldChar w:fldCharType="separate"/>
      </w:r>
      <w:r>
        <w:t>158</w:t>
      </w:r>
      <w:r>
        <w:fldChar w:fldCharType="end"/>
      </w:r>
    </w:p>
    <w:p w14:paraId="3F4E0F69" w14:textId="77777777" w:rsidR="003438A2" w:rsidRDefault="003438A2">
      <w:pPr>
        <w:pStyle w:val="TOC2"/>
        <w:tabs>
          <w:tab w:val="left" w:pos="1588"/>
        </w:tabs>
        <w:rPr>
          <w:rFonts w:eastAsiaTheme="minorEastAsia"/>
          <w:lang w:eastAsia="en-AU"/>
        </w:rPr>
      </w:pPr>
      <w:r>
        <w:t>4.22</w:t>
      </w:r>
      <w:r>
        <w:rPr>
          <w:rFonts w:eastAsiaTheme="minorEastAsia"/>
          <w:lang w:eastAsia="en-AU"/>
        </w:rPr>
        <w:tab/>
      </w:r>
      <w:r>
        <w:t>Apple Blotch</w:t>
      </w:r>
      <w:r>
        <w:tab/>
      </w:r>
      <w:r>
        <w:fldChar w:fldCharType="begin" w:fldLock="1"/>
      </w:r>
      <w:r>
        <w:instrText xml:space="preserve"> PAGEREF _Toc112769022 \h </w:instrText>
      </w:r>
      <w:r>
        <w:fldChar w:fldCharType="separate"/>
      </w:r>
      <w:r>
        <w:t>167</w:t>
      </w:r>
      <w:r>
        <w:fldChar w:fldCharType="end"/>
      </w:r>
    </w:p>
    <w:p w14:paraId="30B20BE8" w14:textId="77777777" w:rsidR="003438A2" w:rsidRDefault="003438A2">
      <w:pPr>
        <w:pStyle w:val="TOC2"/>
        <w:tabs>
          <w:tab w:val="left" w:pos="1588"/>
        </w:tabs>
        <w:rPr>
          <w:rFonts w:eastAsiaTheme="minorEastAsia"/>
          <w:lang w:eastAsia="en-AU"/>
        </w:rPr>
      </w:pPr>
      <w:r>
        <w:t>4.23</w:t>
      </w:r>
      <w:r>
        <w:rPr>
          <w:rFonts w:eastAsiaTheme="minorEastAsia"/>
          <w:lang w:eastAsia="en-AU"/>
        </w:rPr>
        <w:tab/>
      </w:r>
      <w:r>
        <w:t>Sphaeropsis rot</w:t>
      </w:r>
      <w:r>
        <w:tab/>
      </w:r>
      <w:r>
        <w:fldChar w:fldCharType="begin" w:fldLock="1"/>
      </w:r>
      <w:r>
        <w:instrText xml:space="preserve"> PAGEREF _Toc112769023 \h </w:instrText>
      </w:r>
      <w:r>
        <w:fldChar w:fldCharType="separate"/>
      </w:r>
      <w:r>
        <w:t>171</w:t>
      </w:r>
      <w:r>
        <w:fldChar w:fldCharType="end"/>
      </w:r>
    </w:p>
    <w:p w14:paraId="397F982D" w14:textId="77777777" w:rsidR="003438A2" w:rsidRDefault="003438A2">
      <w:pPr>
        <w:pStyle w:val="TOC2"/>
        <w:tabs>
          <w:tab w:val="left" w:pos="1588"/>
        </w:tabs>
        <w:rPr>
          <w:rFonts w:eastAsiaTheme="minorEastAsia"/>
          <w:lang w:eastAsia="en-AU"/>
        </w:rPr>
      </w:pPr>
      <w:r>
        <w:t>4.24</w:t>
      </w:r>
      <w:r>
        <w:rPr>
          <w:rFonts w:eastAsiaTheme="minorEastAsia"/>
          <w:lang w:eastAsia="en-AU"/>
        </w:rPr>
        <w:tab/>
      </w:r>
      <w:r>
        <w:t>Truncatella leaf spot</w:t>
      </w:r>
      <w:r>
        <w:tab/>
      </w:r>
      <w:r>
        <w:fldChar w:fldCharType="begin" w:fldLock="1"/>
      </w:r>
      <w:r>
        <w:instrText xml:space="preserve"> PAGEREF _Toc112769024 \h </w:instrText>
      </w:r>
      <w:r>
        <w:fldChar w:fldCharType="separate"/>
      </w:r>
      <w:r>
        <w:t>179</w:t>
      </w:r>
      <w:r>
        <w:fldChar w:fldCharType="end"/>
      </w:r>
    </w:p>
    <w:p w14:paraId="6EFDC877" w14:textId="77777777" w:rsidR="003438A2" w:rsidRDefault="003438A2">
      <w:pPr>
        <w:pStyle w:val="TOC2"/>
        <w:tabs>
          <w:tab w:val="left" w:pos="1588"/>
        </w:tabs>
        <w:rPr>
          <w:rFonts w:eastAsiaTheme="minorEastAsia"/>
          <w:lang w:eastAsia="en-AU"/>
        </w:rPr>
      </w:pPr>
      <w:r>
        <w:t>4.25</w:t>
      </w:r>
      <w:r>
        <w:rPr>
          <w:rFonts w:eastAsiaTheme="minorEastAsia"/>
          <w:lang w:eastAsia="en-AU"/>
        </w:rPr>
        <w:tab/>
      </w:r>
      <w:r>
        <w:t>Apple scar skin</w:t>
      </w:r>
      <w:r>
        <w:tab/>
      </w:r>
      <w:r>
        <w:fldChar w:fldCharType="begin" w:fldLock="1"/>
      </w:r>
      <w:r>
        <w:instrText xml:space="preserve"> PAGEREF _Toc112769025 \h </w:instrText>
      </w:r>
      <w:r>
        <w:fldChar w:fldCharType="separate"/>
      </w:r>
      <w:r>
        <w:t>184</w:t>
      </w:r>
      <w:r>
        <w:fldChar w:fldCharType="end"/>
      </w:r>
    </w:p>
    <w:p w14:paraId="1900806F" w14:textId="77777777" w:rsidR="003438A2" w:rsidRDefault="003438A2">
      <w:pPr>
        <w:pStyle w:val="TOC2"/>
        <w:tabs>
          <w:tab w:val="left" w:pos="1588"/>
        </w:tabs>
        <w:rPr>
          <w:rFonts w:eastAsiaTheme="minorEastAsia"/>
          <w:lang w:eastAsia="en-AU"/>
        </w:rPr>
      </w:pPr>
      <w:r>
        <w:t>4.26</w:t>
      </w:r>
      <w:r>
        <w:rPr>
          <w:rFonts w:eastAsiaTheme="minorEastAsia"/>
          <w:lang w:eastAsia="en-AU"/>
        </w:rPr>
        <w:tab/>
      </w:r>
      <w:r>
        <w:t>Tobacco necrosis viruses</w:t>
      </w:r>
      <w:r>
        <w:tab/>
      </w:r>
      <w:r>
        <w:fldChar w:fldCharType="begin" w:fldLock="1"/>
      </w:r>
      <w:r>
        <w:instrText xml:space="preserve"> PAGEREF _Toc112769026 \h </w:instrText>
      </w:r>
      <w:r>
        <w:fldChar w:fldCharType="separate"/>
      </w:r>
      <w:r>
        <w:t>189</w:t>
      </w:r>
      <w:r>
        <w:fldChar w:fldCharType="end"/>
      </w:r>
    </w:p>
    <w:p w14:paraId="434BD7E6" w14:textId="77777777" w:rsidR="003438A2" w:rsidRDefault="003438A2">
      <w:pPr>
        <w:pStyle w:val="TOC2"/>
        <w:tabs>
          <w:tab w:val="left" w:pos="1588"/>
        </w:tabs>
        <w:rPr>
          <w:rFonts w:eastAsiaTheme="minorEastAsia"/>
          <w:lang w:eastAsia="en-AU"/>
        </w:rPr>
      </w:pPr>
      <w:r>
        <w:t>4.27</w:t>
      </w:r>
      <w:r>
        <w:rPr>
          <w:rFonts w:eastAsiaTheme="minorEastAsia"/>
          <w:lang w:eastAsia="en-AU"/>
        </w:rPr>
        <w:tab/>
      </w:r>
      <w:r>
        <w:t>Pest risk assessment conclusions</w:t>
      </w:r>
      <w:r>
        <w:tab/>
      </w:r>
      <w:r>
        <w:fldChar w:fldCharType="begin" w:fldLock="1"/>
      </w:r>
      <w:r>
        <w:instrText xml:space="preserve"> PAGEREF _Toc112769027 \h </w:instrText>
      </w:r>
      <w:r>
        <w:fldChar w:fldCharType="separate"/>
      </w:r>
      <w:r>
        <w:t>193</w:t>
      </w:r>
      <w:r>
        <w:fldChar w:fldCharType="end"/>
      </w:r>
    </w:p>
    <w:p w14:paraId="4FA66786" w14:textId="77777777" w:rsidR="003438A2" w:rsidRDefault="003438A2">
      <w:pPr>
        <w:pStyle w:val="TOC2"/>
        <w:tabs>
          <w:tab w:val="left" w:pos="1588"/>
        </w:tabs>
        <w:rPr>
          <w:rFonts w:eastAsiaTheme="minorEastAsia"/>
          <w:lang w:eastAsia="en-AU"/>
        </w:rPr>
      </w:pPr>
      <w:r>
        <w:t>4.28</w:t>
      </w:r>
      <w:r>
        <w:rPr>
          <w:rFonts w:eastAsiaTheme="minorEastAsia"/>
          <w:lang w:eastAsia="en-AU"/>
        </w:rPr>
        <w:tab/>
      </w:r>
      <w:r>
        <w:t>Summary of assessment of quarantine pests of concern</w:t>
      </w:r>
      <w:r>
        <w:tab/>
      </w:r>
      <w:r>
        <w:fldChar w:fldCharType="begin" w:fldLock="1"/>
      </w:r>
      <w:r>
        <w:instrText xml:space="preserve"> PAGEREF _Toc112769028 \h </w:instrText>
      </w:r>
      <w:r>
        <w:fldChar w:fldCharType="separate"/>
      </w:r>
      <w:r>
        <w:t>196</w:t>
      </w:r>
      <w:r>
        <w:fldChar w:fldCharType="end"/>
      </w:r>
    </w:p>
    <w:p w14:paraId="3DDE58C5" w14:textId="77777777" w:rsidR="003438A2" w:rsidRDefault="003438A2">
      <w:pPr>
        <w:pStyle w:val="TOC1"/>
        <w:rPr>
          <w:rFonts w:eastAsiaTheme="minorEastAsia"/>
          <w:b w:val="0"/>
          <w:lang w:eastAsia="en-AU"/>
        </w:rPr>
      </w:pPr>
      <w:r>
        <w:t>5</w:t>
      </w:r>
      <w:r>
        <w:rPr>
          <w:rFonts w:eastAsiaTheme="minorEastAsia"/>
          <w:b w:val="0"/>
          <w:lang w:eastAsia="en-AU"/>
        </w:rPr>
        <w:tab/>
      </w:r>
      <w:r>
        <w:t>Pest risk management</w:t>
      </w:r>
      <w:r>
        <w:tab/>
      </w:r>
      <w:r>
        <w:fldChar w:fldCharType="begin" w:fldLock="1"/>
      </w:r>
      <w:r>
        <w:instrText xml:space="preserve"> PAGEREF _Toc112769029 \h </w:instrText>
      </w:r>
      <w:r>
        <w:fldChar w:fldCharType="separate"/>
      </w:r>
      <w:r>
        <w:t>199</w:t>
      </w:r>
      <w:r>
        <w:fldChar w:fldCharType="end"/>
      </w:r>
    </w:p>
    <w:p w14:paraId="16005649" w14:textId="77777777" w:rsidR="003438A2" w:rsidRDefault="003438A2">
      <w:pPr>
        <w:pStyle w:val="TOC2"/>
        <w:tabs>
          <w:tab w:val="left" w:pos="1588"/>
        </w:tabs>
        <w:rPr>
          <w:rFonts w:eastAsiaTheme="minorEastAsia"/>
          <w:lang w:eastAsia="en-AU"/>
        </w:rPr>
      </w:pPr>
      <w:r>
        <w:t>5.1</w:t>
      </w:r>
      <w:r>
        <w:rPr>
          <w:rFonts w:eastAsiaTheme="minorEastAsia"/>
          <w:lang w:eastAsia="en-AU"/>
        </w:rPr>
        <w:tab/>
      </w:r>
      <w:r>
        <w:t>Pest risk management measures and phytosanitary procedures</w:t>
      </w:r>
      <w:r>
        <w:tab/>
      </w:r>
      <w:r>
        <w:fldChar w:fldCharType="begin" w:fldLock="1"/>
      </w:r>
      <w:r>
        <w:instrText xml:space="preserve"> PAGEREF _Toc112769030 \h </w:instrText>
      </w:r>
      <w:r>
        <w:fldChar w:fldCharType="separate"/>
      </w:r>
      <w:r>
        <w:t>199</w:t>
      </w:r>
      <w:r>
        <w:fldChar w:fldCharType="end"/>
      </w:r>
    </w:p>
    <w:p w14:paraId="25FAE465" w14:textId="77777777" w:rsidR="003438A2" w:rsidRDefault="003438A2">
      <w:pPr>
        <w:pStyle w:val="TOC2"/>
        <w:tabs>
          <w:tab w:val="left" w:pos="1588"/>
        </w:tabs>
        <w:rPr>
          <w:rFonts w:eastAsiaTheme="minorEastAsia"/>
          <w:lang w:eastAsia="en-AU"/>
        </w:rPr>
      </w:pPr>
      <w:r>
        <w:t>5.2</w:t>
      </w:r>
      <w:r>
        <w:rPr>
          <w:rFonts w:eastAsiaTheme="minorEastAsia"/>
          <w:lang w:eastAsia="en-AU"/>
        </w:rPr>
        <w:tab/>
      </w:r>
      <w:r>
        <w:t>Operational system for the assurance, maintenance and verification of phytosanitary status</w:t>
      </w:r>
      <w:r>
        <w:tab/>
      </w:r>
      <w:r>
        <w:fldChar w:fldCharType="begin" w:fldLock="1"/>
      </w:r>
      <w:r>
        <w:instrText xml:space="preserve"> PAGEREF _Toc112769031 \h </w:instrText>
      </w:r>
      <w:r>
        <w:fldChar w:fldCharType="separate"/>
      </w:r>
      <w:r>
        <w:t>208</w:t>
      </w:r>
      <w:r>
        <w:fldChar w:fldCharType="end"/>
      </w:r>
    </w:p>
    <w:p w14:paraId="2518C12C" w14:textId="77777777" w:rsidR="003438A2" w:rsidRDefault="003438A2">
      <w:pPr>
        <w:pStyle w:val="TOC2"/>
        <w:tabs>
          <w:tab w:val="left" w:pos="1588"/>
        </w:tabs>
        <w:rPr>
          <w:rFonts w:eastAsiaTheme="minorEastAsia"/>
          <w:lang w:eastAsia="en-AU"/>
        </w:rPr>
      </w:pPr>
      <w:r>
        <w:t>5.3</w:t>
      </w:r>
      <w:r>
        <w:rPr>
          <w:rFonts w:eastAsiaTheme="minorEastAsia"/>
          <w:lang w:eastAsia="en-AU"/>
        </w:rPr>
        <w:tab/>
      </w:r>
      <w:r>
        <w:t>Uncategorised pests</w:t>
      </w:r>
      <w:r>
        <w:tab/>
      </w:r>
      <w:r>
        <w:fldChar w:fldCharType="begin" w:fldLock="1"/>
      </w:r>
      <w:r>
        <w:instrText xml:space="preserve"> PAGEREF _Toc112769032 \h </w:instrText>
      </w:r>
      <w:r>
        <w:fldChar w:fldCharType="separate"/>
      </w:r>
      <w:r>
        <w:t>213</w:t>
      </w:r>
      <w:r>
        <w:fldChar w:fldCharType="end"/>
      </w:r>
    </w:p>
    <w:p w14:paraId="41B77D97" w14:textId="77777777" w:rsidR="003438A2" w:rsidRDefault="003438A2">
      <w:pPr>
        <w:pStyle w:val="TOC2"/>
        <w:tabs>
          <w:tab w:val="left" w:pos="1588"/>
        </w:tabs>
        <w:rPr>
          <w:rFonts w:eastAsiaTheme="minorEastAsia"/>
          <w:lang w:eastAsia="en-AU"/>
        </w:rPr>
      </w:pPr>
      <w:r>
        <w:t>5.4</w:t>
      </w:r>
      <w:r>
        <w:rPr>
          <w:rFonts w:eastAsiaTheme="minorEastAsia"/>
          <w:lang w:eastAsia="en-AU"/>
        </w:rPr>
        <w:tab/>
      </w:r>
      <w:r>
        <w:t>Review of processes</w:t>
      </w:r>
      <w:r>
        <w:tab/>
      </w:r>
      <w:r>
        <w:fldChar w:fldCharType="begin" w:fldLock="1"/>
      </w:r>
      <w:r>
        <w:instrText xml:space="preserve"> PAGEREF _Toc112769033 \h </w:instrText>
      </w:r>
      <w:r>
        <w:fldChar w:fldCharType="separate"/>
      </w:r>
      <w:r>
        <w:t>213</w:t>
      </w:r>
      <w:r>
        <w:fldChar w:fldCharType="end"/>
      </w:r>
    </w:p>
    <w:p w14:paraId="3759E412" w14:textId="77777777" w:rsidR="003438A2" w:rsidRDefault="003438A2">
      <w:pPr>
        <w:pStyle w:val="TOC2"/>
        <w:tabs>
          <w:tab w:val="left" w:pos="1588"/>
        </w:tabs>
        <w:rPr>
          <w:rFonts w:eastAsiaTheme="minorEastAsia"/>
          <w:lang w:eastAsia="en-AU"/>
        </w:rPr>
      </w:pPr>
      <w:r>
        <w:t>5.5</w:t>
      </w:r>
      <w:r>
        <w:rPr>
          <w:rFonts w:eastAsiaTheme="minorEastAsia"/>
          <w:lang w:eastAsia="en-AU"/>
        </w:rPr>
        <w:tab/>
      </w:r>
      <w:r>
        <w:t>Meeting Australia’s food laws</w:t>
      </w:r>
      <w:r>
        <w:tab/>
      </w:r>
      <w:r>
        <w:fldChar w:fldCharType="begin" w:fldLock="1"/>
      </w:r>
      <w:r>
        <w:instrText xml:space="preserve"> PAGEREF _Toc112769034 \h </w:instrText>
      </w:r>
      <w:r>
        <w:fldChar w:fldCharType="separate"/>
      </w:r>
      <w:r>
        <w:t>213</w:t>
      </w:r>
      <w:r>
        <w:fldChar w:fldCharType="end"/>
      </w:r>
    </w:p>
    <w:p w14:paraId="0E8F54B1" w14:textId="77777777" w:rsidR="003438A2" w:rsidRDefault="003438A2">
      <w:pPr>
        <w:pStyle w:val="TOC1"/>
        <w:rPr>
          <w:rFonts w:eastAsiaTheme="minorEastAsia"/>
          <w:b w:val="0"/>
          <w:lang w:eastAsia="en-AU"/>
        </w:rPr>
      </w:pPr>
      <w:r>
        <w:t>6</w:t>
      </w:r>
      <w:r>
        <w:rPr>
          <w:rFonts w:eastAsiaTheme="minorEastAsia"/>
          <w:b w:val="0"/>
          <w:lang w:eastAsia="en-AU"/>
        </w:rPr>
        <w:tab/>
      </w:r>
      <w:r>
        <w:t>Conclusion</w:t>
      </w:r>
      <w:r>
        <w:tab/>
      </w:r>
      <w:r>
        <w:fldChar w:fldCharType="begin" w:fldLock="1"/>
      </w:r>
      <w:r>
        <w:instrText xml:space="preserve"> PAGEREF _Toc112769035 \h </w:instrText>
      </w:r>
      <w:r>
        <w:fldChar w:fldCharType="separate"/>
      </w:r>
      <w:r>
        <w:t>215</w:t>
      </w:r>
      <w:r>
        <w:fldChar w:fldCharType="end"/>
      </w:r>
    </w:p>
    <w:p w14:paraId="2BB0CF16" w14:textId="77777777" w:rsidR="003438A2" w:rsidRDefault="003438A2">
      <w:pPr>
        <w:pStyle w:val="TOC1"/>
        <w:rPr>
          <w:rFonts w:eastAsiaTheme="minorEastAsia"/>
          <w:b w:val="0"/>
          <w:lang w:eastAsia="en-AU"/>
        </w:rPr>
      </w:pPr>
      <w:r>
        <w:t>Appendix A: Initiation and categorisation for pests of fresh apple fruit from the Pacific Northwest states of the USA</w:t>
      </w:r>
      <w:r>
        <w:tab/>
      </w:r>
      <w:r>
        <w:fldChar w:fldCharType="begin" w:fldLock="1"/>
      </w:r>
      <w:r>
        <w:instrText xml:space="preserve"> PAGEREF _Toc112769036 \h </w:instrText>
      </w:r>
      <w:r>
        <w:fldChar w:fldCharType="separate"/>
      </w:r>
      <w:r>
        <w:t>216</w:t>
      </w:r>
      <w:r>
        <w:fldChar w:fldCharType="end"/>
      </w:r>
    </w:p>
    <w:p w14:paraId="39054F17" w14:textId="155C22B4" w:rsidR="003438A2" w:rsidRDefault="003438A2">
      <w:pPr>
        <w:pStyle w:val="TOC1"/>
        <w:rPr>
          <w:rFonts w:eastAsiaTheme="minorEastAsia"/>
          <w:b w:val="0"/>
          <w:lang w:eastAsia="en-AU"/>
        </w:rPr>
      </w:pPr>
      <w:r>
        <w:t>Appendix B: Issues raised in stakeholder comments</w:t>
      </w:r>
      <w:r>
        <w:tab/>
      </w:r>
      <w:r>
        <w:fldChar w:fldCharType="begin" w:fldLock="1"/>
      </w:r>
      <w:r>
        <w:instrText xml:space="preserve"> PAGEREF _Toc112769037 \h </w:instrText>
      </w:r>
      <w:r>
        <w:fldChar w:fldCharType="separate"/>
      </w:r>
      <w:r>
        <w:t>30</w:t>
      </w:r>
      <w:r w:rsidR="00756BF1">
        <w:t>8</w:t>
      </w:r>
      <w:r>
        <w:fldChar w:fldCharType="end"/>
      </w:r>
    </w:p>
    <w:p w14:paraId="1BB805DE" w14:textId="51101275" w:rsidR="003438A2" w:rsidRDefault="003438A2">
      <w:pPr>
        <w:pStyle w:val="TOC1"/>
        <w:rPr>
          <w:rFonts w:eastAsiaTheme="minorEastAsia"/>
          <w:b w:val="0"/>
          <w:lang w:eastAsia="en-AU"/>
        </w:rPr>
      </w:pPr>
      <w:r>
        <w:t>Glossary</w:t>
      </w:r>
      <w:r>
        <w:tab/>
      </w:r>
      <w:r>
        <w:fldChar w:fldCharType="begin" w:fldLock="1"/>
      </w:r>
      <w:r>
        <w:instrText xml:space="preserve"> PAGEREF _Toc112769038 \h </w:instrText>
      </w:r>
      <w:r>
        <w:fldChar w:fldCharType="separate"/>
      </w:r>
      <w:r>
        <w:t>31</w:t>
      </w:r>
      <w:r w:rsidR="008A71E9">
        <w:t>7</w:t>
      </w:r>
      <w:r>
        <w:fldChar w:fldCharType="end"/>
      </w:r>
    </w:p>
    <w:p w14:paraId="7DC5C753" w14:textId="1895D755" w:rsidR="003438A2" w:rsidRDefault="003438A2">
      <w:pPr>
        <w:pStyle w:val="TOC1"/>
        <w:rPr>
          <w:rFonts w:eastAsiaTheme="minorEastAsia"/>
          <w:b w:val="0"/>
          <w:lang w:eastAsia="en-AU"/>
        </w:rPr>
      </w:pPr>
      <w:r>
        <w:t>References</w:t>
      </w:r>
      <w:r>
        <w:tab/>
      </w:r>
      <w:r>
        <w:fldChar w:fldCharType="begin" w:fldLock="1"/>
      </w:r>
      <w:r>
        <w:instrText xml:space="preserve"> PAGEREF _Toc112769039 \h </w:instrText>
      </w:r>
      <w:r>
        <w:fldChar w:fldCharType="separate"/>
      </w:r>
      <w:r>
        <w:t>32</w:t>
      </w:r>
      <w:r w:rsidR="00245037">
        <w:t>2</w:t>
      </w:r>
      <w:r>
        <w:fldChar w:fldCharType="end"/>
      </w:r>
    </w:p>
    <w:p w14:paraId="277CA567" w14:textId="77777777" w:rsidR="003438A2" w:rsidRDefault="003438A2" w:rsidP="00FB30CE">
      <w:pPr>
        <w:pStyle w:val="TOCHeading"/>
        <w:keepNext/>
        <w:tabs>
          <w:tab w:val="left" w:pos="6186"/>
        </w:tabs>
      </w:pPr>
      <w:r>
        <w:rPr>
          <w:rFonts w:asciiTheme="minorHAnsi" w:eastAsiaTheme="minorHAnsi" w:hAnsiTheme="minorHAnsi" w:cstheme="minorBidi"/>
          <w:bCs w:val="0"/>
          <w:noProof/>
          <w:color w:val="auto"/>
          <w:sz w:val="22"/>
          <w:szCs w:val="24"/>
          <w:lang w:val="en-AU"/>
        </w:rPr>
        <w:fldChar w:fldCharType="end"/>
      </w:r>
      <w:r>
        <w:t>Figures</w:t>
      </w:r>
    </w:p>
    <w:p w14:paraId="73E229C5" w14:textId="77777777" w:rsidR="003438A2" w:rsidRDefault="003438A2">
      <w:pPr>
        <w:pStyle w:val="TableofFigures"/>
        <w:tabs>
          <w:tab w:val="right" w:leader="dot" w:pos="9060"/>
        </w:tabs>
        <w:rPr>
          <w:rFonts w:eastAsiaTheme="minorEastAsia"/>
          <w:noProof/>
          <w:lang w:eastAsia="en-AU"/>
        </w:rPr>
      </w:pPr>
      <w:r>
        <w:fldChar w:fldCharType="begin" w:fldLock="1"/>
      </w:r>
      <w:r>
        <w:instrText xml:space="preserve"> TOC \c "Figure" </w:instrText>
      </w:r>
      <w:r>
        <w:fldChar w:fldCharType="separate"/>
      </w:r>
      <w:r>
        <w:rPr>
          <w:noProof/>
        </w:rPr>
        <w:t>Figure 1 Diagram of apple fruit</w:t>
      </w:r>
      <w:r>
        <w:rPr>
          <w:noProof/>
        </w:rPr>
        <w:tab/>
      </w:r>
      <w:r>
        <w:rPr>
          <w:noProof/>
        </w:rPr>
        <w:fldChar w:fldCharType="begin" w:fldLock="1"/>
      </w:r>
      <w:r>
        <w:rPr>
          <w:noProof/>
        </w:rPr>
        <w:instrText xml:space="preserve"> PAGEREF _Toc112770151 \h </w:instrText>
      </w:r>
      <w:r>
        <w:rPr>
          <w:noProof/>
        </w:rPr>
      </w:r>
      <w:r>
        <w:rPr>
          <w:noProof/>
        </w:rPr>
        <w:fldChar w:fldCharType="separate"/>
      </w:r>
      <w:r>
        <w:rPr>
          <w:noProof/>
        </w:rPr>
        <w:t>viii</w:t>
      </w:r>
      <w:r>
        <w:rPr>
          <w:noProof/>
        </w:rPr>
        <w:fldChar w:fldCharType="end"/>
      </w:r>
    </w:p>
    <w:p w14:paraId="4669641A" w14:textId="77777777" w:rsidR="003438A2" w:rsidRDefault="003438A2">
      <w:pPr>
        <w:pStyle w:val="TableofFigures"/>
        <w:tabs>
          <w:tab w:val="right" w:leader="dot" w:pos="9060"/>
        </w:tabs>
        <w:rPr>
          <w:rFonts w:eastAsiaTheme="minorEastAsia"/>
          <w:noProof/>
          <w:lang w:eastAsia="en-AU"/>
        </w:rPr>
      </w:pPr>
      <w:r>
        <w:rPr>
          <w:noProof/>
        </w:rPr>
        <w:t>Figure 2 Mean monthly maximum and minimum temperatures and mean monthly rainfall in main apple production areas of the PNW-USA</w:t>
      </w:r>
      <w:r>
        <w:rPr>
          <w:noProof/>
        </w:rPr>
        <w:tab/>
      </w:r>
      <w:r>
        <w:rPr>
          <w:noProof/>
        </w:rPr>
        <w:fldChar w:fldCharType="begin" w:fldLock="1"/>
      </w:r>
      <w:r>
        <w:rPr>
          <w:noProof/>
        </w:rPr>
        <w:instrText xml:space="preserve"> PAGEREF _Toc112770152 \h </w:instrText>
      </w:r>
      <w:r>
        <w:rPr>
          <w:noProof/>
        </w:rPr>
      </w:r>
      <w:r>
        <w:rPr>
          <w:noProof/>
        </w:rPr>
        <w:fldChar w:fldCharType="separate"/>
      </w:r>
      <w:r>
        <w:rPr>
          <w:noProof/>
        </w:rPr>
        <w:t>25</w:t>
      </w:r>
      <w:r>
        <w:rPr>
          <w:noProof/>
        </w:rPr>
        <w:fldChar w:fldCharType="end"/>
      </w:r>
    </w:p>
    <w:p w14:paraId="543204E6" w14:textId="77777777" w:rsidR="003438A2" w:rsidRDefault="003438A2">
      <w:pPr>
        <w:pStyle w:val="TableofFigures"/>
        <w:tabs>
          <w:tab w:val="right" w:leader="dot" w:pos="9060"/>
        </w:tabs>
        <w:rPr>
          <w:rFonts w:eastAsiaTheme="minorEastAsia"/>
          <w:noProof/>
          <w:lang w:eastAsia="en-AU"/>
        </w:rPr>
      </w:pPr>
      <w:r>
        <w:rPr>
          <w:noProof/>
        </w:rPr>
        <w:t>Figure 3 Summary of operational steps for apple fruit grown in the PNW-USA for export</w:t>
      </w:r>
      <w:r>
        <w:rPr>
          <w:noProof/>
        </w:rPr>
        <w:tab/>
      </w:r>
      <w:r>
        <w:rPr>
          <w:noProof/>
        </w:rPr>
        <w:fldChar w:fldCharType="begin" w:fldLock="1"/>
      </w:r>
      <w:r>
        <w:rPr>
          <w:noProof/>
        </w:rPr>
        <w:instrText xml:space="preserve"> PAGEREF _Toc112770153 \h </w:instrText>
      </w:r>
      <w:r>
        <w:rPr>
          <w:noProof/>
        </w:rPr>
      </w:r>
      <w:r>
        <w:rPr>
          <w:noProof/>
        </w:rPr>
        <w:fldChar w:fldCharType="separate"/>
      </w:r>
      <w:r>
        <w:rPr>
          <w:noProof/>
        </w:rPr>
        <w:t>41</w:t>
      </w:r>
      <w:r>
        <w:rPr>
          <w:noProof/>
        </w:rPr>
        <w:fldChar w:fldCharType="end"/>
      </w:r>
    </w:p>
    <w:p w14:paraId="1DF2C206" w14:textId="77777777" w:rsidR="003438A2" w:rsidRDefault="003438A2">
      <w:pPr>
        <w:pStyle w:val="TableofFigures"/>
        <w:tabs>
          <w:tab w:val="right" w:leader="dot" w:pos="9060"/>
        </w:tabs>
        <w:rPr>
          <w:rFonts w:eastAsiaTheme="minorEastAsia"/>
          <w:noProof/>
          <w:lang w:eastAsia="en-AU"/>
        </w:rPr>
      </w:pPr>
      <w:r>
        <w:rPr>
          <w:noProof/>
        </w:rPr>
        <w:t>Figure 4 Summary of assessment of quarantine pests of concern</w:t>
      </w:r>
      <w:r>
        <w:rPr>
          <w:noProof/>
        </w:rPr>
        <w:tab/>
      </w:r>
      <w:r>
        <w:rPr>
          <w:noProof/>
        </w:rPr>
        <w:fldChar w:fldCharType="begin" w:fldLock="1"/>
      </w:r>
      <w:r>
        <w:rPr>
          <w:noProof/>
        </w:rPr>
        <w:instrText xml:space="preserve"> PAGEREF _Toc112770154 \h </w:instrText>
      </w:r>
      <w:r>
        <w:rPr>
          <w:noProof/>
        </w:rPr>
      </w:r>
      <w:r>
        <w:rPr>
          <w:noProof/>
        </w:rPr>
        <w:fldChar w:fldCharType="separate"/>
      </w:r>
      <w:r>
        <w:rPr>
          <w:noProof/>
        </w:rPr>
        <w:t>198</w:t>
      </w:r>
      <w:r>
        <w:rPr>
          <w:noProof/>
        </w:rPr>
        <w:fldChar w:fldCharType="end"/>
      </w:r>
    </w:p>
    <w:p w14:paraId="050A2B30" w14:textId="77777777" w:rsidR="003438A2" w:rsidRDefault="003438A2">
      <w:pPr>
        <w:pStyle w:val="TOCHeading"/>
      </w:pPr>
      <w:r>
        <w:rPr>
          <w:rFonts w:ascii="Cambria" w:hAnsi="Cambria"/>
          <w:color w:val="auto"/>
          <w:sz w:val="22"/>
          <w:szCs w:val="24"/>
        </w:rPr>
        <w:fldChar w:fldCharType="end"/>
      </w:r>
      <w:r>
        <w:t>Tables</w:t>
      </w:r>
    </w:p>
    <w:p w14:paraId="72277D18" w14:textId="77777777" w:rsidR="003438A2" w:rsidRDefault="003438A2">
      <w:pPr>
        <w:pStyle w:val="TableofFigures"/>
        <w:tabs>
          <w:tab w:val="right" w:leader="dot" w:pos="9060"/>
        </w:tabs>
        <w:rPr>
          <w:rFonts w:eastAsiaTheme="minorEastAsia"/>
          <w:noProof/>
          <w:lang w:eastAsia="en-AU"/>
        </w:rPr>
      </w:pPr>
      <w:r>
        <w:fldChar w:fldCharType="begin" w:fldLock="1"/>
      </w:r>
      <w:r>
        <w:instrText xml:space="preserve"> TOC \c "Table" </w:instrText>
      </w:r>
      <w:r>
        <w:fldChar w:fldCharType="separate"/>
      </w:r>
      <w:r>
        <w:rPr>
          <w:noProof/>
        </w:rPr>
        <w:t>Table 2.1 Nomenclature of likelihoods</w:t>
      </w:r>
      <w:r>
        <w:rPr>
          <w:noProof/>
        </w:rPr>
        <w:tab/>
      </w:r>
      <w:r>
        <w:rPr>
          <w:noProof/>
        </w:rPr>
        <w:fldChar w:fldCharType="begin" w:fldLock="1"/>
      </w:r>
      <w:r>
        <w:rPr>
          <w:noProof/>
        </w:rPr>
        <w:instrText xml:space="preserve"> PAGEREF _Toc112770155 \h </w:instrText>
      </w:r>
      <w:r>
        <w:rPr>
          <w:noProof/>
        </w:rPr>
      </w:r>
      <w:r>
        <w:rPr>
          <w:noProof/>
        </w:rPr>
        <w:fldChar w:fldCharType="separate"/>
      </w:r>
      <w:r>
        <w:rPr>
          <w:noProof/>
        </w:rPr>
        <w:t>13</w:t>
      </w:r>
      <w:r>
        <w:rPr>
          <w:noProof/>
        </w:rPr>
        <w:fldChar w:fldCharType="end"/>
      </w:r>
    </w:p>
    <w:p w14:paraId="6FF6E572" w14:textId="77777777" w:rsidR="003438A2" w:rsidRDefault="003438A2">
      <w:pPr>
        <w:pStyle w:val="TableofFigures"/>
        <w:tabs>
          <w:tab w:val="right" w:leader="dot" w:pos="9060"/>
        </w:tabs>
        <w:rPr>
          <w:rFonts w:eastAsiaTheme="minorEastAsia"/>
          <w:noProof/>
          <w:lang w:eastAsia="en-AU"/>
        </w:rPr>
      </w:pPr>
      <w:r>
        <w:rPr>
          <w:noProof/>
        </w:rPr>
        <w:t>Table 2.2 Matrix of rules for combining likelihoods</w:t>
      </w:r>
      <w:r>
        <w:rPr>
          <w:noProof/>
        </w:rPr>
        <w:tab/>
      </w:r>
      <w:r>
        <w:rPr>
          <w:noProof/>
        </w:rPr>
        <w:fldChar w:fldCharType="begin" w:fldLock="1"/>
      </w:r>
      <w:r>
        <w:rPr>
          <w:noProof/>
        </w:rPr>
        <w:instrText xml:space="preserve"> PAGEREF _Toc112770156 \h </w:instrText>
      </w:r>
      <w:r>
        <w:rPr>
          <w:noProof/>
        </w:rPr>
      </w:r>
      <w:r>
        <w:rPr>
          <w:noProof/>
        </w:rPr>
        <w:fldChar w:fldCharType="separate"/>
      </w:r>
      <w:r>
        <w:rPr>
          <w:noProof/>
        </w:rPr>
        <w:t>14</w:t>
      </w:r>
      <w:r>
        <w:rPr>
          <w:noProof/>
        </w:rPr>
        <w:fldChar w:fldCharType="end"/>
      </w:r>
    </w:p>
    <w:p w14:paraId="6DCD3D9F" w14:textId="77777777" w:rsidR="003438A2" w:rsidRDefault="003438A2">
      <w:pPr>
        <w:pStyle w:val="TableofFigures"/>
        <w:tabs>
          <w:tab w:val="right" w:leader="dot" w:pos="9060"/>
        </w:tabs>
        <w:rPr>
          <w:rFonts w:eastAsiaTheme="minorEastAsia"/>
          <w:noProof/>
          <w:lang w:eastAsia="en-AU"/>
        </w:rPr>
      </w:pPr>
      <w:r>
        <w:rPr>
          <w:noProof/>
        </w:rPr>
        <w:t>Table 2.3 Decision rules for determining the consequence impact score based on the magnitude of consequences at four geographic scales</w:t>
      </w:r>
      <w:r>
        <w:rPr>
          <w:noProof/>
        </w:rPr>
        <w:tab/>
      </w:r>
      <w:r>
        <w:rPr>
          <w:noProof/>
        </w:rPr>
        <w:fldChar w:fldCharType="begin" w:fldLock="1"/>
      </w:r>
      <w:r>
        <w:rPr>
          <w:noProof/>
        </w:rPr>
        <w:instrText xml:space="preserve"> PAGEREF _Toc112770157 \h </w:instrText>
      </w:r>
      <w:r>
        <w:rPr>
          <w:noProof/>
        </w:rPr>
      </w:r>
      <w:r>
        <w:rPr>
          <w:noProof/>
        </w:rPr>
        <w:fldChar w:fldCharType="separate"/>
      </w:r>
      <w:r>
        <w:rPr>
          <w:noProof/>
        </w:rPr>
        <w:t>16</w:t>
      </w:r>
      <w:r>
        <w:rPr>
          <w:noProof/>
        </w:rPr>
        <w:fldChar w:fldCharType="end"/>
      </w:r>
    </w:p>
    <w:p w14:paraId="75C1FCA9" w14:textId="77777777" w:rsidR="003438A2" w:rsidRDefault="003438A2">
      <w:pPr>
        <w:pStyle w:val="TableofFigures"/>
        <w:tabs>
          <w:tab w:val="right" w:leader="dot" w:pos="9060"/>
        </w:tabs>
        <w:rPr>
          <w:rFonts w:eastAsiaTheme="minorEastAsia"/>
          <w:noProof/>
          <w:lang w:eastAsia="en-AU"/>
        </w:rPr>
      </w:pPr>
      <w:r>
        <w:rPr>
          <w:noProof/>
        </w:rPr>
        <w:lastRenderedPageBreak/>
        <w:t>Table 2.4 Decision rules for determining the overall consequence rating for each pest</w:t>
      </w:r>
      <w:r>
        <w:rPr>
          <w:noProof/>
        </w:rPr>
        <w:tab/>
      </w:r>
      <w:r>
        <w:rPr>
          <w:noProof/>
        </w:rPr>
        <w:fldChar w:fldCharType="begin" w:fldLock="1"/>
      </w:r>
      <w:r>
        <w:rPr>
          <w:noProof/>
        </w:rPr>
        <w:instrText xml:space="preserve"> PAGEREF _Toc112770158 \h </w:instrText>
      </w:r>
      <w:r>
        <w:rPr>
          <w:noProof/>
        </w:rPr>
      </w:r>
      <w:r>
        <w:rPr>
          <w:noProof/>
        </w:rPr>
        <w:fldChar w:fldCharType="separate"/>
      </w:r>
      <w:r>
        <w:rPr>
          <w:noProof/>
        </w:rPr>
        <w:t>16</w:t>
      </w:r>
      <w:r>
        <w:rPr>
          <w:noProof/>
        </w:rPr>
        <w:fldChar w:fldCharType="end"/>
      </w:r>
    </w:p>
    <w:p w14:paraId="2E06E1FF" w14:textId="77777777" w:rsidR="003438A2" w:rsidRDefault="003438A2">
      <w:pPr>
        <w:pStyle w:val="TableofFigures"/>
        <w:tabs>
          <w:tab w:val="right" w:leader="dot" w:pos="9060"/>
        </w:tabs>
        <w:rPr>
          <w:rFonts w:eastAsiaTheme="minorEastAsia"/>
          <w:noProof/>
          <w:lang w:eastAsia="en-AU"/>
        </w:rPr>
      </w:pPr>
      <w:r>
        <w:rPr>
          <w:noProof/>
        </w:rPr>
        <w:t>Table 2.5 Risk estimation matrix</w:t>
      </w:r>
      <w:r>
        <w:rPr>
          <w:noProof/>
        </w:rPr>
        <w:tab/>
      </w:r>
      <w:r>
        <w:rPr>
          <w:noProof/>
        </w:rPr>
        <w:fldChar w:fldCharType="begin" w:fldLock="1"/>
      </w:r>
      <w:r>
        <w:rPr>
          <w:noProof/>
        </w:rPr>
        <w:instrText xml:space="preserve"> PAGEREF _Toc112770159 \h </w:instrText>
      </w:r>
      <w:r>
        <w:rPr>
          <w:noProof/>
        </w:rPr>
      </w:r>
      <w:r>
        <w:rPr>
          <w:noProof/>
        </w:rPr>
        <w:fldChar w:fldCharType="separate"/>
      </w:r>
      <w:r>
        <w:rPr>
          <w:noProof/>
        </w:rPr>
        <w:t>17</w:t>
      </w:r>
      <w:r>
        <w:rPr>
          <w:noProof/>
        </w:rPr>
        <w:fldChar w:fldCharType="end"/>
      </w:r>
    </w:p>
    <w:p w14:paraId="5918BE30" w14:textId="77777777" w:rsidR="003438A2" w:rsidRDefault="003438A2">
      <w:pPr>
        <w:pStyle w:val="TableofFigures"/>
        <w:tabs>
          <w:tab w:val="right" w:leader="dot" w:pos="9060"/>
        </w:tabs>
        <w:rPr>
          <w:rFonts w:eastAsiaTheme="minorEastAsia"/>
          <w:noProof/>
          <w:lang w:eastAsia="en-AU"/>
        </w:rPr>
      </w:pPr>
      <w:r>
        <w:rPr>
          <w:noProof/>
        </w:rPr>
        <w:t xml:space="preserve">Table 3.1 Pest control program for commercially produced apples in the PNW-USA as recommended by </w:t>
      </w:r>
      <w:r w:rsidRPr="00BE0D4B">
        <w:rPr>
          <w:rFonts w:cstheme="minorHAnsi"/>
          <w:noProof/>
        </w:rPr>
        <w:t>APHIS (2014);</w:t>
      </w:r>
      <w:r>
        <w:rPr>
          <w:noProof/>
        </w:rPr>
        <w:t xml:space="preserve"> </w:t>
      </w:r>
      <w:r w:rsidRPr="00BE0D4B">
        <w:rPr>
          <w:rFonts w:cstheme="minorHAnsi"/>
          <w:noProof/>
        </w:rPr>
        <w:t xml:space="preserve">Washington State Department of Agriculture (2019); </w:t>
      </w:r>
      <w:r>
        <w:rPr>
          <w:noProof/>
        </w:rPr>
        <w:t>Washington State Legislature (2019); Beers (2017); Wiman and Stoven (2022); Yee et al. (2012); Wiman and Stoven (2021a); PNW Pest Management Handbooks (2021); WSU Tree Fruit (2021b); WSU (2021) and Kaur (2022)</w:t>
      </w:r>
      <w:r>
        <w:rPr>
          <w:noProof/>
        </w:rPr>
        <w:tab/>
      </w:r>
      <w:r>
        <w:rPr>
          <w:noProof/>
        </w:rPr>
        <w:fldChar w:fldCharType="begin" w:fldLock="1"/>
      </w:r>
      <w:r>
        <w:rPr>
          <w:noProof/>
        </w:rPr>
        <w:instrText xml:space="preserve"> PAGEREF _Toc112770160 \h </w:instrText>
      </w:r>
      <w:r>
        <w:rPr>
          <w:noProof/>
        </w:rPr>
      </w:r>
      <w:r>
        <w:rPr>
          <w:noProof/>
        </w:rPr>
        <w:fldChar w:fldCharType="separate"/>
      </w:r>
      <w:r>
        <w:rPr>
          <w:noProof/>
        </w:rPr>
        <w:t>36</w:t>
      </w:r>
      <w:r>
        <w:rPr>
          <w:noProof/>
        </w:rPr>
        <w:fldChar w:fldCharType="end"/>
      </w:r>
    </w:p>
    <w:p w14:paraId="25452D60" w14:textId="77777777" w:rsidR="003438A2" w:rsidRDefault="003438A2">
      <w:pPr>
        <w:pStyle w:val="TableofFigures"/>
        <w:tabs>
          <w:tab w:val="right" w:leader="dot" w:pos="9060"/>
        </w:tabs>
        <w:rPr>
          <w:rFonts w:eastAsiaTheme="minorEastAsia"/>
          <w:noProof/>
          <w:lang w:eastAsia="en-AU"/>
        </w:rPr>
      </w:pPr>
      <w:r>
        <w:rPr>
          <w:noProof/>
        </w:rPr>
        <w:t>Table 3.2 PNW Apple production from 2017–2019</w:t>
      </w:r>
      <w:r>
        <w:rPr>
          <w:noProof/>
        </w:rPr>
        <w:tab/>
      </w:r>
      <w:r>
        <w:rPr>
          <w:noProof/>
        </w:rPr>
        <w:fldChar w:fldCharType="begin" w:fldLock="1"/>
      </w:r>
      <w:r>
        <w:rPr>
          <w:noProof/>
        </w:rPr>
        <w:instrText xml:space="preserve"> PAGEREF _Toc112770161 \h </w:instrText>
      </w:r>
      <w:r>
        <w:rPr>
          <w:noProof/>
        </w:rPr>
      </w:r>
      <w:r>
        <w:rPr>
          <w:noProof/>
        </w:rPr>
        <w:fldChar w:fldCharType="separate"/>
      </w:r>
      <w:r>
        <w:rPr>
          <w:noProof/>
        </w:rPr>
        <w:t>42</w:t>
      </w:r>
      <w:r>
        <w:rPr>
          <w:noProof/>
        </w:rPr>
        <w:fldChar w:fldCharType="end"/>
      </w:r>
    </w:p>
    <w:p w14:paraId="69EA91F7" w14:textId="77777777" w:rsidR="003438A2" w:rsidRDefault="003438A2">
      <w:pPr>
        <w:pStyle w:val="TableofFigures"/>
        <w:tabs>
          <w:tab w:val="right" w:leader="dot" w:pos="9060"/>
        </w:tabs>
        <w:rPr>
          <w:rFonts w:eastAsiaTheme="minorEastAsia"/>
          <w:noProof/>
          <w:lang w:eastAsia="en-AU"/>
        </w:rPr>
      </w:pPr>
      <w:r w:rsidRPr="00BE0D4B">
        <w:rPr>
          <w:noProof/>
        </w:rPr>
        <w:t>Table 4.1 Quarantine pests and a regulated article potentially associated with fresh apple fruit from the Pacific Northwest states, USA, and requiring further pest risk assessment</w:t>
      </w:r>
      <w:r>
        <w:rPr>
          <w:noProof/>
        </w:rPr>
        <w:tab/>
      </w:r>
      <w:r>
        <w:rPr>
          <w:noProof/>
        </w:rPr>
        <w:fldChar w:fldCharType="begin" w:fldLock="1"/>
      </w:r>
      <w:r>
        <w:rPr>
          <w:noProof/>
        </w:rPr>
        <w:instrText xml:space="preserve"> PAGEREF _Toc112770162 \h </w:instrText>
      </w:r>
      <w:r>
        <w:rPr>
          <w:noProof/>
        </w:rPr>
      </w:r>
      <w:r>
        <w:rPr>
          <w:noProof/>
        </w:rPr>
        <w:fldChar w:fldCharType="separate"/>
      </w:r>
      <w:r>
        <w:rPr>
          <w:noProof/>
        </w:rPr>
        <w:t>45</w:t>
      </w:r>
      <w:r>
        <w:rPr>
          <w:noProof/>
        </w:rPr>
        <w:fldChar w:fldCharType="end"/>
      </w:r>
    </w:p>
    <w:p w14:paraId="66EEA59E" w14:textId="77777777" w:rsidR="003438A2" w:rsidRDefault="003438A2">
      <w:pPr>
        <w:pStyle w:val="TableofFigures"/>
        <w:tabs>
          <w:tab w:val="right" w:leader="dot" w:pos="9060"/>
        </w:tabs>
        <w:rPr>
          <w:rFonts w:eastAsiaTheme="minorEastAsia"/>
          <w:noProof/>
          <w:lang w:eastAsia="en-AU"/>
        </w:rPr>
      </w:pPr>
      <w:r>
        <w:rPr>
          <w:noProof/>
        </w:rPr>
        <w:t xml:space="preserve">Table 4.2 Risk estimates for chaff scale, </w:t>
      </w:r>
      <w:r w:rsidRPr="00BE0D4B">
        <w:rPr>
          <w:i/>
          <w:iCs/>
          <w:noProof/>
        </w:rPr>
        <w:t>Parlatoria pergandii</w:t>
      </w:r>
      <w:r>
        <w:rPr>
          <w:noProof/>
        </w:rPr>
        <w:tab/>
      </w:r>
      <w:r>
        <w:rPr>
          <w:noProof/>
        </w:rPr>
        <w:fldChar w:fldCharType="begin" w:fldLock="1"/>
      </w:r>
      <w:r>
        <w:rPr>
          <w:noProof/>
        </w:rPr>
        <w:instrText xml:space="preserve"> PAGEREF _Toc112770163 \h </w:instrText>
      </w:r>
      <w:r>
        <w:rPr>
          <w:noProof/>
        </w:rPr>
      </w:r>
      <w:r>
        <w:rPr>
          <w:noProof/>
        </w:rPr>
        <w:fldChar w:fldCharType="separate"/>
      </w:r>
      <w:r>
        <w:rPr>
          <w:noProof/>
        </w:rPr>
        <w:t>78</w:t>
      </w:r>
      <w:r>
        <w:rPr>
          <w:noProof/>
        </w:rPr>
        <w:fldChar w:fldCharType="end"/>
      </w:r>
    </w:p>
    <w:p w14:paraId="6C548606" w14:textId="77777777" w:rsidR="003438A2" w:rsidRDefault="003438A2">
      <w:pPr>
        <w:pStyle w:val="TableofFigures"/>
        <w:tabs>
          <w:tab w:val="right" w:leader="dot" w:pos="9060"/>
        </w:tabs>
        <w:rPr>
          <w:rFonts w:eastAsiaTheme="minorEastAsia"/>
          <w:noProof/>
          <w:lang w:eastAsia="en-AU"/>
        </w:rPr>
      </w:pPr>
      <w:r w:rsidRPr="00BE0D4B">
        <w:rPr>
          <w:noProof/>
        </w:rPr>
        <w:t>Table 4.3 Quarantine mealybug species for fresh apple fruit from the PNW-USA</w:t>
      </w:r>
      <w:r>
        <w:rPr>
          <w:noProof/>
        </w:rPr>
        <w:tab/>
      </w:r>
      <w:r>
        <w:rPr>
          <w:noProof/>
        </w:rPr>
        <w:fldChar w:fldCharType="begin" w:fldLock="1"/>
      </w:r>
      <w:r>
        <w:rPr>
          <w:noProof/>
        </w:rPr>
        <w:instrText xml:space="preserve"> PAGEREF _Toc112770164 \h </w:instrText>
      </w:r>
      <w:r>
        <w:rPr>
          <w:noProof/>
        </w:rPr>
      </w:r>
      <w:r>
        <w:rPr>
          <w:noProof/>
        </w:rPr>
        <w:fldChar w:fldCharType="separate"/>
      </w:r>
      <w:r>
        <w:rPr>
          <w:noProof/>
        </w:rPr>
        <w:t>83</w:t>
      </w:r>
      <w:r>
        <w:rPr>
          <w:noProof/>
        </w:rPr>
        <w:fldChar w:fldCharType="end"/>
      </w:r>
    </w:p>
    <w:p w14:paraId="01A6760A" w14:textId="77777777" w:rsidR="003438A2" w:rsidRDefault="003438A2">
      <w:pPr>
        <w:pStyle w:val="TableofFigures"/>
        <w:tabs>
          <w:tab w:val="right" w:leader="dot" w:pos="9060"/>
        </w:tabs>
        <w:rPr>
          <w:rFonts w:eastAsiaTheme="minorEastAsia"/>
          <w:noProof/>
          <w:lang w:eastAsia="en-AU"/>
        </w:rPr>
      </w:pPr>
      <w:r>
        <w:rPr>
          <w:noProof/>
        </w:rPr>
        <w:t>Table 4.4 Risk estimates for quarantine mealybugs</w:t>
      </w:r>
      <w:r>
        <w:rPr>
          <w:noProof/>
        </w:rPr>
        <w:tab/>
      </w:r>
      <w:r>
        <w:rPr>
          <w:noProof/>
        </w:rPr>
        <w:fldChar w:fldCharType="begin" w:fldLock="1"/>
      </w:r>
      <w:r>
        <w:rPr>
          <w:noProof/>
        </w:rPr>
        <w:instrText xml:space="preserve"> PAGEREF _Toc112770165 \h </w:instrText>
      </w:r>
      <w:r>
        <w:rPr>
          <w:noProof/>
        </w:rPr>
      </w:r>
      <w:r>
        <w:rPr>
          <w:noProof/>
        </w:rPr>
        <w:fldChar w:fldCharType="separate"/>
      </w:r>
      <w:r>
        <w:rPr>
          <w:noProof/>
        </w:rPr>
        <w:t>83</w:t>
      </w:r>
      <w:r>
        <w:rPr>
          <w:noProof/>
        </w:rPr>
        <w:fldChar w:fldCharType="end"/>
      </w:r>
    </w:p>
    <w:p w14:paraId="6A0B19CC" w14:textId="77777777" w:rsidR="003438A2" w:rsidRDefault="003438A2">
      <w:pPr>
        <w:pStyle w:val="TableofFigures"/>
        <w:tabs>
          <w:tab w:val="right" w:leader="dot" w:pos="9060"/>
        </w:tabs>
        <w:rPr>
          <w:rFonts w:eastAsiaTheme="minorEastAsia"/>
          <w:noProof/>
          <w:lang w:eastAsia="en-AU"/>
        </w:rPr>
      </w:pPr>
      <w:r>
        <w:rPr>
          <w:noProof/>
        </w:rPr>
        <w:t>Table 4.5 Quarantine thrips species for fresh apple fruit from the PNW-USA</w:t>
      </w:r>
      <w:r>
        <w:rPr>
          <w:noProof/>
        </w:rPr>
        <w:tab/>
      </w:r>
      <w:r>
        <w:rPr>
          <w:noProof/>
        </w:rPr>
        <w:fldChar w:fldCharType="begin" w:fldLock="1"/>
      </w:r>
      <w:r>
        <w:rPr>
          <w:noProof/>
        </w:rPr>
        <w:instrText xml:space="preserve"> PAGEREF _Toc112770166 \h </w:instrText>
      </w:r>
      <w:r>
        <w:rPr>
          <w:noProof/>
        </w:rPr>
      </w:r>
      <w:r>
        <w:rPr>
          <w:noProof/>
        </w:rPr>
        <w:fldChar w:fldCharType="separate"/>
      </w:r>
      <w:r>
        <w:rPr>
          <w:noProof/>
        </w:rPr>
        <w:t>114</w:t>
      </w:r>
      <w:r>
        <w:rPr>
          <w:noProof/>
        </w:rPr>
        <w:fldChar w:fldCharType="end"/>
      </w:r>
    </w:p>
    <w:p w14:paraId="46E9A1D8" w14:textId="77777777" w:rsidR="003438A2" w:rsidRDefault="003438A2">
      <w:pPr>
        <w:pStyle w:val="TableofFigures"/>
        <w:tabs>
          <w:tab w:val="right" w:leader="dot" w:pos="9060"/>
        </w:tabs>
        <w:rPr>
          <w:rFonts w:eastAsiaTheme="minorEastAsia"/>
          <w:noProof/>
          <w:lang w:eastAsia="en-AU"/>
        </w:rPr>
      </w:pPr>
      <w:r>
        <w:rPr>
          <w:noProof/>
        </w:rPr>
        <w:t>Table 4.6 Risk estimates for quarantine thrips</w:t>
      </w:r>
      <w:r>
        <w:rPr>
          <w:noProof/>
        </w:rPr>
        <w:tab/>
      </w:r>
      <w:r>
        <w:rPr>
          <w:noProof/>
        </w:rPr>
        <w:fldChar w:fldCharType="begin" w:fldLock="1"/>
      </w:r>
      <w:r>
        <w:rPr>
          <w:noProof/>
        </w:rPr>
        <w:instrText xml:space="preserve"> PAGEREF _Toc112770167 \h </w:instrText>
      </w:r>
      <w:r>
        <w:rPr>
          <w:noProof/>
        </w:rPr>
      </w:r>
      <w:r>
        <w:rPr>
          <w:noProof/>
        </w:rPr>
        <w:fldChar w:fldCharType="separate"/>
      </w:r>
      <w:r>
        <w:rPr>
          <w:noProof/>
        </w:rPr>
        <w:t>114</w:t>
      </w:r>
      <w:r>
        <w:rPr>
          <w:noProof/>
        </w:rPr>
        <w:fldChar w:fldCharType="end"/>
      </w:r>
    </w:p>
    <w:p w14:paraId="0BF2AEA5" w14:textId="77777777" w:rsidR="003438A2" w:rsidRDefault="003438A2">
      <w:pPr>
        <w:pStyle w:val="TableofFigures"/>
        <w:tabs>
          <w:tab w:val="right" w:leader="dot" w:pos="9060"/>
        </w:tabs>
        <w:rPr>
          <w:rFonts w:eastAsiaTheme="minorEastAsia"/>
          <w:noProof/>
          <w:lang w:eastAsia="en-AU"/>
        </w:rPr>
      </w:pPr>
      <w:r>
        <w:rPr>
          <w:noProof/>
        </w:rPr>
        <w:t>Table 4.7 Risk estimates for emerging quarantine orthotospoviruses vectored by regulated thrips</w:t>
      </w:r>
      <w:r>
        <w:rPr>
          <w:noProof/>
        </w:rPr>
        <w:tab/>
      </w:r>
      <w:r>
        <w:rPr>
          <w:noProof/>
        </w:rPr>
        <w:fldChar w:fldCharType="begin" w:fldLock="1"/>
      </w:r>
      <w:r>
        <w:rPr>
          <w:noProof/>
        </w:rPr>
        <w:instrText xml:space="preserve"> PAGEREF _Toc112770168 \h </w:instrText>
      </w:r>
      <w:r>
        <w:rPr>
          <w:noProof/>
        </w:rPr>
      </w:r>
      <w:r>
        <w:rPr>
          <w:noProof/>
        </w:rPr>
        <w:fldChar w:fldCharType="separate"/>
      </w:r>
      <w:r>
        <w:rPr>
          <w:noProof/>
        </w:rPr>
        <w:t>115</w:t>
      </w:r>
      <w:r>
        <w:rPr>
          <w:noProof/>
        </w:rPr>
        <w:fldChar w:fldCharType="end"/>
      </w:r>
    </w:p>
    <w:p w14:paraId="782294E1" w14:textId="77777777" w:rsidR="003438A2" w:rsidRDefault="003438A2">
      <w:pPr>
        <w:pStyle w:val="TableofFigures"/>
        <w:tabs>
          <w:tab w:val="right" w:leader="dot" w:pos="9060"/>
        </w:tabs>
        <w:rPr>
          <w:rFonts w:eastAsiaTheme="minorEastAsia"/>
          <w:noProof/>
          <w:lang w:eastAsia="en-AU"/>
        </w:rPr>
      </w:pPr>
      <w:r>
        <w:rPr>
          <w:noProof/>
        </w:rPr>
        <w:t>Table 4.8 Summary of unrestricted risk estimates for quarantine and regulated pests associated with apples from the Pacific Northwest</w:t>
      </w:r>
      <w:r>
        <w:rPr>
          <w:noProof/>
        </w:rPr>
        <w:tab/>
      </w:r>
      <w:r>
        <w:rPr>
          <w:noProof/>
        </w:rPr>
        <w:fldChar w:fldCharType="begin" w:fldLock="1"/>
      </w:r>
      <w:r>
        <w:rPr>
          <w:noProof/>
        </w:rPr>
        <w:instrText xml:space="preserve"> PAGEREF _Toc112770169 \h </w:instrText>
      </w:r>
      <w:r>
        <w:rPr>
          <w:noProof/>
        </w:rPr>
      </w:r>
      <w:r>
        <w:rPr>
          <w:noProof/>
        </w:rPr>
        <w:fldChar w:fldCharType="separate"/>
      </w:r>
      <w:r>
        <w:rPr>
          <w:noProof/>
        </w:rPr>
        <w:t>193</w:t>
      </w:r>
      <w:r>
        <w:rPr>
          <w:noProof/>
        </w:rPr>
        <w:fldChar w:fldCharType="end"/>
      </w:r>
    </w:p>
    <w:p w14:paraId="61B66AA1" w14:textId="77777777" w:rsidR="003438A2" w:rsidRDefault="003438A2">
      <w:pPr>
        <w:pStyle w:val="TableofFigures"/>
        <w:tabs>
          <w:tab w:val="right" w:leader="dot" w:pos="9060"/>
        </w:tabs>
        <w:rPr>
          <w:rFonts w:eastAsiaTheme="minorEastAsia"/>
          <w:noProof/>
          <w:lang w:eastAsia="en-AU"/>
        </w:rPr>
      </w:pPr>
      <w:r>
        <w:rPr>
          <w:noProof/>
        </w:rPr>
        <w:t>Table 5.1 Risk management measures recommended for quarantine pests and a regulated article potentially associated with apples from the Pacific Northwest states, USA</w:t>
      </w:r>
      <w:r>
        <w:rPr>
          <w:noProof/>
        </w:rPr>
        <w:tab/>
      </w:r>
      <w:r>
        <w:rPr>
          <w:noProof/>
        </w:rPr>
        <w:fldChar w:fldCharType="begin" w:fldLock="1"/>
      </w:r>
      <w:r>
        <w:rPr>
          <w:noProof/>
        </w:rPr>
        <w:instrText xml:space="preserve"> PAGEREF _Toc112770170 \h </w:instrText>
      </w:r>
      <w:r>
        <w:rPr>
          <w:noProof/>
        </w:rPr>
      </w:r>
      <w:r>
        <w:rPr>
          <w:noProof/>
        </w:rPr>
        <w:fldChar w:fldCharType="separate"/>
      </w:r>
      <w:r>
        <w:rPr>
          <w:noProof/>
        </w:rPr>
        <w:t>201</w:t>
      </w:r>
      <w:r>
        <w:rPr>
          <w:noProof/>
        </w:rPr>
        <w:fldChar w:fldCharType="end"/>
      </w:r>
    </w:p>
    <w:p w14:paraId="2E259C19" w14:textId="77777777" w:rsidR="003438A2" w:rsidRDefault="003438A2">
      <w:pPr>
        <w:pStyle w:val="TableofFigures"/>
        <w:tabs>
          <w:tab w:val="right" w:leader="dot" w:pos="9060"/>
        </w:tabs>
        <w:rPr>
          <w:rFonts w:eastAsiaTheme="minorEastAsia"/>
          <w:noProof/>
          <w:lang w:eastAsia="en-AU"/>
        </w:rPr>
      </w:pPr>
      <w:r>
        <w:rPr>
          <w:noProof/>
        </w:rPr>
        <w:t xml:space="preserve">Table 5.2 Specific commercial production practices that are recommended to be mandatory for </w:t>
      </w:r>
      <w:r w:rsidRPr="00BE0D4B">
        <w:rPr>
          <w:i/>
          <w:iCs/>
          <w:noProof/>
        </w:rPr>
        <w:t>D. mali</w:t>
      </w:r>
      <w:r>
        <w:rPr>
          <w:noProof/>
        </w:rPr>
        <w:t xml:space="preserve">, </w:t>
      </w:r>
      <w:r w:rsidRPr="00BE0D4B">
        <w:rPr>
          <w:i/>
          <w:iCs/>
          <w:noProof/>
        </w:rPr>
        <w:t>E. amylovora</w:t>
      </w:r>
      <w:r>
        <w:rPr>
          <w:noProof/>
        </w:rPr>
        <w:t xml:space="preserve"> and </w:t>
      </w:r>
      <w:r w:rsidRPr="00BE0D4B">
        <w:rPr>
          <w:i/>
          <w:iCs/>
          <w:noProof/>
        </w:rPr>
        <w:t>N. ditissima</w:t>
      </w:r>
      <w:r>
        <w:rPr>
          <w:noProof/>
        </w:rPr>
        <w:t xml:space="preserve"> associated with apples from the Pacific Northwest states</w:t>
      </w:r>
      <w:r>
        <w:rPr>
          <w:noProof/>
        </w:rPr>
        <w:tab/>
      </w:r>
      <w:r>
        <w:rPr>
          <w:noProof/>
        </w:rPr>
        <w:fldChar w:fldCharType="begin" w:fldLock="1"/>
      </w:r>
      <w:r>
        <w:rPr>
          <w:noProof/>
        </w:rPr>
        <w:instrText xml:space="preserve"> PAGEREF _Toc112770171 \h </w:instrText>
      </w:r>
      <w:r>
        <w:rPr>
          <w:noProof/>
        </w:rPr>
      </w:r>
      <w:r>
        <w:rPr>
          <w:noProof/>
        </w:rPr>
        <w:fldChar w:fldCharType="separate"/>
      </w:r>
      <w:r>
        <w:rPr>
          <w:noProof/>
        </w:rPr>
        <w:t>202</w:t>
      </w:r>
      <w:r>
        <w:rPr>
          <w:noProof/>
        </w:rPr>
        <w:fldChar w:fldCharType="end"/>
      </w:r>
    </w:p>
    <w:p w14:paraId="73E23D5A" w14:textId="77777777" w:rsidR="003438A2" w:rsidRPr="006929C4" w:rsidRDefault="003438A2" w:rsidP="004134DD">
      <w:pPr>
        <w:pStyle w:val="TOCHeading"/>
      </w:pPr>
      <w:r>
        <w:rPr>
          <w:rFonts w:ascii="Cambria" w:hAnsi="Cambria"/>
          <w:color w:val="auto"/>
          <w:sz w:val="22"/>
          <w:szCs w:val="24"/>
        </w:rPr>
        <w:fldChar w:fldCharType="end"/>
      </w:r>
      <w:r w:rsidRPr="006929C4">
        <w:t>Maps</w:t>
      </w:r>
    </w:p>
    <w:p w14:paraId="49589078" w14:textId="77777777" w:rsidR="003438A2" w:rsidRDefault="003438A2">
      <w:pPr>
        <w:pStyle w:val="TableofFigures"/>
        <w:tabs>
          <w:tab w:val="right" w:leader="dot" w:pos="9060"/>
        </w:tabs>
        <w:rPr>
          <w:rFonts w:eastAsiaTheme="minorEastAsia"/>
          <w:noProof/>
          <w:lang w:eastAsia="en-AU"/>
        </w:rPr>
      </w:pPr>
      <w:r>
        <w:fldChar w:fldCharType="begin" w:fldLock="1"/>
      </w:r>
      <w:r>
        <w:instrText xml:space="preserve"> TOC \c "Map" </w:instrText>
      </w:r>
      <w:r>
        <w:fldChar w:fldCharType="separate"/>
      </w:r>
      <w:r>
        <w:rPr>
          <w:noProof/>
        </w:rPr>
        <w:t>Map 1 Map of Australia</w:t>
      </w:r>
      <w:r>
        <w:rPr>
          <w:noProof/>
        </w:rPr>
        <w:tab/>
      </w:r>
      <w:r>
        <w:rPr>
          <w:noProof/>
        </w:rPr>
        <w:fldChar w:fldCharType="begin" w:fldLock="1"/>
      </w:r>
      <w:r>
        <w:rPr>
          <w:noProof/>
        </w:rPr>
        <w:instrText xml:space="preserve"> PAGEREF _Toc112770172 \h </w:instrText>
      </w:r>
      <w:r>
        <w:rPr>
          <w:noProof/>
        </w:rPr>
      </w:r>
      <w:r>
        <w:rPr>
          <w:noProof/>
        </w:rPr>
        <w:fldChar w:fldCharType="separate"/>
      </w:r>
      <w:r>
        <w:rPr>
          <w:noProof/>
        </w:rPr>
        <w:t>vi</w:t>
      </w:r>
      <w:r>
        <w:rPr>
          <w:noProof/>
        </w:rPr>
        <w:fldChar w:fldCharType="end"/>
      </w:r>
    </w:p>
    <w:p w14:paraId="65AB1F49" w14:textId="77777777" w:rsidR="003438A2" w:rsidRDefault="003438A2">
      <w:pPr>
        <w:pStyle w:val="TableofFigures"/>
        <w:tabs>
          <w:tab w:val="right" w:leader="dot" w:pos="9060"/>
        </w:tabs>
        <w:rPr>
          <w:rFonts w:eastAsiaTheme="minorEastAsia"/>
          <w:noProof/>
          <w:lang w:eastAsia="en-AU"/>
        </w:rPr>
      </w:pPr>
      <w:r>
        <w:rPr>
          <w:noProof/>
        </w:rPr>
        <w:t>Map 2 A guide to Australia’s bio-climatic zones</w:t>
      </w:r>
      <w:r>
        <w:rPr>
          <w:noProof/>
        </w:rPr>
        <w:tab/>
      </w:r>
      <w:r>
        <w:rPr>
          <w:noProof/>
        </w:rPr>
        <w:fldChar w:fldCharType="begin" w:fldLock="1"/>
      </w:r>
      <w:r>
        <w:rPr>
          <w:noProof/>
        </w:rPr>
        <w:instrText xml:space="preserve"> PAGEREF _Toc112770173 \h </w:instrText>
      </w:r>
      <w:r>
        <w:rPr>
          <w:noProof/>
        </w:rPr>
      </w:r>
      <w:r>
        <w:rPr>
          <w:noProof/>
        </w:rPr>
        <w:fldChar w:fldCharType="separate"/>
      </w:r>
      <w:r>
        <w:rPr>
          <w:noProof/>
        </w:rPr>
        <w:t>vi</w:t>
      </w:r>
      <w:r>
        <w:rPr>
          <w:noProof/>
        </w:rPr>
        <w:fldChar w:fldCharType="end"/>
      </w:r>
    </w:p>
    <w:p w14:paraId="70DC2F99" w14:textId="77777777" w:rsidR="003438A2" w:rsidRDefault="003438A2">
      <w:pPr>
        <w:pStyle w:val="TableofFigures"/>
        <w:tabs>
          <w:tab w:val="right" w:leader="dot" w:pos="9060"/>
        </w:tabs>
        <w:rPr>
          <w:rFonts w:eastAsiaTheme="minorEastAsia"/>
          <w:noProof/>
          <w:lang w:eastAsia="en-AU"/>
        </w:rPr>
      </w:pPr>
      <w:r>
        <w:rPr>
          <w:noProof/>
        </w:rPr>
        <w:t>Map 3 Apple production areas in Australia</w:t>
      </w:r>
      <w:r>
        <w:rPr>
          <w:noProof/>
        </w:rPr>
        <w:tab/>
      </w:r>
      <w:r>
        <w:rPr>
          <w:noProof/>
        </w:rPr>
        <w:fldChar w:fldCharType="begin" w:fldLock="1"/>
      </w:r>
      <w:r>
        <w:rPr>
          <w:noProof/>
        </w:rPr>
        <w:instrText xml:space="preserve"> PAGEREF _Toc112770174 \h </w:instrText>
      </w:r>
      <w:r>
        <w:rPr>
          <w:noProof/>
        </w:rPr>
      </w:r>
      <w:r>
        <w:rPr>
          <w:noProof/>
        </w:rPr>
        <w:fldChar w:fldCharType="separate"/>
      </w:r>
      <w:r>
        <w:rPr>
          <w:noProof/>
        </w:rPr>
        <w:t>vii</w:t>
      </w:r>
      <w:r>
        <w:rPr>
          <w:noProof/>
        </w:rPr>
        <w:fldChar w:fldCharType="end"/>
      </w:r>
    </w:p>
    <w:p w14:paraId="4A1AF8FE" w14:textId="77777777" w:rsidR="003438A2" w:rsidRDefault="003438A2">
      <w:pPr>
        <w:pStyle w:val="TableofFigures"/>
        <w:tabs>
          <w:tab w:val="right" w:leader="dot" w:pos="9060"/>
        </w:tabs>
        <w:rPr>
          <w:rFonts w:eastAsiaTheme="minorEastAsia"/>
          <w:noProof/>
          <w:lang w:eastAsia="en-AU"/>
        </w:rPr>
      </w:pPr>
      <w:r>
        <w:rPr>
          <w:noProof/>
        </w:rPr>
        <w:t>Map 4 Main apple production areas in the PNW-USA</w:t>
      </w:r>
      <w:r>
        <w:rPr>
          <w:noProof/>
        </w:rPr>
        <w:tab/>
      </w:r>
      <w:r>
        <w:rPr>
          <w:noProof/>
        </w:rPr>
        <w:fldChar w:fldCharType="begin" w:fldLock="1"/>
      </w:r>
      <w:r>
        <w:rPr>
          <w:noProof/>
        </w:rPr>
        <w:instrText xml:space="preserve"> PAGEREF _Toc112770175 \h </w:instrText>
      </w:r>
      <w:r>
        <w:rPr>
          <w:noProof/>
        </w:rPr>
      </w:r>
      <w:r>
        <w:rPr>
          <w:noProof/>
        </w:rPr>
        <w:fldChar w:fldCharType="separate"/>
      </w:r>
      <w:r>
        <w:rPr>
          <w:noProof/>
        </w:rPr>
        <w:t>21</w:t>
      </w:r>
      <w:r>
        <w:rPr>
          <w:noProof/>
        </w:rPr>
        <w:fldChar w:fldCharType="end"/>
      </w:r>
    </w:p>
    <w:p w14:paraId="07CEFE38" w14:textId="77777777" w:rsidR="003438A2" w:rsidRDefault="003438A2">
      <w:pPr>
        <w:pStyle w:val="TableofFigures"/>
        <w:tabs>
          <w:tab w:val="right" w:leader="dot" w:pos="9060"/>
        </w:tabs>
        <w:rPr>
          <w:rFonts w:eastAsiaTheme="minorEastAsia"/>
          <w:noProof/>
          <w:lang w:eastAsia="en-AU"/>
        </w:rPr>
      </w:pPr>
      <w:r>
        <w:rPr>
          <w:noProof/>
        </w:rPr>
        <w:t>Map 5 Washington state, USA</w:t>
      </w:r>
      <w:r>
        <w:rPr>
          <w:noProof/>
        </w:rPr>
        <w:tab/>
      </w:r>
      <w:r>
        <w:rPr>
          <w:noProof/>
        </w:rPr>
        <w:fldChar w:fldCharType="begin" w:fldLock="1"/>
      </w:r>
      <w:r>
        <w:rPr>
          <w:noProof/>
        </w:rPr>
        <w:instrText xml:space="preserve"> PAGEREF _Toc112770176 \h </w:instrText>
      </w:r>
      <w:r>
        <w:rPr>
          <w:noProof/>
        </w:rPr>
      </w:r>
      <w:r>
        <w:rPr>
          <w:noProof/>
        </w:rPr>
        <w:fldChar w:fldCharType="separate"/>
      </w:r>
      <w:r>
        <w:rPr>
          <w:noProof/>
        </w:rPr>
        <w:t>22</w:t>
      </w:r>
      <w:r>
        <w:rPr>
          <w:noProof/>
        </w:rPr>
        <w:fldChar w:fldCharType="end"/>
      </w:r>
    </w:p>
    <w:p w14:paraId="2AFB6AEF" w14:textId="77777777" w:rsidR="003438A2" w:rsidRDefault="003438A2">
      <w:pPr>
        <w:pStyle w:val="TableofFigures"/>
        <w:tabs>
          <w:tab w:val="right" w:leader="dot" w:pos="9060"/>
        </w:tabs>
        <w:rPr>
          <w:rFonts w:eastAsiaTheme="minorEastAsia"/>
          <w:noProof/>
          <w:lang w:eastAsia="en-AU"/>
        </w:rPr>
      </w:pPr>
      <w:r>
        <w:rPr>
          <w:noProof/>
        </w:rPr>
        <w:t>Map 6 Washington state counties</w:t>
      </w:r>
      <w:r>
        <w:rPr>
          <w:noProof/>
        </w:rPr>
        <w:tab/>
      </w:r>
      <w:r>
        <w:rPr>
          <w:noProof/>
        </w:rPr>
        <w:fldChar w:fldCharType="begin" w:fldLock="1"/>
      </w:r>
      <w:r>
        <w:rPr>
          <w:noProof/>
        </w:rPr>
        <w:instrText xml:space="preserve"> PAGEREF _Toc112770177 \h </w:instrText>
      </w:r>
      <w:r>
        <w:rPr>
          <w:noProof/>
        </w:rPr>
      </w:r>
      <w:r>
        <w:rPr>
          <w:noProof/>
        </w:rPr>
        <w:fldChar w:fldCharType="separate"/>
      </w:r>
      <w:r>
        <w:rPr>
          <w:noProof/>
        </w:rPr>
        <w:t>22</w:t>
      </w:r>
      <w:r>
        <w:rPr>
          <w:noProof/>
        </w:rPr>
        <w:fldChar w:fldCharType="end"/>
      </w:r>
    </w:p>
    <w:p w14:paraId="0A421C55" w14:textId="77777777" w:rsidR="003438A2" w:rsidRDefault="003438A2">
      <w:pPr>
        <w:pStyle w:val="TableofFigures"/>
        <w:tabs>
          <w:tab w:val="right" w:leader="dot" w:pos="9060"/>
        </w:tabs>
        <w:rPr>
          <w:rFonts w:eastAsiaTheme="minorEastAsia"/>
          <w:noProof/>
          <w:lang w:eastAsia="en-AU"/>
        </w:rPr>
      </w:pPr>
      <w:r>
        <w:rPr>
          <w:noProof/>
        </w:rPr>
        <w:t>Map 7 Oregon state counties</w:t>
      </w:r>
      <w:r>
        <w:rPr>
          <w:noProof/>
        </w:rPr>
        <w:tab/>
      </w:r>
      <w:r>
        <w:rPr>
          <w:noProof/>
        </w:rPr>
        <w:fldChar w:fldCharType="begin" w:fldLock="1"/>
      </w:r>
      <w:r>
        <w:rPr>
          <w:noProof/>
        </w:rPr>
        <w:instrText xml:space="preserve"> PAGEREF _Toc112770178 \h </w:instrText>
      </w:r>
      <w:r>
        <w:rPr>
          <w:noProof/>
        </w:rPr>
      </w:r>
      <w:r>
        <w:rPr>
          <w:noProof/>
        </w:rPr>
        <w:fldChar w:fldCharType="separate"/>
      </w:r>
      <w:r>
        <w:rPr>
          <w:noProof/>
        </w:rPr>
        <w:t>23</w:t>
      </w:r>
      <w:r>
        <w:rPr>
          <w:noProof/>
        </w:rPr>
        <w:fldChar w:fldCharType="end"/>
      </w:r>
    </w:p>
    <w:p w14:paraId="2545A3A0" w14:textId="77777777" w:rsidR="003438A2" w:rsidRDefault="003438A2">
      <w:pPr>
        <w:pStyle w:val="TableofFigures"/>
        <w:tabs>
          <w:tab w:val="right" w:leader="dot" w:pos="9060"/>
        </w:tabs>
        <w:rPr>
          <w:rFonts w:eastAsiaTheme="minorEastAsia"/>
          <w:noProof/>
          <w:lang w:eastAsia="en-AU"/>
        </w:rPr>
      </w:pPr>
      <w:r>
        <w:rPr>
          <w:noProof/>
        </w:rPr>
        <w:t>Map 8 Idaho state counties</w:t>
      </w:r>
      <w:r>
        <w:rPr>
          <w:noProof/>
        </w:rPr>
        <w:tab/>
      </w:r>
      <w:r>
        <w:rPr>
          <w:noProof/>
        </w:rPr>
        <w:fldChar w:fldCharType="begin" w:fldLock="1"/>
      </w:r>
      <w:r>
        <w:rPr>
          <w:noProof/>
        </w:rPr>
        <w:instrText xml:space="preserve"> PAGEREF _Toc112770179 \h </w:instrText>
      </w:r>
      <w:r>
        <w:rPr>
          <w:noProof/>
        </w:rPr>
      </w:r>
      <w:r>
        <w:rPr>
          <w:noProof/>
        </w:rPr>
        <w:fldChar w:fldCharType="separate"/>
      </w:r>
      <w:r>
        <w:rPr>
          <w:noProof/>
        </w:rPr>
        <w:t>23</w:t>
      </w:r>
      <w:r>
        <w:rPr>
          <w:noProof/>
        </w:rPr>
        <w:fldChar w:fldCharType="end"/>
      </w:r>
    </w:p>
    <w:p w14:paraId="7BA2F42F" w14:textId="77777777" w:rsidR="003438A2" w:rsidRDefault="003438A2" w:rsidP="003F3E22">
      <w:r>
        <w:fldChar w:fldCharType="end"/>
      </w:r>
      <w:bookmarkStart w:id="2" w:name="_Toc384979272"/>
      <w:bookmarkStart w:id="3" w:name="_Toc384979287"/>
      <w:bookmarkStart w:id="4" w:name="_Toc450740181"/>
    </w:p>
    <w:p w14:paraId="357E9EB8" w14:textId="77777777" w:rsidR="003438A2" w:rsidRDefault="003438A2">
      <w:pPr>
        <w:pStyle w:val="Caption"/>
        <w:sectPr w:rsidR="003438A2" w:rsidSect="00216635">
          <w:headerReference w:type="even" r:id="rId16"/>
          <w:headerReference w:type="default" r:id="rId17"/>
          <w:footerReference w:type="default" r:id="rId18"/>
          <w:headerReference w:type="first" r:id="rId19"/>
          <w:pgSz w:w="11906" w:h="16838" w:code="9"/>
          <w:pgMar w:top="1418" w:right="1418" w:bottom="1418" w:left="1418" w:header="567" w:footer="284" w:gutter="0"/>
          <w:pgNumType w:fmt="lowerRoman"/>
          <w:cols w:space="708"/>
          <w:docGrid w:linePitch="360"/>
        </w:sectPr>
      </w:pPr>
    </w:p>
    <w:p w14:paraId="559BC532" w14:textId="77777777" w:rsidR="003438A2" w:rsidRDefault="003438A2">
      <w:pPr>
        <w:pStyle w:val="Caption"/>
      </w:pPr>
      <w:bookmarkStart w:id="6" w:name="_Toc44961938"/>
      <w:bookmarkStart w:id="7" w:name="_Toc112770172"/>
      <w:r>
        <w:lastRenderedPageBreak/>
        <w:t xml:space="preserve">Map </w:t>
      </w:r>
      <w:r>
        <w:rPr>
          <w:noProof/>
        </w:rPr>
        <w:fldChar w:fldCharType="begin" w:fldLock="1"/>
      </w:r>
      <w:r>
        <w:rPr>
          <w:noProof/>
        </w:rPr>
        <w:instrText xml:space="preserve"> SEQ Map \* ARABIC </w:instrText>
      </w:r>
      <w:r>
        <w:rPr>
          <w:noProof/>
        </w:rPr>
        <w:fldChar w:fldCharType="separate"/>
      </w:r>
      <w:r>
        <w:rPr>
          <w:noProof/>
        </w:rPr>
        <w:t>1</w:t>
      </w:r>
      <w:r>
        <w:rPr>
          <w:noProof/>
        </w:rPr>
        <w:fldChar w:fldCharType="end"/>
      </w:r>
      <w:r>
        <w:t xml:space="preserve"> Map of Australia</w:t>
      </w:r>
      <w:bookmarkEnd w:id="2"/>
      <w:bookmarkEnd w:id="3"/>
      <w:bookmarkEnd w:id="4"/>
      <w:bookmarkEnd w:id="6"/>
      <w:bookmarkEnd w:id="7"/>
    </w:p>
    <w:p w14:paraId="53E8EC86" w14:textId="77777777" w:rsidR="003438A2" w:rsidRDefault="003438A2">
      <w:r>
        <w:rPr>
          <w:noProof/>
          <w:lang w:eastAsia="en-AU"/>
        </w:rPr>
        <w:drawing>
          <wp:inline distT="0" distB="0" distL="0" distR="0" wp14:anchorId="3AFE1065" wp14:editId="3FC7CA82">
            <wp:extent cx="4089400" cy="3533140"/>
            <wp:effectExtent l="0" t="0" r="6350" b="0"/>
            <wp:docPr id="4" name="Picture 4" descr="The boundaries for the states and territories of Australia are highlighted and the capital cities for each state and territory is indicated. The six states and two territories are displayed in a differen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Australia highlighting where the states and territories and capital cities are"/>
                    <pic:cNvPicPr>
                      <a:picLocks noChangeAspect="1" noChangeArrowheads="1"/>
                    </pic:cNvPicPr>
                  </pic:nvPicPr>
                  <pic:blipFill>
                    <a:blip r:embed="rId20" cstate="print"/>
                    <a:srcRect/>
                    <a:stretch>
                      <a:fillRect/>
                    </a:stretch>
                  </pic:blipFill>
                  <pic:spPr bwMode="auto">
                    <a:xfrm>
                      <a:off x="0" y="0"/>
                      <a:ext cx="4089400" cy="3533140"/>
                    </a:xfrm>
                    <a:prstGeom prst="rect">
                      <a:avLst/>
                    </a:prstGeom>
                    <a:noFill/>
                    <a:ln w="9525">
                      <a:noFill/>
                      <a:miter lim="800000"/>
                      <a:headEnd/>
                      <a:tailEnd/>
                    </a:ln>
                  </pic:spPr>
                </pic:pic>
              </a:graphicData>
            </a:graphic>
          </wp:inline>
        </w:drawing>
      </w:r>
    </w:p>
    <w:p w14:paraId="29C6B6F5" w14:textId="77777777" w:rsidR="003438A2" w:rsidRDefault="003438A2" w:rsidP="0034042B">
      <w:pPr>
        <w:pStyle w:val="Caption"/>
      </w:pPr>
      <w:bookmarkStart w:id="8" w:name="_Toc44961939"/>
      <w:bookmarkStart w:id="9" w:name="_Toc112770173"/>
      <w:r>
        <w:t xml:space="preserve">Map </w:t>
      </w:r>
      <w:r>
        <w:rPr>
          <w:noProof/>
        </w:rPr>
        <w:fldChar w:fldCharType="begin" w:fldLock="1"/>
      </w:r>
      <w:r>
        <w:rPr>
          <w:noProof/>
        </w:rPr>
        <w:instrText xml:space="preserve"> SEQ Map \* ARABIC </w:instrText>
      </w:r>
      <w:r>
        <w:rPr>
          <w:noProof/>
        </w:rPr>
        <w:fldChar w:fldCharType="separate"/>
      </w:r>
      <w:r>
        <w:rPr>
          <w:noProof/>
        </w:rPr>
        <w:t>2</w:t>
      </w:r>
      <w:r>
        <w:rPr>
          <w:noProof/>
        </w:rPr>
        <w:fldChar w:fldCharType="end"/>
      </w:r>
      <w:r>
        <w:t xml:space="preserve"> </w:t>
      </w:r>
      <w:r w:rsidRPr="00E033F9">
        <w:t>A guide to Australia’s bio-climatic zones</w:t>
      </w:r>
      <w:bookmarkEnd w:id="8"/>
      <w:bookmarkEnd w:id="9"/>
    </w:p>
    <w:p w14:paraId="4765AC85" w14:textId="77777777" w:rsidR="003438A2" w:rsidRDefault="003438A2">
      <w:pPr>
        <w:pStyle w:val="Caption"/>
      </w:pPr>
      <w:r>
        <w:rPr>
          <w:noProof/>
          <w:lang w:eastAsia="en-AU"/>
        </w:rPr>
        <w:drawing>
          <wp:inline distT="0" distB="0" distL="0" distR="0" wp14:anchorId="6EB0B291" wp14:editId="0BBF609C">
            <wp:extent cx="5106035" cy="3649980"/>
            <wp:effectExtent l="0" t="0" r="0" b="7620"/>
            <wp:docPr id="5" name="Picture 5" descr="The different climate classes across Australia are highlighted.&#10;There are six climatic classes, these being:&#10;- Equatorial (far northern Queensland and Northern Territory)&#10;- Tropical (Coastal areas and northern parts of Western Australia, Northern Territory and Queensland)&#10;- Subtropical (eastern coast of Queenland and northern New South Wales)&#10;- Desert (central region of Australia spanning across Western Australia, South Australia, Northern Territory, Queensland and New South Wales)&#10;- Grassland (surrounding desert areas)&#10;- Temperate (eastern coast of New South Wales, most of Victoria, Tasmania, southern edge of South Australia and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of Australia showing where the different climate classes are.&#10;There are six climatic classes, these being:&#10;- Equatorial&#10;- Tropical&#10;- Subtropical&#10;- Desert&#10;- Grassland&#10;- Temperate&#10;"/>
                    <pic:cNvPicPr>
                      <a:picLocks noChangeAspect="1" noChangeArrowheads="1"/>
                    </pic:cNvPicPr>
                  </pic:nvPicPr>
                  <pic:blipFill>
                    <a:blip r:embed="rId21" cstate="print"/>
                    <a:srcRect/>
                    <a:stretch>
                      <a:fillRect/>
                    </a:stretch>
                  </pic:blipFill>
                  <pic:spPr bwMode="auto">
                    <a:xfrm>
                      <a:off x="0" y="0"/>
                      <a:ext cx="5106035" cy="3649980"/>
                    </a:xfrm>
                    <a:prstGeom prst="rect">
                      <a:avLst/>
                    </a:prstGeom>
                    <a:noFill/>
                    <a:ln w="9525">
                      <a:noFill/>
                      <a:miter lim="800000"/>
                      <a:headEnd/>
                      <a:tailEnd/>
                    </a:ln>
                  </pic:spPr>
                </pic:pic>
              </a:graphicData>
            </a:graphic>
          </wp:inline>
        </w:drawing>
      </w:r>
    </w:p>
    <w:p w14:paraId="22984A27" w14:textId="77777777" w:rsidR="003438A2" w:rsidRDefault="003438A2">
      <w:pPr>
        <w:pStyle w:val="Caption"/>
      </w:pPr>
      <w:r>
        <w:br w:type="page"/>
      </w:r>
      <w:bookmarkStart w:id="10" w:name="_Toc384979274"/>
      <w:bookmarkStart w:id="11" w:name="_Toc384979289"/>
    </w:p>
    <w:p w14:paraId="476179DB" w14:textId="77777777" w:rsidR="003438A2" w:rsidRDefault="003438A2">
      <w:pPr>
        <w:pStyle w:val="Caption"/>
      </w:pPr>
      <w:bookmarkStart w:id="12" w:name="_Toc450740183"/>
      <w:bookmarkStart w:id="13" w:name="_Toc44961940"/>
      <w:bookmarkStart w:id="14" w:name="_Toc112770174"/>
      <w:bookmarkStart w:id="15" w:name="_Hlk44964413"/>
      <w:r>
        <w:lastRenderedPageBreak/>
        <w:t xml:space="preserve">Map </w:t>
      </w:r>
      <w:r>
        <w:rPr>
          <w:noProof/>
        </w:rPr>
        <w:fldChar w:fldCharType="begin" w:fldLock="1"/>
      </w:r>
      <w:r>
        <w:rPr>
          <w:noProof/>
        </w:rPr>
        <w:instrText xml:space="preserve"> SEQ Map \* ARABIC </w:instrText>
      </w:r>
      <w:r>
        <w:rPr>
          <w:noProof/>
        </w:rPr>
        <w:fldChar w:fldCharType="separate"/>
      </w:r>
      <w:r>
        <w:rPr>
          <w:noProof/>
        </w:rPr>
        <w:t>3</w:t>
      </w:r>
      <w:r>
        <w:rPr>
          <w:noProof/>
        </w:rPr>
        <w:fldChar w:fldCharType="end"/>
      </w:r>
      <w:r>
        <w:t xml:space="preserve"> Apple production areas in Australia</w:t>
      </w:r>
      <w:bookmarkEnd w:id="10"/>
      <w:bookmarkEnd w:id="11"/>
      <w:bookmarkEnd w:id="12"/>
      <w:bookmarkEnd w:id="13"/>
      <w:bookmarkEnd w:id="14"/>
    </w:p>
    <w:bookmarkEnd w:id="15"/>
    <w:p w14:paraId="018CAF8A" w14:textId="77777777" w:rsidR="003438A2" w:rsidRDefault="003438A2" w:rsidP="00A5141F">
      <w:pPr>
        <w:pStyle w:val="Caption"/>
      </w:pPr>
      <w:r w:rsidRPr="00DA2CEE">
        <w:rPr>
          <w:noProof/>
          <w:lang w:eastAsia="en-AU"/>
        </w:rPr>
        <w:drawing>
          <wp:inline distT="0" distB="0" distL="0" distR="0" wp14:anchorId="47EA04EE" wp14:editId="77CC0A81">
            <wp:extent cx="5759450" cy="5144363"/>
            <wp:effectExtent l="0" t="0" r="0" b="0"/>
            <wp:docPr id="17" name="Picture 17" descr="J:\Plant Horticulture\Imports\United States\Apples\USA\IRA\Final drafts - March-2018-DO NOT TOUCH\Draft report 2018\Final draft\Australian production reg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lant Horticulture\Imports\United States\Apples\USA\IRA\Final drafts - March-2018-DO NOT TOUCH\Draft report 2018\Final draft\Australian production region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144363"/>
                    </a:xfrm>
                    <a:prstGeom prst="rect">
                      <a:avLst/>
                    </a:prstGeom>
                    <a:noFill/>
                    <a:ln>
                      <a:noFill/>
                    </a:ln>
                  </pic:spPr>
                </pic:pic>
              </a:graphicData>
            </a:graphic>
          </wp:inline>
        </w:drawing>
      </w:r>
    </w:p>
    <w:p w14:paraId="0D36E09B" w14:textId="77777777" w:rsidR="003438A2" w:rsidRDefault="003438A2" w:rsidP="00DA2CEE">
      <w:pPr>
        <w:pStyle w:val="FigureTableNoteSource"/>
      </w:pPr>
      <w:bookmarkStart w:id="16" w:name="_Hlk44964457"/>
      <w:r>
        <w:t xml:space="preserve">Source: </w:t>
      </w:r>
      <w:r>
        <w:rPr>
          <w:noProof/>
        </w:rPr>
        <w:t>(APAL 2020)</w:t>
      </w:r>
    </w:p>
    <w:p w14:paraId="0D5358E1" w14:textId="77777777" w:rsidR="003438A2" w:rsidRDefault="003438A2" w:rsidP="00DA2CEE">
      <w:pPr>
        <w:pStyle w:val="FigureTableNoteSource"/>
        <w:sectPr w:rsidR="003438A2" w:rsidSect="00E310DC">
          <w:headerReference w:type="even" r:id="rId23"/>
          <w:headerReference w:type="default" r:id="rId24"/>
          <w:headerReference w:type="first" r:id="rId25"/>
          <w:pgSz w:w="11906" w:h="16838"/>
          <w:pgMar w:top="1418" w:right="1418" w:bottom="1418" w:left="1418" w:header="567" w:footer="283" w:gutter="0"/>
          <w:pgNumType w:fmt="lowerRoman"/>
          <w:cols w:space="708"/>
          <w:docGrid w:linePitch="360"/>
        </w:sectPr>
      </w:pPr>
      <w:bookmarkStart w:id="17" w:name="_Ref457826879"/>
      <w:bookmarkEnd w:id="16"/>
    </w:p>
    <w:p w14:paraId="5185620D" w14:textId="77777777" w:rsidR="003438A2" w:rsidRDefault="003438A2">
      <w:pPr>
        <w:pStyle w:val="Caption"/>
      </w:pPr>
      <w:bookmarkStart w:id="18" w:name="_Ref531328503"/>
      <w:bookmarkStart w:id="19" w:name="_Toc112770151"/>
      <w:bookmarkStart w:id="20" w:name="_Hlk44964548"/>
      <w:r>
        <w:lastRenderedPageBreak/>
        <w:t xml:space="preserve">Figure </w:t>
      </w:r>
      <w:r>
        <w:rPr>
          <w:noProof/>
        </w:rPr>
        <w:fldChar w:fldCharType="begin" w:fldLock="1"/>
      </w:r>
      <w:r>
        <w:rPr>
          <w:noProof/>
        </w:rPr>
        <w:instrText xml:space="preserve"> SEQ Figure \* ARABIC </w:instrText>
      </w:r>
      <w:r>
        <w:rPr>
          <w:noProof/>
        </w:rPr>
        <w:fldChar w:fldCharType="separate"/>
      </w:r>
      <w:r>
        <w:rPr>
          <w:noProof/>
        </w:rPr>
        <w:t>1</w:t>
      </w:r>
      <w:r>
        <w:rPr>
          <w:noProof/>
        </w:rPr>
        <w:fldChar w:fldCharType="end"/>
      </w:r>
      <w:bookmarkEnd w:id="17"/>
      <w:bookmarkEnd w:id="18"/>
      <w:r>
        <w:t xml:space="preserve"> Diagram of </w:t>
      </w:r>
      <w:r w:rsidRPr="000D6294">
        <w:t>apple fruit</w:t>
      </w:r>
      <w:bookmarkEnd w:id="19"/>
    </w:p>
    <w:p w14:paraId="050F78A9" w14:textId="77777777" w:rsidR="003438A2" w:rsidRPr="00406DCF" w:rsidRDefault="003438A2" w:rsidP="00406DCF"/>
    <w:p w14:paraId="3D94A4CA" w14:textId="77777777" w:rsidR="003438A2" w:rsidRDefault="003438A2">
      <w:pPr>
        <w:pStyle w:val="Picture"/>
      </w:pPr>
      <w:r>
        <mc:AlternateContent>
          <mc:Choice Requires="wps">
            <w:drawing>
              <wp:anchor distT="0" distB="0" distL="114300" distR="114300" simplePos="0" relativeHeight="251659264" behindDoc="0" locked="0" layoutInCell="1" allowOverlap="1" wp14:anchorId="6893E638" wp14:editId="0CF3D182">
                <wp:simplePos x="0" y="0"/>
                <wp:positionH relativeFrom="column">
                  <wp:posOffset>3512543</wp:posOffset>
                </wp:positionH>
                <wp:positionV relativeFrom="paragraph">
                  <wp:posOffset>3966072</wp:posOffset>
                </wp:positionV>
                <wp:extent cx="1762539" cy="482757"/>
                <wp:effectExtent l="0" t="0" r="28575" b="12700"/>
                <wp:wrapNone/>
                <wp:docPr id="6" name="Text Box 6"/>
                <wp:cNvGraphicFramePr/>
                <a:graphic xmlns:a="http://schemas.openxmlformats.org/drawingml/2006/main">
                  <a:graphicData uri="http://schemas.microsoft.com/office/word/2010/wordprocessingShape">
                    <wps:wsp>
                      <wps:cNvSpPr txBox="1"/>
                      <wps:spPr>
                        <a:xfrm>
                          <a:off x="0" y="0"/>
                          <a:ext cx="1762539" cy="482757"/>
                        </a:xfrm>
                        <a:prstGeom prst="rect">
                          <a:avLst/>
                        </a:prstGeom>
                        <a:solidFill>
                          <a:schemeClr val="lt1"/>
                        </a:solidFill>
                        <a:ln w="6350">
                          <a:solidFill>
                            <a:prstClr val="black"/>
                          </a:solidFill>
                        </a:ln>
                      </wps:spPr>
                      <wps:txbx>
                        <w:txbxContent>
                          <w:p w14:paraId="7E212D69" w14:textId="77777777" w:rsidR="003438A2" w:rsidRPr="00865D81" w:rsidRDefault="003438A2" w:rsidP="00865D81">
                            <w:pPr>
                              <w:jc w:val="center"/>
                              <w:rPr>
                                <w:rFonts w:asciiTheme="minorHAnsi" w:hAnsiTheme="minorHAnsi" w:cstheme="minorHAnsi"/>
                                <w:sz w:val="20"/>
                                <w:szCs w:val="20"/>
                              </w:rPr>
                            </w:pPr>
                            <w:r w:rsidRPr="00865D81">
                              <w:rPr>
                                <w:rFonts w:asciiTheme="minorHAnsi" w:hAnsiTheme="minorHAnsi" w:cstheme="minorHAnsi"/>
                                <w:sz w:val="20"/>
                                <w:szCs w:val="20"/>
                              </w:rPr>
                              <w:t>diagrammatic magnification of calyx sinus</w:t>
                            </w:r>
                          </w:p>
                          <w:p w14:paraId="59D82109" w14:textId="77777777" w:rsidR="003438A2" w:rsidRPr="000557A6" w:rsidRDefault="003438A2" w:rsidP="00865D8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93E638" id="_x0000_t202" coordsize="21600,21600" o:spt="202" path="m,l,21600r21600,l21600,xe">
                <v:stroke joinstyle="miter"/>
                <v:path gradientshapeok="t" o:connecttype="rect"/>
              </v:shapetype>
              <v:shape id="Text Box 6" o:spid="_x0000_s1026" type="#_x0000_t202" style="position:absolute;margin-left:276.6pt;margin-top:312.3pt;width:138.8pt;height: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" fillcolor="white [3201]" strokeweight=".5pt">
                <v:textbox>
                  <w:txbxContent>
                    <w:p w14:paraId="7E212D69" w14:textId="77777777" w:rsidR="003438A2" w:rsidRPr="00865D81" w:rsidRDefault="003438A2" w:rsidP="00865D81">
                      <w:pPr>
                        <w:jc w:val="center"/>
                        <w:rPr>
                          <w:rFonts w:asciiTheme="minorHAnsi" w:hAnsiTheme="minorHAnsi" w:cstheme="minorHAnsi"/>
                          <w:sz w:val="20"/>
                          <w:szCs w:val="20"/>
                        </w:rPr>
                      </w:pPr>
                      <w:r w:rsidRPr="00865D81">
                        <w:rPr>
                          <w:rFonts w:asciiTheme="minorHAnsi" w:hAnsiTheme="minorHAnsi" w:cstheme="minorHAnsi"/>
                          <w:sz w:val="20"/>
                          <w:szCs w:val="20"/>
                        </w:rPr>
                        <w:t>diagrammatic magnification of calyx sinus</w:t>
                      </w:r>
                    </w:p>
                    <w:p w14:paraId="59D82109" w14:textId="77777777" w:rsidR="003438A2" w:rsidRPr="000557A6" w:rsidRDefault="003438A2" w:rsidP="00865D81">
                      <w:pPr>
                        <w:rPr>
                          <w:sz w:val="16"/>
                          <w:szCs w:val="16"/>
                        </w:rPr>
                      </w:pPr>
                    </w:p>
                  </w:txbxContent>
                </v:textbox>
              </v:shape>
            </w:pict>
          </mc:Fallback>
        </mc:AlternateContent>
      </w:r>
      <w:r w:rsidRPr="00CD3F77">
        <w:drawing>
          <wp:inline distT="0" distB="0" distL="0" distR="0" wp14:anchorId="00B90F91" wp14:editId="5696EF03">
            <wp:extent cx="5985546" cy="4451626"/>
            <wp:effectExtent l="0" t="0" r="0" b="6350"/>
            <wp:docPr id="27" name="Picture 27" descr="\\ACT001CL04FS04\BioSecurityHome$\OConnor Damien\Desktop\apple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001CL04FS04\BioSecurityHome$\OConnor Damien\Desktop\apple diagra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5120" cy="4503370"/>
                    </a:xfrm>
                    <a:prstGeom prst="rect">
                      <a:avLst/>
                    </a:prstGeom>
                    <a:noFill/>
                    <a:ln>
                      <a:noFill/>
                    </a:ln>
                  </pic:spPr>
                </pic:pic>
              </a:graphicData>
            </a:graphic>
          </wp:inline>
        </w:drawing>
      </w:r>
    </w:p>
    <w:p w14:paraId="0A82B878" w14:textId="77777777" w:rsidR="003438A2" w:rsidRDefault="003438A2" w:rsidP="00DD1851">
      <w:pPr>
        <w:pStyle w:val="FigureTableNoteSource"/>
      </w:pPr>
    </w:p>
    <w:bookmarkEnd w:id="20"/>
    <w:p w14:paraId="53EB9A53" w14:textId="77777777" w:rsidR="003438A2" w:rsidRDefault="003438A2" w:rsidP="00707829">
      <w:pPr>
        <w:pStyle w:val="Heading2"/>
        <w:numPr>
          <w:ilvl w:val="0"/>
          <w:numId w:val="0"/>
        </w:numPr>
        <w:sectPr w:rsidR="003438A2" w:rsidSect="00E310DC">
          <w:headerReference w:type="even" r:id="rId27"/>
          <w:headerReference w:type="default" r:id="rId28"/>
          <w:headerReference w:type="first" r:id="rId29"/>
          <w:pgSz w:w="11906" w:h="16838"/>
          <w:pgMar w:top="1418" w:right="1418" w:bottom="1418" w:left="1418" w:header="567" w:footer="283" w:gutter="0"/>
          <w:pgNumType w:fmt="lowerRoman"/>
          <w:cols w:space="708"/>
          <w:docGrid w:linePitch="360"/>
        </w:sectPr>
      </w:pPr>
    </w:p>
    <w:p w14:paraId="108C4DFA" w14:textId="77777777" w:rsidR="003438A2" w:rsidRDefault="003438A2" w:rsidP="00707829">
      <w:pPr>
        <w:pStyle w:val="Heading2"/>
        <w:numPr>
          <w:ilvl w:val="0"/>
          <w:numId w:val="0"/>
        </w:numPr>
      </w:pPr>
      <w:bookmarkStart w:id="21" w:name="_Toc112768983"/>
      <w:bookmarkStart w:id="22" w:name="_Hlk44964868"/>
      <w:r>
        <w:lastRenderedPageBreak/>
        <w:t>Acronyms and abbreviations</w:t>
      </w:r>
      <w:bookmarkEnd w:id="21"/>
    </w:p>
    <w:tbl>
      <w:tblPr>
        <w:tblW w:w="5077" w:type="pct"/>
        <w:tblBorders>
          <w:top w:val="single" w:sz="4" w:space="0" w:color="auto"/>
          <w:bottom w:val="single" w:sz="4" w:space="0" w:color="auto"/>
        </w:tblBorders>
        <w:tblLook w:val="04A0" w:firstRow="1" w:lastRow="0" w:firstColumn="1" w:lastColumn="0" w:noHBand="0" w:noVBand="1"/>
      </w:tblPr>
      <w:tblGrid>
        <w:gridCol w:w="2459"/>
        <w:gridCol w:w="6751"/>
      </w:tblGrid>
      <w:tr w:rsidR="003438A2" w14:paraId="29AE084D" w14:textId="77777777">
        <w:trPr>
          <w:trHeight w:val="414"/>
          <w:tblHeader/>
        </w:trPr>
        <w:tc>
          <w:tcPr>
            <w:tcW w:w="1335" w:type="pct"/>
          </w:tcPr>
          <w:p w14:paraId="719831E8" w14:textId="77777777" w:rsidR="003438A2" w:rsidRDefault="003438A2">
            <w:pPr>
              <w:pStyle w:val="TableHeading"/>
            </w:pPr>
            <w:r>
              <w:t>Term or abbreviation</w:t>
            </w:r>
          </w:p>
        </w:tc>
        <w:tc>
          <w:tcPr>
            <w:tcW w:w="3665" w:type="pct"/>
          </w:tcPr>
          <w:p w14:paraId="76BF730F" w14:textId="77777777" w:rsidR="003438A2" w:rsidRDefault="003438A2">
            <w:pPr>
              <w:pStyle w:val="TableHeading"/>
            </w:pPr>
            <w:r>
              <w:t>Definition</w:t>
            </w:r>
          </w:p>
        </w:tc>
      </w:tr>
      <w:tr w:rsidR="003438A2" w14:paraId="22402337" w14:textId="77777777">
        <w:trPr>
          <w:trHeight w:val="414"/>
        </w:trPr>
        <w:tc>
          <w:tcPr>
            <w:tcW w:w="1335" w:type="pct"/>
          </w:tcPr>
          <w:p w14:paraId="14814393" w14:textId="77777777" w:rsidR="003438A2" w:rsidRDefault="003438A2">
            <w:pPr>
              <w:pStyle w:val="TableText"/>
            </w:pPr>
            <w:r>
              <w:t>ACT</w:t>
            </w:r>
          </w:p>
        </w:tc>
        <w:tc>
          <w:tcPr>
            <w:tcW w:w="3665" w:type="pct"/>
          </w:tcPr>
          <w:p w14:paraId="3E0A0A76" w14:textId="77777777" w:rsidR="003438A2" w:rsidRDefault="003438A2">
            <w:pPr>
              <w:pStyle w:val="TableText"/>
            </w:pPr>
            <w:r>
              <w:t>Australian Capital Territory</w:t>
            </w:r>
          </w:p>
        </w:tc>
      </w:tr>
      <w:tr w:rsidR="003438A2" w14:paraId="082B24DD" w14:textId="77777777">
        <w:trPr>
          <w:trHeight w:val="414"/>
        </w:trPr>
        <w:tc>
          <w:tcPr>
            <w:tcW w:w="1335" w:type="pct"/>
          </w:tcPr>
          <w:p w14:paraId="1193C05D" w14:textId="77777777" w:rsidR="003438A2" w:rsidRDefault="003438A2">
            <w:pPr>
              <w:pStyle w:val="TableText"/>
            </w:pPr>
            <w:r>
              <w:t>ALOP</w:t>
            </w:r>
          </w:p>
        </w:tc>
        <w:tc>
          <w:tcPr>
            <w:tcW w:w="3665" w:type="pct"/>
          </w:tcPr>
          <w:p w14:paraId="6C4758EB" w14:textId="77777777" w:rsidR="003438A2" w:rsidRDefault="003438A2">
            <w:pPr>
              <w:pStyle w:val="TableText"/>
            </w:pPr>
            <w:r>
              <w:t>Appropriate level of protection</w:t>
            </w:r>
          </w:p>
        </w:tc>
      </w:tr>
      <w:tr w:rsidR="003438A2" w14:paraId="7EB8349F" w14:textId="77777777" w:rsidTr="00D46B6A">
        <w:trPr>
          <w:trHeight w:val="414"/>
        </w:trPr>
        <w:tc>
          <w:tcPr>
            <w:tcW w:w="1335" w:type="pct"/>
          </w:tcPr>
          <w:p w14:paraId="7A31DE91" w14:textId="77777777" w:rsidR="003438A2" w:rsidRPr="00E16B57" w:rsidRDefault="003438A2" w:rsidP="00D46B6A">
            <w:pPr>
              <w:pStyle w:val="TableText"/>
            </w:pPr>
            <w:r w:rsidRPr="00E16B57">
              <w:t>APAL</w:t>
            </w:r>
          </w:p>
        </w:tc>
        <w:tc>
          <w:tcPr>
            <w:tcW w:w="3665" w:type="pct"/>
          </w:tcPr>
          <w:p w14:paraId="663447ED" w14:textId="77777777" w:rsidR="003438A2" w:rsidRPr="00E16B57" w:rsidRDefault="003438A2" w:rsidP="00D46B6A">
            <w:pPr>
              <w:pStyle w:val="TableText"/>
            </w:pPr>
            <w:r w:rsidRPr="00E16B57">
              <w:t>Apple and Pear Australia Limited</w:t>
            </w:r>
          </w:p>
        </w:tc>
      </w:tr>
      <w:tr w:rsidR="003438A2" w14:paraId="301827BD" w14:textId="77777777" w:rsidTr="00D46B6A">
        <w:trPr>
          <w:trHeight w:val="414"/>
        </w:trPr>
        <w:tc>
          <w:tcPr>
            <w:tcW w:w="1335" w:type="pct"/>
          </w:tcPr>
          <w:p w14:paraId="7BC7BCAE" w14:textId="77777777" w:rsidR="003438A2" w:rsidRPr="00E16B57" w:rsidRDefault="003438A2" w:rsidP="00D46B6A">
            <w:pPr>
              <w:pStyle w:val="TableText"/>
            </w:pPr>
            <w:r w:rsidRPr="00E16B57">
              <w:t>APHIS</w:t>
            </w:r>
          </w:p>
        </w:tc>
        <w:tc>
          <w:tcPr>
            <w:tcW w:w="3665" w:type="pct"/>
          </w:tcPr>
          <w:p w14:paraId="389E6868" w14:textId="77777777" w:rsidR="003438A2" w:rsidRPr="00E16B57" w:rsidRDefault="003438A2" w:rsidP="00D46B6A">
            <w:pPr>
              <w:pStyle w:val="TableText"/>
            </w:pPr>
            <w:r w:rsidRPr="00E16B57">
              <w:t>Animal and Plant Health Inspection Service</w:t>
            </w:r>
          </w:p>
        </w:tc>
      </w:tr>
      <w:tr w:rsidR="003438A2" w14:paraId="42F51EB8" w14:textId="77777777" w:rsidTr="00D46B6A">
        <w:trPr>
          <w:trHeight w:val="414"/>
        </w:trPr>
        <w:tc>
          <w:tcPr>
            <w:tcW w:w="1335" w:type="pct"/>
          </w:tcPr>
          <w:p w14:paraId="29B93BDA" w14:textId="77777777" w:rsidR="003438A2" w:rsidRPr="00E16B57" w:rsidRDefault="003438A2" w:rsidP="00D46B6A">
            <w:pPr>
              <w:pStyle w:val="TableText"/>
            </w:pPr>
            <w:r w:rsidRPr="00E16B57">
              <w:t>APPD</w:t>
            </w:r>
          </w:p>
        </w:tc>
        <w:tc>
          <w:tcPr>
            <w:tcW w:w="3665" w:type="pct"/>
          </w:tcPr>
          <w:p w14:paraId="4239EAE5" w14:textId="77777777" w:rsidR="003438A2" w:rsidRPr="00E16B57" w:rsidRDefault="003438A2" w:rsidP="00D46B6A">
            <w:pPr>
              <w:pStyle w:val="TableText"/>
            </w:pPr>
            <w:r w:rsidRPr="00E16B57">
              <w:t>Australian Plant Pest Database (Plant Health Australia)</w:t>
            </w:r>
          </w:p>
        </w:tc>
      </w:tr>
      <w:tr w:rsidR="003438A2" w14:paraId="37CD8607" w14:textId="77777777">
        <w:trPr>
          <w:trHeight w:val="414"/>
        </w:trPr>
        <w:tc>
          <w:tcPr>
            <w:tcW w:w="1335" w:type="pct"/>
          </w:tcPr>
          <w:p w14:paraId="50A85647" w14:textId="77777777" w:rsidR="003438A2" w:rsidRDefault="003438A2">
            <w:pPr>
              <w:pStyle w:val="TableText"/>
            </w:pPr>
            <w:r>
              <w:t>BICON</w:t>
            </w:r>
          </w:p>
        </w:tc>
        <w:tc>
          <w:tcPr>
            <w:tcW w:w="3665" w:type="pct"/>
          </w:tcPr>
          <w:p w14:paraId="6502CF09" w14:textId="77777777" w:rsidR="003438A2" w:rsidRDefault="003438A2">
            <w:pPr>
              <w:pStyle w:val="TableText"/>
            </w:pPr>
            <w:r>
              <w:t>Australia’s Biosecurity Import Conditions System</w:t>
            </w:r>
          </w:p>
        </w:tc>
      </w:tr>
      <w:tr w:rsidR="003438A2" w14:paraId="5B079086" w14:textId="77777777">
        <w:trPr>
          <w:trHeight w:val="414"/>
        </w:trPr>
        <w:tc>
          <w:tcPr>
            <w:tcW w:w="1335" w:type="pct"/>
          </w:tcPr>
          <w:p w14:paraId="629B9AC0" w14:textId="77777777" w:rsidR="003438A2" w:rsidRDefault="003438A2">
            <w:pPr>
              <w:pStyle w:val="TableText"/>
            </w:pPr>
            <w:r>
              <w:t>BIRA</w:t>
            </w:r>
          </w:p>
        </w:tc>
        <w:tc>
          <w:tcPr>
            <w:tcW w:w="3665" w:type="pct"/>
          </w:tcPr>
          <w:p w14:paraId="068C9A49" w14:textId="77777777" w:rsidR="003438A2" w:rsidRDefault="003438A2">
            <w:pPr>
              <w:pStyle w:val="TableText"/>
            </w:pPr>
            <w:r>
              <w:t>Biosecurity Import Risk Analysis</w:t>
            </w:r>
          </w:p>
        </w:tc>
      </w:tr>
      <w:tr w:rsidR="003438A2" w14:paraId="2EEC82C8" w14:textId="77777777">
        <w:trPr>
          <w:trHeight w:val="414"/>
        </w:trPr>
        <w:tc>
          <w:tcPr>
            <w:tcW w:w="1335" w:type="pct"/>
          </w:tcPr>
          <w:p w14:paraId="4C4052C0" w14:textId="77777777" w:rsidR="003438A2" w:rsidRDefault="003438A2">
            <w:pPr>
              <w:pStyle w:val="TableText"/>
            </w:pPr>
            <w:r>
              <w:t>EP</w:t>
            </w:r>
          </w:p>
        </w:tc>
        <w:tc>
          <w:tcPr>
            <w:tcW w:w="3665" w:type="pct"/>
          </w:tcPr>
          <w:p w14:paraId="5AB36312" w14:textId="77777777" w:rsidR="003438A2" w:rsidRDefault="003438A2">
            <w:pPr>
              <w:pStyle w:val="TableText"/>
            </w:pPr>
            <w:r>
              <w:t>Existing policy</w:t>
            </w:r>
          </w:p>
        </w:tc>
      </w:tr>
      <w:tr w:rsidR="003438A2" w14:paraId="420012DF" w14:textId="77777777">
        <w:trPr>
          <w:trHeight w:val="414"/>
        </w:trPr>
        <w:tc>
          <w:tcPr>
            <w:tcW w:w="1335" w:type="pct"/>
          </w:tcPr>
          <w:p w14:paraId="4261F2F2" w14:textId="77777777" w:rsidR="003438A2" w:rsidRDefault="003438A2">
            <w:pPr>
              <w:pStyle w:val="TableText"/>
            </w:pPr>
            <w:r>
              <w:t>FAO</w:t>
            </w:r>
          </w:p>
        </w:tc>
        <w:tc>
          <w:tcPr>
            <w:tcW w:w="3665" w:type="pct"/>
          </w:tcPr>
          <w:p w14:paraId="42B201E9" w14:textId="77777777" w:rsidR="003438A2" w:rsidRDefault="003438A2">
            <w:pPr>
              <w:pStyle w:val="TableText"/>
            </w:pPr>
            <w:r>
              <w:t>Food and Agriculture Organization of the United Nations</w:t>
            </w:r>
          </w:p>
        </w:tc>
      </w:tr>
      <w:tr w:rsidR="003438A2" w14:paraId="2069AB7C" w14:textId="77777777">
        <w:trPr>
          <w:trHeight w:val="414"/>
        </w:trPr>
        <w:tc>
          <w:tcPr>
            <w:tcW w:w="1335" w:type="pct"/>
          </w:tcPr>
          <w:p w14:paraId="17E0DCF1" w14:textId="77777777" w:rsidR="003438A2" w:rsidRDefault="003438A2">
            <w:pPr>
              <w:pStyle w:val="TableText"/>
            </w:pPr>
            <w:r>
              <w:t>IPC</w:t>
            </w:r>
          </w:p>
        </w:tc>
        <w:tc>
          <w:tcPr>
            <w:tcW w:w="3665" w:type="pct"/>
          </w:tcPr>
          <w:p w14:paraId="2888BA8E" w14:textId="77777777" w:rsidR="003438A2" w:rsidRDefault="003438A2">
            <w:pPr>
              <w:pStyle w:val="TableText"/>
            </w:pPr>
            <w:r>
              <w:t>International Phytosanitary Certificate</w:t>
            </w:r>
          </w:p>
        </w:tc>
      </w:tr>
      <w:tr w:rsidR="003438A2" w14:paraId="2DA8AF3D" w14:textId="77777777">
        <w:trPr>
          <w:trHeight w:val="414"/>
        </w:trPr>
        <w:tc>
          <w:tcPr>
            <w:tcW w:w="1335" w:type="pct"/>
          </w:tcPr>
          <w:p w14:paraId="10E47BFB" w14:textId="77777777" w:rsidR="003438A2" w:rsidRDefault="003438A2">
            <w:pPr>
              <w:pStyle w:val="TableText"/>
            </w:pPr>
            <w:r>
              <w:t>IPPC</w:t>
            </w:r>
          </w:p>
        </w:tc>
        <w:tc>
          <w:tcPr>
            <w:tcW w:w="3665" w:type="pct"/>
          </w:tcPr>
          <w:p w14:paraId="28750E0C" w14:textId="77777777" w:rsidR="003438A2" w:rsidRDefault="003438A2">
            <w:pPr>
              <w:pStyle w:val="TableText"/>
            </w:pPr>
            <w:r>
              <w:t>International Plant Protection Convention</w:t>
            </w:r>
          </w:p>
        </w:tc>
      </w:tr>
      <w:tr w:rsidR="003438A2" w14:paraId="54F78D84" w14:textId="77777777">
        <w:trPr>
          <w:trHeight w:val="414"/>
        </w:trPr>
        <w:tc>
          <w:tcPr>
            <w:tcW w:w="1335" w:type="pct"/>
          </w:tcPr>
          <w:p w14:paraId="3B577893" w14:textId="77777777" w:rsidR="003438A2" w:rsidRDefault="003438A2">
            <w:pPr>
              <w:pStyle w:val="TableText"/>
            </w:pPr>
            <w:r>
              <w:t>ISPM</w:t>
            </w:r>
          </w:p>
        </w:tc>
        <w:tc>
          <w:tcPr>
            <w:tcW w:w="3665" w:type="pct"/>
          </w:tcPr>
          <w:p w14:paraId="25B968D6" w14:textId="77777777" w:rsidR="003438A2" w:rsidRDefault="003438A2">
            <w:pPr>
              <w:pStyle w:val="TableText"/>
            </w:pPr>
            <w:r>
              <w:t>International Standard for Phytosanitary Measures</w:t>
            </w:r>
          </w:p>
        </w:tc>
      </w:tr>
      <w:tr w:rsidR="003438A2" w14:paraId="77AFFE80" w14:textId="77777777">
        <w:trPr>
          <w:trHeight w:val="414"/>
        </w:trPr>
        <w:tc>
          <w:tcPr>
            <w:tcW w:w="1335" w:type="pct"/>
          </w:tcPr>
          <w:p w14:paraId="37FCEE80" w14:textId="77777777" w:rsidR="003438A2" w:rsidRDefault="003438A2">
            <w:pPr>
              <w:pStyle w:val="TableText"/>
            </w:pPr>
            <w:r>
              <w:t>NSW</w:t>
            </w:r>
          </w:p>
        </w:tc>
        <w:tc>
          <w:tcPr>
            <w:tcW w:w="3665" w:type="pct"/>
          </w:tcPr>
          <w:p w14:paraId="7D566D67" w14:textId="77777777" w:rsidR="003438A2" w:rsidRDefault="003438A2">
            <w:pPr>
              <w:pStyle w:val="TableText"/>
            </w:pPr>
            <w:r>
              <w:t>New South Wales</w:t>
            </w:r>
          </w:p>
        </w:tc>
      </w:tr>
      <w:tr w:rsidR="003438A2" w14:paraId="052B3335" w14:textId="77777777">
        <w:trPr>
          <w:trHeight w:val="414"/>
        </w:trPr>
        <w:tc>
          <w:tcPr>
            <w:tcW w:w="1335" w:type="pct"/>
          </w:tcPr>
          <w:p w14:paraId="35C37EE5" w14:textId="77777777" w:rsidR="003438A2" w:rsidRDefault="003438A2">
            <w:pPr>
              <w:pStyle w:val="TableText"/>
            </w:pPr>
            <w:r>
              <w:t>NPPO</w:t>
            </w:r>
          </w:p>
        </w:tc>
        <w:tc>
          <w:tcPr>
            <w:tcW w:w="3665" w:type="pct"/>
          </w:tcPr>
          <w:p w14:paraId="27E7DD8D" w14:textId="77777777" w:rsidR="003438A2" w:rsidRDefault="003438A2">
            <w:pPr>
              <w:pStyle w:val="TableText"/>
            </w:pPr>
            <w:r>
              <w:t>National Plant Protection Organisation</w:t>
            </w:r>
          </w:p>
        </w:tc>
      </w:tr>
      <w:tr w:rsidR="003438A2" w14:paraId="304F924B" w14:textId="77777777">
        <w:trPr>
          <w:trHeight w:val="414"/>
        </w:trPr>
        <w:tc>
          <w:tcPr>
            <w:tcW w:w="1335" w:type="pct"/>
          </w:tcPr>
          <w:p w14:paraId="65582895" w14:textId="77777777" w:rsidR="003438A2" w:rsidRDefault="003438A2">
            <w:pPr>
              <w:pStyle w:val="TableText"/>
            </w:pPr>
            <w:r>
              <w:t>NT</w:t>
            </w:r>
          </w:p>
        </w:tc>
        <w:tc>
          <w:tcPr>
            <w:tcW w:w="3665" w:type="pct"/>
          </w:tcPr>
          <w:p w14:paraId="0219BC0B" w14:textId="77777777" w:rsidR="003438A2" w:rsidRDefault="003438A2">
            <w:pPr>
              <w:pStyle w:val="TableText"/>
            </w:pPr>
            <w:r>
              <w:t>Northern Territory</w:t>
            </w:r>
          </w:p>
        </w:tc>
      </w:tr>
      <w:tr w:rsidR="003438A2" w14:paraId="46DF435A" w14:textId="77777777">
        <w:trPr>
          <w:trHeight w:val="414"/>
        </w:trPr>
        <w:tc>
          <w:tcPr>
            <w:tcW w:w="1335" w:type="pct"/>
          </w:tcPr>
          <w:p w14:paraId="77AC05BC" w14:textId="77777777" w:rsidR="003438A2" w:rsidRDefault="003438A2">
            <w:pPr>
              <w:pStyle w:val="TableText"/>
            </w:pPr>
            <w:r>
              <w:t>PNW</w:t>
            </w:r>
          </w:p>
        </w:tc>
        <w:tc>
          <w:tcPr>
            <w:tcW w:w="3665" w:type="pct"/>
          </w:tcPr>
          <w:p w14:paraId="1D6500E0" w14:textId="77777777" w:rsidR="003438A2" w:rsidRDefault="003438A2" w:rsidP="00B963F4">
            <w:pPr>
              <w:pStyle w:val="TableText"/>
            </w:pPr>
            <w:r>
              <w:t>Pacific Northwest</w:t>
            </w:r>
          </w:p>
        </w:tc>
      </w:tr>
      <w:tr w:rsidR="003438A2" w14:paraId="5C0B9FE0" w14:textId="77777777">
        <w:trPr>
          <w:trHeight w:val="414"/>
        </w:trPr>
        <w:tc>
          <w:tcPr>
            <w:tcW w:w="1335" w:type="pct"/>
          </w:tcPr>
          <w:p w14:paraId="7E27B373" w14:textId="77777777" w:rsidR="003438A2" w:rsidRDefault="003438A2">
            <w:pPr>
              <w:pStyle w:val="TableText"/>
            </w:pPr>
            <w:r>
              <w:t>PRA</w:t>
            </w:r>
          </w:p>
        </w:tc>
        <w:tc>
          <w:tcPr>
            <w:tcW w:w="3665" w:type="pct"/>
          </w:tcPr>
          <w:p w14:paraId="541C4839" w14:textId="77777777" w:rsidR="003438A2" w:rsidRDefault="003438A2" w:rsidP="00B963F4">
            <w:pPr>
              <w:pStyle w:val="TableText"/>
            </w:pPr>
            <w:r>
              <w:t>Pest risk analysis</w:t>
            </w:r>
          </w:p>
        </w:tc>
      </w:tr>
      <w:tr w:rsidR="003438A2" w14:paraId="62812EA5" w14:textId="77777777">
        <w:trPr>
          <w:trHeight w:val="414"/>
        </w:trPr>
        <w:tc>
          <w:tcPr>
            <w:tcW w:w="1335" w:type="pct"/>
          </w:tcPr>
          <w:p w14:paraId="4501472A" w14:textId="77777777" w:rsidR="003438A2" w:rsidRDefault="003438A2">
            <w:pPr>
              <w:pStyle w:val="TableText"/>
            </w:pPr>
            <w:r>
              <w:t>Qld</w:t>
            </w:r>
          </w:p>
        </w:tc>
        <w:tc>
          <w:tcPr>
            <w:tcW w:w="3665" w:type="pct"/>
          </w:tcPr>
          <w:p w14:paraId="5D13FA96" w14:textId="77777777" w:rsidR="003438A2" w:rsidRDefault="003438A2">
            <w:pPr>
              <w:pStyle w:val="TableText"/>
            </w:pPr>
            <w:r>
              <w:t>Queensland</w:t>
            </w:r>
          </w:p>
        </w:tc>
      </w:tr>
      <w:tr w:rsidR="003438A2" w14:paraId="2ACB29C5" w14:textId="77777777">
        <w:trPr>
          <w:trHeight w:val="414"/>
        </w:trPr>
        <w:tc>
          <w:tcPr>
            <w:tcW w:w="1335" w:type="pct"/>
          </w:tcPr>
          <w:p w14:paraId="10E76E33" w14:textId="77777777" w:rsidR="003438A2" w:rsidRDefault="003438A2">
            <w:pPr>
              <w:pStyle w:val="TableText"/>
            </w:pPr>
            <w:r>
              <w:t>SA</w:t>
            </w:r>
          </w:p>
        </w:tc>
        <w:tc>
          <w:tcPr>
            <w:tcW w:w="3665" w:type="pct"/>
          </w:tcPr>
          <w:p w14:paraId="197B507A" w14:textId="77777777" w:rsidR="003438A2" w:rsidRDefault="003438A2">
            <w:pPr>
              <w:pStyle w:val="TableText"/>
            </w:pPr>
            <w:r>
              <w:t>South Australia</w:t>
            </w:r>
          </w:p>
        </w:tc>
      </w:tr>
      <w:tr w:rsidR="003438A2" w14:paraId="3DBD27B1" w14:textId="77777777">
        <w:trPr>
          <w:trHeight w:val="414"/>
        </w:trPr>
        <w:tc>
          <w:tcPr>
            <w:tcW w:w="1335" w:type="pct"/>
          </w:tcPr>
          <w:p w14:paraId="4F0E2F0D" w14:textId="77777777" w:rsidR="003438A2" w:rsidRDefault="003438A2">
            <w:pPr>
              <w:pStyle w:val="TableText"/>
            </w:pPr>
            <w:r>
              <w:t>SPS Agreement</w:t>
            </w:r>
          </w:p>
        </w:tc>
        <w:tc>
          <w:tcPr>
            <w:tcW w:w="3665" w:type="pct"/>
          </w:tcPr>
          <w:p w14:paraId="6E2FE04F" w14:textId="77777777" w:rsidR="003438A2" w:rsidRPr="004E2503" w:rsidRDefault="003438A2">
            <w:pPr>
              <w:pStyle w:val="TableText"/>
            </w:pPr>
            <w:r w:rsidRPr="004E2503">
              <w:t>WTO agreement on the Application of Sanitary and Phytosanitary Measures</w:t>
            </w:r>
          </w:p>
        </w:tc>
      </w:tr>
      <w:tr w:rsidR="003438A2" w14:paraId="54A52CF3" w14:textId="77777777">
        <w:trPr>
          <w:trHeight w:val="414"/>
        </w:trPr>
        <w:tc>
          <w:tcPr>
            <w:tcW w:w="1335" w:type="pct"/>
          </w:tcPr>
          <w:p w14:paraId="1CA887D8" w14:textId="77777777" w:rsidR="003438A2" w:rsidRDefault="003438A2">
            <w:pPr>
              <w:pStyle w:val="TableText"/>
            </w:pPr>
            <w:r>
              <w:t>Tas.</w:t>
            </w:r>
          </w:p>
        </w:tc>
        <w:tc>
          <w:tcPr>
            <w:tcW w:w="3665" w:type="pct"/>
          </w:tcPr>
          <w:p w14:paraId="08703B72" w14:textId="77777777" w:rsidR="003438A2" w:rsidRPr="004E2503" w:rsidRDefault="003438A2">
            <w:pPr>
              <w:pStyle w:val="TableText"/>
            </w:pPr>
            <w:r w:rsidRPr="004E2503">
              <w:t>Tasmania</w:t>
            </w:r>
          </w:p>
        </w:tc>
      </w:tr>
      <w:tr w:rsidR="003438A2" w14:paraId="7077B572" w14:textId="77777777">
        <w:trPr>
          <w:trHeight w:val="414"/>
        </w:trPr>
        <w:tc>
          <w:tcPr>
            <w:tcW w:w="1335" w:type="pct"/>
          </w:tcPr>
          <w:p w14:paraId="5FBA4A61" w14:textId="77777777" w:rsidR="003438A2" w:rsidRDefault="003438A2" w:rsidP="00975FED">
            <w:pPr>
              <w:pStyle w:val="TableText"/>
            </w:pPr>
            <w:r>
              <w:t>T</w:t>
            </w:r>
            <w:r w:rsidRPr="00A11F8D">
              <w:t>he department</w:t>
            </w:r>
          </w:p>
        </w:tc>
        <w:tc>
          <w:tcPr>
            <w:tcW w:w="3665" w:type="pct"/>
          </w:tcPr>
          <w:p w14:paraId="08C45EDB" w14:textId="77777777" w:rsidR="003438A2" w:rsidRPr="004E2503" w:rsidRDefault="003438A2" w:rsidP="00B60EB4">
            <w:pPr>
              <w:pStyle w:val="TableText"/>
            </w:pPr>
            <w:r w:rsidRPr="004E2503">
              <w:t xml:space="preserve">The </w:t>
            </w:r>
            <w:r w:rsidRPr="004E2503">
              <w:rPr>
                <w:szCs w:val="18"/>
              </w:rPr>
              <w:t>Department of Agriculture, Fisheries and Forestry</w:t>
            </w:r>
          </w:p>
        </w:tc>
      </w:tr>
      <w:tr w:rsidR="003438A2" w14:paraId="350006D5" w14:textId="77777777">
        <w:trPr>
          <w:trHeight w:val="414"/>
        </w:trPr>
        <w:tc>
          <w:tcPr>
            <w:tcW w:w="1335" w:type="pct"/>
          </w:tcPr>
          <w:p w14:paraId="3B78D7F7" w14:textId="77777777" w:rsidR="003438A2" w:rsidRDefault="003438A2" w:rsidP="00975FED">
            <w:pPr>
              <w:pStyle w:val="TableText"/>
            </w:pPr>
            <w:r>
              <w:t>URE</w:t>
            </w:r>
          </w:p>
        </w:tc>
        <w:tc>
          <w:tcPr>
            <w:tcW w:w="3665" w:type="pct"/>
          </w:tcPr>
          <w:p w14:paraId="2601FAD2" w14:textId="77777777" w:rsidR="003438A2" w:rsidRPr="004E2503" w:rsidRDefault="003438A2" w:rsidP="009B5DA9">
            <w:pPr>
              <w:pStyle w:val="TableText"/>
            </w:pPr>
            <w:r w:rsidRPr="004E2503">
              <w:t>Unrestricted risk estimate</w:t>
            </w:r>
          </w:p>
        </w:tc>
      </w:tr>
      <w:tr w:rsidR="003438A2" w14:paraId="450C38F7" w14:textId="77777777">
        <w:trPr>
          <w:trHeight w:val="414"/>
        </w:trPr>
        <w:tc>
          <w:tcPr>
            <w:tcW w:w="1335" w:type="pct"/>
          </w:tcPr>
          <w:p w14:paraId="5D12EA3A" w14:textId="77777777" w:rsidR="003438A2" w:rsidRDefault="003438A2">
            <w:pPr>
              <w:pStyle w:val="TableText"/>
            </w:pPr>
            <w:r>
              <w:t>USA</w:t>
            </w:r>
          </w:p>
        </w:tc>
        <w:tc>
          <w:tcPr>
            <w:tcW w:w="3665" w:type="pct"/>
          </w:tcPr>
          <w:p w14:paraId="39B08C89" w14:textId="77777777" w:rsidR="003438A2" w:rsidRDefault="003438A2">
            <w:pPr>
              <w:pStyle w:val="TableText"/>
            </w:pPr>
            <w:r>
              <w:t>United States of America</w:t>
            </w:r>
          </w:p>
        </w:tc>
      </w:tr>
      <w:tr w:rsidR="003438A2" w14:paraId="0AA4E315" w14:textId="77777777">
        <w:trPr>
          <w:trHeight w:val="414"/>
        </w:trPr>
        <w:tc>
          <w:tcPr>
            <w:tcW w:w="1335" w:type="pct"/>
          </w:tcPr>
          <w:p w14:paraId="00F2235E" w14:textId="77777777" w:rsidR="003438A2" w:rsidRDefault="003438A2">
            <w:pPr>
              <w:pStyle w:val="TableText"/>
            </w:pPr>
            <w:r>
              <w:t>USDA</w:t>
            </w:r>
          </w:p>
        </w:tc>
        <w:tc>
          <w:tcPr>
            <w:tcW w:w="3665" w:type="pct"/>
          </w:tcPr>
          <w:p w14:paraId="64437323" w14:textId="77777777" w:rsidR="003438A2" w:rsidRDefault="003438A2">
            <w:pPr>
              <w:pStyle w:val="TableText"/>
            </w:pPr>
            <w:r>
              <w:t>United States Department of Agriculture</w:t>
            </w:r>
          </w:p>
        </w:tc>
      </w:tr>
      <w:tr w:rsidR="003438A2" w14:paraId="472E8C40" w14:textId="77777777">
        <w:trPr>
          <w:trHeight w:val="414"/>
        </w:trPr>
        <w:tc>
          <w:tcPr>
            <w:tcW w:w="1335" w:type="pct"/>
          </w:tcPr>
          <w:p w14:paraId="72A841A4" w14:textId="77777777" w:rsidR="003438A2" w:rsidRDefault="003438A2">
            <w:pPr>
              <w:pStyle w:val="TableText"/>
            </w:pPr>
            <w:r>
              <w:t>Vic.</w:t>
            </w:r>
          </w:p>
        </w:tc>
        <w:tc>
          <w:tcPr>
            <w:tcW w:w="3665" w:type="pct"/>
          </w:tcPr>
          <w:p w14:paraId="3BEB2671" w14:textId="77777777" w:rsidR="003438A2" w:rsidRDefault="003438A2">
            <w:pPr>
              <w:pStyle w:val="TableText"/>
            </w:pPr>
            <w:r>
              <w:t>Victoria</w:t>
            </w:r>
          </w:p>
        </w:tc>
      </w:tr>
      <w:tr w:rsidR="003438A2" w14:paraId="598FD142" w14:textId="77777777">
        <w:trPr>
          <w:trHeight w:val="414"/>
        </w:trPr>
        <w:tc>
          <w:tcPr>
            <w:tcW w:w="1335" w:type="pct"/>
          </w:tcPr>
          <w:p w14:paraId="5FC74CDD" w14:textId="77777777" w:rsidR="003438A2" w:rsidRDefault="003438A2">
            <w:pPr>
              <w:pStyle w:val="TableText"/>
            </w:pPr>
            <w:r>
              <w:t>WA</w:t>
            </w:r>
          </w:p>
        </w:tc>
        <w:tc>
          <w:tcPr>
            <w:tcW w:w="3665" w:type="pct"/>
          </w:tcPr>
          <w:p w14:paraId="7BDC9D69" w14:textId="77777777" w:rsidR="003438A2" w:rsidRDefault="003438A2">
            <w:pPr>
              <w:pStyle w:val="TableText"/>
            </w:pPr>
            <w:r>
              <w:t>Western Australia</w:t>
            </w:r>
          </w:p>
        </w:tc>
      </w:tr>
      <w:tr w:rsidR="003438A2" w14:paraId="25774283" w14:textId="77777777">
        <w:trPr>
          <w:trHeight w:val="414"/>
        </w:trPr>
        <w:tc>
          <w:tcPr>
            <w:tcW w:w="1335" w:type="pct"/>
          </w:tcPr>
          <w:p w14:paraId="7D5BC496" w14:textId="77777777" w:rsidR="003438A2" w:rsidRDefault="003438A2">
            <w:pPr>
              <w:pStyle w:val="TableText"/>
            </w:pPr>
            <w:r>
              <w:t>WTO</w:t>
            </w:r>
          </w:p>
        </w:tc>
        <w:tc>
          <w:tcPr>
            <w:tcW w:w="3665" w:type="pct"/>
          </w:tcPr>
          <w:p w14:paraId="4491B91C" w14:textId="77777777" w:rsidR="003438A2" w:rsidRDefault="003438A2">
            <w:pPr>
              <w:pStyle w:val="TableText"/>
            </w:pPr>
            <w:r>
              <w:t>World Trade Organization</w:t>
            </w:r>
          </w:p>
        </w:tc>
      </w:tr>
    </w:tbl>
    <w:p w14:paraId="6B3F5F2C" w14:textId="77777777" w:rsidR="003438A2" w:rsidRPr="001502E3" w:rsidRDefault="003438A2" w:rsidP="001502E3">
      <w:pPr>
        <w:sectPr w:rsidR="003438A2" w:rsidRPr="001502E3" w:rsidSect="00F720C9">
          <w:headerReference w:type="even" r:id="rId30"/>
          <w:headerReference w:type="default" r:id="rId31"/>
          <w:headerReference w:type="first" r:id="rId32"/>
          <w:pgSz w:w="11906" w:h="16838"/>
          <w:pgMar w:top="1418" w:right="1418" w:bottom="1418" w:left="1418" w:header="567" w:footer="283" w:gutter="0"/>
          <w:pgNumType w:fmt="lowerRoman"/>
          <w:cols w:space="708"/>
          <w:docGrid w:linePitch="360"/>
        </w:sectPr>
      </w:pPr>
    </w:p>
    <w:p w14:paraId="7933150A" w14:textId="77777777" w:rsidR="003438A2" w:rsidRDefault="003438A2" w:rsidP="00707829">
      <w:pPr>
        <w:pStyle w:val="Heading2"/>
        <w:numPr>
          <w:ilvl w:val="0"/>
          <w:numId w:val="0"/>
        </w:numPr>
      </w:pPr>
      <w:bookmarkStart w:id="23" w:name="_Toc112768984"/>
      <w:bookmarkStart w:id="24" w:name="_Hlk44964946"/>
      <w:bookmarkStart w:id="25" w:name="_Hlk109806813"/>
      <w:bookmarkEnd w:id="22"/>
      <w:r>
        <w:lastRenderedPageBreak/>
        <w:t>Summary</w:t>
      </w:r>
      <w:bookmarkEnd w:id="23"/>
    </w:p>
    <w:p w14:paraId="37BB1CCA" w14:textId="77777777" w:rsidR="003438A2" w:rsidRPr="004E2503" w:rsidRDefault="003438A2" w:rsidP="007945EC">
      <w:bookmarkStart w:id="26" w:name="_Hlk39157955"/>
      <w:r w:rsidRPr="004E2503">
        <w:t xml:space="preserve">The Australian Government Department of Agriculture, Fisheries and Forestry </w:t>
      </w:r>
      <w:r>
        <w:t xml:space="preserve">(the department) </w:t>
      </w:r>
      <w:r w:rsidRPr="004E2503">
        <w:t xml:space="preserve">has prepared this </w:t>
      </w:r>
      <w:bookmarkStart w:id="27" w:name="_Hlk89160118"/>
      <w:r w:rsidRPr="004E2503">
        <w:t>final</w:t>
      </w:r>
      <w:bookmarkEnd w:id="27"/>
      <w:r w:rsidRPr="004E2503">
        <w:t xml:space="preserve"> report to assess the proposal by the United States of America (USA) for market access to Australia for fresh apple fruit from the Pacific Northwest states of Idaho, Oregon and Washington, USA</w:t>
      </w:r>
      <w:r>
        <w:t xml:space="preserve"> (PNW-USA)</w:t>
      </w:r>
      <w:r w:rsidRPr="004E2503">
        <w:t xml:space="preserve"> for human consumption.</w:t>
      </w:r>
    </w:p>
    <w:p w14:paraId="204C4A7A" w14:textId="77777777" w:rsidR="003438A2" w:rsidRPr="0003787F" w:rsidRDefault="003438A2" w:rsidP="00D05F75">
      <w:r w:rsidRPr="004E2503">
        <w:t xml:space="preserve">Australia permits the importation of fresh </w:t>
      </w:r>
      <w:r w:rsidRPr="0003787F">
        <w:t>apples from New Zealand and the People’s Republic of China, for human consumption, provided they meet Australian biosecurity requirements.</w:t>
      </w:r>
    </w:p>
    <w:p w14:paraId="29D1DCAC" w14:textId="77777777" w:rsidR="003438A2" w:rsidRPr="0003787F" w:rsidRDefault="003438A2" w:rsidP="007945EC">
      <w:r w:rsidRPr="0003787F">
        <w:t xml:space="preserve">This final report </w:t>
      </w:r>
      <w:bookmarkStart w:id="28" w:name="_Hlk89160135"/>
      <w:r w:rsidRPr="0003787F">
        <w:t>recommends</w:t>
      </w:r>
      <w:bookmarkEnd w:id="28"/>
      <w:r w:rsidRPr="0003787F">
        <w:t xml:space="preserve"> that the importation of commercially produced mature fresh apple fruit to Australia from all production areas of the PNW-USA be permitted, subject to a range of biosecurity requirements.</w:t>
      </w:r>
    </w:p>
    <w:p w14:paraId="730B8EB8" w14:textId="77777777" w:rsidR="003438A2" w:rsidRPr="0003787F" w:rsidRDefault="003438A2" w:rsidP="000469C8">
      <w:r w:rsidRPr="0003787F">
        <w:t>This final report contains details of pests that are of biosecurity concern to Australia and are potentially associated with the importation of fresh apple fruit from the PNW-USA, and the risk assessments for the identified quarantine pests. The final report also contains the recommended risk management measures to reduce the level of biosecurity risk to an acceptable level, that is, to achieve the appropriate level of protection (ALOP) for Australia.</w:t>
      </w:r>
    </w:p>
    <w:p w14:paraId="1D6F19B0" w14:textId="77777777" w:rsidR="003438A2" w:rsidRPr="0003787F" w:rsidRDefault="003438A2" w:rsidP="007945EC">
      <w:bookmarkStart w:id="29" w:name="_Hlk39090750"/>
      <w:r w:rsidRPr="0003787F">
        <w:t>Twenty pests have been identified in this risk analysis as requiring specific risk management measures to reduce the biosecurity risk to an acceptable level</w:t>
      </w:r>
      <w:bookmarkEnd w:id="29"/>
      <w:r w:rsidRPr="0003787F">
        <w:t>. Fourteen of these pests are arthropod pests and 6 are fungal pathogens.</w:t>
      </w:r>
    </w:p>
    <w:p w14:paraId="4A393DB1" w14:textId="77777777" w:rsidR="003438A2" w:rsidRPr="0003787F" w:rsidRDefault="003438A2" w:rsidP="007945EC">
      <w:r w:rsidRPr="0003787F">
        <w:t>The 20 quarantine pests requiring risk management measures are:</w:t>
      </w:r>
    </w:p>
    <w:p w14:paraId="11009774" w14:textId="77777777" w:rsidR="003438A2" w:rsidRPr="0003787F" w:rsidRDefault="003438A2" w:rsidP="004B3E14">
      <w:pPr>
        <w:pStyle w:val="ListParagraph"/>
        <w:numPr>
          <w:ilvl w:val="0"/>
          <w:numId w:val="18"/>
        </w:numPr>
        <w:spacing w:before="120" w:after="120" w:line="240" w:lineRule="auto"/>
        <w:ind w:left="709" w:hanging="283"/>
      </w:pPr>
      <w:r w:rsidRPr="0003787F">
        <w:t>fruit fly: apple maggot</w:t>
      </w:r>
      <w:r w:rsidRPr="0003787F">
        <w:rPr>
          <w:i/>
        </w:rPr>
        <w:t xml:space="preserve"> </w:t>
      </w:r>
      <w:r w:rsidRPr="0003787F">
        <w:t>(</w:t>
      </w:r>
      <w:r w:rsidRPr="0003787F">
        <w:rPr>
          <w:i/>
        </w:rPr>
        <w:t>Rhagoletis pomonella</w:t>
      </w:r>
      <w:r w:rsidRPr="0003787F">
        <w:t>)</w:t>
      </w:r>
    </w:p>
    <w:p w14:paraId="5EBF030C" w14:textId="77777777" w:rsidR="003438A2" w:rsidRPr="0003787F" w:rsidRDefault="003438A2" w:rsidP="004B3E14">
      <w:pPr>
        <w:pStyle w:val="ListParagraph"/>
        <w:numPr>
          <w:ilvl w:val="0"/>
          <w:numId w:val="18"/>
        </w:numPr>
        <w:spacing w:before="120" w:after="120" w:line="240" w:lineRule="auto"/>
        <w:ind w:left="709" w:hanging="283"/>
      </w:pPr>
      <w:r w:rsidRPr="0003787F">
        <w:t>mites: flat scarlet mite (</w:t>
      </w:r>
      <w:r w:rsidRPr="0003787F">
        <w:rPr>
          <w:i/>
        </w:rPr>
        <w:t>Cenopalpus pulcher</w:t>
      </w:r>
      <w:r w:rsidRPr="0003787F">
        <w:t xml:space="preserve">) and </w:t>
      </w:r>
      <w:r w:rsidRPr="0003787F">
        <w:rPr>
          <w:iCs/>
        </w:rPr>
        <w:t>McDaniel spider mite</w:t>
      </w:r>
      <w:r w:rsidRPr="0003787F">
        <w:rPr>
          <w:i/>
        </w:rPr>
        <w:t xml:space="preserve"> </w:t>
      </w:r>
      <w:r w:rsidRPr="0003787F">
        <w:rPr>
          <w:iCs/>
        </w:rPr>
        <w:t>(</w:t>
      </w:r>
      <w:r w:rsidRPr="0003787F">
        <w:rPr>
          <w:i/>
        </w:rPr>
        <w:t>Tetranychus mcdanieli</w:t>
      </w:r>
      <w:r w:rsidRPr="0003787F">
        <w:rPr>
          <w:iCs/>
        </w:rPr>
        <w:t>)</w:t>
      </w:r>
    </w:p>
    <w:p w14:paraId="60E4CF41" w14:textId="77777777" w:rsidR="003438A2" w:rsidRPr="0003787F" w:rsidRDefault="003438A2" w:rsidP="004B3E14">
      <w:pPr>
        <w:pStyle w:val="ListParagraph"/>
        <w:numPr>
          <w:ilvl w:val="0"/>
          <w:numId w:val="18"/>
        </w:numPr>
        <w:spacing w:before="120" w:after="120" w:line="240" w:lineRule="auto"/>
        <w:ind w:left="709" w:hanging="283"/>
      </w:pPr>
      <w:r w:rsidRPr="0003787F">
        <w:rPr>
          <w:lang w:eastAsia="en-AU"/>
        </w:rPr>
        <w:t xml:space="preserve">thrips: </w:t>
      </w:r>
      <w:r w:rsidRPr="0003787F">
        <w:rPr>
          <w:rFonts w:eastAsia="Calibri" w:cs="Times New Roman"/>
        </w:rPr>
        <w:t>eastern flower thrips</w:t>
      </w:r>
      <w:r w:rsidRPr="0003787F">
        <w:rPr>
          <w:i/>
        </w:rPr>
        <w:t xml:space="preserve"> </w:t>
      </w:r>
      <w:r w:rsidRPr="0003787F">
        <w:t>(</w:t>
      </w:r>
      <w:r w:rsidRPr="0003787F">
        <w:rPr>
          <w:i/>
        </w:rPr>
        <w:t>Frankliniella tritici</w:t>
      </w:r>
      <w:r w:rsidRPr="0003787F">
        <w:rPr>
          <w:rFonts w:eastAsia="Calibri" w:cs="Times New Roman"/>
        </w:rPr>
        <w:t>) and western flower thrips</w:t>
      </w:r>
      <w:r w:rsidRPr="0003787F">
        <w:rPr>
          <w:i/>
        </w:rPr>
        <w:t xml:space="preserve"> </w:t>
      </w:r>
      <w:r w:rsidRPr="0003787F">
        <w:t>(</w:t>
      </w:r>
      <w:r w:rsidRPr="0003787F">
        <w:rPr>
          <w:i/>
        </w:rPr>
        <w:t>Frankliniella occidentalis</w:t>
      </w:r>
      <w:r w:rsidRPr="0003787F">
        <w:rPr>
          <w:rFonts w:eastAsia="Calibri" w:cs="Times New Roman"/>
        </w:rPr>
        <w:t>)</w:t>
      </w:r>
    </w:p>
    <w:p w14:paraId="44EFE008" w14:textId="77777777" w:rsidR="003438A2" w:rsidRPr="0003787F" w:rsidRDefault="003438A2" w:rsidP="004B3E14">
      <w:pPr>
        <w:pStyle w:val="ListParagraph"/>
        <w:numPr>
          <w:ilvl w:val="0"/>
          <w:numId w:val="18"/>
        </w:numPr>
        <w:spacing w:before="120" w:after="120" w:line="240" w:lineRule="auto"/>
        <w:ind w:left="709" w:hanging="283"/>
      </w:pPr>
      <w:r w:rsidRPr="0003787F">
        <w:rPr>
          <w:lang w:eastAsia="en-AU"/>
        </w:rPr>
        <w:t xml:space="preserve">mealybugs: </w:t>
      </w:r>
      <w:r w:rsidRPr="0003787F">
        <w:rPr>
          <w:rFonts w:eastAsia="Calibri" w:cs="Times New Roman"/>
        </w:rPr>
        <w:t>apple mealybug</w:t>
      </w:r>
      <w:r w:rsidRPr="0003787F">
        <w:rPr>
          <w:i/>
        </w:rPr>
        <w:t xml:space="preserve"> </w:t>
      </w:r>
      <w:r w:rsidRPr="0003787F">
        <w:t>(</w:t>
      </w:r>
      <w:r w:rsidRPr="0003787F">
        <w:rPr>
          <w:i/>
        </w:rPr>
        <w:t>Phenacoccus aceris</w:t>
      </w:r>
      <w:r w:rsidRPr="0003787F">
        <w:rPr>
          <w:rFonts w:eastAsia="Calibri" w:cs="Times New Roman"/>
        </w:rPr>
        <w:t>) and grape mealybug</w:t>
      </w:r>
      <w:r w:rsidRPr="0003787F">
        <w:rPr>
          <w:i/>
        </w:rPr>
        <w:t xml:space="preserve"> </w:t>
      </w:r>
      <w:r w:rsidRPr="0003787F">
        <w:t>(</w:t>
      </w:r>
      <w:r w:rsidRPr="0003787F">
        <w:rPr>
          <w:i/>
        </w:rPr>
        <w:t>Pseudococcus maritimus</w:t>
      </w:r>
      <w:r w:rsidRPr="0003787F">
        <w:rPr>
          <w:rFonts w:eastAsia="Calibri" w:cs="Times New Roman"/>
        </w:rPr>
        <w:t>)</w:t>
      </w:r>
    </w:p>
    <w:p w14:paraId="41727091" w14:textId="77777777" w:rsidR="003438A2" w:rsidRPr="0003787F" w:rsidRDefault="003438A2" w:rsidP="004B3E14">
      <w:pPr>
        <w:pStyle w:val="ListParagraph"/>
        <w:numPr>
          <w:ilvl w:val="0"/>
          <w:numId w:val="18"/>
        </w:numPr>
        <w:spacing w:before="120" w:after="120" w:line="240" w:lineRule="auto"/>
        <w:ind w:left="709" w:hanging="283"/>
      </w:pPr>
      <w:r w:rsidRPr="0003787F">
        <w:t xml:space="preserve">leafroller and fruit moths: </w:t>
      </w:r>
      <w:r w:rsidRPr="0003787F">
        <w:rPr>
          <w:iCs/>
        </w:rPr>
        <w:t>codling moth</w:t>
      </w:r>
      <w:r w:rsidRPr="0003787F">
        <w:rPr>
          <w:i/>
          <w:iCs/>
        </w:rPr>
        <w:t xml:space="preserve"> </w:t>
      </w:r>
      <w:r w:rsidRPr="0003787F">
        <w:rPr>
          <w:iCs/>
        </w:rPr>
        <w:t>(</w:t>
      </w:r>
      <w:r w:rsidRPr="0003787F">
        <w:rPr>
          <w:i/>
          <w:iCs/>
        </w:rPr>
        <w:t>Cydia pomonella</w:t>
      </w:r>
      <w:r w:rsidRPr="0003787F">
        <w:rPr>
          <w:iCs/>
        </w:rPr>
        <w:t xml:space="preserve">), </w:t>
      </w:r>
      <w:r w:rsidRPr="0003787F">
        <w:rPr>
          <w:rFonts w:eastAsia="Calibri" w:cs="Arial"/>
        </w:rPr>
        <w:t>European leafroller</w:t>
      </w:r>
      <w:r w:rsidRPr="0003787F">
        <w:t xml:space="preserve"> (</w:t>
      </w:r>
      <w:r w:rsidRPr="0003787F">
        <w:rPr>
          <w:i/>
        </w:rPr>
        <w:t>Archips rosana</w:t>
      </w:r>
      <w:r w:rsidRPr="0003787F">
        <w:rPr>
          <w:rFonts w:eastAsia="Calibri" w:cs="Arial"/>
        </w:rPr>
        <w:t>), fruit tree leafroller (</w:t>
      </w:r>
      <w:r w:rsidRPr="0003787F">
        <w:rPr>
          <w:i/>
          <w:iCs/>
        </w:rPr>
        <w:t>Archips argyrospila</w:t>
      </w:r>
      <w:r w:rsidRPr="0003787F">
        <w:rPr>
          <w:rFonts w:eastAsia="Calibri" w:cs="Arial"/>
        </w:rPr>
        <w:t>), large fruit tree tortrix</w:t>
      </w:r>
      <w:r w:rsidRPr="0003787F">
        <w:rPr>
          <w:i/>
          <w:iCs/>
        </w:rPr>
        <w:t xml:space="preserve"> </w:t>
      </w:r>
      <w:r w:rsidRPr="0003787F">
        <w:rPr>
          <w:iCs/>
        </w:rPr>
        <w:t>(</w:t>
      </w:r>
      <w:r w:rsidRPr="0003787F">
        <w:rPr>
          <w:i/>
          <w:iCs/>
        </w:rPr>
        <w:t>Archips podana</w:t>
      </w:r>
      <w:r w:rsidRPr="0003787F">
        <w:rPr>
          <w:rFonts w:eastAsia="Calibri" w:cs="Arial"/>
        </w:rPr>
        <w:t xml:space="preserve">), </w:t>
      </w:r>
      <w:r w:rsidRPr="0003787F">
        <w:rPr>
          <w:rFonts w:eastAsia="Calibri" w:cs="Times New Roman"/>
        </w:rPr>
        <w:t>oblique-banded leafroller</w:t>
      </w:r>
      <w:r w:rsidRPr="0003787F">
        <w:rPr>
          <w:i/>
          <w:iCs/>
        </w:rPr>
        <w:t xml:space="preserve"> </w:t>
      </w:r>
      <w:r w:rsidRPr="0003787F">
        <w:rPr>
          <w:iCs/>
        </w:rPr>
        <w:t>(</w:t>
      </w:r>
      <w:r w:rsidRPr="0003787F">
        <w:rPr>
          <w:i/>
          <w:iCs/>
        </w:rPr>
        <w:t>Choristoneura rosaceana</w:t>
      </w:r>
      <w:r w:rsidRPr="0003787F">
        <w:rPr>
          <w:rFonts w:eastAsia="Calibri" w:cs="Times New Roman"/>
        </w:rPr>
        <w:t xml:space="preserve">), </w:t>
      </w:r>
      <w:r w:rsidRPr="0003787F">
        <w:rPr>
          <w:rFonts w:eastAsia="Calibri" w:cs="Arial"/>
        </w:rPr>
        <w:t>orange tortrix</w:t>
      </w:r>
      <w:r w:rsidRPr="0003787F">
        <w:rPr>
          <w:i/>
        </w:rPr>
        <w:t xml:space="preserve"> </w:t>
      </w:r>
      <w:r w:rsidRPr="0003787F">
        <w:t>(</w:t>
      </w:r>
      <w:r w:rsidRPr="0003787F">
        <w:rPr>
          <w:i/>
        </w:rPr>
        <w:t>Argyrotaenia franciscana</w:t>
      </w:r>
      <w:r w:rsidRPr="0003787F">
        <w:rPr>
          <w:rFonts w:eastAsia="Calibri" w:cs="Arial"/>
        </w:rPr>
        <w:t xml:space="preserve">) </w:t>
      </w:r>
      <w:r w:rsidRPr="0003787F">
        <w:rPr>
          <w:rFonts w:eastAsia="Calibri" w:cs="Times New Roman"/>
        </w:rPr>
        <w:t>and Pandemis leafroller</w:t>
      </w:r>
      <w:r w:rsidRPr="0003787F">
        <w:rPr>
          <w:rFonts w:asciiTheme="majorHAnsi" w:hAnsiTheme="majorHAnsi"/>
          <w:i/>
          <w:iCs/>
        </w:rPr>
        <w:t xml:space="preserve"> </w:t>
      </w:r>
      <w:r w:rsidRPr="0003787F">
        <w:rPr>
          <w:rFonts w:asciiTheme="majorHAnsi" w:hAnsiTheme="majorHAnsi"/>
          <w:iCs/>
        </w:rPr>
        <w:t>(</w:t>
      </w:r>
      <w:r w:rsidRPr="0003787F">
        <w:rPr>
          <w:i/>
        </w:rPr>
        <w:t>Pandemis pyrusana</w:t>
      </w:r>
      <w:r w:rsidRPr="0003787F">
        <w:rPr>
          <w:rFonts w:eastAsia="Calibri" w:cs="Times New Roman"/>
        </w:rPr>
        <w:t>)</w:t>
      </w:r>
    </w:p>
    <w:p w14:paraId="5E554676" w14:textId="77777777" w:rsidR="003438A2" w:rsidRPr="0003787F" w:rsidRDefault="003438A2" w:rsidP="004B3E14">
      <w:pPr>
        <w:pStyle w:val="ListParagraph"/>
        <w:numPr>
          <w:ilvl w:val="0"/>
          <w:numId w:val="18"/>
        </w:numPr>
        <w:spacing w:before="120" w:after="120" w:line="240" w:lineRule="auto"/>
        <w:ind w:left="709" w:hanging="283"/>
      </w:pPr>
      <w:r w:rsidRPr="0003787F">
        <w:t xml:space="preserve">fungi: </w:t>
      </w:r>
      <w:r w:rsidRPr="0003787F">
        <w:rPr>
          <w:rFonts w:eastAsia="Calibri" w:cs="Times New Roman"/>
          <w:iCs/>
        </w:rPr>
        <w:t>apple blotch</w:t>
      </w:r>
      <w:r w:rsidRPr="0003787F">
        <w:rPr>
          <w:bCs/>
          <w:i/>
          <w:iCs/>
        </w:rPr>
        <w:t xml:space="preserve"> </w:t>
      </w:r>
      <w:r w:rsidRPr="0003787F">
        <w:rPr>
          <w:bCs/>
          <w:iCs/>
        </w:rPr>
        <w:t>(</w:t>
      </w:r>
      <w:r w:rsidRPr="0003787F">
        <w:rPr>
          <w:bCs/>
          <w:i/>
          <w:iCs/>
        </w:rPr>
        <w:t>Phyllosticta arbutifolia</w:t>
      </w:r>
      <w:r w:rsidRPr="0003787F">
        <w:rPr>
          <w:rFonts w:eastAsia="Calibri" w:cs="Times New Roman"/>
          <w:iCs/>
        </w:rPr>
        <w:t xml:space="preserve">), </w:t>
      </w:r>
      <w:r w:rsidRPr="0003787F">
        <w:rPr>
          <w:rFonts w:eastAsia="Calibri" w:cs="Times New Roman"/>
          <w:bCs/>
        </w:rPr>
        <w:t>Gymnosporangium</w:t>
      </w:r>
      <w:r w:rsidRPr="0003787F">
        <w:rPr>
          <w:rFonts w:eastAsia="Calibri" w:cs="Times New Roman"/>
          <w:bCs/>
          <w:i/>
          <w:iCs/>
        </w:rPr>
        <w:t xml:space="preserve"> </w:t>
      </w:r>
      <w:r w:rsidRPr="0003787F">
        <w:rPr>
          <w:rFonts w:eastAsia="Calibri" w:cs="Times New Roman"/>
          <w:bCs/>
        </w:rPr>
        <w:t>rusts</w:t>
      </w:r>
      <w:r w:rsidRPr="0003787F">
        <w:rPr>
          <w:rFonts w:eastAsia="Calibri" w:cs="Times New Roman"/>
          <w:bCs/>
          <w:i/>
          <w:iCs/>
        </w:rPr>
        <w:t xml:space="preserve"> </w:t>
      </w:r>
      <w:r w:rsidRPr="0003787F">
        <w:rPr>
          <w:rFonts w:eastAsia="Calibri" w:cs="Times New Roman"/>
          <w:bCs/>
        </w:rPr>
        <w:t>(</w:t>
      </w:r>
      <w:r w:rsidRPr="0003787F">
        <w:rPr>
          <w:rFonts w:eastAsia="Calibri" w:cs="Times New Roman"/>
          <w:bCs/>
          <w:i/>
          <w:iCs/>
        </w:rPr>
        <w:t xml:space="preserve">Gymnosporangium clavipes, G. juniperi-virginianae </w:t>
      </w:r>
      <w:r w:rsidRPr="0003787F">
        <w:rPr>
          <w:rFonts w:eastAsia="Calibri" w:cs="Times New Roman"/>
          <w:bCs/>
        </w:rPr>
        <w:t xml:space="preserve">and </w:t>
      </w:r>
      <w:r w:rsidRPr="0003787F">
        <w:rPr>
          <w:rFonts w:eastAsia="Calibri" w:cs="Times New Roman"/>
          <w:bCs/>
          <w:i/>
          <w:iCs/>
        </w:rPr>
        <w:t>G.</w:t>
      </w:r>
      <w:r w:rsidRPr="0003787F">
        <w:rPr>
          <w:rFonts w:eastAsia="Calibri" w:cs="Times New Roman"/>
          <w:bCs/>
        </w:rPr>
        <w:t xml:space="preserve"> </w:t>
      </w:r>
      <w:r w:rsidRPr="0003787F">
        <w:rPr>
          <w:rFonts w:eastAsia="Calibri" w:cs="Times New Roman"/>
          <w:bCs/>
          <w:i/>
          <w:iCs/>
        </w:rPr>
        <w:t>libocedri</w:t>
      </w:r>
      <w:r w:rsidRPr="0003787F">
        <w:rPr>
          <w:rFonts w:eastAsia="Calibri" w:cs="Times New Roman"/>
          <w:bCs/>
        </w:rPr>
        <w:t>)</w:t>
      </w:r>
      <w:r w:rsidRPr="0003787F">
        <w:rPr>
          <w:rFonts w:eastAsia="Calibri" w:cs="Times New Roman"/>
          <w:bCs/>
          <w:i/>
          <w:iCs/>
        </w:rPr>
        <w:t>,</w:t>
      </w:r>
      <w:r w:rsidRPr="0003787F">
        <w:rPr>
          <w:rFonts w:eastAsia="Calibri" w:cs="Times New Roman"/>
          <w:bCs/>
          <w:iCs/>
        </w:rPr>
        <w:t xml:space="preserve"> speck rot</w:t>
      </w:r>
      <w:r w:rsidRPr="0003787F">
        <w:rPr>
          <w:rFonts w:eastAsia="Calibri" w:cs="Times New Roman"/>
          <w:bCs/>
          <w:i/>
          <w:iCs/>
        </w:rPr>
        <w:t xml:space="preserve"> </w:t>
      </w:r>
      <w:r w:rsidRPr="0003787F">
        <w:rPr>
          <w:rFonts w:eastAsia="Calibri" w:cs="Times New Roman"/>
          <w:bCs/>
          <w:iCs/>
        </w:rPr>
        <w:t>(</w:t>
      </w:r>
      <w:r w:rsidRPr="0003787F">
        <w:rPr>
          <w:rFonts w:eastAsia="Calibri" w:cs="Times New Roman"/>
          <w:bCs/>
          <w:i/>
          <w:iCs/>
        </w:rPr>
        <w:t>Phacidiopycnis washingtonensis</w:t>
      </w:r>
      <w:r w:rsidRPr="0003787F">
        <w:rPr>
          <w:rFonts w:eastAsia="Calibri" w:cs="Times New Roman"/>
          <w:bCs/>
          <w:iCs/>
        </w:rPr>
        <w:t xml:space="preserve">), </w:t>
      </w:r>
      <w:r w:rsidRPr="0003787F">
        <w:t xml:space="preserve">and </w:t>
      </w:r>
      <w:r w:rsidRPr="0003787F">
        <w:rPr>
          <w:rFonts w:eastAsia="Calibri" w:cs="Times New Roman"/>
          <w:iCs/>
        </w:rPr>
        <w:t>Sphaeropsis rot</w:t>
      </w:r>
      <w:r w:rsidRPr="0003787F">
        <w:rPr>
          <w:rFonts w:eastAsia="Calibri" w:cs="Times New Roman"/>
          <w:bCs/>
          <w:i/>
          <w:iCs/>
        </w:rPr>
        <w:t xml:space="preserve"> </w:t>
      </w:r>
      <w:r w:rsidRPr="0003787F">
        <w:rPr>
          <w:rFonts w:eastAsia="Calibri" w:cs="Times New Roman"/>
          <w:bCs/>
          <w:iCs/>
        </w:rPr>
        <w:t>(</w:t>
      </w:r>
      <w:r w:rsidRPr="0003787F">
        <w:rPr>
          <w:rFonts w:eastAsia="Calibri" w:cs="Times New Roman"/>
          <w:bCs/>
          <w:i/>
          <w:iCs/>
        </w:rPr>
        <w:t>Sphaeropsis pyriputrescens</w:t>
      </w:r>
      <w:r w:rsidRPr="0003787F">
        <w:rPr>
          <w:rFonts w:eastAsia="Calibri" w:cs="Times New Roman"/>
          <w:iCs/>
        </w:rPr>
        <w:t>).</w:t>
      </w:r>
    </w:p>
    <w:p w14:paraId="087D0A44" w14:textId="77777777" w:rsidR="003438A2" w:rsidRPr="0003787F" w:rsidRDefault="003438A2" w:rsidP="00321299">
      <w:pPr>
        <w:tabs>
          <w:tab w:val="left" w:pos="993"/>
        </w:tabs>
      </w:pPr>
      <w:r w:rsidRPr="0003787F">
        <w:t xml:space="preserve">The recommended risk management measures take into account regional differences in pest distribution within Australia. One of the arthropod pests requiring risk management measures, </w:t>
      </w:r>
      <w:r w:rsidRPr="0003787F">
        <w:rPr>
          <w:i/>
        </w:rPr>
        <w:t>Frankliniella occidentalis</w:t>
      </w:r>
      <w:r w:rsidRPr="0003787F">
        <w:t xml:space="preserve">, has been identified as a regional quarantine pest for the Northern Territory and one arthropod pest, </w:t>
      </w:r>
      <w:r w:rsidRPr="0003787F">
        <w:rPr>
          <w:i/>
        </w:rPr>
        <w:t>Cydia pomonella</w:t>
      </w:r>
      <w:r w:rsidRPr="0003787F">
        <w:t>, has been identified as a regional quarantine pest for Western Australia.</w:t>
      </w:r>
    </w:p>
    <w:p w14:paraId="3FFF8DAC" w14:textId="77777777" w:rsidR="003438A2" w:rsidRPr="00542502" w:rsidRDefault="003438A2" w:rsidP="003279B6">
      <w:r w:rsidRPr="0003787F">
        <w:rPr>
          <w:i/>
        </w:rPr>
        <w:lastRenderedPageBreak/>
        <w:t>Frankliniella occidentalis</w:t>
      </w:r>
      <w:r w:rsidRPr="0003787F">
        <w:t xml:space="preserve"> was also assessed as a regulated article f</w:t>
      </w:r>
      <w:r w:rsidRPr="006B59F0">
        <w:t xml:space="preserve">or all of Australia as it is capable of harbouring and spreading </w:t>
      </w:r>
      <w:r>
        <w:t xml:space="preserve">(vectoring) </w:t>
      </w:r>
      <w:r w:rsidRPr="006B59F0">
        <w:t>emerging orthotospoviruses that are quarantine pests for Australia.</w:t>
      </w:r>
    </w:p>
    <w:p w14:paraId="49EAD773" w14:textId="77777777" w:rsidR="003438A2" w:rsidRPr="0003787F" w:rsidRDefault="003438A2" w:rsidP="007945EC">
      <w:r w:rsidRPr="007A0D71">
        <w:t xml:space="preserve">This final report recommends a </w:t>
      </w:r>
      <w:r w:rsidRPr="0003787F">
        <w:t>range of risk management measures, combined with an operational system, to reduce the risks posed by the 20 quarantine pests to achieve the ALOP for Australia. These measures include:</w:t>
      </w:r>
    </w:p>
    <w:p w14:paraId="51583A0E" w14:textId="77777777" w:rsidR="003438A2" w:rsidRPr="0003787F" w:rsidRDefault="003438A2" w:rsidP="003438A2">
      <w:pPr>
        <w:pStyle w:val="ListBullet"/>
        <w:numPr>
          <w:ilvl w:val="0"/>
          <w:numId w:val="15"/>
        </w:numPr>
        <w:tabs>
          <w:tab w:val="clear" w:pos="567"/>
          <w:tab w:val="num" w:pos="709"/>
        </w:tabs>
        <w:ind w:left="709"/>
      </w:pPr>
      <w:r w:rsidRPr="0003787F">
        <w:t>for mites, mealybugs and thrips:</w:t>
      </w:r>
    </w:p>
    <w:p w14:paraId="40B81EC7" w14:textId="77777777" w:rsidR="003438A2" w:rsidRPr="0003787F" w:rsidRDefault="003438A2" w:rsidP="003438A2">
      <w:pPr>
        <w:pStyle w:val="ListBullet2"/>
        <w:numPr>
          <w:ilvl w:val="1"/>
          <w:numId w:val="15"/>
        </w:numPr>
      </w:pPr>
      <w:r w:rsidRPr="0003787F">
        <w:t>pre-export visual inspection and, if found, remedial action</w:t>
      </w:r>
    </w:p>
    <w:p w14:paraId="72817D26" w14:textId="77777777" w:rsidR="003438A2" w:rsidRPr="0003787F" w:rsidRDefault="003438A2" w:rsidP="003438A2">
      <w:pPr>
        <w:pStyle w:val="ListBullet"/>
        <w:numPr>
          <w:ilvl w:val="0"/>
          <w:numId w:val="15"/>
        </w:numPr>
        <w:tabs>
          <w:tab w:val="clear" w:pos="567"/>
          <w:tab w:val="num" w:pos="709"/>
        </w:tabs>
        <w:ind w:left="709"/>
      </w:pPr>
      <w:r w:rsidRPr="0003787F">
        <w:t>for apple maggot:</w:t>
      </w:r>
    </w:p>
    <w:p w14:paraId="6CAB183B" w14:textId="77777777" w:rsidR="003438A2" w:rsidRPr="0003787F" w:rsidRDefault="003438A2" w:rsidP="003438A2">
      <w:pPr>
        <w:pStyle w:val="ListBullet2"/>
        <w:numPr>
          <w:ilvl w:val="1"/>
          <w:numId w:val="15"/>
        </w:numPr>
      </w:pPr>
      <w:r w:rsidRPr="0003787F">
        <w:t xml:space="preserve">pest free areas, pest free places of production or pest free production sites, or </w:t>
      </w:r>
    </w:p>
    <w:p w14:paraId="7ACD9254" w14:textId="77777777" w:rsidR="003438A2" w:rsidRPr="0003787F" w:rsidRDefault="003438A2" w:rsidP="003438A2">
      <w:pPr>
        <w:pStyle w:val="ListBullet2"/>
        <w:numPr>
          <w:ilvl w:val="1"/>
          <w:numId w:val="15"/>
        </w:numPr>
      </w:pPr>
      <w:r w:rsidRPr="0003787F">
        <w:t>an a</w:t>
      </w:r>
      <w:r w:rsidRPr="0003787F">
        <w:rPr>
          <w:szCs w:val="18"/>
        </w:rPr>
        <w:t>ppropriate</w:t>
      </w:r>
      <w:r w:rsidRPr="0003787F">
        <w:t xml:space="preserve"> pre-export phytosanitary treatment approved by the department</w:t>
      </w:r>
    </w:p>
    <w:p w14:paraId="3B73AD4E" w14:textId="77777777" w:rsidR="003438A2" w:rsidRPr="0003787F" w:rsidRDefault="003438A2" w:rsidP="003438A2">
      <w:pPr>
        <w:pStyle w:val="ListBullet"/>
        <w:numPr>
          <w:ilvl w:val="0"/>
          <w:numId w:val="15"/>
        </w:numPr>
        <w:tabs>
          <w:tab w:val="clear" w:pos="567"/>
          <w:tab w:val="num" w:pos="709"/>
        </w:tabs>
        <w:ind w:left="709"/>
      </w:pPr>
      <w:r w:rsidRPr="0003787F">
        <w:t>for leafrollers:</w:t>
      </w:r>
    </w:p>
    <w:p w14:paraId="5FCC6EDD" w14:textId="77777777" w:rsidR="003438A2" w:rsidRPr="0003787F" w:rsidRDefault="003438A2" w:rsidP="003438A2">
      <w:pPr>
        <w:pStyle w:val="ListBullet2"/>
        <w:numPr>
          <w:ilvl w:val="1"/>
          <w:numId w:val="15"/>
        </w:numPr>
        <w:ind w:left="794" w:hanging="397"/>
      </w:pPr>
      <w:r w:rsidRPr="0003787F">
        <w:t xml:space="preserve">in-field controls, and pre-export inspection, and if found, remedial action, or </w:t>
      </w:r>
    </w:p>
    <w:p w14:paraId="40C5F2D8" w14:textId="77777777" w:rsidR="003438A2" w:rsidRPr="0003787F" w:rsidRDefault="003438A2" w:rsidP="003438A2">
      <w:pPr>
        <w:pStyle w:val="ListBullet2"/>
        <w:numPr>
          <w:ilvl w:val="1"/>
          <w:numId w:val="15"/>
        </w:numPr>
        <w:ind w:left="794" w:hanging="397"/>
      </w:pPr>
      <w:r w:rsidRPr="0003787F">
        <w:t>an a</w:t>
      </w:r>
      <w:r w:rsidRPr="0003787F">
        <w:rPr>
          <w:szCs w:val="18"/>
        </w:rPr>
        <w:t xml:space="preserve">ppropriate pre-export phytosanitary treatment (such as methyl bromide fumigation) </w:t>
      </w:r>
      <w:r w:rsidRPr="0003787F">
        <w:t>approved by the department</w:t>
      </w:r>
    </w:p>
    <w:p w14:paraId="05022B27" w14:textId="77777777" w:rsidR="003438A2" w:rsidRPr="0003787F" w:rsidRDefault="003438A2" w:rsidP="003438A2">
      <w:pPr>
        <w:pStyle w:val="ListBullet"/>
        <w:numPr>
          <w:ilvl w:val="0"/>
          <w:numId w:val="15"/>
        </w:numPr>
        <w:tabs>
          <w:tab w:val="clear" w:pos="567"/>
          <w:tab w:val="num" w:pos="709"/>
        </w:tabs>
        <w:ind w:left="709"/>
      </w:pPr>
      <w:r w:rsidRPr="0003787F">
        <w:t>for codling moth:</w:t>
      </w:r>
    </w:p>
    <w:p w14:paraId="3F3E331C" w14:textId="77777777" w:rsidR="003438A2" w:rsidRPr="0003787F" w:rsidRDefault="003438A2" w:rsidP="003438A2">
      <w:pPr>
        <w:pStyle w:val="ListBullet2"/>
        <w:numPr>
          <w:ilvl w:val="1"/>
          <w:numId w:val="15"/>
        </w:numPr>
        <w:ind w:left="794" w:hanging="397"/>
      </w:pPr>
      <w:r w:rsidRPr="0003787F">
        <w:t xml:space="preserve">pest free areas, pest free places of production or pest free production sites, or </w:t>
      </w:r>
    </w:p>
    <w:p w14:paraId="503B9F00" w14:textId="77777777" w:rsidR="003438A2" w:rsidRPr="0003787F" w:rsidRDefault="003438A2" w:rsidP="003438A2">
      <w:pPr>
        <w:pStyle w:val="ListBullet2"/>
        <w:numPr>
          <w:ilvl w:val="1"/>
          <w:numId w:val="15"/>
        </w:numPr>
        <w:ind w:left="794" w:hanging="397"/>
      </w:pPr>
      <w:r w:rsidRPr="0003787F">
        <w:t xml:space="preserve">systems approach approved by the department, or </w:t>
      </w:r>
    </w:p>
    <w:p w14:paraId="1A4F9712" w14:textId="77777777" w:rsidR="003438A2" w:rsidRPr="0003787F" w:rsidRDefault="003438A2" w:rsidP="003438A2">
      <w:pPr>
        <w:pStyle w:val="ListBullet2"/>
        <w:numPr>
          <w:ilvl w:val="1"/>
          <w:numId w:val="15"/>
        </w:numPr>
        <w:ind w:left="794" w:hanging="397"/>
      </w:pPr>
      <w:r w:rsidRPr="0003787F">
        <w:t>an a</w:t>
      </w:r>
      <w:r w:rsidRPr="0003787F">
        <w:rPr>
          <w:szCs w:val="18"/>
        </w:rPr>
        <w:t xml:space="preserve">ppropriate pre-export phytosanitary treatment (such as methyl bromide fumigation) </w:t>
      </w:r>
      <w:r w:rsidRPr="0003787F">
        <w:t>approved by the department</w:t>
      </w:r>
    </w:p>
    <w:p w14:paraId="7A635FBB" w14:textId="77777777" w:rsidR="003438A2" w:rsidRPr="0003787F" w:rsidRDefault="003438A2" w:rsidP="003438A2">
      <w:pPr>
        <w:pStyle w:val="ListBullet"/>
        <w:numPr>
          <w:ilvl w:val="0"/>
          <w:numId w:val="15"/>
        </w:numPr>
        <w:tabs>
          <w:tab w:val="clear" w:pos="567"/>
          <w:tab w:val="num" w:pos="709"/>
        </w:tabs>
        <w:ind w:left="709"/>
      </w:pPr>
      <w:r w:rsidRPr="0003787F">
        <w:t>for Gymnosporangium rusts:</w:t>
      </w:r>
    </w:p>
    <w:p w14:paraId="515C931A" w14:textId="77777777" w:rsidR="003438A2" w:rsidRPr="007A0D71" w:rsidRDefault="003438A2" w:rsidP="003438A2">
      <w:pPr>
        <w:pStyle w:val="ListBullet2"/>
        <w:numPr>
          <w:ilvl w:val="1"/>
          <w:numId w:val="15"/>
        </w:numPr>
      </w:pPr>
      <w:r w:rsidRPr="0003787F">
        <w:t>pre-export visual inspection and, if found, remedial</w:t>
      </w:r>
      <w:r>
        <w:t xml:space="preserve"> action</w:t>
      </w:r>
    </w:p>
    <w:p w14:paraId="6784242F" w14:textId="77777777" w:rsidR="003438A2" w:rsidRDefault="003438A2" w:rsidP="003438A2">
      <w:pPr>
        <w:pStyle w:val="ListBullet"/>
        <w:numPr>
          <w:ilvl w:val="0"/>
          <w:numId w:val="15"/>
        </w:numPr>
        <w:tabs>
          <w:tab w:val="clear" w:pos="567"/>
          <w:tab w:val="num" w:pos="709"/>
        </w:tabs>
        <w:ind w:left="709"/>
      </w:pPr>
      <w:r w:rsidRPr="007A0D71">
        <w:t>for Sphaeropsis rot, speck rot and apple blotch</w:t>
      </w:r>
      <w:r>
        <w:t>:</w:t>
      </w:r>
    </w:p>
    <w:p w14:paraId="536D13D0" w14:textId="77777777" w:rsidR="003438A2" w:rsidRPr="007A0D71" w:rsidRDefault="003438A2" w:rsidP="003438A2">
      <w:pPr>
        <w:pStyle w:val="ListBullet2"/>
        <w:numPr>
          <w:ilvl w:val="1"/>
          <w:numId w:val="15"/>
        </w:numPr>
      </w:pPr>
      <w:r>
        <w:t>systems approach approved by the department.</w:t>
      </w:r>
    </w:p>
    <w:p w14:paraId="1A9DEC41" w14:textId="77777777" w:rsidR="003438A2" w:rsidRPr="008B6249" w:rsidRDefault="003438A2" w:rsidP="00E127FB">
      <w:r w:rsidRPr="00737AE8">
        <w:t xml:space="preserve">The </w:t>
      </w:r>
      <w:r>
        <w:t>unrestricted risk estimate (URE)</w:t>
      </w:r>
      <w:r w:rsidRPr="00737AE8">
        <w:t xml:space="preserve"> for three pests</w:t>
      </w:r>
      <w:r>
        <w:t>, apple leafcurling midge (</w:t>
      </w:r>
      <w:r w:rsidRPr="007A0D71">
        <w:rPr>
          <w:i/>
          <w:iCs/>
        </w:rPr>
        <w:t>Dasineura mali</w:t>
      </w:r>
      <w:r>
        <w:t>), fire blight (</w:t>
      </w:r>
      <w:r w:rsidRPr="007A0D71">
        <w:rPr>
          <w:i/>
          <w:iCs/>
        </w:rPr>
        <w:t>Erwinia amylovora</w:t>
      </w:r>
      <w:r>
        <w:t>) and European canker (</w:t>
      </w:r>
      <w:r w:rsidRPr="007A0D71">
        <w:rPr>
          <w:i/>
          <w:iCs/>
        </w:rPr>
        <w:t>Neonectria ditissima</w:t>
      </w:r>
      <w:r>
        <w:t xml:space="preserve">), </w:t>
      </w:r>
      <w:r w:rsidRPr="00737AE8">
        <w:t>achieved the ALOP</w:t>
      </w:r>
      <w:r>
        <w:t xml:space="preserve"> for Australia,</w:t>
      </w:r>
      <w:r w:rsidRPr="00737AE8">
        <w:t xml:space="preserve"> taking into consideration </w:t>
      </w:r>
      <w:r w:rsidRPr="00DC03F6">
        <w:t>commercial</w:t>
      </w:r>
      <w:r>
        <w:t xml:space="preserve"> production</w:t>
      </w:r>
      <w:r w:rsidRPr="00737AE8">
        <w:t xml:space="preserve"> practices already in place in PNW-USA. </w:t>
      </w:r>
      <w:r>
        <w:t xml:space="preserve">Specific commercial production practices are therefore recommended to be mandatory for </w:t>
      </w:r>
      <w:r w:rsidRPr="0011404E">
        <w:rPr>
          <w:i/>
          <w:iCs/>
        </w:rPr>
        <w:t>D. mali</w:t>
      </w:r>
      <w:r>
        <w:t xml:space="preserve">, </w:t>
      </w:r>
      <w:r w:rsidRPr="0011404E">
        <w:rPr>
          <w:i/>
          <w:iCs/>
        </w:rPr>
        <w:t>E. amylovora</w:t>
      </w:r>
      <w:r>
        <w:t xml:space="preserve"> and </w:t>
      </w:r>
      <w:r w:rsidRPr="0011404E">
        <w:rPr>
          <w:i/>
          <w:iCs/>
        </w:rPr>
        <w:t>N.</w:t>
      </w:r>
      <w:r>
        <w:rPr>
          <w:i/>
          <w:iCs/>
        </w:rPr>
        <w:t> </w:t>
      </w:r>
      <w:r w:rsidRPr="0011404E">
        <w:rPr>
          <w:i/>
          <w:iCs/>
        </w:rPr>
        <w:t>ditissima</w:t>
      </w:r>
      <w:r w:rsidRPr="008B6249">
        <w:t>.</w:t>
      </w:r>
      <w:r>
        <w:t xml:space="preserve"> These commercial production practices include:</w:t>
      </w:r>
    </w:p>
    <w:p w14:paraId="377D3D59" w14:textId="77777777" w:rsidR="003438A2" w:rsidRDefault="003438A2" w:rsidP="003438A2">
      <w:pPr>
        <w:pStyle w:val="ListBullet"/>
        <w:numPr>
          <w:ilvl w:val="0"/>
          <w:numId w:val="15"/>
        </w:numPr>
        <w:tabs>
          <w:tab w:val="clear" w:pos="567"/>
          <w:tab w:val="num" w:pos="709"/>
        </w:tabs>
        <w:ind w:left="1418" w:hanging="1134"/>
      </w:pPr>
      <w:r>
        <w:t>for apple leafcurling midge</w:t>
      </w:r>
    </w:p>
    <w:p w14:paraId="5AA760F6" w14:textId="77777777" w:rsidR="003438A2" w:rsidRDefault="003438A2" w:rsidP="003438A2">
      <w:pPr>
        <w:pStyle w:val="ListBullet2"/>
        <w:numPr>
          <w:ilvl w:val="1"/>
          <w:numId w:val="15"/>
        </w:numPr>
        <w:ind w:left="794" w:hanging="397"/>
      </w:pPr>
      <w:r>
        <w:t>i</w:t>
      </w:r>
      <w:r w:rsidRPr="002D4AB0">
        <w:t xml:space="preserve">n-field </w:t>
      </w:r>
      <w:r w:rsidRPr="00E127FB">
        <w:rPr>
          <w:szCs w:val="18"/>
        </w:rPr>
        <w:t xml:space="preserve">monitoring and </w:t>
      </w:r>
      <w:r w:rsidRPr="002D4AB0">
        <w:t>controls, packing house procedures including sorting, grading and packing house sanitation, and pre-export visual inspection and, if found, remedial action</w:t>
      </w:r>
      <w:r>
        <w:t xml:space="preserve"> </w:t>
      </w:r>
    </w:p>
    <w:p w14:paraId="623FB134" w14:textId="77777777" w:rsidR="003438A2" w:rsidRDefault="003438A2" w:rsidP="003438A2">
      <w:pPr>
        <w:pStyle w:val="ListBullet"/>
        <w:numPr>
          <w:ilvl w:val="0"/>
          <w:numId w:val="15"/>
        </w:numPr>
        <w:tabs>
          <w:tab w:val="clear" w:pos="567"/>
          <w:tab w:val="num" w:pos="709"/>
        </w:tabs>
        <w:ind w:left="1418" w:hanging="1134"/>
      </w:pPr>
      <w:r>
        <w:t>for fire blight</w:t>
      </w:r>
    </w:p>
    <w:p w14:paraId="407E110D" w14:textId="77777777" w:rsidR="003438A2" w:rsidRDefault="003438A2" w:rsidP="003438A2">
      <w:pPr>
        <w:pStyle w:val="ListBullet2"/>
        <w:numPr>
          <w:ilvl w:val="1"/>
          <w:numId w:val="15"/>
        </w:numPr>
        <w:ind w:left="794" w:hanging="397"/>
      </w:pPr>
      <w:r>
        <w:t>i</w:t>
      </w:r>
      <w:r w:rsidRPr="002D4AB0">
        <w:t>n-field monitoring and controls, fruit maturity testing, packing house sanitation, and pre-export visual inspection and, if found, remedial action</w:t>
      </w:r>
      <w:r>
        <w:t xml:space="preserve"> </w:t>
      </w:r>
    </w:p>
    <w:p w14:paraId="3F60EE8C" w14:textId="77777777" w:rsidR="003438A2" w:rsidRDefault="003438A2" w:rsidP="003438A2">
      <w:pPr>
        <w:pStyle w:val="ListBullet"/>
        <w:numPr>
          <w:ilvl w:val="0"/>
          <w:numId w:val="15"/>
        </w:numPr>
        <w:tabs>
          <w:tab w:val="clear" w:pos="567"/>
          <w:tab w:val="num" w:pos="709"/>
        </w:tabs>
        <w:ind w:left="1418" w:hanging="1134"/>
      </w:pPr>
      <w:r>
        <w:t>for European canker</w:t>
      </w:r>
    </w:p>
    <w:p w14:paraId="04AC4E00" w14:textId="77777777" w:rsidR="003438A2" w:rsidRPr="00C23A36" w:rsidRDefault="003438A2" w:rsidP="003438A2">
      <w:pPr>
        <w:pStyle w:val="ListBullet2"/>
        <w:numPr>
          <w:ilvl w:val="1"/>
          <w:numId w:val="15"/>
        </w:numPr>
        <w:ind w:left="794" w:hanging="397"/>
      </w:pPr>
      <w:r w:rsidRPr="00C23A36">
        <w:t>in-field monitoring and controls, packing house sanitation, and pre-export visual inspection and, if found, remedial action.</w:t>
      </w:r>
    </w:p>
    <w:p w14:paraId="61390102" w14:textId="77777777" w:rsidR="003438A2" w:rsidRPr="0003787F" w:rsidRDefault="003438A2" w:rsidP="00AE2AAE">
      <w:r w:rsidRPr="00A1389E">
        <w:lastRenderedPageBreak/>
        <w:t xml:space="preserve">Upon finalisation of this policy, the USA must be able to demonstrate to the department that processes and procedures are in place to implement the recommended risk management measures. This will ensure safe trade in fresh apples from the USA. Import conditions can then be published in the Australian Government’s Biosecurity Import Conditions (BICON) system on the </w:t>
      </w:r>
      <w:r w:rsidRPr="0003787F">
        <w:t xml:space="preserve">department’s website, which can be accessed at </w:t>
      </w:r>
      <w:hyperlink r:id="rId33" w:history="1">
        <w:r w:rsidRPr="0003787F">
          <w:rPr>
            <w:rStyle w:val="Hyperlink"/>
          </w:rPr>
          <w:t>bicon.agriculture.gov.au/BiconWeb4.0</w:t>
        </w:r>
      </w:hyperlink>
      <w:r w:rsidRPr="0003787F">
        <w:t>.</w:t>
      </w:r>
    </w:p>
    <w:p w14:paraId="62E88D9B" w14:textId="77777777" w:rsidR="003438A2" w:rsidRPr="0003787F" w:rsidRDefault="003438A2" w:rsidP="00282C64">
      <w:r w:rsidRPr="0003787F">
        <w:t>The department received written submissions on the draft report from 62 stakeholders, but 6 submissions contained no written response to the draft report. The department has made a number of changes to the report following consideration of stakeholder comments and subsequent review of the literature. These changes include:</w:t>
      </w:r>
    </w:p>
    <w:p w14:paraId="0E8D5205" w14:textId="77777777" w:rsidR="003438A2" w:rsidRPr="0003787F" w:rsidRDefault="003438A2" w:rsidP="00F843A1">
      <w:pPr>
        <w:pStyle w:val="ListBullet"/>
        <w:numPr>
          <w:ilvl w:val="0"/>
          <w:numId w:val="26"/>
        </w:numPr>
        <w:tabs>
          <w:tab w:val="clear" w:pos="567"/>
          <w:tab w:val="num" w:pos="709"/>
        </w:tabs>
        <w:ind w:left="709" w:hanging="425"/>
      </w:pPr>
      <w:bookmarkStart w:id="30" w:name="_Hlk109243463"/>
      <w:r w:rsidRPr="0003787F">
        <w:t>minor amendments to Chapter 3 to enhance clarity on commercial production and pest management practices</w:t>
      </w:r>
    </w:p>
    <w:p w14:paraId="5E905412" w14:textId="77777777" w:rsidR="003438A2" w:rsidRPr="0003787F" w:rsidRDefault="003438A2" w:rsidP="00F843A1">
      <w:pPr>
        <w:pStyle w:val="ListBullet"/>
        <w:numPr>
          <w:ilvl w:val="0"/>
          <w:numId w:val="26"/>
        </w:numPr>
        <w:tabs>
          <w:tab w:val="clear" w:pos="567"/>
          <w:tab w:val="num" w:pos="709"/>
        </w:tabs>
        <w:ind w:left="709" w:hanging="425"/>
      </w:pPr>
      <w:r w:rsidRPr="0003787F">
        <w:t>amendments to Chapter 4 ‘Pest risk assessments for quarantine pests’</w:t>
      </w:r>
    </w:p>
    <w:p w14:paraId="61F6109A" w14:textId="77777777" w:rsidR="003438A2" w:rsidRPr="0003787F" w:rsidRDefault="003438A2" w:rsidP="003438A2">
      <w:pPr>
        <w:pStyle w:val="ListBullet2"/>
        <w:numPr>
          <w:ilvl w:val="1"/>
          <w:numId w:val="15"/>
        </w:numPr>
        <w:tabs>
          <w:tab w:val="clear" w:pos="794"/>
          <w:tab w:val="num" w:pos="1134"/>
        </w:tabs>
        <w:ind w:left="1134" w:hanging="283"/>
        <w:contextualSpacing w:val="0"/>
      </w:pPr>
      <w:r w:rsidRPr="0003787F">
        <w:t xml:space="preserve">The likelihood of importation for </w:t>
      </w:r>
      <w:r w:rsidRPr="0003787F">
        <w:rPr>
          <w:i/>
        </w:rPr>
        <w:t xml:space="preserve">Cenopalpus pulcher </w:t>
      </w:r>
      <w:r w:rsidRPr="0003787F">
        <w:t xml:space="preserve">in </w:t>
      </w:r>
      <w:r w:rsidRPr="0003787F">
        <w:rPr>
          <w:iCs/>
        </w:rPr>
        <w:t xml:space="preserve">Section </w:t>
      </w:r>
      <w:r w:rsidRPr="0003787F">
        <w:rPr>
          <w:iCs/>
        </w:rPr>
        <w:fldChar w:fldCharType="begin" w:fldLock="1"/>
      </w:r>
      <w:r w:rsidRPr="0003787F">
        <w:rPr>
          <w:iCs/>
        </w:rPr>
        <w:instrText xml:space="preserve"> REF _Ref108441740 \n \h </w:instrText>
      </w:r>
      <w:r>
        <w:rPr>
          <w:iCs/>
        </w:rPr>
        <w:instrText xml:space="preserve"> \* MERGEFORMAT </w:instrText>
      </w:r>
      <w:r w:rsidRPr="0003787F">
        <w:rPr>
          <w:iCs/>
        </w:rPr>
      </w:r>
      <w:r w:rsidRPr="0003787F">
        <w:rPr>
          <w:iCs/>
        </w:rPr>
        <w:fldChar w:fldCharType="separate"/>
      </w:r>
      <w:r>
        <w:rPr>
          <w:iCs/>
        </w:rPr>
        <w:t>4.1</w:t>
      </w:r>
      <w:r w:rsidRPr="0003787F">
        <w:rPr>
          <w:iCs/>
        </w:rPr>
        <w:fldChar w:fldCharType="end"/>
      </w:r>
      <w:r w:rsidRPr="0003787F">
        <w:rPr>
          <w:iCs/>
        </w:rPr>
        <w:t xml:space="preserve">, </w:t>
      </w:r>
      <w:r w:rsidRPr="0003787F">
        <w:rPr>
          <w:i/>
        </w:rPr>
        <w:t xml:space="preserve">Tetranychus mcdanieli </w:t>
      </w:r>
      <w:r w:rsidRPr="0003787F">
        <w:t xml:space="preserve">in Section </w:t>
      </w:r>
      <w:r w:rsidRPr="0003787F">
        <w:fldChar w:fldCharType="begin" w:fldLock="1"/>
      </w:r>
      <w:r w:rsidRPr="0003787F">
        <w:instrText xml:space="preserve"> REF _Ref108441767 \n \h </w:instrText>
      </w:r>
      <w:r>
        <w:instrText xml:space="preserve"> \* MERGEFORMAT </w:instrText>
      </w:r>
      <w:r w:rsidRPr="0003787F">
        <w:fldChar w:fldCharType="separate"/>
      </w:r>
      <w:r>
        <w:t>4.2</w:t>
      </w:r>
      <w:r w:rsidRPr="0003787F">
        <w:fldChar w:fldCharType="end"/>
      </w:r>
      <w:r w:rsidRPr="0003787F">
        <w:t xml:space="preserve">, and </w:t>
      </w:r>
      <w:r w:rsidRPr="0003787F">
        <w:rPr>
          <w:i/>
          <w:iCs/>
        </w:rPr>
        <w:t>Grapholita molesta</w:t>
      </w:r>
      <w:r w:rsidRPr="0003787F">
        <w:t xml:space="preserve">, </w:t>
      </w:r>
      <w:r w:rsidRPr="0003787F">
        <w:rPr>
          <w:i/>
          <w:iCs/>
        </w:rPr>
        <w:t>Grapholita prunivora</w:t>
      </w:r>
      <w:r w:rsidRPr="0003787F">
        <w:t xml:space="preserve"> and </w:t>
      </w:r>
      <w:r w:rsidRPr="0003787F">
        <w:rPr>
          <w:i/>
          <w:iCs/>
        </w:rPr>
        <w:t>Grapholita packardi</w:t>
      </w:r>
      <w:r w:rsidRPr="0003787F">
        <w:t xml:space="preserve"> in Section </w:t>
      </w:r>
      <w:r w:rsidRPr="0003787F">
        <w:fldChar w:fldCharType="begin" w:fldLock="1"/>
      </w:r>
      <w:r w:rsidRPr="0003787F">
        <w:instrText xml:space="preserve"> REF _Ref108441788 \n \h </w:instrText>
      </w:r>
      <w:r>
        <w:instrText xml:space="preserve"> \* MERGEFORMAT </w:instrText>
      </w:r>
      <w:r w:rsidRPr="0003787F">
        <w:fldChar w:fldCharType="separate"/>
      </w:r>
      <w:r>
        <w:t>4.12</w:t>
      </w:r>
      <w:r w:rsidRPr="0003787F">
        <w:fldChar w:fldCharType="end"/>
      </w:r>
      <w:r w:rsidRPr="0003787F">
        <w:t xml:space="preserve"> have been assessed specifically for PNW-USA apples, instead of adopting from the existing policies. For </w:t>
      </w:r>
      <w:r w:rsidRPr="0003787F">
        <w:rPr>
          <w:i/>
          <w:iCs/>
        </w:rPr>
        <w:t>C. pulcher</w:t>
      </w:r>
      <w:r w:rsidRPr="0003787F">
        <w:t xml:space="preserve">, the URE of Low, which does not achieve the ALOP for Australia, has not changed. For </w:t>
      </w:r>
      <w:r w:rsidRPr="0003787F">
        <w:rPr>
          <w:i/>
          <w:iCs/>
        </w:rPr>
        <w:t>T. mcdanieli</w:t>
      </w:r>
      <w:r w:rsidRPr="0003787F">
        <w:t xml:space="preserve">, the URE has changed from Very Low, which achieves the ALOP for Australia, to Low, which does not achieve the ALOP for Australia. For </w:t>
      </w:r>
      <w:r w:rsidRPr="0003787F">
        <w:rPr>
          <w:i/>
          <w:iCs/>
        </w:rPr>
        <w:t xml:space="preserve">G. prunivora </w:t>
      </w:r>
      <w:r w:rsidRPr="0003787F">
        <w:t xml:space="preserve">and </w:t>
      </w:r>
      <w:r w:rsidRPr="0003787F">
        <w:rPr>
          <w:i/>
          <w:iCs/>
        </w:rPr>
        <w:t>G. packardi</w:t>
      </w:r>
      <w:r w:rsidRPr="0003787F">
        <w:t xml:space="preserve">, the URE has changed from Low, which does not achieve the ALOP for Australia, to Very Low, which achieves the ALOP for Australia. For </w:t>
      </w:r>
      <w:r w:rsidRPr="0003787F">
        <w:rPr>
          <w:i/>
          <w:iCs/>
        </w:rPr>
        <w:t>G. molesta</w:t>
      </w:r>
      <w:r w:rsidRPr="0003787F">
        <w:t>, the URE of Very Low, which achieves the ALOP for Australia, has not changed.</w:t>
      </w:r>
    </w:p>
    <w:p w14:paraId="37E7CA86" w14:textId="77777777" w:rsidR="003438A2" w:rsidRPr="0003787F" w:rsidRDefault="003438A2" w:rsidP="00F843A1">
      <w:pPr>
        <w:pStyle w:val="ListBullet"/>
        <w:numPr>
          <w:ilvl w:val="0"/>
          <w:numId w:val="40"/>
        </w:numPr>
        <w:tabs>
          <w:tab w:val="num" w:pos="1134"/>
        </w:tabs>
        <w:ind w:left="1134" w:hanging="283"/>
        <w:rPr>
          <w:rFonts w:cs="Calibri"/>
        </w:rPr>
      </w:pPr>
      <w:r w:rsidRPr="0003787F">
        <w:t xml:space="preserve">The typing error for the likelihood of importation for </w:t>
      </w:r>
      <w:r w:rsidRPr="0003787F">
        <w:rPr>
          <w:i/>
          <w:iCs/>
        </w:rPr>
        <w:t>Argyresthia conjugella</w:t>
      </w:r>
      <w:r w:rsidRPr="0003787F">
        <w:t xml:space="preserve"> (apple fruit moth) in Section </w:t>
      </w:r>
      <w:r w:rsidRPr="0003787F">
        <w:fldChar w:fldCharType="begin" w:fldLock="1"/>
      </w:r>
      <w:r w:rsidRPr="0003787F">
        <w:instrText xml:space="preserve"> REF _Ref108441834 \n \h </w:instrText>
      </w:r>
      <w:r>
        <w:instrText xml:space="preserve"> \* MERGEFORMAT </w:instrText>
      </w:r>
      <w:r w:rsidRPr="0003787F">
        <w:fldChar w:fldCharType="separate"/>
      </w:r>
      <w:r>
        <w:t>4.13</w:t>
      </w:r>
      <w:r w:rsidRPr="0003787F">
        <w:fldChar w:fldCharType="end"/>
      </w:r>
      <w:r w:rsidRPr="0003787F">
        <w:t xml:space="preserve"> has been amended from Very low to Low. Subsequently, the likelihood of entry has been amended from Very Low to Low, and the likelihood of entry, establishment and spread has also been amended from Very low to Low. However, these changes have not resulted in a change in URE of Very Low for this pest.</w:t>
      </w:r>
    </w:p>
    <w:p w14:paraId="525143B5" w14:textId="77777777" w:rsidR="003438A2" w:rsidRPr="0003787F" w:rsidRDefault="003438A2" w:rsidP="003438A2">
      <w:pPr>
        <w:pStyle w:val="ListBullet2"/>
        <w:numPr>
          <w:ilvl w:val="1"/>
          <w:numId w:val="15"/>
        </w:numPr>
        <w:tabs>
          <w:tab w:val="clear" w:pos="794"/>
          <w:tab w:val="num" w:pos="1134"/>
        </w:tabs>
        <w:ind w:left="1134" w:hanging="283"/>
        <w:contextualSpacing w:val="0"/>
      </w:pPr>
      <w:r w:rsidRPr="0003787F">
        <w:t xml:space="preserve">For </w:t>
      </w:r>
      <w:r w:rsidRPr="0003787F">
        <w:rPr>
          <w:i/>
        </w:rPr>
        <w:t>Coprinopsis psychromorbida</w:t>
      </w:r>
      <w:r w:rsidRPr="0003787F">
        <w:rPr>
          <w:iCs/>
        </w:rPr>
        <w:t xml:space="preserve"> the likelihood of spread in Section 4.16 was re-assessed and the rating changed from Low to Moderate. The URE of Negligible for </w:t>
      </w:r>
      <w:r w:rsidRPr="0003787F">
        <w:rPr>
          <w:i/>
        </w:rPr>
        <w:t>Coprinopsis psychromorbida</w:t>
      </w:r>
      <w:r w:rsidRPr="0003787F">
        <w:rPr>
          <w:iCs/>
        </w:rPr>
        <w:t xml:space="preserve"> has not changed, </w:t>
      </w:r>
      <w:r w:rsidRPr="0003787F">
        <w:t>which achieves the ALOP for Australia.</w:t>
      </w:r>
    </w:p>
    <w:p w14:paraId="129F461B" w14:textId="77777777" w:rsidR="003438A2" w:rsidRDefault="003438A2" w:rsidP="003438A2">
      <w:pPr>
        <w:pStyle w:val="ListBullet2"/>
        <w:numPr>
          <w:ilvl w:val="1"/>
          <w:numId w:val="15"/>
        </w:numPr>
        <w:tabs>
          <w:tab w:val="clear" w:pos="794"/>
          <w:tab w:val="num" w:pos="1134"/>
        </w:tabs>
        <w:ind w:left="1134" w:hanging="283"/>
        <w:contextualSpacing w:val="0"/>
      </w:pPr>
      <w:r w:rsidRPr="005B4BD8">
        <w:rPr>
          <w:i/>
          <w:iCs/>
        </w:rPr>
        <w:t>Neofabraea perennans</w:t>
      </w:r>
      <w:r w:rsidRPr="002D142C">
        <w:t xml:space="preserve"> </w:t>
      </w:r>
      <w:r>
        <w:t xml:space="preserve">has been removed from the risk assessment at Section </w:t>
      </w:r>
      <w:r>
        <w:fldChar w:fldCharType="begin" w:fldLock="1"/>
      </w:r>
      <w:r>
        <w:instrText xml:space="preserve"> REF _Ref108441872 \n \h </w:instrText>
      </w:r>
      <w:r>
        <w:fldChar w:fldCharType="separate"/>
      </w:r>
      <w:r>
        <w:t>4.19</w:t>
      </w:r>
      <w:r>
        <w:fldChar w:fldCharType="end"/>
      </w:r>
      <w:r>
        <w:t xml:space="preserve"> as it </w:t>
      </w:r>
      <w:r w:rsidRPr="002D142C">
        <w:t xml:space="preserve">is considered </w:t>
      </w:r>
      <w:r>
        <w:t>to be present in Australia and is not under official control</w:t>
      </w:r>
      <w:r w:rsidRPr="002D142C">
        <w:t>.</w:t>
      </w:r>
    </w:p>
    <w:p w14:paraId="03513B00" w14:textId="77777777" w:rsidR="003438A2" w:rsidRPr="00EE4A55" w:rsidRDefault="003438A2" w:rsidP="003438A2">
      <w:pPr>
        <w:pStyle w:val="ListBullet2"/>
        <w:numPr>
          <w:ilvl w:val="1"/>
          <w:numId w:val="15"/>
        </w:numPr>
        <w:tabs>
          <w:tab w:val="clear" w:pos="794"/>
          <w:tab w:val="num" w:pos="1134"/>
        </w:tabs>
        <w:ind w:left="1134" w:hanging="283"/>
        <w:contextualSpacing w:val="0"/>
      </w:pPr>
      <w:r w:rsidRPr="002D142C">
        <w:t xml:space="preserve">The risk assessment for </w:t>
      </w:r>
      <w:r w:rsidRPr="005B4BD8">
        <w:rPr>
          <w:i/>
        </w:rPr>
        <w:t>Parlatoria pergandii</w:t>
      </w:r>
      <w:r w:rsidRPr="002D142C">
        <w:t xml:space="preserve"> in Section </w:t>
      </w:r>
      <w:r>
        <w:t>4.6</w:t>
      </w:r>
      <w:r w:rsidRPr="002D142C">
        <w:t xml:space="preserve"> has been</w:t>
      </w:r>
      <w:r w:rsidRPr="00A1389E">
        <w:t xml:space="preserve"> updated to incorporate components </w:t>
      </w:r>
      <w:r w:rsidRPr="00EE4A55">
        <w:t xml:space="preserve">of the </w:t>
      </w:r>
      <w:r w:rsidRPr="00EE4A55">
        <w:rPr>
          <w:i/>
        </w:rPr>
        <w:t xml:space="preserve">Final group pest risk analysis for soft and hard scale insects on fresh fruit, vegetable, cut-flower and foliage imports </w:t>
      </w:r>
      <w:r w:rsidRPr="00EE4A55">
        <w:rPr>
          <w:iCs/>
        </w:rPr>
        <w:t xml:space="preserve">(scales Group PRA) </w:t>
      </w:r>
      <w:r w:rsidRPr="00EE4A55">
        <w:rPr>
          <w:iCs/>
          <w:noProof/>
        </w:rPr>
        <w:t>(DAWE 2021)</w:t>
      </w:r>
      <w:r w:rsidRPr="00EE4A55">
        <w:t xml:space="preserve">. </w:t>
      </w:r>
    </w:p>
    <w:bookmarkEnd w:id="30"/>
    <w:p w14:paraId="5E512386" w14:textId="77777777" w:rsidR="003438A2" w:rsidRPr="00A1389E" w:rsidRDefault="003438A2" w:rsidP="003438A2">
      <w:pPr>
        <w:pStyle w:val="ListBullet2"/>
        <w:numPr>
          <w:ilvl w:val="1"/>
          <w:numId w:val="15"/>
        </w:numPr>
        <w:tabs>
          <w:tab w:val="clear" w:pos="794"/>
          <w:tab w:val="num" w:pos="1134"/>
        </w:tabs>
        <w:ind w:left="1134" w:hanging="283"/>
        <w:contextualSpacing w:val="0"/>
      </w:pPr>
      <w:r w:rsidRPr="00A1389E">
        <w:t xml:space="preserve">Where </w:t>
      </w:r>
      <w:r>
        <w:t>relevant</w:t>
      </w:r>
      <w:r w:rsidRPr="00A1389E">
        <w:t xml:space="preserve">, references </w:t>
      </w:r>
      <w:r>
        <w:t>have been</w:t>
      </w:r>
      <w:r w:rsidRPr="00A1389E">
        <w:t xml:space="preserve"> updated, new references </w:t>
      </w:r>
      <w:r>
        <w:t>have been</w:t>
      </w:r>
      <w:r w:rsidRPr="00A1389E">
        <w:t xml:space="preserve"> added and changes </w:t>
      </w:r>
      <w:r>
        <w:t>have been</w:t>
      </w:r>
      <w:r w:rsidRPr="00A1389E">
        <w:t xml:space="preserve"> made to the likelihood assessments of importation, distribution, establishment and/or spread, and the potential consequence assessments.</w:t>
      </w:r>
    </w:p>
    <w:p w14:paraId="69CCB22F" w14:textId="77777777" w:rsidR="003438A2" w:rsidRPr="006935AD" w:rsidRDefault="003438A2" w:rsidP="00F843A1">
      <w:pPr>
        <w:pStyle w:val="ListBullet"/>
        <w:numPr>
          <w:ilvl w:val="0"/>
          <w:numId w:val="26"/>
        </w:numPr>
        <w:tabs>
          <w:tab w:val="clear" w:pos="567"/>
          <w:tab w:val="num" w:pos="709"/>
        </w:tabs>
        <w:ind w:left="709" w:hanging="425"/>
      </w:pPr>
      <w:r>
        <w:t>a</w:t>
      </w:r>
      <w:r w:rsidRPr="006935AD">
        <w:t>mendments to Appendix A ‘Initiation and categorisation for pests of apple fruit from the Pacific Northwest states of the USA’ to include additional information and references</w:t>
      </w:r>
    </w:p>
    <w:p w14:paraId="6CDC9222" w14:textId="77777777" w:rsidR="003438A2" w:rsidRPr="006D0D40" w:rsidRDefault="003438A2" w:rsidP="00F843A1">
      <w:pPr>
        <w:pStyle w:val="ListBullet2"/>
        <w:numPr>
          <w:ilvl w:val="2"/>
          <w:numId w:val="27"/>
        </w:numPr>
        <w:tabs>
          <w:tab w:val="num" w:pos="1134"/>
        </w:tabs>
        <w:ind w:left="1134" w:hanging="284"/>
        <w:contextualSpacing w:val="0"/>
      </w:pPr>
      <w:r w:rsidRPr="006D0D40">
        <w:rPr>
          <w:rFonts w:eastAsia="Calibri" w:cs="Times New Roman"/>
          <w:i/>
          <w:iCs/>
        </w:rPr>
        <w:t>Lambertella corni-maris</w:t>
      </w:r>
      <w:r>
        <w:rPr>
          <w:rFonts w:eastAsia="Calibri" w:cs="Times New Roman"/>
          <w:i/>
          <w:iCs/>
        </w:rPr>
        <w:t xml:space="preserve">, </w:t>
      </w:r>
      <w:r w:rsidRPr="006D0D40">
        <w:rPr>
          <w:i/>
          <w:iCs/>
        </w:rPr>
        <w:t>Apple hammerhead viroid, Apple rubbery wood virus 1</w:t>
      </w:r>
      <w:r>
        <w:t xml:space="preserve">, </w:t>
      </w:r>
      <w:r w:rsidRPr="006D0D40">
        <w:rPr>
          <w:i/>
          <w:iCs/>
        </w:rPr>
        <w:t>Apple rubbery wood virus 2</w:t>
      </w:r>
      <w:r w:rsidRPr="006D0D40">
        <w:t xml:space="preserve"> and </w:t>
      </w:r>
      <w:r w:rsidRPr="006D0D40">
        <w:rPr>
          <w:i/>
          <w:iCs/>
        </w:rPr>
        <w:t>Citrus concave gum-associated virus</w:t>
      </w:r>
      <w:r w:rsidRPr="006D0D40">
        <w:rPr>
          <w:rFonts w:eastAsia="Calibri" w:cs="Times New Roman"/>
          <w:i/>
          <w:iCs/>
          <w:sz w:val="18"/>
          <w:szCs w:val="18"/>
        </w:rPr>
        <w:t xml:space="preserve"> </w:t>
      </w:r>
      <w:r w:rsidRPr="008B6862">
        <w:rPr>
          <w:rFonts w:eastAsia="Calibri" w:cs="Times New Roman"/>
        </w:rPr>
        <w:t>have been added</w:t>
      </w:r>
      <w:r>
        <w:rPr>
          <w:rFonts w:eastAsia="Calibri" w:cs="Times New Roman"/>
        </w:rPr>
        <w:t>.</w:t>
      </w:r>
    </w:p>
    <w:p w14:paraId="64DF131E" w14:textId="77777777" w:rsidR="003438A2" w:rsidRPr="006D0D40" w:rsidRDefault="003438A2" w:rsidP="00F843A1">
      <w:pPr>
        <w:pStyle w:val="ListBullet2"/>
        <w:numPr>
          <w:ilvl w:val="2"/>
          <w:numId w:val="27"/>
        </w:numPr>
        <w:tabs>
          <w:tab w:val="num" w:pos="1134"/>
        </w:tabs>
        <w:ind w:left="1134" w:hanging="284"/>
        <w:contextualSpacing w:val="0"/>
      </w:pPr>
      <w:r>
        <w:rPr>
          <w:rFonts w:eastAsia="Calibri" w:cs="Times New Roman"/>
        </w:rPr>
        <w:lastRenderedPageBreak/>
        <w:t>Status of</w:t>
      </w:r>
      <w:r w:rsidRPr="006D0D40">
        <w:rPr>
          <w:rFonts w:eastAsia="Calibri" w:cs="Times New Roman"/>
          <w:i/>
          <w:iCs/>
        </w:rPr>
        <w:t xml:space="preserve"> Neofabraea perennans </w:t>
      </w:r>
      <w:r>
        <w:rPr>
          <w:rFonts w:eastAsia="Calibri" w:cs="Times New Roman"/>
        </w:rPr>
        <w:t xml:space="preserve">in Australia </w:t>
      </w:r>
      <w:r w:rsidRPr="006D0D40">
        <w:rPr>
          <w:rFonts w:eastAsia="Calibri" w:cs="Times New Roman"/>
        </w:rPr>
        <w:t xml:space="preserve">has been updated to reflect that it is </w:t>
      </w:r>
      <w:r>
        <w:rPr>
          <w:rFonts w:eastAsia="Calibri" w:cs="Times New Roman"/>
        </w:rPr>
        <w:t>present in Australia (and is not under official control)</w:t>
      </w:r>
      <w:r w:rsidRPr="006D0D40">
        <w:rPr>
          <w:rFonts w:eastAsia="Calibri" w:cs="Times New Roman"/>
        </w:rPr>
        <w:t>.</w:t>
      </w:r>
    </w:p>
    <w:p w14:paraId="5CED4DF9" w14:textId="77777777" w:rsidR="003438A2" w:rsidRPr="00C709E5" w:rsidRDefault="003438A2" w:rsidP="00F843A1">
      <w:pPr>
        <w:pStyle w:val="ListBullet2"/>
        <w:numPr>
          <w:ilvl w:val="2"/>
          <w:numId w:val="27"/>
        </w:numPr>
        <w:tabs>
          <w:tab w:val="num" w:pos="1134"/>
        </w:tabs>
        <w:ind w:left="1134" w:hanging="284"/>
        <w:contextualSpacing w:val="0"/>
      </w:pPr>
      <w:r>
        <w:rPr>
          <w:rFonts w:eastAsia="Calibri" w:cs="Times New Roman"/>
          <w:iCs/>
        </w:rPr>
        <w:t xml:space="preserve">Status of </w:t>
      </w:r>
      <w:r w:rsidRPr="006D0D40">
        <w:rPr>
          <w:rFonts w:eastAsia="Calibri" w:cs="Times New Roman"/>
          <w:i/>
        </w:rPr>
        <w:t xml:space="preserve">Conotrachelus nenuphar </w:t>
      </w:r>
      <w:r w:rsidRPr="006D0D40">
        <w:rPr>
          <w:rFonts w:eastAsia="Calibri" w:cs="Times New Roman"/>
          <w:iCs/>
        </w:rPr>
        <w:t xml:space="preserve">(plum curculio) </w:t>
      </w:r>
      <w:r>
        <w:rPr>
          <w:rFonts w:eastAsia="Calibri" w:cs="Times New Roman"/>
          <w:iCs/>
        </w:rPr>
        <w:t>has been</w:t>
      </w:r>
      <w:r w:rsidRPr="006D0D40">
        <w:rPr>
          <w:rFonts w:eastAsia="Calibri" w:cs="Times New Roman"/>
          <w:iCs/>
        </w:rPr>
        <w:t xml:space="preserve"> </w:t>
      </w:r>
      <w:r>
        <w:rPr>
          <w:rFonts w:eastAsia="Calibri" w:cs="Times New Roman"/>
          <w:iCs/>
        </w:rPr>
        <w:t>updated to clarify</w:t>
      </w:r>
      <w:r w:rsidRPr="006D0D40">
        <w:rPr>
          <w:rFonts w:eastAsia="Calibri" w:cs="Times New Roman"/>
          <w:iCs/>
        </w:rPr>
        <w:t xml:space="preserve"> </w:t>
      </w:r>
      <w:r>
        <w:rPr>
          <w:rFonts w:eastAsia="Calibri" w:cs="Times New Roman"/>
          <w:iCs/>
        </w:rPr>
        <w:t>its</w:t>
      </w:r>
      <w:r w:rsidRPr="006D0D40">
        <w:rPr>
          <w:rFonts w:eastAsia="Calibri" w:cs="Times New Roman"/>
          <w:iCs/>
        </w:rPr>
        <w:t xml:space="preserve"> absen</w:t>
      </w:r>
      <w:r>
        <w:rPr>
          <w:rFonts w:eastAsia="Calibri" w:cs="Times New Roman"/>
          <w:iCs/>
        </w:rPr>
        <w:t>ce</w:t>
      </w:r>
      <w:r w:rsidRPr="006D0D40">
        <w:rPr>
          <w:rFonts w:eastAsia="Calibri" w:cs="Times New Roman"/>
          <w:iCs/>
        </w:rPr>
        <w:t xml:space="preserve"> from the PNW-</w:t>
      </w:r>
      <w:r w:rsidRPr="00C709E5">
        <w:rPr>
          <w:rFonts w:eastAsia="Calibri" w:cs="Times New Roman"/>
          <w:iCs/>
        </w:rPr>
        <w:t>USA.</w:t>
      </w:r>
    </w:p>
    <w:p w14:paraId="16D52EC3" w14:textId="77777777" w:rsidR="003438A2" w:rsidRPr="00C709E5" w:rsidRDefault="003438A2" w:rsidP="00F843A1">
      <w:pPr>
        <w:pStyle w:val="ListBullet2"/>
        <w:numPr>
          <w:ilvl w:val="2"/>
          <w:numId w:val="27"/>
        </w:numPr>
        <w:tabs>
          <w:tab w:val="num" w:pos="1134"/>
        </w:tabs>
        <w:ind w:left="1134" w:hanging="284"/>
        <w:contextualSpacing w:val="0"/>
      </w:pPr>
      <w:r w:rsidRPr="00C709E5">
        <w:rPr>
          <w:iCs/>
        </w:rPr>
        <w:t xml:space="preserve">Status </w:t>
      </w:r>
      <w:r w:rsidRPr="00C709E5">
        <w:rPr>
          <w:rFonts w:eastAsia="Calibri" w:cs="Times New Roman"/>
          <w:iCs/>
        </w:rPr>
        <w:t xml:space="preserve">of </w:t>
      </w:r>
      <w:r w:rsidRPr="00C709E5">
        <w:rPr>
          <w:i/>
        </w:rPr>
        <w:t xml:space="preserve">Aculus malivagrans </w:t>
      </w:r>
      <w:r w:rsidRPr="00C709E5">
        <w:rPr>
          <w:iCs/>
        </w:rPr>
        <w:t>(</w:t>
      </w:r>
      <w:r w:rsidRPr="00C709E5">
        <w:rPr>
          <w:rFonts w:eastAsia="Calibri" w:cs="Times New Roman"/>
          <w:iCs/>
        </w:rPr>
        <w:t xml:space="preserve">synonym </w:t>
      </w:r>
      <w:r w:rsidRPr="00C709E5">
        <w:rPr>
          <w:rFonts w:eastAsia="Calibri" w:cs="Times New Roman"/>
          <w:i/>
        </w:rPr>
        <w:t>Vasates</w:t>
      </w:r>
      <w:r w:rsidRPr="00C709E5">
        <w:rPr>
          <w:rFonts w:eastAsia="Calibri" w:cs="Times New Roman"/>
          <w:iCs/>
        </w:rPr>
        <w:t xml:space="preserve"> </w:t>
      </w:r>
      <w:r w:rsidRPr="00C709E5">
        <w:rPr>
          <w:i/>
        </w:rPr>
        <w:t>malivagrans</w:t>
      </w:r>
      <w:r w:rsidRPr="00C709E5">
        <w:rPr>
          <w:iCs/>
        </w:rPr>
        <w:t>) has been</w:t>
      </w:r>
      <w:r w:rsidRPr="00C709E5">
        <w:rPr>
          <w:i/>
        </w:rPr>
        <w:t xml:space="preserve"> </w:t>
      </w:r>
      <w:r w:rsidRPr="00C709E5">
        <w:rPr>
          <w:iCs/>
        </w:rPr>
        <w:t xml:space="preserve">updated </w:t>
      </w:r>
      <w:r w:rsidRPr="00C709E5">
        <w:rPr>
          <w:rFonts w:eastAsia="Calibri" w:cs="Times New Roman"/>
          <w:iCs/>
        </w:rPr>
        <w:t>as present in the PNW-USA and Australia.</w:t>
      </w:r>
    </w:p>
    <w:p w14:paraId="0B6FB87F" w14:textId="77777777" w:rsidR="003438A2" w:rsidRDefault="003438A2" w:rsidP="00F843A1">
      <w:pPr>
        <w:pStyle w:val="ListBullet"/>
        <w:numPr>
          <w:ilvl w:val="0"/>
          <w:numId w:val="27"/>
        </w:numPr>
        <w:tabs>
          <w:tab w:val="num" w:pos="709"/>
        </w:tabs>
        <w:ind w:left="709" w:hanging="425"/>
      </w:pPr>
      <w:r w:rsidRPr="00C709E5">
        <w:t>addition of Appendix B ‘Issues raised in stakeholder co</w:t>
      </w:r>
      <w:r w:rsidRPr="006935AD">
        <w:t>mments’, which summarises the key technical issues raised by stakeholders, and how the</w:t>
      </w:r>
      <w:r>
        <w:t xml:space="preserve"> issues</w:t>
      </w:r>
      <w:r w:rsidRPr="006935AD">
        <w:t xml:space="preserve"> were considered by the department</w:t>
      </w:r>
      <w:r>
        <w:t xml:space="preserve"> in this final report</w:t>
      </w:r>
    </w:p>
    <w:p w14:paraId="5805A8D1" w14:textId="77777777" w:rsidR="003438A2" w:rsidRPr="006935AD" w:rsidRDefault="003438A2" w:rsidP="00F843A1">
      <w:pPr>
        <w:pStyle w:val="ListBullet"/>
        <w:numPr>
          <w:ilvl w:val="0"/>
          <w:numId w:val="27"/>
        </w:numPr>
        <w:tabs>
          <w:tab w:val="num" w:pos="709"/>
        </w:tabs>
        <w:ind w:left="709" w:hanging="425"/>
      </w:pPr>
      <w:r>
        <w:t>m</w:t>
      </w:r>
      <w:r w:rsidRPr="006935AD">
        <w:t>inor corrections, rewording and editorial changes for consistency, accuracy, clarity and web-accessibility</w:t>
      </w:r>
    </w:p>
    <w:p w14:paraId="6C2A3B1B" w14:textId="77777777" w:rsidR="003438A2" w:rsidRDefault="003438A2" w:rsidP="00F843A1">
      <w:pPr>
        <w:pStyle w:val="ListBullet"/>
        <w:numPr>
          <w:ilvl w:val="0"/>
          <w:numId w:val="27"/>
        </w:numPr>
        <w:tabs>
          <w:tab w:val="num" w:pos="709"/>
        </w:tabs>
        <w:ind w:left="709" w:hanging="425"/>
      </w:pPr>
      <w:r>
        <w:t>u</w:t>
      </w:r>
      <w:r w:rsidRPr="006935AD">
        <w:t>pdates to weblinks to cited references where appropriate.</w:t>
      </w:r>
      <w:bookmarkEnd w:id="24"/>
    </w:p>
    <w:bookmarkEnd w:id="25"/>
    <w:p w14:paraId="2B2A6B34" w14:textId="77777777" w:rsidR="003438A2" w:rsidRPr="009C119E" w:rsidRDefault="003438A2" w:rsidP="001F473A">
      <w:pPr>
        <w:pStyle w:val="ListBullet"/>
        <w:numPr>
          <w:ilvl w:val="0"/>
          <w:numId w:val="0"/>
        </w:numPr>
        <w:sectPr w:rsidR="003438A2" w:rsidRPr="009C119E" w:rsidSect="001D6808">
          <w:headerReference w:type="even" r:id="rId34"/>
          <w:headerReference w:type="default" r:id="rId35"/>
          <w:footerReference w:type="default" r:id="rId36"/>
          <w:headerReference w:type="first" r:id="rId37"/>
          <w:pgSz w:w="11906" w:h="16838"/>
          <w:pgMar w:top="1418" w:right="1418" w:bottom="1418" w:left="1418" w:header="567" w:footer="283" w:gutter="0"/>
          <w:pgNumType w:start="1"/>
          <w:cols w:space="708"/>
          <w:docGrid w:linePitch="360"/>
        </w:sectPr>
      </w:pPr>
    </w:p>
    <w:p w14:paraId="155F6F0D" w14:textId="77777777" w:rsidR="003438A2" w:rsidRDefault="003438A2" w:rsidP="00707829">
      <w:pPr>
        <w:pStyle w:val="Heading2"/>
      </w:pPr>
      <w:bookmarkStart w:id="31" w:name="_Toc112768985"/>
      <w:bookmarkStart w:id="32" w:name="_Hlk44965183"/>
      <w:r>
        <w:lastRenderedPageBreak/>
        <w:t>Introduction</w:t>
      </w:r>
      <w:bookmarkEnd w:id="31"/>
    </w:p>
    <w:p w14:paraId="0934124E" w14:textId="77777777" w:rsidR="003438A2" w:rsidRDefault="003438A2" w:rsidP="0054650E">
      <w:pPr>
        <w:pStyle w:val="Heading3"/>
      </w:pPr>
      <w:bookmarkStart w:id="33" w:name="_Toc112768986"/>
      <w:r>
        <w:t>Australia’s biosecurity policy framework</w:t>
      </w:r>
      <w:bookmarkEnd w:id="33"/>
    </w:p>
    <w:p w14:paraId="2DAEDFE0" w14:textId="77777777" w:rsidR="003438A2" w:rsidRDefault="003438A2" w:rsidP="00707829">
      <w:r>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14:paraId="28CF6E4A" w14:textId="77777777" w:rsidR="003438A2" w:rsidRDefault="003438A2" w:rsidP="00707829">
      <w:r>
        <w:t>The risk analysis process is an important part of Australia’s biosecurity policy development. It enables the Australian Government to formally consider the level of biosecurity risk that may be associated with proposals to import goods into Australia. If the biosecurity risks do not achieve the appropriate level of protection (ALOP) for Australia, risk management measures are proposed to reduce the risks to an acceptable level. If the risks cannot be reduced to an acceptable level, the goods will not be imported into Australia until suitable measures are identified or developed.</w:t>
      </w:r>
    </w:p>
    <w:p w14:paraId="38C6E586" w14:textId="77777777" w:rsidR="003438A2" w:rsidRPr="005500AA" w:rsidRDefault="003438A2" w:rsidP="00707829">
      <w:r>
        <w:t xml:space="preserve">Successive Australian Governments have maintained a stringent, but not a zero risk, approach to the management of biosecurity risks. This approach is expressed in terms of the ALOP for Australia, which is defined in the </w:t>
      </w:r>
      <w:r>
        <w:rPr>
          <w:i/>
        </w:rPr>
        <w:t>Biosecurity Act 2015</w:t>
      </w:r>
      <w:r>
        <w:t xml:space="preserve"> as providing a high level of protection aimed at reducing risk to a very low </w:t>
      </w:r>
      <w:r w:rsidRPr="005500AA">
        <w:t>level, but not to zero.</w:t>
      </w:r>
    </w:p>
    <w:p w14:paraId="41601AF3" w14:textId="77777777" w:rsidR="003438A2" w:rsidRPr="005500AA" w:rsidRDefault="003438A2" w:rsidP="00C473EC">
      <w:r w:rsidRPr="005500AA">
        <w:t>Australia’s risk analyses are undertaken by the Department of Agriculture, Fisheries and Forestry</w:t>
      </w:r>
      <w:r w:rsidRPr="005500AA">
        <w:rPr>
          <w:sz w:val="18"/>
          <w:szCs w:val="18"/>
        </w:rPr>
        <w:t xml:space="preserve"> </w:t>
      </w:r>
      <w:r w:rsidRPr="005500AA">
        <w:t>using technical and scientific experts in relevant fields and involve consultation with stakeholders at various stages during the process.</w:t>
      </w:r>
    </w:p>
    <w:p w14:paraId="1EF6AAE1" w14:textId="77777777" w:rsidR="003438A2" w:rsidRPr="005500AA" w:rsidRDefault="003438A2" w:rsidP="0093500F">
      <w:r w:rsidRPr="005500AA">
        <w:t>Risk analyses may take the form of a biosecurity import risk analysis (BIRA) or a review of biosecurity import requirements</w:t>
      </w:r>
      <w:r w:rsidRPr="005500AA">
        <w:rPr>
          <w:color w:val="000000" w:themeColor="text1"/>
        </w:rPr>
        <w:t xml:space="preserve"> (such as scientific review of existing policy and import conditions, pest-specific assessments, weed risk assessments, biological control agent assessments or scientific advice</w:t>
      </w:r>
      <w:r w:rsidRPr="005500AA">
        <w:t>).</w:t>
      </w:r>
    </w:p>
    <w:p w14:paraId="780641F7" w14:textId="77777777" w:rsidR="003438A2" w:rsidRDefault="003438A2" w:rsidP="00471D38">
      <w:r w:rsidRPr="005500AA">
        <w:t xml:space="preserve">Further information about Australia’s biosecurity framework is provided in the </w:t>
      </w:r>
      <w:r w:rsidRPr="005500AA">
        <w:rPr>
          <w:i/>
          <w:iCs/>
        </w:rPr>
        <w:t>Biosecurity</w:t>
      </w:r>
      <w:r w:rsidRPr="005500AA">
        <w:t xml:space="preserve"> </w:t>
      </w:r>
      <w:r w:rsidRPr="005500AA">
        <w:rPr>
          <w:i/>
          <w:iCs/>
        </w:rPr>
        <w:t>Import R</w:t>
      </w:r>
      <w:r>
        <w:rPr>
          <w:i/>
          <w:iCs/>
        </w:rPr>
        <w:t>isk Analysis Guidelines 2016</w:t>
      </w:r>
      <w:r>
        <w:t xml:space="preserve"> located on the</w:t>
      </w:r>
      <w:hyperlink r:id="rId38" w:history="1">
        <w:r w:rsidRPr="001F5D20">
          <w:t xml:space="preserve"> Department of Agriculture, Fisheries and Forestry </w:t>
        </w:r>
        <w:r w:rsidRPr="00842528">
          <w:t>website</w:t>
        </w:r>
      </w:hyperlink>
      <w:r w:rsidRPr="00842528">
        <w:t xml:space="preserve"> at</w:t>
      </w:r>
      <w:r>
        <w:rPr>
          <w:rStyle w:val="Hyperlink"/>
        </w:rPr>
        <w:t xml:space="preserve"> </w:t>
      </w:r>
      <w:hyperlink r:id="rId39" w:history="1">
        <w:r w:rsidRPr="001F5D20">
          <w:rPr>
            <w:rStyle w:val="Hyperlink"/>
          </w:rPr>
          <w:t>agriculture.gov.au/biosecurity-trade/policy/risk-analysis/guidelines</w:t>
        </w:r>
      </w:hyperlink>
      <w:r>
        <w:t>.</w:t>
      </w:r>
    </w:p>
    <w:p w14:paraId="231DA4D5" w14:textId="77777777" w:rsidR="003438A2" w:rsidRDefault="003438A2" w:rsidP="00707829">
      <w:pPr>
        <w:pStyle w:val="Heading3"/>
      </w:pPr>
      <w:bookmarkStart w:id="34" w:name="_Toc112768987"/>
      <w:r>
        <w:t>This risk analysis</w:t>
      </w:r>
      <w:bookmarkEnd w:id="34"/>
    </w:p>
    <w:p w14:paraId="43493BD9" w14:textId="77777777" w:rsidR="003438A2" w:rsidRDefault="003438A2" w:rsidP="00591D87">
      <w:pPr>
        <w:pStyle w:val="Heading4"/>
      </w:pPr>
      <w:r>
        <w:t>Background</w:t>
      </w:r>
    </w:p>
    <w:p w14:paraId="6B89BDB6" w14:textId="77777777" w:rsidR="003438A2" w:rsidRPr="000D6294" w:rsidRDefault="003438A2" w:rsidP="00707829">
      <w:r w:rsidRPr="000D6294">
        <w:t>The United States Department of Agriculture (USDA)</w:t>
      </w:r>
      <w:r>
        <w:t>,</w:t>
      </w:r>
      <w:r w:rsidRPr="000D6294">
        <w:t xml:space="preserve"> Animal and Plant Health Inspection Service (APHIS) formally requested market access </w:t>
      </w:r>
      <w:r>
        <w:t xml:space="preserve">to Australia </w:t>
      </w:r>
      <w:r w:rsidRPr="000D6294">
        <w:t>for fresh apple fruit from the Pacific Northwest states of Idaho</w:t>
      </w:r>
      <w:r>
        <w:t>,</w:t>
      </w:r>
      <w:r w:rsidRPr="000D6294">
        <w:t xml:space="preserve"> Oregon and</w:t>
      </w:r>
      <w:r w:rsidRPr="00803348">
        <w:t xml:space="preserve"> </w:t>
      </w:r>
      <w:r w:rsidRPr="000D6294">
        <w:t>Washington</w:t>
      </w:r>
      <w:r>
        <w:t>, United States of America (PNW-USA)</w:t>
      </w:r>
      <w:r w:rsidRPr="000D6294">
        <w:t xml:space="preserve"> in a submission received </w:t>
      </w:r>
      <w:r>
        <w:t>in</w:t>
      </w:r>
      <w:r w:rsidRPr="000D6294">
        <w:t xml:space="preserve"> June 1999. This submission included information on the pests associated with fresh apple fruit from the PNW</w:t>
      </w:r>
      <w:r>
        <w:t>-USA</w:t>
      </w:r>
      <w:r w:rsidRPr="000D6294">
        <w:t>, including the plant part affected and the standard commercial production practices for fresh apple fruit in the PNW</w:t>
      </w:r>
      <w:r>
        <w:t>-USA</w:t>
      </w:r>
      <w:r w:rsidRPr="000D6294">
        <w:t>.</w:t>
      </w:r>
    </w:p>
    <w:p w14:paraId="1E3FCCB4" w14:textId="77777777" w:rsidR="003438A2" w:rsidRDefault="003438A2" w:rsidP="000C7971">
      <w:pPr>
        <w:rPr>
          <w:i/>
        </w:rPr>
      </w:pPr>
      <w:r w:rsidRPr="008D2A02">
        <w:t xml:space="preserve">A </w:t>
      </w:r>
      <w:r>
        <w:t xml:space="preserve">previous </w:t>
      </w:r>
      <w:r w:rsidRPr="008D2A02">
        <w:t>risk analysis for fresh apple fruit from the PNW</w:t>
      </w:r>
      <w:r>
        <w:t>-USA</w:t>
      </w:r>
      <w:r w:rsidRPr="008D2A02">
        <w:t xml:space="preserve"> commenced </w:t>
      </w:r>
      <w:r>
        <w:t>in March 2008 and was</w:t>
      </w:r>
      <w:r w:rsidRPr="008D2A02">
        <w:t xml:space="preserve"> progressed as a</w:t>
      </w:r>
      <w:r>
        <w:t>n expanded regulated Import Risk Analysis (</w:t>
      </w:r>
      <w:r w:rsidRPr="008D2A02">
        <w:t>IRA)</w:t>
      </w:r>
      <w:r>
        <w:t xml:space="preserve"> under </w:t>
      </w:r>
      <w:r w:rsidRPr="008D2A02">
        <w:t xml:space="preserve">the </w:t>
      </w:r>
      <w:r w:rsidRPr="008D2A02">
        <w:rPr>
          <w:i/>
        </w:rPr>
        <w:t>Quarantine Regulations 2000</w:t>
      </w:r>
      <w:r w:rsidRPr="008D2A02">
        <w:t xml:space="preserve">. </w:t>
      </w:r>
      <w:r>
        <w:t xml:space="preserve">The expanded, regulated IRA was to be completed within 30 months from commencement. </w:t>
      </w:r>
      <w:r w:rsidRPr="008D2A02">
        <w:t xml:space="preserve">A draft report was released </w:t>
      </w:r>
      <w:r>
        <w:t>in</w:t>
      </w:r>
      <w:r w:rsidRPr="008D2A02">
        <w:t xml:space="preserve"> October 2009, proposing that the importation of fresh apple fruit be permitted, subject to </w:t>
      </w:r>
      <w:r>
        <w:t xml:space="preserve">a range of </w:t>
      </w:r>
      <w:r w:rsidRPr="0080088D">
        <w:t xml:space="preserve">quarantine measures, </w:t>
      </w:r>
      <w:r w:rsidRPr="0080088D">
        <w:rPr>
          <w:rFonts w:eastAsia="Cambria" w:cs="TimesNewRomanPSMT"/>
          <w:lang w:eastAsia="en-AU"/>
        </w:rPr>
        <w:t xml:space="preserve">including the </w:t>
      </w:r>
      <w:r w:rsidRPr="0080088D">
        <w:rPr>
          <w:rFonts w:eastAsia="Cambria" w:cs="TimesNewRomanPSMT"/>
          <w:lang w:eastAsia="en-AU"/>
        </w:rPr>
        <w:lastRenderedPageBreak/>
        <w:t xml:space="preserve">development of effective management measures for 3 post-harvest rot fungi, </w:t>
      </w:r>
      <w:r w:rsidRPr="0080088D">
        <w:rPr>
          <w:rFonts w:eastAsia="Cambria" w:cs="Times New Roman"/>
          <w:i/>
          <w:iCs/>
          <w:lang w:eastAsia="en-AU"/>
        </w:rPr>
        <w:t>Sphaeropsis pyriputrescens</w:t>
      </w:r>
      <w:r w:rsidRPr="0080088D">
        <w:rPr>
          <w:rFonts w:eastAsia="Cambria" w:cs="TimesNewRomanPSMT"/>
          <w:lang w:eastAsia="en-AU"/>
        </w:rPr>
        <w:t xml:space="preserve">, </w:t>
      </w:r>
      <w:r w:rsidRPr="0080088D">
        <w:rPr>
          <w:rFonts w:eastAsia="Cambria" w:cs="TimesNewRomanPSMT"/>
          <w:i/>
          <w:iCs/>
          <w:lang w:eastAsia="en-AU"/>
        </w:rPr>
        <w:t>Discula</w:t>
      </w:r>
      <w:r w:rsidRPr="0080088D">
        <w:rPr>
          <w:rFonts w:eastAsia="Cambria" w:cs="Times New Roman"/>
          <w:i/>
          <w:iCs/>
          <w:lang w:eastAsia="en-AU"/>
        </w:rPr>
        <w:t xml:space="preserve"> pyri</w:t>
      </w:r>
      <w:r w:rsidRPr="0080088D">
        <w:rPr>
          <w:rFonts w:eastAsia="Cambria" w:cs="TimesNewRomanPSMT"/>
          <w:lang w:eastAsia="en-AU"/>
        </w:rPr>
        <w:t xml:space="preserve"> and </w:t>
      </w:r>
      <w:r w:rsidRPr="0080088D">
        <w:rPr>
          <w:rFonts w:eastAsia="Cambria" w:cs="Times New Roman"/>
          <w:i/>
          <w:iCs/>
          <w:lang w:eastAsia="en-AU"/>
        </w:rPr>
        <w:t>Phacidiopycnis washingtonensis</w:t>
      </w:r>
      <w:r w:rsidRPr="0080088D">
        <w:t>. However</w:t>
      </w:r>
      <w:r w:rsidRPr="00C709E5">
        <w:t>, in March 2010, the department invoked the ‘stop the</w:t>
      </w:r>
      <w:r w:rsidRPr="00170747">
        <w:t xml:space="preserve"> clock’ provisions</w:t>
      </w:r>
      <w:r>
        <w:t xml:space="preserve"> </w:t>
      </w:r>
      <w:r w:rsidRPr="005A5493">
        <w:t xml:space="preserve">for </w:t>
      </w:r>
      <w:r>
        <w:t xml:space="preserve">the </w:t>
      </w:r>
      <w:r w:rsidRPr="005A5493">
        <w:t xml:space="preserve">USA apple IRA </w:t>
      </w:r>
      <w:r w:rsidRPr="00170747">
        <w:t xml:space="preserve">due to lack of risk management information from the USA on </w:t>
      </w:r>
      <w:r w:rsidRPr="00170747">
        <w:rPr>
          <w:i/>
        </w:rPr>
        <w:t>S</w:t>
      </w:r>
      <w:r>
        <w:rPr>
          <w:i/>
        </w:rPr>
        <w:t>.</w:t>
      </w:r>
      <w:r>
        <w:t> </w:t>
      </w:r>
      <w:r w:rsidRPr="00170747">
        <w:rPr>
          <w:i/>
        </w:rPr>
        <w:t>pyriputrescens</w:t>
      </w:r>
      <w:r w:rsidRPr="00170747">
        <w:t xml:space="preserve">, </w:t>
      </w:r>
      <w:r>
        <w:rPr>
          <w:i/>
        </w:rPr>
        <w:t>D.</w:t>
      </w:r>
      <w:r w:rsidRPr="00170747">
        <w:rPr>
          <w:i/>
        </w:rPr>
        <w:t xml:space="preserve"> p</w:t>
      </w:r>
      <w:r>
        <w:rPr>
          <w:i/>
        </w:rPr>
        <w:t>y</w:t>
      </w:r>
      <w:r w:rsidRPr="00170747">
        <w:rPr>
          <w:i/>
        </w:rPr>
        <w:t>ri</w:t>
      </w:r>
      <w:r w:rsidRPr="00170747">
        <w:t xml:space="preserve"> and </w:t>
      </w:r>
      <w:r w:rsidRPr="00170747">
        <w:rPr>
          <w:i/>
        </w:rPr>
        <w:t>P</w:t>
      </w:r>
      <w:r>
        <w:rPr>
          <w:i/>
        </w:rPr>
        <w:t>.</w:t>
      </w:r>
      <w:r w:rsidRPr="00170747">
        <w:rPr>
          <w:i/>
        </w:rPr>
        <w:t xml:space="preserve"> washingtonensis</w:t>
      </w:r>
      <w:r>
        <w:rPr>
          <w:i/>
        </w:rPr>
        <w:t>.</w:t>
      </w:r>
      <w:r w:rsidRPr="005A5493">
        <w:t xml:space="preserve"> </w:t>
      </w:r>
      <w:r>
        <w:t>This information was needed</w:t>
      </w:r>
      <w:r w:rsidRPr="005A5493">
        <w:rPr>
          <w:lang w:eastAsia="ja-JP"/>
        </w:rPr>
        <w:t xml:space="preserve"> before the IRA process could be completed.</w:t>
      </w:r>
      <w:r>
        <w:rPr>
          <w:lang w:eastAsia="ja-JP"/>
        </w:rPr>
        <w:t xml:space="preserve"> </w:t>
      </w:r>
      <w:r>
        <w:t xml:space="preserve">Post-harvest rot management </w:t>
      </w:r>
      <w:r w:rsidRPr="00170747">
        <w:t xml:space="preserve">information was later received from the USA. </w:t>
      </w:r>
      <w:r>
        <w:t>However, t</w:t>
      </w:r>
      <w:r w:rsidRPr="00170747">
        <w:t xml:space="preserve">he IRA </w:t>
      </w:r>
      <w:r>
        <w:t xml:space="preserve">had </w:t>
      </w:r>
      <w:r w:rsidRPr="00170747">
        <w:t xml:space="preserve">ceased when the </w:t>
      </w:r>
      <w:r w:rsidRPr="00170747">
        <w:rPr>
          <w:i/>
        </w:rPr>
        <w:t xml:space="preserve">Quarantine Regulations 2000 </w:t>
      </w:r>
      <w:r>
        <w:rPr>
          <w:iCs/>
        </w:rPr>
        <w:t xml:space="preserve">instrument </w:t>
      </w:r>
      <w:r w:rsidRPr="00170747">
        <w:t xml:space="preserve">was repealed in June 2016 when the </w:t>
      </w:r>
      <w:r w:rsidRPr="00170747">
        <w:rPr>
          <w:i/>
        </w:rPr>
        <w:t xml:space="preserve">Biosecurity Act 2015 </w:t>
      </w:r>
      <w:r w:rsidRPr="00170747">
        <w:t xml:space="preserve">replaced the </w:t>
      </w:r>
      <w:r w:rsidRPr="00170747">
        <w:rPr>
          <w:i/>
        </w:rPr>
        <w:t>Quarantine Act 1908.</w:t>
      </w:r>
    </w:p>
    <w:p w14:paraId="109CEA4A" w14:textId="77777777" w:rsidR="003438A2" w:rsidRDefault="003438A2" w:rsidP="003965C1">
      <w:r w:rsidRPr="00170747">
        <w:t xml:space="preserve">The current risk analysis </w:t>
      </w:r>
      <w:r>
        <w:t>is being</w:t>
      </w:r>
      <w:r w:rsidRPr="00170747">
        <w:t xml:space="preserve"> completed </w:t>
      </w:r>
      <w:r>
        <w:t xml:space="preserve">as an assessment, under the </w:t>
      </w:r>
      <w:r w:rsidRPr="003B399D">
        <w:rPr>
          <w:i/>
          <w:iCs/>
        </w:rPr>
        <w:t>Biosecurity Act 2015</w:t>
      </w:r>
      <w:r>
        <w:t xml:space="preserve">, </w:t>
      </w:r>
      <w:r w:rsidRPr="00170747">
        <w:t>independent of the previous IRA process.</w:t>
      </w:r>
    </w:p>
    <w:p w14:paraId="6ED4C4A3" w14:textId="77777777" w:rsidR="003438A2" w:rsidRPr="00FE3E0F" w:rsidRDefault="003438A2" w:rsidP="008F45D4">
      <w:pPr>
        <w:rPr>
          <w:i/>
        </w:rPr>
      </w:pPr>
      <w:r w:rsidRPr="00170747">
        <w:t>Australia has established conditions for the importation of fresh apples from New Zealand</w:t>
      </w:r>
      <w:r>
        <w:t xml:space="preserve"> and </w:t>
      </w:r>
      <w:r w:rsidRPr="00170747">
        <w:t>China</w:t>
      </w:r>
      <w:r>
        <w:t>,</w:t>
      </w:r>
      <w:r w:rsidRPr="00170747">
        <w:t xml:space="preserve"> and for Fuji apples from </w:t>
      </w:r>
      <w:r w:rsidRPr="00E56166">
        <w:t>Japan. A pest categorisation</w:t>
      </w:r>
      <w:r w:rsidRPr="00170747">
        <w:t xml:space="preserve"> for apple fruit from the PNW</w:t>
      </w:r>
      <w:r>
        <w:t>-USA</w:t>
      </w:r>
      <w:r w:rsidRPr="00170747">
        <w:t xml:space="preserve"> indicated that the potential pests of quarantine concern are of the same pest species or pest group</w:t>
      </w:r>
      <w:r>
        <w:t>s</w:t>
      </w:r>
      <w:r w:rsidRPr="00170747">
        <w:t xml:space="preserve"> as those associated with the apple</w:t>
      </w:r>
      <w:r>
        <w:t>s from New Zealand and China pathways, and/or the stone fruit from the USA</w:t>
      </w:r>
      <w:r w:rsidRPr="00170747">
        <w:t xml:space="preserve"> </w:t>
      </w:r>
      <w:r>
        <w:t>pathway, and/</w:t>
      </w:r>
      <w:r w:rsidRPr="00170747">
        <w:t xml:space="preserve">or other horticultural commodities that have been assessed previously by the department, and for which risk management measures are established. </w:t>
      </w:r>
      <w:r w:rsidRPr="001E5A2C">
        <w:t>On 1 November 2018, the department publicly announced the commencement of this risk analysis</w:t>
      </w:r>
      <w:r>
        <w:t xml:space="preserve"> advising that it would be</w:t>
      </w:r>
      <w:r w:rsidRPr="00170747">
        <w:t xml:space="preserve"> progressed as a review of biosecurity import requirements for the purposes of the </w:t>
      </w:r>
      <w:r w:rsidRPr="00170747">
        <w:rPr>
          <w:i/>
        </w:rPr>
        <w:t>Biosecurity Act 2015.</w:t>
      </w:r>
    </w:p>
    <w:p w14:paraId="7388A469" w14:textId="77777777" w:rsidR="003438A2" w:rsidRPr="001E5A2C" w:rsidRDefault="003438A2" w:rsidP="0036062C">
      <w:r w:rsidRPr="00D7772A">
        <w:t>In August 2010 and March 2016, Australian Government officials visited app</w:t>
      </w:r>
      <w:r>
        <w:t>le production areas in the PNW-</w:t>
      </w:r>
      <w:r w:rsidRPr="00D7772A">
        <w:t>USA. The objective of th</w:t>
      </w:r>
      <w:r>
        <w:t>o</w:t>
      </w:r>
      <w:r w:rsidRPr="00D7772A">
        <w:t xml:space="preserve">se visits was to observe commercial production, pest </w:t>
      </w:r>
      <w:r w:rsidRPr="001E5A2C">
        <w:t>management and other export practices.</w:t>
      </w:r>
    </w:p>
    <w:p w14:paraId="5C185272" w14:textId="77777777" w:rsidR="003438A2" w:rsidRPr="001E5A2C" w:rsidRDefault="003438A2" w:rsidP="00707829">
      <w:pPr>
        <w:pStyle w:val="Heading4"/>
      </w:pPr>
      <w:r w:rsidRPr="001E5A2C">
        <w:t>Scope</w:t>
      </w:r>
    </w:p>
    <w:p w14:paraId="2C1FB476" w14:textId="77777777" w:rsidR="003438A2" w:rsidRPr="00C709E5" w:rsidRDefault="003438A2" w:rsidP="007B3515">
      <w:r w:rsidRPr="001E5A2C">
        <w:t xml:space="preserve">The scope of this risk </w:t>
      </w:r>
      <w:r w:rsidRPr="00C709E5">
        <w:t>analysis is to consider the biosecurity risk that may be associated with the pathway of imported mature fresh apple fruit (</w:t>
      </w:r>
      <w:r w:rsidRPr="00C709E5">
        <w:rPr>
          <w:i/>
        </w:rPr>
        <w:t xml:space="preserve">Malus domestica </w:t>
      </w:r>
      <w:r w:rsidRPr="00C709E5">
        <w:t>Bork), grown in the PNW-USA using standard commercial production practices as described in Chapter 3, for human consumption.</w:t>
      </w:r>
    </w:p>
    <w:p w14:paraId="575ACC90" w14:textId="77777777" w:rsidR="003438A2" w:rsidRPr="00C709E5" w:rsidRDefault="003438A2" w:rsidP="007B3515">
      <w:r w:rsidRPr="00C709E5">
        <w:t>In this risk analysis, apple fruit are defined as fruit with the pedicel or stalk (</w:t>
      </w:r>
      <w:r w:rsidRPr="00C709E5">
        <w:fldChar w:fldCharType="begin" w:fldLock="1"/>
      </w:r>
      <w:r w:rsidRPr="00C709E5">
        <w:instrText xml:space="preserve"> REF _Ref531328503 \h  \* MERGEFORMAT </w:instrText>
      </w:r>
      <w:r w:rsidRPr="00C709E5">
        <w:fldChar w:fldCharType="separate"/>
      </w:r>
      <w:r>
        <w:t xml:space="preserve">Figure </w:t>
      </w:r>
      <w:r>
        <w:rPr>
          <w:noProof/>
        </w:rPr>
        <w:t>1</w:t>
      </w:r>
      <w:r w:rsidRPr="00C709E5">
        <w:fldChar w:fldCharType="end"/>
      </w:r>
      <w:r w:rsidRPr="00C709E5">
        <w:t>). This risk analysis covers all commercially produced mature fresh apple fruit of all cultivars from the PNW-USA, grown for export.</w:t>
      </w:r>
    </w:p>
    <w:p w14:paraId="516684E8" w14:textId="77777777" w:rsidR="003438A2" w:rsidRPr="00C709E5" w:rsidRDefault="003438A2" w:rsidP="00591D87">
      <w:pPr>
        <w:pStyle w:val="Heading4"/>
      </w:pPr>
      <w:r w:rsidRPr="00C709E5">
        <w:t>Existing policy</w:t>
      </w:r>
    </w:p>
    <w:p w14:paraId="650594E4" w14:textId="77777777" w:rsidR="003438A2" w:rsidRPr="00C709E5" w:rsidRDefault="003438A2" w:rsidP="00591D87">
      <w:pPr>
        <w:pStyle w:val="Heading5"/>
      </w:pPr>
      <w:r w:rsidRPr="00C709E5">
        <w:t>International policy</w:t>
      </w:r>
    </w:p>
    <w:p w14:paraId="222DDC27" w14:textId="77777777" w:rsidR="003438A2" w:rsidRPr="00C709E5" w:rsidRDefault="003438A2" w:rsidP="0020569D">
      <w:r w:rsidRPr="00C709E5">
        <w:t xml:space="preserve">Import policies exist for fresh apple fruit from New Zealand </w:t>
      </w:r>
      <w:r w:rsidRPr="00C709E5">
        <w:rPr>
          <w:noProof/>
          <w:color w:val="000000" w:themeColor="text1"/>
        </w:rPr>
        <w:t>(Biosecurity Australia 2006a, 2011b)</w:t>
      </w:r>
      <w:r w:rsidRPr="00C709E5">
        <w:rPr>
          <w:color w:val="000000" w:themeColor="text1"/>
        </w:rPr>
        <w:t xml:space="preserve">, </w:t>
      </w:r>
      <w:bookmarkStart w:id="35" w:name="_Hlk107818047"/>
      <w:r w:rsidRPr="00C709E5">
        <w:t xml:space="preserve">China </w:t>
      </w:r>
      <w:r w:rsidRPr="00C709E5">
        <w:rPr>
          <w:noProof/>
        </w:rPr>
        <w:t>(Biosecurity Australia 2010a)</w:t>
      </w:r>
      <w:r w:rsidRPr="00C709E5">
        <w:t xml:space="preserve"> and Japan </w:t>
      </w:r>
      <w:r w:rsidRPr="00C709E5">
        <w:rPr>
          <w:noProof/>
        </w:rPr>
        <w:t>(AQIS 1998a)</w:t>
      </w:r>
      <w:bookmarkEnd w:id="35"/>
      <w:r w:rsidRPr="00C709E5">
        <w:t>. Apples have been imported into Australia from China and New Zealand under the respective policies.</w:t>
      </w:r>
    </w:p>
    <w:p w14:paraId="5463782B" w14:textId="77777777" w:rsidR="003438A2" w:rsidRPr="00C709E5" w:rsidRDefault="003438A2" w:rsidP="007D0CD6">
      <w:r w:rsidRPr="00C709E5">
        <w:t xml:space="preserve">The New Zealand apple import policy </w:t>
      </w:r>
      <w:r w:rsidRPr="00C709E5">
        <w:rPr>
          <w:noProof/>
          <w:color w:val="000000" w:themeColor="text1"/>
        </w:rPr>
        <w:t>(Biosecurity Australia 2006a)</w:t>
      </w:r>
      <w:r w:rsidRPr="00C709E5">
        <w:rPr>
          <w:color w:val="000000" w:themeColor="text1"/>
        </w:rPr>
        <w:t xml:space="preserve"> </w:t>
      </w:r>
      <w:r w:rsidRPr="00C709E5">
        <w:t>was considered in a World Trade Organization (WTO) dispute. On 29 November 2010, the Appellate Body of the World Trade Organization’s Dispute Settlement Body (DSB) released a report</w:t>
      </w:r>
      <w:r w:rsidRPr="003961D0">
        <w:t xml:space="preserve"> on Australia and New Zealand’s dispute over the importation of New Zealand apples. The report </w:t>
      </w:r>
      <w:r>
        <w:t xml:space="preserve">concluded </w:t>
      </w:r>
      <w:r w:rsidRPr="003961D0">
        <w:t>that Australia’s phytosanitary measures for New Zealand apples were inconsistent with Australia’s WTO obligations</w:t>
      </w:r>
      <w:r>
        <w:t>.</w:t>
      </w:r>
      <w:r w:rsidRPr="003961D0">
        <w:t xml:space="preserve"> Australia agreed to implement the findings of the DSB </w:t>
      </w:r>
      <w:r>
        <w:t xml:space="preserve">and </w:t>
      </w:r>
      <w:r w:rsidRPr="003961D0">
        <w:t xml:space="preserve">review the import </w:t>
      </w:r>
      <w:r w:rsidRPr="003961D0">
        <w:lastRenderedPageBreak/>
        <w:t xml:space="preserve">policy </w:t>
      </w:r>
      <w:r>
        <w:t xml:space="preserve">for </w:t>
      </w:r>
      <w:r w:rsidRPr="003961D0">
        <w:t>New Zealand apples</w:t>
      </w:r>
      <w:r>
        <w:t xml:space="preserve"> for the three pests under dispute. </w:t>
      </w:r>
      <w:r w:rsidRPr="00F0539E">
        <w:t xml:space="preserve">Australia announced the commencement of the review on 7 December 2010, released the </w:t>
      </w:r>
      <w:r w:rsidRPr="00C709E5">
        <w:t xml:space="preserve">draft report for 60 days consultation on 4 May 2011 and released the final report of the review on 17 August 2011 with the revised policy for the importation of New Zealand apples </w:t>
      </w:r>
      <w:r w:rsidRPr="00C709E5">
        <w:rPr>
          <w:noProof/>
        </w:rPr>
        <w:t>(Biosecurity Australia 2011b)</w:t>
      </w:r>
      <w:r w:rsidRPr="00C709E5">
        <w:t>.</w:t>
      </w:r>
    </w:p>
    <w:p w14:paraId="0705E5B6" w14:textId="77777777" w:rsidR="003438A2" w:rsidRPr="003961D0" w:rsidRDefault="003438A2" w:rsidP="000F42A5">
      <w:r w:rsidRPr="00C709E5">
        <w:t>Import policy also exists for stone fruit from California and the PNW-USA states</w:t>
      </w:r>
      <w:r w:rsidRPr="00F0539E">
        <w:t>. The potential</w:t>
      </w:r>
      <w:r w:rsidRPr="003961D0">
        <w:t xml:space="preserve"> pests of biosecurity concern for apples from PNW</w:t>
      </w:r>
      <w:r>
        <w:t>-USA</w:t>
      </w:r>
      <w:r w:rsidRPr="003961D0">
        <w:t xml:space="preserve"> are the same </w:t>
      </w:r>
      <w:r>
        <w:t xml:space="preserve">as </w:t>
      </w:r>
      <w:r w:rsidRPr="003961D0">
        <w:t xml:space="preserve">or similar </w:t>
      </w:r>
      <w:r>
        <w:t>to</w:t>
      </w:r>
      <w:r w:rsidRPr="003961D0">
        <w:t xml:space="preserve"> those identified for </w:t>
      </w:r>
      <w:r>
        <w:t xml:space="preserve">the pathways of </w:t>
      </w:r>
      <w:r w:rsidRPr="003961D0">
        <w:t xml:space="preserve">apples from </w:t>
      </w:r>
      <w:r>
        <w:t>New Zealand, apples from China</w:t>
      </w:r>
      <w:r w:rsidRPr="003961D0">
        <w:t>, stone fruit from</w:t>
      </w:r>
      <w:r>
        <w:t xml:space="preserve"> the</w:t>
      </w:r>
      <w:r w:rsidRPr="003961D0">
        <w:t xml:space="preserve"> PNW-USA</w:t>
      </w:r>
      <w:r>
        <w:t>, and/or</w:t>
      </w:r>
      <w:r w:rsidRPr="003961D0">
        <w:t xml:space="preserve"> other for horticultural commodities</w:t>
      </w:r>
      <w:r>
        <w:t xml:space="preserve"> for which policies exist</w:t>
      </w:r>
      <w:r w:rsidRPr="003961D0">
        <w:t>.</w:t>
      </w:r>
    </w:p>
    <w:p w14:paraId="084A33AA" w14:textId="77777777" w:rsidR="003438A2" w:rsidRDefault="003438A2" w:rsidP="000F42A5">
      <w:r w:rsidRPr="003961D0">
        <w:t xml:space="preserve">The import requirements for these commodity pathways can be found at the department’s Biosecurity Import Conditions (BICON) system </w:t>
      </w:r>
      <w:r w:rsidRPr="00C11879">
        <w:t xml:space="preserve">on the </w:t>
      </w:r>
      <w:r w:rsidRPr="00A96483">
        <w:t>department’s website at</w:t>
      </w:r>
      <w:r w:rsidRPr="00A96483">
        <w:rPr>
          <w:color w:val="165788"/>
          <w:u w:val="single"/>
        </w:rPr>
        <w:t xml:space="preserve"> </w:t>
      </w:r>
      <w:hyperlink r:id="rId40" w:history="1">
        <w:r w:rsidRPr="00B9656C">
          <w:rPr>
            <w:rStyle w:val="Hyperlink"/>
          </w:rPr>
          <w:t>bicon.agriculture.gov.au/BiconWeb4.0</w:t>
        </w:r>
      </w:hyperlink>
      <w:r w:rsidRPr="00A96483">
        <w:t>.</w:t>
      </w:r>
    </w:p>
    <w:p w14:paraId="21ACAB3F" w14:textId="77777777" w:rsidR="003438A2" w:rsidRPr="001F58C1" w:rsidRDefault="003438A2" w:rsidP="000F42A5">
      <w:r w:rsidRPr="006935AD">
        <w:t xml:space="preserve">The department has reviewed all the pests and pest groups previously identified in existing policies and, where relevant, the information in those assessments has been considered in this risk analysis. The department has also reviewed the latest scientific literature and other </w:t>
      </w:r>
      <w:r w:rsidRPr="001F58C1">
        <w:t xml:space="preserve">information to ensure that the previous assessments are still valid. </w:t>
      </w:r>
    </w:p>
    <w:p w14:paraId="783242FC" w14:textId="77777777" w:rsidR="003438A2" w:rsidRPr="001F58C1" w:rsidRDefault="003438A2" w:rsidP="006530E3">
      <w:r w:rsidRPr="001F58C1">
        <w:t xml:space="preserve">The biosecurity risk posed by thrips, and the orthotospoviruses they transmit, was previously assessed for all countries in the </w:t>
      </w:r>
      <w:bookmarkStart w:id="36" w:name="_Hlk107818110"/>
      <w:r w:rsidRPr="001F58C1">
        <w:rPr>
          <w:i/>
        </w:rPr>
        <w:t xml:space="preserve">Final group pest risk analysis for thrips and orthotospoviruses on fresh fruit, vegetable, cut-flower and foliage imports </w:t>
      </w:r>
      <w:r w:rsidRPr="001F58C1">
        <w:t xml:space="preserve">(thrips Group PRA) </w:t>
      </w:r>
      <w:r w:rsidRPr="001F58C1">
        <w:rPr>
          <w:noProof/>
        </w:rPr>
        <w:t>(DAWR 2017)</w:t>
      </w:r>
      <w:bookmarkEnd w:id="36"/>
      <w:r w:rsidRPr="001F58C1">
        <w:t xml:space="preserve">. Similarly, the biosecurity risk posed by mealybugs and the viruses they transmit was previously assessed for all countries in the </w:t>
      </w:r>
      <w:bookmarkStart w:id="37" w:name="_Hlk107818135"/>
      <w:r w:rsidRPr="001F58C1">
        <w:rPr>
          <w:i/>
        </w:rPr>
        <w:t>Final group pest risk analysis for mealybugs and the viruses they transmit on fresh fruit, vegetable, cut-flower and foliage imports</w:t>
      </w:r>
      <w:r w:rsidRPr="001F58C1">
        <w:t xml:space="preserve"> (mealybug Group PRA) </w:t>
      </w:r>
      <w:r w:rsidRPr="001F58C1">
        <w:rPr>
          <w:noProof/>
        </w:rPr>
        <w:t>(DAWR 2019)</w:t>
      </w:r>
      <w:r w:rsidRPr="001F58C1">
        <w:t xml:space="preserve">. </w:t>
      </w:r>
      <w:bookmarkEnd w:id="37"/>
      <w:r w:rsidRPr="001F58C1">
        <w:t xml:space="preserve">Likewise, the biosecurity risk posed by soft and hard scale insects was previously assessed for all countries in the </w:t>
      </w:r>
      <w:bookmarkStart w:id="38" w:name="_Hlk107818161"/>
      <w:r w:rsidRPr="001F58C1">
        <w:rPr>
          <w:i/>
        </w:rPr>
        <w:t xml:space="preserve">Final group pest risk analysis for soft and hard scale insects on fresh fruit, vegetable, cut-flower and foliage imports </w:t>
      </w:r>
      <w:r w:rsidRPr="001F58C1">
        <w:rPr>
          <w:iCs/>
        </w:rPr>
        <w:t xml:space="preserve">(scales Group PRA) </w:t>
      </w:r>
      <w:r w:rsidRPr="001F58C1">
        <w:rPr>
          <w:iCs/>
          <w:noProof/>
        </w:rPr>
        <w:t>(DAWE 2021)</w:t>
      </w:r>
      <w:bookmarkEnd w:id="38"/>
      <w:r w:rsidRPr="001F58C1">
        <w:t xml:space="preserve">. </w:t>
      </w:r>
    </w:p>
    <w:p w14:paraId="3B40B91B" w14:textId="77777777" w:rsidR="003438A2" w:rsidRPr="001F58C1" w:rsidRDefault="003438A2" w:rsidP="007A3E3B">
      <w:r w:rsidRPr="001F58C1">
        <w:t xml:space="preserve">These Group policies are applicable for the fresh apple fruit from the PNW-USA. The department has determined that the information in those policies can be adopted for the species under consideration in this risk analysis, unless specified otherwise in a specific pest risk assessment. </w:t>
      </w:r>
    </w:p>
    <w:p w14:paraId="3D0A0884" w14:textId="77777777" w:rsidR="003438A2" w:rsidRDefault="003438A2" w:rsidP="00591D87">
      <w:pPr>
        <w:pStyle w:val="Heading5"/>
      </w:pPr>
      <w:r>
        <w:t>Domestic arrangements</w:t>
      </w:r>
    </w:p>
    <w:p w14:paraId="44F58346" w14:textId="77777777" w:rsidR="003438A2" w:rsidRDefault="003438A2" w:rsidP="00766906">
      <w:r>
        <w:t>The Australian Government is responsible for regulating the movement of goods such as plants and plant products into and out of Australia. The state and territory governments are responsible for plant health controls within their individual jurisdiction. Legislation relating to resource management or plant health may be used by state and territory government agencies to control interstate movement of plants and their products. After imported plant and plant products have been cleared by Australian Government biosecurity officers, they may be subject to interstate movement regulations/arrangements. It is the importer’s responsibility to identify and ensure compliance with all requirements.</w:t>
      </w:r>
    </w:p>
    <w:p w14:paraId="19B9EDAC" w14:textId="77777777" w:rsidR="003438A2" w:rsidRDefault="003438A2" w:rsidP="00591D87">
      <w:pPr>
        <w:pStyle w:val="Heading4"/>
      </w:pPr>
      <w:bookmarkStart w:id="39" w:name="_Ref108442811"/>
      <w:r>
        <w:t>Contaminating pests</w:t>
      </w:r>
      <w:bookmarkEnd w:id="39"/>
    </w:p>
    <w:p w14:paraId="0CDF9FC7" w14:textId="77777777" w:rsidR="003438A2" w:rsidRPr="006935AD" w:rsidRDefault="003438A2" w:rsidP="00E419D7">
      <w:r w:rsidRPr="006935AD">
        <w:t xml:space="preserve">In addition to the pests of </w:t>
      </w:r>
      <w:r w:rsidRPr="006935AD">
        <w:rPr>
          <w:lang w:val="en-US"/>
        </w:rPr>
        <w:t>apples</w:t>
      </w:r>
      <w:r w:rsidRPr="006935AD">
        <w:t xml:space="preserve"> from the PNW-USA that are assessed in this risk analysis, other organisms may arrive with the imported commodity. These organisms </w:t>
      </w:r>
      <w:r>
        <w:t>may</w:t>
      </w:r>
      <w:r w:rsidRPr="006935AD">
        <w:t xml:space="preserve"> include pests of other crops or predators and parasitoids of arthropods. The department considers these organisms to be contaminating pests </w:t>
      </w:r>
      <w:r>
        <w:t xml:space="preserve">(‘contaminants’) </w:t>
      </w:r>
      <w:r w:rsidRPr="006935AD">
        <w:t>that could pose sanitary (</w:t>
      </w:r>
      <w:r>
        <w:t xml:space="preserve">to </w:t>
      </w:r>
      <w:r w:rsidRPr="006935AD">
        <w:t xml:space="preserve">human or </w:t>
      </w:r>
      <w:r w:rsidRPr="006935AD">
        <w:lastRenderedPageBreak/>
        <w:t>animal life or health) or phytosanitary (</w:t>
      </w:r>
      <w:r>
        <w:t xml:space="preserve">to </w:t>
      </w:r>
      <w:r w:rsidRPr="006935AD">
        <w:t xml:space="preserve">plant life or health) risks. These risks are identified and addressed using existing operational procedures that require </w:t>
      </w:r>
      <w:r>
        <w:t>an</w:t>
      </w:r>
      <w:r w:rsidRPr="006935AD">
        <w:t xml:space="preserve"> inspection of all consignments </w:t>
      </w:r>
      <w:r w:rsidRPr="00BF425E">
        <w:t xml:space="preserve">during processing and preparation for export. Consignments will also undergo another inspection on arrival in Australia. </w:t>
      </w:r>
      <w:r w:rsidRPr="006935AD">
        <w:t xml:space="preserve">The department will investigate </w:t>
      </w:r>
      <w:r>
        <w:t xml:space="preserve">whether </w:t>
      </w:r>
      <w:r w:rsidRPr="006935AD">
        <w:t xml:space="preserve">any pest identified through </w:t>
      </w:r>
      <w:r>
        <w:t>import verification</w:t>
      </w:r>
      <w:r w:rsidRPr="006935AD">
        <w:t xml:space="preserve"> processes may be of </w:t>
      </w:r>
      <w:r>
        <w:t>biosecurity</w:t>
      </w:r>
      <w:r w:rsidRPr="006935AD">
        <w:t xml:space="preserve"> concern to Australia, and </w:t>
      </w:r>
      <w:r>
        <w:t xml:space="preserve">may </w:t>
      </w:r>
      <w:r w:rsidRPr="006935AD">
        <w:t>thus require remedial action.</w:t>
      </w:r>
    </w:p>
    <w:p w14:paraId="7A0142EC" w14:textId="77777777" w:rsidR="003438A2" w:rsidRDefault="003438A2" w:rsidP="00591D87">
      <w:pPr>
        <w:pStyle w:val="Heading4"/>
      </w:pPr>
      <w:r>
        <w:t>Consultation</w:t>
      </w:r>
    </w:p>
    <w:p w14:paraId="1D714954" w14:textId="77777777" w:rsidR="003438A2" w:rsidRDefault="003438A2" w:rsidP="00567138">
      <w:r w:rsidRPr="006935AD">
        <w:t xml:space="preserve">On 1 November 2018, the department notified stakeholders, in Biosecurity Advice 2018/29, of the commencement of a review of biosecurity import requirements for fresh apple fruit from the PNW-USA. </w:t>
      </w:r>
    </w:p>
    <w:p w14:paraId="1E16DD15" w14:textId="77777777" w:rsidR="003438A2" w:rsidRPr="00C709E5" w:rsidRDefault="003438A2" w:rsidP="00F24B41">
      <w:r w:rsidRPr="006935AD">
        <w:t xml:space="preserve">Prior to </w:t>
      </w:r>
      <w:r>
        <w:t xml:space="preserve">and </w:t>
      </w:r>
      <w:r w:rsidRPr="00C709E5">
        <w:t xml:space="preserve">after the commencement of this risk analysis, the department engaged with the Australian apple industry regarding the process and technical aspects of this risk analysis. </w:t>
      </w:r>
    </w:p>
    <w:p w14:paraId="6E2C1FA1" w14:textId="77777777" w:rsidR="003438A2" w:rsidRPr="00C709E5" w:rsidRDefault="003438A2" w:rsidP="00567138">
      <w:r w:rsidRPr="00C709E5">
        <w:t>The department has also consulted with the US Government and Australian state and territory governments during the preparation of this report.</w:t>
      </w:r>
    </w:p>
    <w:p w14:paraId="2DC65BC0" w14:textId="77777777" w:rsidR="003438A2" w:rsidRPr="00C709E5" w:rsidRDefault="003438A2" w:rsidP="00160167">
      <w:r w:rsidRPr="00C709E5">
        <w:t>The draft report was released on 23 October 2020 (Biosecurity Advice 2020-P10) for a 90-day stakeholder consultation period that concluded on 21 January 2021.</w:t>
      </w:r>
      <w:r w:rsidRPr="00C709E5">
        <w:rPr>
          <w:rFonts w:ascii="Open Sans" w:hAnsi="Open Sans" w:cs="Open Sans"/>
          <w:sz w:val="21"/>
          <w:szCs w:val="21"/>
          <w:lang w:val="en"/>
        </w:rPr>
        <w:t xml:space="preserve"> </w:t>
      </w:r>
    </w:p>
    <w:p w14:paraId="2DBA9CC2" w14:textId="77777777" w:rsidR="003438A2" w:rsidRPr="006935AD" w:rsidRDefault="003438A2" w:rsidP="003E2E94">
      <w:r w:rsidRPr="00C709E5">
        <w:t>The department received 62 written submissions on the draft report. All submissions received, and technical issues raised by</w:t>
      </w:r>
      <w:r w:rsidRPr="006935AD">
        <w:t xml:space="preserve"> stakeholders throughout the risk analysis process, were carefully considered, and, where relevant, changes were made in this final report. A </w:t>
      </w:r>
      <w:r w:rsidRPr="00795F21">
        <w:t>summary of key technical stakeholder comments and how they were considered is provided in Appendix B.</w:t>
      </w:r>
      <w:r w:rsidRPr="006935AD">
        <w:t xml:space="preserve"> </w:t>
      </w:r>
    </w:p>
    <w:p w14:paraId="6B1C874E" w14:textId="77777777" w:rsidR="003438A2" w:rsidRPr="006935AD" w:rsidRDefault="003438A2" w:rsidP="00591D87">
      <w:pPr>
        <w:pStyle w:val="Heading4"/>
      </w:pPr>
      <w:r w:rsidRPr="006935AD">
        <w:t>Next Steps</w:t>
      </w:r>
    </w:p>
    <w:p w14:paraId="407FAA74" w14:textId="77777777" w:rsidR="003438A2" w:rsidRPr="006935AD" w:rsidRDefault="003438A2" w:rsidP="00A036FE">
      <w:pPr>
        <w:rPr>
          <w:strike/>
        </w:rPr>
      </w:pPr>
      <w:r w:rsidRPr="006935AD">
        <w:t>The final report will be published on the department’s website, along with a notice advising stakeholders of its release. The department will also notify the proposer, the registered stakeholders and the World Trade Organization (WTO) Secretariat about the release of the final report. Publication of the final report represents the end of the risk analysis process.</w:t>
      </w:r>
      <w:r w:rsidRPr="006935AD">
        <w:rPr>
          <w:strike/>
        </w:rPr>
        <w:t xml:space="preserve"> </w:t>
      </w:r>
    </w:p>
    <w:p w14:paraId="7CBB0C5D" w14:textId="77777777" w:rsidR="003438A2" w:rsidRPr="006935AD" w:rsidRDefault="003438A2" w:rsidP="00365B88">
      <w:pPr>
        <w:rPr>
          <w:strike/>
        </w:rPr>
      </w:pPr>
      <w:r w:rsidRPr="006935AD">
        <w:t xml:space="preserve">Before any trade in apple from PNW-USA commences, the department will verify that USA can implement the required pest risk management measures, and the systems of operational procedures </w:t>
      </w:r>
      <w:r>
        <w:t xml:space="preserve">for the assurance, maintenance and verification of </w:t>
      </w:r>
      <w:r w:rsidRPr="006935AD">
        <w:t xml:space="preserve">the phytosanitary status of apples for export to Australia (as specified in Chapter 5: ‘Pest risk management’ of this report). On verification of these requirements, the import conditions for apples from the PNW-USA will be published in the department’s Biosecurity Import Conditions (BICON) system. </w:t>
      </w:r>
    </w:p>
    <w:p w14:paraId="2ED63F07" w14:textId="77777777" w:rsidR="003438A2" w:rsidRPr="006935AD" w:rsidRDefault="003438A2"/>
    <w:bookmarkEnd w:id="26"/>
    <w:p w14:paraId="6C3CB11A" w14:textId="77777777" w:rsidR="003438A2" w:rsidRDefault="003438A2" w:rsidP="00591D87">
      <w:pPr>
        <w:pStyle w:val="Heading2"/>
        <w:sectPr w:rsidR="003438A2" w:rsidSect="001F473A">
          <w:headerReference w:type="even" r:id="rId41"/>
          <w:headerReference w:type="default" r:id="rId42"/>
          <w:headerReference w:type="first" r:id="rId43"/>
          <w:pgSz w:w="11906" w:h="16838"/>
          <w:pgMar w:top="1418" w:right="1418" w:bottom="1418" w:left="1418" w:header="567" w:footer="283" w:gutter="0"/>
          <w:cols w:space="708"/>
          <w:docGrid w:linePitch="360"/>
        </w:sectPr>
      </w:pPr>
    </w:p>
    <w:p w14:paraId="6F63302C" w14:textId="77777777" w:rsidR="003438A2" w:rsidRDefault="003438A2" w:rsidP="00591D87">
      <w:pPr>
        <w:pStyle w:val="Heading2"/>
      </w:pPr>
      <w:bookmarkStart w:id="40" w:name="_Ref46060903"/>
      <w:bookmarkStart w:id="41" w:name="_Toc112768988"/>
      <w:r>
        <w:lastRenderedPageBreak/>
        <w:t>Method for pest risk analysis</w:t>
      </w:r>
      <w:bookmarkEnd w:id="40"/>
      <w:bookmarkEnd w:id="41"/>
    </w:p>
    <w:p w14:paraId="4B3C0065" w14:textId="77777777" w:rsidR="003438A2" w:rsidRDefault="003438A2" w:rsidP="00355222">
      <w:r>
        <w:t xml:space="preserve">This chapter sets out the method used for the pest risk analysis (PRA) in this report. The </w:t>
      </w:r>
      <w:r w:rsidRPr="00E77147">
        <w:t xml:space="preserve">Department of </w:t>
      </w:r>
      <w:r w:rsidRPr="00CF284C">
        <w:t>Agriculture, Fisheries and Forestry has conducted this PRA in accordance with the International Standards for Phytosanitary Measures (ISPMs),</w:t>
      </w:r>
      <w:r>
        <w:t xml:space="preserve"> including ISPM 2: </w:t>
      </w:r>
      <w:r>
        <w:rPr>
          <w:i/>
        </w:rPr>
        <w:t>Framework for pest risk analysis</w:t>
      </w:r>
      <w:r>
        <w:t xml:space="preserve"> </w:t>
      </w:r>
      <w:r>
        <w:rPr>
          <w:noProof/>
        </w:rPr>
        <w:t>(FAO 2021a)</w:t>
      </w:r>
      <w:r>
        <w:t xml:space="preserve"> and ISPM 11: </w:t>
      </w:r>
      <w:r>
        <w:rPr>
          <w:i/>
        </w:rPr>
        <w:t>Pest risk analysis for quarantine pests</w:t>
      </w:r>
      <w:r>
        <w:t xml:space="preserve"> </w:t>
      </w:r>
      <w:r>
        <w:rPr>
          <w:noProof/>
        </w:rPr>
        <w:t>(FAO 2021e)</w:t>
      </w:r>
      <w:r>
        <w:t xml:space="preserve"> that have been developed under the SPS Agreement </w:t>
      </w:r>
      <w:r>
        <w:rPr>
          <w:noProof/>
        </w:rPr>
        <w:t>(WTO 1995)</w:t>
      </w:r>
      <w:r>
        <w:t>.</w:t>
      </w:r>
    </w:p>
    <w:p w14:paraId="57E7F8A2" w14:textId="77777777" w:rsidR="003438A2" w:rsidRDefault="003438A2">
      <w:r>
        <w:t xml:space="preserve">A PRA is ‘the process of evaluating biological or other scientific and economic evidence to determine whether an organism is a pest, whether it should be regulated, and the strength of any phytosanitary measures to be taken against it’ </w:t>
      </w:r>
      <w:r>
        <w:rPr>
          <w:noProof/>
        </w:rPr>
        <w:t>(FAO 2021c)</w:t>
      </w:r>
      <w:r>
        <w:t xml:space="preserve">. A pest is ‘any species, strain or biotype of plant, animal, or pathogenic agent injurious to plants or plant products’ </w:t>
      </w:r>
      <w:r>
        <w:rPr>
          <w:noProof/>
        </w:rPr>
        <w:t>(FAO 2021c)</w:t>
      </w:r>
      <w:r>
        <w:t xml:space="preserve">. This definition is also applied in the </w:t>
      </w:r>
      <w:r>
        <w:rPr>
          <w:i/>
        </w:rPr>
        <w:t>Biosecurity Act 2015</w:t>
      </w:r>
      <w:r>
        <w:t>.</w:t>
      </w:r>
    </w:p>
    <w:p w14:paraId="793A45CD" w14:textId="77777777" w:rsidR="003438A2" w:rsidRDefault="003438A2">
      <w:r>
        <w:t>Biosecurity risk consists of two major components: the likelihood of a pest entering, establishing and spreading in Australia from imports; and the consequences should this happen. These two components are combined to give an overall estimate of the risk.</w:t>
      </w:r>
    </w:p>
    <w:p w14:paraId="4B94B957" w14:textId="77777777" w:rsidR="003438A2" w:rsidRDefault="003438A2">
      <w:r>
        <w:t>Unrestricted risk is estimated taking into account the existing commercial production practices of the exporting country and recognition that, on arrival in Australia, the department will verify that the consignment received is as described on the commercial documents and its integrity has been maintained.</w:t>
      </w:r>
    </w:p>
    <w:p w14:paraId="23971FCA" w14:textId="77777777" w:rsidR="003438A2" w:rsidRDefault="003438A2">
      <w:r>
        <w:t xml:space="preserve">Restricted risk is estimated with phytosanitary measure(s) applied. A phytosanitary measure is ‘any legislation, regulation or official procedure having the purpose to prevent the introduction and/or spread of quarantine pests, or to limit the economic impact of regulated non-quarantine pests’ </w:t>
      </w:r>
      <w:r>
        <w:rPr>
          <w:noProof/>
        </w:rPr>
        <w:t>(FAO 2021c)</w:t>
      </w:r>
      <w:r>
        <w:t>.</w:t>
      </w:r>
    </w:p>
    <w:p w14:paraId="77AB5269" w14:textId="77777777" w:rsidR="003438A2" w:rsidRDefault="003438A2">
      <w:r>
        <w:t>A glossary of the terms used in the risk analysis is provided at the end of this report.</w:t>
      </w:r>
    </w:p>
    <w:p w14:paraId="028571AC" w14:textId="77777777" w:rsidR="003438A2" w:rsidRDefault="003438A2">
      <w:r>
        <w:t>The PRAs are conducted in the following three consecutive stages: initiation, pest risk assessment and pest risk management.</w:t>
      </w:r>
    </w:p>
    <w:p w14:paraId="546679C6" w14:textId="77777777" w:rsidR="003438A2" w:rsidRDefault="003438A2" w:rsidP="0054650E">
      <w:pPr>
        <w:pStyle w:val="Heading3"/>
      </w:pPr>
      <w:bookmarkStart w:id="42" w:name="_Toc112768989"/>
      <w:r>
        <w:t>Stage 1 Initiation</w:t>
      </w:r>
      <w:bookmarkEnd w:id="42"/>
    </w:p>
    <w:p w14:paraId="7A5A73CD" w14:textId="77777777" w:rsidR="003438A2" w:rsidRDefault="003438A2" w:rsidP="0054650E">
      <w:r>
        <w:t>Initiation identifies the pest(s) and pathway(s) that are of quarantine concern and should be considered for risk analysis in relation to the identified PRA area.</w:t>
      </w:r>
    </w:p>
    <w:p w14:paraId="7B196C44" w14:textId="77777777" w:rsidR="003438A2" w:rsidRDefault="003438A2" w:rsidP="0054650E">
      <w:r>
        <w:t>Appendix A: Initiation and categorisation for pests of fresh apple fruit from the Pacific Northwest States of the USA of this risk analysis report lists the pests with the potential to be associated with the exported commodity produced using commercial production and packing procedures. Appendix A: Initiation and categorisation for pests of fresh apple fruit from the Pacific Northwest States of the USA does not present a comprehensive list of all the pests associated with the entire plant, but concentrates on the pests that could be on the assessed commodity. Contaminating pests that have no specific relation to the commodity or the export pathway have not been listed and would be addressed by Australia’s current approach to contaminating pests.</w:t>
      </w:r>
    </w:p>
    <w:p w14:paraId="195B6305" w14:textId="77777777" w:rsidR="003438A2" w:rsidRDefault="003438A2" w:rsidP="0054650E">
      <w:r>
        <w:t xml:space="preserve">The identity of the pests is given in </w:t>
      </w:r>
      <w:bookmarkStart w:id="43" w:name="_Hlk39387234"/>
      <w:r>
        <w:t>Appendix A: Initiation and categorisation for pests of fresh apple fruit from the Pacific Northwest States of the USA</w:t>
      </w:r>
      <w:bookmarkEnd w:id="43"/>
      <w:r>
        <w:t xml:space="preserve">. The species name is used in most instances but a lower taxonomic level is used where appropriate. Synonyms are provided where </w:t>
      </w:r>
      <w:r>
        <w:lastRenderedPageBreak/>
        <w:t>the current scientific name differs from that provided by the exporting country’s National Plant Protection Organisation (NPPO) or where the cited literature used a different scientific name.</w:t>
      </w:r>
    </w:p>
    <w:p w14:paraId="61F26319" w14:textId="77777777" w:rsidR="003438A2" w:rsidRDefault="003438A2" w:rsidP="0054650E">
      <w:r>
        <w:t>For this risk analysis, the ‘PRA area’ is defined as Australia for pests that are absent, or of limited distribution and under official control. For areas with regional freedom from a pest, the ‘PRA area’ may be defined on the basis of a state or territory of Australia or may be defined as a region of Australia consisting of parts of a state or territory or several states or territories.</w:t>
      </w:r>
    </w:p>
    <w:p w14:paraId="2AD09D56" w14:textId="77777777" w:rsidR="003438A2" w:rsidRPr="00B751A6" w:rsidRDefault="003438A2" w:rsidP="00691775">
      <w:r w:rsidRPr="00B751A6">
        <w:t xml:space="preserve">For pests that had been considered by the department in other risk assessments and for which import conditions already exist, this risk analysis considers the likelihood of entry of pests on the commodity and whether existing policy is adequate to manage the risks associated with its import. Where appropriate, the previous risk assessment was taken into consideration in this risk analysis. The outcomes of group pest risk analyses for thrips, mealybugs and scales have been adopted for this report, as explained in Section </w:t>
      </w:r>
      <w:r w:rsidRPr="00B751A6">
        <w:fldChar w:fldCharType="begin" w:fldLock="1"/>
      </w:r>
      <w:r w:rsidRPr="00B751A6">
        <w:instrText xml:space="preserve"> REF _Ref523924658 \r \h  \* MERGEFORMAT </w:instrText>
      </w:r>
      <w:r w:rsidRPr="00B751A6">
        <w:fldChar w:fldCharType="separate"/>
      </w:r>
      <w:r>
        <w:t>2.2.7</w:t>
      </w:r>
      <w:r w:rsidRPr="00B751A6">
        <w:fldChar w:fldCharType="end"/>
      </w:r>
      <w:r w:rsidRPr="00B751A6">
        <w:t>.</w:t>
      </w:r>
    </w:p>
    <w:p w14:paraId="2030AB42" w14:textId="77777777" w:rsidR="003438A2" w:rsidRDefault="003438A2" w:rsidP="00591D87">
      <w:pPr>
        <w:pStyle w:val="Heading3"/>
      </w:pPr>
      <w:bookmarkStart w:id="44" w:name="_Toc112768990"/>
      <w:r>
        <w:t>Stage 2 Pest risk assessment</w:t>
      </w:r>
      <w:bookmarkEnd w:id="44"/>
    </w:p>
    <w:p w14:paraId="0626D39A" w14:textId="77777777" w:rsidR="003438A2" w:rsidRDefault="003438A2">
      <w:r>
        <w:t xml:space="preserve">A pest risk assessment (for quarantine pests) is the ‘evaluation of the probability of the introduction and spread of a pest and of the magnitude of the associated potential economic consequences’ </w:t>
      </w:r>
      <w:r>
        <w:rPr>
          <w:noProof/>
        </w:rPr>
        <w:t>(FAO 2021c)</w:t>
      </w:r>
      <w:r>
        <w:t>.</w:t>
      </w:r>
    </w:p>
    <w:p w14:paraId="1A907F82" w14:textId="77777777" w:rsidR="003438A2" w:rsidRDefault="003438A2">
      <w:r>
        <w:t>The following three consecutive steps were used in pest risk assessment:</w:t>
      </w:r>
    </w:p>
    <w:p w14:paraId="3478596C" w14:textId="77777777" w:rsidR="003438A2" w:rsidRDefault="003438A2" w:rsidP="00591D87">
      <w:pPr>
        <w:pStyle w:val="Heading4"/>
      </w:pPr>
      <w:bookmarkStart w:id="45" w:name="_Hlk83304901"/>
      <w:r>
        <w:t>Pest categorisation</w:t>
      </w:r>
    </w:p>
    <w:p w14:paraId="080B4ABF" w14:textId="77777777" w:rsidR="003438A2" w:rsidRDefault="003438A2" w:rsidP="0054650E">
      <w:r>
        <w:t xml:space="preserve">Pest categorisation identifies which of the pests with the potential to be on the commodity are quarantine pests for Australia and require pest risk assessment. A ‘quarantine pest’ is a pest of potential economic importance to the area endangered thereby and not yet present there, or present but not widely distributed and being officially controlled </w:t>
      </w:r>
      <w:r>
        <w:rPr>
          <w:noProof/>
        </w:rPr>
        <w:t>(FAO 2021c)</w:t>
      </w:r>
      <w:r>
        <w:t>.</w:t>
      </w:r>
    </w:p>
    <w:p w14:paraId="343F31F1" w14:textId="77777777" w:rsidR="003438A2" w:rsidRDefault="003438A2" w:rsidP="0054650E">
      <w:r>
        <w:t>The pests identified in Stage 1 were categorised using the following primary elements to identify the quarantine pests for the commodity being assessed:</w:t>
      </w:r>
    </w:p>
    <w:p w14:paraId="776BB8FF" w14:textId="77777777" w:rsidR="003438A2" w:rsidRDefault="003438A2" w:rsidP="003438A2">
      <w:pPr>
        <w:pStyle w:val="ListBullet"/>
        <w:numPr>
          <w:ilvl w:val="0"/>
          <w:numId w:val="15"/>
        </w:numPr>
        <w:tabs>
          <w:tab w:val="clear" w:pos="567"/>
          <w:tab w:val="num" w:pos="709"/>
        </w:tabs>
        <w:ind w:left="709"/>
      </w:pPr>
      <w:r>
        <w:t>identity of the pest</w:t>
      </w:r>
    </w:p>
    <w:p w14:paraId="7AA515A7" w14:textId="77777777" w:rsidR="003438A2" w:rsidRDefault="003438A2" w:rsidP="003438A2">
      <w:pPr>
        <w:pStyle w:val="ListBullet"/>
        <w:numPr>
          <w:ilvl w:val="0"/>
          <w:numId w:val="15"/>
        </w:numPr>
        <w:tabs>
          <w:tab w:val="clear" w:pos="567"/>
          <w:tab w:val="num" w:pos="709"/>
        </w:tabs>
        <w:ind w:left="709"/>
      </w:pPr>
      <w:r>
        <w:t>presence or absence in the PRA area</w:t>
      </w:r>
    </w:p>
    <w:p w14:paraId="2A3CB429" w14:textId="77777777" w:rsidR="003438A2" w:rsidRDefault="003438A2" w:rsidP="003438A2">
      <w:pPr>
        <w:pStyle w:val="ListBullet"/>
        <w:numPr>
          <w:ilvl w:val="0"/>
          <w:numId w:val="15"/>
        </w:numPr>
        <w:tabs>
          <w:tab w:val="clear" w:pos="567"/>
          <w:tab w:val="num" w:pos="709"/>
        </w:tabs>
        <w:ind w:left="709"/>
      </w:pPr>
      <w:r>
        <w:t>regulatory status</w:t>
      </w:r>
    </w:p>
    <w:p w14:paraId="75D8528C" w14:textId="77777777" w:rsidR="003438A2" w:rsidRDefault="003438A2" w:rsidP="003438A2">
      <w:pPr>
        <w:pStyle w:val="ListBullet"/>
        <w:numPr>
          <w:ilvl w:val="0"/>
          <w:numId w:val="15"/>
        </w:numPr>
        <w:tabs>
          <w:tab w:val="clear" w:pos="567"/>
          <w:tab w:val="num" w:pos="709"/>
        </w:tabs>
        <w:ind w:left="709"/>
      </w:pPr>
      <w:r>
        <w:t>potential for establishment and spread in the PRA area</w:t>
      </w:r>
    </w:p>
    <w:p w14:paraId="06E3B3E8" w14:textId="77777777" w:rsidR="003438A2" w:rsidRDefault="003438A2" w:rsidP="003438A2">
      <w:pPr>
        <w:pStyle w:val="ListBullet"/>
        <w:numPr>
          <w:ilvl w:val="0"/>
          <w:numId w:val="15"/>
        </w:numPr>
        <w:tabs>
          <w:tab w:val="clear" w:pos="567"/>
          <w:tab w:val="num" w:pos="709"/>
        </w:tabs>
        <w:ind w:left="709"/>
      </w:pPr>
      <w:r>
        <w:t>potential for economic consequences (including environmental consequences) in the PRA area.</w:t>
      </w:r>
    </w:p>
    <w:bookmarkEnd w:id="45"/>
    <w:p w14:paraId="6879863F" w14:textId="77777777" w:rsidR="003438A2" w:rsidRDefault="003438A2" w:rsidP="0069587C">
      <w:r>
        <w:t xml:space="preserve">The results of pest categorisation are set out in Appendix A: Initiation and categorisation for pests of fresh apple fruit from the Pacific Northwest States of the USA. The quarantine pests identified during categorisation were carried forward for pest risk assessment and are </w:t>
      </w:r>
      <w:r w:rsidRPr="00FF74E9">
        <w:t xml:space="preserve">listed </w:t>
      </w:r>
      <w:r>
        <w:t xml:space="preserve">in </w:t>
      </w:r>
      <w:r>
        <w:fldChar w:fldCharType="begin" w:fldLock="1"/>
      </w:r>
      <w:r>
        <w:instrText xml:space="preserve"> REF _Ref45009151 \h </w:instrText>
      </w:r>
      <w:r>
        <w:fldChar w:fldCharType="separate"/>
      </w:r>
      <w:r w:rsidRPr="008B06E0">
        <w:t xml:space="preserve">Table </w:t>
      </w:r>
      <w:r>
        <w:rPr>
          <w:noProof/>
        </w:rPr>
        <w:t>4</w:t>
      </w:r>
      <w:r w:rsidRPr="008B06E0">
        <w:t>.</w:t>
      </w:r>
      <w:r>
        <w:rPr>
          <w:noProof/>
        </w:rPr>
        <w:t>1</w:t>
      </w:r>
      <w:r>
        <w:fldChar w:fldCharType="end"/>
      </w:r>
      <w:r>
        <w:t>.</w:t>
      </w:r>
    </w:p>
    <w:p w14:paraId="19201D38" w14:textId="77777777" w:rsidR="003438A2" w:rsidRDefault="003438A2" w:rsidP="00591D87">
      <w:pPr>
        <w:pStyle w:val="Heading4"/>
      </w:pPr>
      <w:r>
        <w:t>Assessment of the probability of entry, establishment and spread</w:t>
      </w:r>
    </w:p>
    <w:p w14:paraId="000DAA44" w14:textId="77777777" w:rsidR="003438A2" w:rsidRDefault="003438A2">
      <w:r>
        <w:t xml:space="preserve">Details of how to assess the ‘probability of entry’, ‘probability of establishment’ and ‘probability of spread’ of a pest are given in ISPM 11 </w:t>
      </w:r>
      <w:r>
        <w:rPr>
          <w:noProof/>
        </w:rPr>
        <w:t>(FAO 2021e)</w:t>
      </w:r>
      <w:r>
        <w:t xml:space="preserve">. The SPS Agreement </w:t>
      </w:r>
      <w:r>
        <w:rPr>
          <w:noProof/>
        </w:rPr>
        <w:t>(WTO 1995)</w:t>
      </w:r>
      <w:r>
        <w:t xml:space="preserve"> uses the term ‘likelihood’ rather than ‘probability’ for these estimates. In qualitative PRAs, the department uses the term ‘likelihood’ for the descriptors it uses for its estimates of likelihood of </w:t>
      </w:r>
      <w:r>
        <w:lastRenderedPageBreak/>
        <w:t>entry, establishment and spread. The use of the term ‘probability’ is limited to the direct quotation of ISPM definitions.</w:t>
      </w:r>
    </w:p>
    <w:p w14:paraId="274999AB" w14:textId="77777777" w:rsidR="003438A2" w:rsidRDefault="003438A2">
      <w:r>
        <w:t>A summary of this process is given here, followed by a description of the qualitative methodology used in this risk analysis.</w:t>
      </w:r>
    </w:p>
    <w:p w14:paraId="4D98F9FB" w14:textId="77777777" w:rsidR="003438A2" w:rsidRDefault="003438A2" w:rsidP="002B0C91">
      <w:pPr>
        <w:pStyle w:val="Heading5"/>
      </w:pPr>
      <w:r>
        <w:t>Likelihood of entry</w:t>
      </w:r>
    </w:p>
    <w:p w14:paraId="00BAF6E4" w14:textId="77777777" w:rsidR="003438A2" w:rsidRDefault="003438A2" w:rsidP="00901A6E">
      <w:r>
        <w:t>The likelihood of entry describes the likelihood that a quarantine pest will enter Australia as a result of trade in a given commodity, be distributed in a viable state in the PRA area and subsequently be transferred to a host. It is based on pathway scenarios depicting necessary steps in the sourcing of the commodity for export, its processing, transport and storage, its use in Australia and the generation and disposal of waste. In particular, the ability of the pest to survive is considered for each of these various stages.</w:t>
      </w:r>
    </w:p>
    <w:p w14:paraId="1F9E411A" w14:textId="77777777" w:rsidR="003438A2" w:rsidRDefault="003438A2" w:rsidP="00901A6E">
      <w:r>
        <w:t>The likelihood of entry estimates for the quarantine pests for a commodity are based on the use of the existing commercial production, packaging and shipping practices of the exporting country. Details of the existing commercial production practices for the commodity are set out in Chapter 3. These practices are taken into consideration by the department when estimating the likelihood of entry.</w:t>
      </w:r>
    </w:p>
    <w:p w14:paraId="153445BC" w14:textId="77777777" w:rsidR="003438A2" w:rsidRDefault="003438A2" w:rsidP="00901A6E">
      <w:r>
        <w:t>For the purpose of considering the likelihood of entry, the department divides this step into two components:</w:t>
      </w:r>
    </w:p>
    <w:p w14:paraId="116400A0" w14:textId="77777777" w:rsidR="003438A2" w:rsidRDefault="003438A2" w:rsidP="003438A2">
      <w:pPr>
        <w:pStyle w:val="ListBullet"/>
        <w:numPr>
          <w:ilvl w:val="0"/>
          <w:numId w:val="15"/>
        </w:numPr>
        <w:tabs>
          <w:tab w:val="clear" w:pos="567"/>
          <w:tab w:val="num" w:pos="709"/>
        </w:tabs>
        <w:ind w:left="709" w:hanging="425"/>
      </w:pPr>
      <w:r w:rsidRPr="00901A6E">
        <w:rPr>
          <w:rStyle w:val="Strong"/>
        </w:rPr>
        <w:t>Likelihood of importation</w:t>
      </w:r>
      <w:r>
        <w:t>—the likelihood that a pest will arrive in Australia when a given commodity is imported.</w:t>
      </w:r>
    </w:p>
    <w:p w14:paraId="4478A240" w14:textId="77777777" w:rsidR="003438A2" w:rsidRDefault="003438A2" w:rsidP="003438A2">
      <w:pPr>
        <w:pStyle w:val="ListBullet"/>
        <w:numPr>
          <w:ilvl w:val="0"/>
          <w:numId w:val="15"/>
        </w:numPr>
        <w:tabs>
          <w:tab w:val="clear" w:pos="567"/>
          <w:tab w:val="num" w:pos="709"/>
        </w:tabs>
        <w:ind w:left="709" w:hanging="425"/>
      </w:pPr>
      <w:r w:rsidRPr="00901A6E">
        <w:rPr>
          <w:rStyle w:val="Strong"/>
        </w:rPr>
        <w:t>Likelihood of distribution</w:t>
      </w:r>
      <w:r>
        <w:t>—the likelihood that the pest will be distributed, as a result of the processing, sale or disposal of the commodity, in the PRA area and subsequently transfer to a susceptible part of a host.</w:t>
      </w:r>
    </w:p>
    <w:p w14:paraId="62F54235" w14:textId="77777777" w:rsidR="003438A2" w:rsidRDefault="003438A2" w:rsidP="00901A6E">
      <w:r>
        <w:t>Factors to be considered in the likelihood of importation may include:</w:t>
      </w:r>
    </w:p>
    <w:p w14:paraId="75F9E263" w14:textId="77777777" w:rsidR="003438A2" w:rsidRDefault="003438A2" w:rsidP="003438A2">
      <w:pPr>
        <w:pStyle w:val="ListBullet"/>
        <w:numPr>
          <w:ilvl w:val="0"/>
          <w:numId w:val="15"/>
        </w:numPr>
        <w:tabs>
          <w:tab w:val="clear" w:pos="567"/>
          <w:tab w:val="num" w:pos="709"/>
        </w:tabs>
        <w:ind w:left="709"/>
      </w:pPr>
      <w:r>
        <w:t>distribution and incidence of the pest in the source area</w:t>
      </w:r>
    </w:p>
    <w:p w14:paraId="0E6EE8D4" w14:textId="77777777" w:rsidR="003438A2" w:rsidRDefault="003438A2" w:rsidP="003438A2">
      <w:pPr>
        <w:pStyle w:val="ListBullet"/>
        <w:numPr>
          <w:ilvl w:val="0"/>
          <w:numId w:val="15"/>
        </w:numPr>
        <w:tabs>
          <w:tab w:val="clear" w:pos="567"/>
          <w:tab w:val="num" w:pos="709"/>
        </w:tabs>
        <w:ind w:left="709"/>
      </w:pPr>
      <w:r>
        <w:t>occurrence of the pest in a life-stage that would be associated with the commodity</w:t>
      </w:r>
    </w:p>
    <w:p w14:paraId="4FE6C00B" w14:textId="77777777" w:rsidR="003438A2" w:rsidRDefault="003438A2" w:rsidP="003438A2">
      <w:pPr>
        <w:pStyle w:val="ListBullet"/>
        <w:numPr>
          <w:ilvl w:val="0"/>
          <w:numId w:val="15"/>
        </w:numPr>
        <w:tabs>
          <w:tab w:val="clear" w:pos="567"/>
          <w:tab w:val="num" w:pos="709"/>
        </w:tabs>
        <w:ind w:left="709"/>
      </w:pPr>
      <w:r>
        <w:t>mode of trade (for example, bulk, packed)</w:t>
      </w:r>
    </w:p>
    <w:p w14:paraId="62623438" w14:textId="77777777" w:rsidR="003438A2" w:rsidRDefault="003438A2" w:rsidP="003438A2">
      <w:pPr>
        <w:pStyle w:val="ListBullet"/>
        <w:numPr>
          <w:ilvl w:val="0"/>
          <w:numId w:val="15"/>
        </w:numPr>
        <w:tabs>
          <w:tab w:val="clear" w:pos="567"/>
          <w:tab w:val="num" w:pos="709"/>
        </w:tabs>
        <w:ind w:left="709"/>
      </w:pPr>
      <w:r>
        <w:t>volume and frequency of movement of the commodity along each pathway</w:t>
      </w:r>
    </w:p>
    <w:p w14:paraId="6C7A3A75" w14:textId="77777777" w:rsidR="003438A2" w:rsidRDefault="003438A2" w:rsidP="003438A2">
      <w:pPr>
        <w:pStyle w:val="ListBullet"/>
        <w:numPr>
          <w:ilvl w:val="0"/>
          <w:numId w:val="15"/>
        </w:numPr>
        <w:tabs>
          <w:tab w:val="clear" w:pos="567"/>
          <w:tab w:val="num" w:pos="709"/>
        </w:tabs>
        <w:ind w:left="709"/>
      </w:pPr>
      <w:r>
        <w:t>seasonal timing of imports</w:t>
      </w:r>
    </w:p>
    <w:p w14:paraId="28218CD9" w14:textId="77777777" w:rsidR="003438A2" w:rsidRDefault="003438A2" w:rsidP="003438A2">
      <w:pPr>
        <w:pStyle w:val="ListBullet"/>
        <w:numPr>
          <w:ilvl w:val="0"/>
          <w:numId w:val="15"/>
        </w:numPr>
        <w:tabs>
          <w:tab w:val="clear" w:pos="567"/>
          <w:tab w:val="num" w:pos="709"/>
        </w:tabs>
        <w:ind w:left="709"/>
      </w:pPr>
      <w:r>
        <w:t>pest management, cultural and commercial procedures applied at the place of origin</w:t>
      </w:r>
    </w:p>
    <w:p w14:paraId="2A251B81" w14:textId="77777777" w:rsidR="003438A2" w:rsidRDefault="003438A2" w:rsidP="003438A2">
      <w:pPr>
        <w:pStyle w:val="ListBullet"/>
        <w:numPr>
          <w:ilvl w:val="0"/>
          <w:numId w:val="15"/>
        </w:numPr>
        <w:tabs>
          <w:tab w:val="clear" w:pos="567"/>
          <w:tab w:val="num" w:pos="709"/>
        </w:tabs>
        <w:ind w:left="709"/>
      </w:pPr>
      <w:r>
        <w:t>speed of transport and conditions of storage compared with the duration of the lifecycle of the pest</w:t>
      </w:r>
    </w:p>
    <w:p w14:paraId="6C9CDFF4" w14:textId="77777777" w:rsidR="003438A2" w:rsidRDefault="003438A2" w:rsidP="003438A2">
      <w:pPr>
        <w:pStyle w:val="ListBullet"/>
        <w:numPr>
          <w:ilvl w:val="0"/>
          <w:numId w:val="15"/>
        </w:numPr>
        <w:tabs>
          <w:tab w:val="clear" w:pos="567"/>
          <w:tab w:val="num" w:pos="709"/>
        </w:tabs>
        <w:ind w:left="709"/>
      </w:pPr>
      <w:r>
        <w:t>vulnerability of the life-stages of the pest during transport or storage</w:t>
      </w:r>
    </w:p>
    <w:p w14:paraId="59488767" w14:textId="77777777" w:rsidR="003438A2" w:rsidRDefault="003438A2" w:rsidP="003438A2">
      <w:pPr>
        <w:pStyle w:val="ListBullet"/>
        <w:numPr>
          <w:ilvl w:val="0"/>
          <w:numId w:val="15"/>
        </w:numPr>
        <w:tabs>
          <w:tab w:val="clear" w:pos="567"/>
          <w:tab w:val="num" w:pos="709"/>
        </w:tabs>
        <w:ind w:left="709"/>
      </w:pPr>
      <w:r>
        <w:t>incidence of the pest likely to be associated with a consignment</w:t>
      </w:r>
    </w:p>
    <w:p w14:paraId="4E7F6CAF" w14:textId="77777777" w:rsidR="003438A2" w:rsidRDefault="003438A2" w:rsidP="003438A2">
      <w:pPr>
        <w:pStyle w:val="ListBullet"/>
        <w:numPr>
          <w:ilvl w:val="0"/>
          <w:numId w:val="15"/>
        </w:numPr>
        <w:tabs>
          <w:tab w:val="clear" w:pos="567"/>
          <w:tab w:val="num" w:pos="709"/>
        </w:tabs>
        <w:ind w:left="709"/>
      </w:pPr>
      <w:r>
        <w:t>commercial procedures (for example, refrigeration) applied to consignments during transport and storage in the country of origin, and during transport to Australia.</w:t>
      </w:r>
    </w:p>
    <w:p w14:paraId="09794F7E" w14:textId="77777777" w:rsidR="003438A2" w:rsidRDefault="003438A2" w:rsidP="00901A6E">
      <w:r>
        <w:t>Factors to be considered in the likelihood of distribution may include:</w:t>
      </w:r>
    </w:p>
    <w:p w14:paraId="0DEB470E" w14:textId="77777777" w:rsidR="003438A2" w:rsidRDefault="003438A2" w:rsidP="003438A2">
      <w:pPr>
        <w:pStyle w:val="ListBullet"/>
        <w:numPr>
          <w:ilvl w:val="0"/>
          <w:numId w:val="15"/>
        </w:numPr>
        <w:tabs>
          <w:tab w:val="clear" w:pos="567"/>
          <w:tab w:val="num" w:pos="709"/>
        </w:tabs>
        <w:ind w:left="709"/>
      </w:pPr>
      <w:r>
        <w:t>commercial procedures (for example, refrigeration) applied to consignments during distribution in Australia</w:t>
      </w:r>
    </w:p>
    <w:p w14:paraId="161192FE" w14:textId="77777777" w:rsidR="003438A2" w:rsidRDefault="003438A2" w:rsidP="003438A2">
      <w:pPr>
        <w:pStyle w:val="ListBullet"/>
        <w:numPr>
          <w:ilvl w:val="0"/>
          <w:numId w:val="15"/>
        </w:numPr>
        <w:tabs>
          <w:tab w:val="clear" w:pos="567"/>
          <w:tab w:val="num" w:pos="709"/>
        </w:tabs>
        <w:ind w:left="709"/>
      </w:pPr>
      <w:r>
        <w:lastRenderedPageBreak/>
        <w:t>dispersal mechanisms of the pest, including vectors, to allow movement from the pathway to a host</w:t>
      </w:r>
    </w:p>
    <w:p w14:paraId="3B40E8E0" w14:textId="77777777" w:rsidR="003438A2" w:rsidRDefault="003438A2" w:rsidP="003438A2">
      <w:pPr>
        <w:pStyle w:val="ListBullet"/>
        <w:numPr>
          <w:ilvl w:val="0"/>
          <w:numId w:val="15"/>
        </w:numPr>
        <w:tabs>
          <w:tab w:val="clear" w:pos="567"/>
          <w:tab w:val="num" w:pos="709"/>
        </w:tabs>
        <w:ind w:left="709"/>
      </w:pPr>
      <w:r>
        <w:t>whether the imported commodity is to be sent to a few or many destination points in the PRA area</w:t>
      </w:r>
    </w:p>
    <w:p w14:paraId="4432A19B" w14:textId="77777777" w:rsidR="003438A2" w:rsidRDefault="003438A2" w:rsidP="003438A2">
      <w:pPr>
        <w:pStyle w:val="ListBullet"/>
        <w:numPr>
          <w:ilvl w:val="0"/>
          <w:numId w:val="15"/>
        </w:numPr>
        <w:tabs>
          <w:tab w:val="clear" w:pos="567"/>
          <w:tab w:val="num" w:pos="709"/>
        </w:tabs>
        <w:ind w:left="709"/>
      </w:pPr>
      <w:r>
        <w:t>proximity of entry, transit and destination points to hosts</w:t>
      </w:r>
    </w:p>
    <w:p w14:paraId="656E950B" w14:textId="77777777" w:rsidR="003438A2" w:rsidRDefault="003438A2" w:rsidP="003438A2">
      <w:pPr>
        <w:pStyle w:val="ListBullet"/>
        <w:numPr>
          <w:ilvl w:val="0"/>
          <w:numId w:val="15"/>
        </w:numPr>
        <w:tabs>
          <w:tab w:val="clear" w:pos="567"/>
          <w:tab w:val="num" w:pos="709"/>
        </w:tabs>
        <w:ind w:left="709"/>
      </w:pPr>
      <w:r>
        <w:t>time of year at which import takes place</w:t>
      </w:r>
    </w:p>
    <w:p w14:paraId="5E58A9C0" w14:textId="77777777" w:rsidR="003438A2" w:rsidRDefault="003438A2" w:rsidP="003438A2">
      <w:pPr>
        <w:pStyle w:val="ListBullet"/>
        <w:numPr>
          <w:ilvl w:val="0"/>
          <w:numId w:val="15"/>
        </w:numPr>
        <w:tabs>
          <w:tab w:val="clear" w:pos="567"/>
          <w:tab w:val="num" w:pos="709"/>
        </w:tabs>
        <w:ind w:left="709"/>
      </w:pPr>
      <w:r>
        <w:t>intended use of the commodity (for example, for planting, processing or consumption)</w:t>
      </w:r>
    </w:p>
    <w:p w14:paraId="0A751407" w14:textId="77777777" w:rsidR="003438A2" w:rsidRDefault="003438A2" w:rsidP="003438A2">
      <w:pPr>
        <w:pStyle w:val="ListBullet"/>
        <w:numPr>
          <w:ilvl w:val="0"/>
          <w:numId w:val="15"/>
        </w:numPr>
        <w:tabs>
          <w:tab w:val="clear" w:pos="567"/>
          <w:tab w:val="num" w:pos="709"/>
        </w:tabs>
        <w:ind w:left="709"/>
      </w:pPr>
      <w:r>
        <w:t>risks from by-products and waste.</w:t>
      </w:r>
    </w:p>
    <w:p w14:paraId="488E0BE3" w14:textId="77777777" w:rsidR="003438A2" w:rsidRDefault="003438A2" w:rsidP="00901A6E">
      <w:pPr>
        <w:pStyle w:val="Heading5"/>
      </w:pPr>
      <w:r>
        <w:t>Likelihood of establishment</w:t>
      </w:r>
    </w:p>
    <w:p w14:paraId="0C6AD7EA" w14:textId="77777777" w:rsidR="003438A2" w:rsidRDefault="003438A2" w:rsidP="00901A6E">
      <w:r>
        <w:t xml:space="preserve">Establishment is defined as the ‘perpetuation for the foreseeable future, of a pest within an area after entry’ </w:t>
      </w:r>
      <w:r>
        <w:rPr>
          <w:noProof/>
        </w:rPr>
        <w:t>(FAO 2021c)</w:t>
      </w:r>
      <w:r>
        <w:t>. In order to estimate the likelihood of establishment of a pest, reliable biological information (for example, lifecycle, host range, epidemiology, and survival) is obtained from the areas where the pest currently occurs. The situation in the PRA area can then be compared with that in the areas where it currently occurs and expert judgement used to assess the likelihood of establishment.</w:t>
      </w:r>
    </w:p>
    <w:p w14:paraId="79E9D451" w14:textId="77777777" w:rsidR="003438A2" w:rsidRDefault="003438A2" w:rsidP="00901A6E">
      <w:r>
        <w:t>Factors to be considered in the likelihood of establishment in the PRA area may include:</w:t>
      </w:r>
    </w:p>
    <w:p w14:paraId="1A831CFE" w14:textId="77777777" w:rsidR="003438A2" w:rsidRDefault="003438A2" w:rsidP="003438A2">
      <w:pPr>
        <w:pStyle w:val="ListBullet"/>
        <w:numPr>
          <w:ilvl w:val="0"/>
          <w:numId w:val="15"/>
        </w:numPr>
        <w:tabs>
          <w:tab w:val="clear" w:pos="567"/>
          <w:tab w:val="num" w:pos="709"/>
        </w:tabs>
        <w:ind w:left="709"/>
      </w:pPr>
      <w:r>
        <w:t>availability of hosts, alternative hosts and vectors</w:t>
      </w:r>
    </w:p>
    <w:p w14:paraId="32FBEF9A" w14:textId="77777777" w:rsidR="003438A2" w:rsidRDefault="003438A2" w:rsidP="003438A2">
      <w:pPr>
        <w:pStyle w:val="ListBullet"/>
        <w:numPr>
          <w:ilvl w:val="0"/>
          <w:numId w:val="15"/>
        </w:numPr>
        <w:tabs>
          <w:tab w:val="clear" w:pos="567"/>
          <w:tab w:val="num" w:pos="709"/>
        </w:tabs>
        <w:ind w:left="709"/>
      </w:pPr>
      <w:r>
        <w:t>suitability of the environment</w:t>
      </w:r>
    </w:p>
    <w:p w14:paraId="0623AAAF" w14:textId="77777777" w:rsidR="003438A2" w:rsidRDefault="003438A2" w:rsidP="003438A2">
      <w:pPr>
        <w:pStyle w:val="ListBullet"/>
        <w:numPr>
          <w:ilvl w:val="0"/>
          <w:numId w:val="15"/>
        </w:numPr>
        <w:tabs>
          <w:tab w:val="clear" w:pos="567"/>
          <w:tab w:val="num" w:pos="709"/>
        </w:tabs>
        <w:ind w:left="709"/>
      </w:pPr>
      <w:r>
        <w:t>reproductive strategy and potential for adaptation</w:t>
      </w:r>
    </w:p>
    <w:p w14:paraId="2157B6D8" w14:textId="77777777" w:rsidR="003438A2" w:rsidRDefault="003438A2" w:rsidP="003438A2">
      <w:pPr>
        <w:pStyle w:val="ListBullet"/>
        <w:numPr>
          <w:ilvl w:val="0"/>
          <w:numId w:val="15"/>
        </w:numPr>
        <w:tabs>
          <w:tab w:val="clear" w:pos="567"/>
          <w:tab w:val="num" w:pos="709"/>
        </w:tabs>
        <w:ind w:left="709"/>
      </w:pPr>
      <w:r>
        <w:t>minimum population needed for establishment</w:t>
      </w:r>
    </w:p>
    <w:p w14:paraId="3D0E49F2" w14:textId="77777777" w:rsidR="003438A2" w:rsidRDefault="003438A2" w:rsidP="003438A2">
      <w:pPr>
        <w:pStyle w:val="ListBullet"/>
        <w:numPr>
          <w:ilvl w:val="0"/>
          <w:numId w:val="15"/>
        </w:numPr>
        <w:tabs>
          <w:tab w:val="clear" w:pos="567"/>
          <w:tab w:val="num" w:pos="709"/>
        </w:tabs>
        <w:ind w:left="709"/>
      </w:pPr>
      <w:r>
        <w:t>cultural practices and control measures.</w:t>
      </w:r>
    </w:p>
    <w:p w14:paraId="68379BB5" w14:textId="77777777" w:rsidR="003438A2" w:rsidRDefault="003438A2" w:rsidP="00591D87">
      <w:pPr>
        <w:pStyle w:val="Heading5"/>
      </w:pPr>
      <w:r>
        <w:t>Likelihood of spread</w:t>
      </w:r>
    </w:p>
    <w:p w14:paraId="385D63F1" w14:textId="77777777" w:rsidR="003438A2" w:rsidRDefault="003438A2" w:rsidP="00901A6E">
      <w:r>
        <w:t xml:space="preserve">Spread is defined as ‘the expansion of the geographical distribution of a pest within an area’ </w:t>
      </w:r>
      <w:r>
        <w:rPr>
          <w:noProof/>
        </w:rPr>
        <w:t>(FAO 2021c)</w:t>
      </w:r>
      <w:r>
        <w:t>. 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PRA area is then carefully compared with that in the areas where the pest currently occurs and expert judgement used to assess the likelihood of spread.</w:t>
      </w:r>
    </w:p>
    <w:p w14:paraId="71CFF1AF" w14:textId="77777777" w:rsidR="003438A2" w:rsidRDefault="003438A2" w:rsidP="00901A6E">
      <w:r>
        <w:t>Factors to be considered in the likelihood of spread may include:</w:t>
      </w:r>
    </w:p>
    <w:p w14:paraId="5177BE4F" w14:textId="77777777" w:rsidR="003438A2" w:rsidRDefault="003438A2" w:rsidP="003438A2">
      <w:pPr>
        <w:pStyle w:val="ListBullet"/>
        <w:numPr>
          <w:ilvl w:val="0"/>
          <w:numId w:val="15"/>
        </w:numPr>
        <w:tabs>
          <w:tab w:val="clear" w:pos="567"/>
          <w:tab w:val="num" w:pos="709"/>
        </w:tabs>
        <w:ind w:left="709" w:hanging="425"/>
      </w:pPr>
      <w:r>
        <w:t>suitability of the natural and/or managed environment for natural spread of the pest</w:t>
      </w:r>
    </w:p>
    <w:p w14:paraId="79CCC0BA" w14:textId="77777777" w:rsidR="003438A2" w:rsidRDefault="003438A2" w:rsidP="003438A2">
      <w:pPr>
        <w:pStyle w:val="ListBullet"/>
        <w:numPr>
          <w:ilvl w:val="0"/>
          <w:numId w:val="15"/>
        </w:numPr>
        <w:tabs>
          <w:tab w:val="clear" w:pos="567"/>
          <w:tab w:val="num" w:pos="709"/>
        </w:tabs>
        <w:ind w:left="709" w:hanging="425"/>
      </w:pPr>
      <w:r>
        <w:t>presence of natural barriers</w:t>
      </w:r>
    </w:p>
    <w:p w14:paraId="3F0A8C37" w14:textId="77777777" w:rsidR="003438A2" w:rsidRDefault="003438A2" w:rsidP="003438A2">
      <w:pPr>
        <w:pStyle w:val="ListBullet"/>
        <w:numPr>
          <w:ilvl w:val="0"/>
          <w:numId w:val="15"/>
        </w:numPr>
        <w:tabs>
          <w:tab w:val="clear" w:pos="567"/>
          <w:tab w:val="num" w:pos="709"/>
        </w:tabs>
        <w:ind w:left="709" w:hanging="425"/>
      </w:pPr>
      <w:r>
        <w:t>potential for movement with commodities, conveyances or by vectors</w:t>
      </w:r>
    </w:p>
    <w:p w14:paraId="12B20282" w14:textId="77777777" w:rsidR="003438A2" w:rsidRDefault="003438A2" w:rsidP="003438A2">
      <w:pPr>
        <w:pStyle w:val="ListBullet"/>
        <w:numPr>
          <w:ilvl w:val="0"/>
          <w:numId w:val="15"/>
        </w:numPr>
        <w:tabs>
          <w:tab w:val="clear" w:pos="567"/>
          <w:tab w:val="num" w:pos="709"/>
        </w:tabs>
        <w:ind w:left="709" w:hanging="425"/>
      </w:pPr>
      <w:r>
        <w:t>intended use of the commodity</w:t>
      </w:r>
    </w:p>
    <w:p w14:paraId="5216F79D" w14:textId="77777777" w:rsidR="003438A2" w:rsidRDefault="003438A2" w:rsidP="003438A2">
      <w:pPr>
        <w:pStyle w:val="ListBullet"/>
        <w:numPr>
          <w:ilvl w:val="0"/>
          <w:numId w:val="15"/>
        </w:numPr>
        <w:tabs>
          <w:tab w:val="clear" w:pos="567"/>
          <w:tab w:val="num" w:pos="709"/>
        </w:tabs>
        <w:ind w:left="709" w:hanging="425"/>
      </w:pPr>
      <w:r>
        <w:t>potential vectors of the pest in the PRA area</w:t>
      </w:r>
    </w:p>
    <w:p w14:paraId="56261953" w14:textId="77777777" w:rsidR="003438A2" w:rsidRDefault="003438A2" w:rsidP="003438A2">
      <w:pPr>
        <w:pStyle w:val="ListBullet"/>
        <w:numPr>
          <w:ilvl w:val="0"/>
          <w:numId w:val="15"/>
        </w:numPr>
        <w:tabs>
          <w:tab w:val="clear" w:pos="567"/>
          <w:tab w:val="num" w:pos="709"/>
        </w:tabs>
        <w:ind w:left="709" w:hanging="425"/>
      </w:pPr>
      <w:r>
        <w:t>potential natural enemies of the pest in the PRA area.</w:t>
      </w:r>
    </w:p>
    <w:p w14:paraId="0EA67672" w14:textId="77777777" w:rsidR="003438A2" w:rsidRDefault="003438A2" w:rsidP="00591D87">
      <w:pPr>
        <w:pStyle w:val="Heading5"/>
      </w:pPr>
      <w:r>
        <w:lastRenderedPageBreak/>
        <w:t>Assigning likelihoods for entry, establishment and spread</w:t>
      </w:r>
    </w:p>
    <w:p w14:paraId="231ABF78" w14:textId="77777777" w:rsidR="003438A2" w:rsidRDefault="003438A2" w:rsidP="00E13489">
      <w:bookmarkStart w:id="46" w:name="_Ref457826303"/>
      <w:bookmarkStart w:id="47" w:name="_Toc7607544"/>
      <w:r>
        <w:t>Likelihoods are assigned to each step of entry, establishment and spread. Six descriptors are used: high; moderate; low; very low; extremely low; and negligible (</w:t>
      </w:r>
      <w:r>
        <w:fldChar w:fldCharType="begin" w:fldLock="1"/>
      </w:r>
      <w:r>
        <w:instrText xml:space="preserve"> REF _Ref108431678 \h </w:instrText>
      </w:r>
      <w:r>
        <w:fldChar w:fldCharType="separate"/>
      </w:r>
      <w:r>
        <w:t xml:space="preserve">Table </w:t>
      </w:r>
      <w:r>
        <w:rPr>
          <w:noProof/>
        </w:rPr>
        <w:t>2</w:t>
      </w:r>
      <w:r>
        <w:t>.</w:t>
      </w:r>
      <w:r>
        <w:rPr>
          <w:noProof/>
        </w:rPr>
        <w:t>1</w:t>
      </w:r>
      <w:r>
        <w:fldChar w:fldCharType="end"/>
      </w:r>
      <w:r>
        <w:t>)</w:t>
      </w:r>
      <w:r w:rsidRPr="00FF74E9">
        <w:t>. Definitions for these descriptors and their indicative ranges are given i</w:t>
      </w:r>
      <w:r>
        <w:t xml:space="preserve">n </w:t>
      </w:r>
      <w:r>
        <w:fldChar w:fldCharType="begin" w:fldLock="1"/>
      </w:r>
      <w:r>
        <w:instrText xml:space="preserve"> REF _Ref108431678 \h </w:instrText>
      </w:r>
      <w:r>
        <w:fldChar w:fldCharType="separate"/>
      </w:r>
      <w:r>
        <w:t xml:space="preserve">Table </w:t>
      </w:r>
      <w:r>
        <w:rPr>
          <w:noProof/>
        </w:rPr>
        <w:t>2</w:t>
      </w:r>
      <w:r>
        <w:t>.</w:t>
      </w:r>
      <w:r>
        <w:rPr>
          <w:noProof/>
        </w:rPr>
        <w:t>1</w:t>
      </w:r>
      <w:r>
        <w:fldChar w:fldCharType="end"/>
      </w:r>
      <w:r w:rsidRPr="00FF74E9">
        <w:t>. The</w:t>
      </w:r>
      <w:r>
        <w:t xml:space="preserve"> indicative ranges are only provided to illustrate the boundaries of the descriptors and are not used beyond this purpose in qualitative PRAs. These indicative ranges provide guidance to the risk analyst and promote consistency between different pest risk assessments.</w:t>
      </w:r>
    </w:p>
    <w:p w14:paraId="54302015" w14:textId="77777777" w:rsidR="003438A2" w:rsidRDefault="003438A2" w:rsidP="004134DD">
      <w:pPr>
        <w:pStyle w:val="Caption"/>
      </w:pPr>
      <w:bookmarkStart w:id="48" w:name="_Ref108431678"/>
      <w:bookmarkStart w:id="49" w:name="_Toc112770155"/>
      <w:r>
        <w:t xml:space="preserve">Table </w:t>
      </w:r>
      <w:fldSimple w:instr=" STYLEREF 2 \s " w:fldLock="1">
        <w:r>
          <w:rPr>
            <w:noProof/>
          </w:rPr>
          <w:t>2</w:t>
        </w:r>
      </w:fldSimple>
      <w:r>
        <w:t>.</w:t>
      </w:r>
      <w:fldSimple w:instr=" SEQ Table \* ARABIC \s 2 " w:fldLock="1">
        <w:r>
          <w:rPr>
            <w:noProof/>
          </w:rPr>
          <w:t>1</w:t>
        </w:r>
      </w:fldSimple>
      <w:bookmarkEnd w:id="46"/>
      <w:bookmarkEnd w:id="48"/>
      <w:r>
        <w:t xml:space="preserve"> </w:t>
      </w:r>
      <w:r w:rsidRPr="00A7299B">
        <w:t>Nomenclature of likelihoods</w:t>
      </w:r>
      <w:bookmarkEnd w:id="47"/>
      <w:bookmarkEnd w:id="49"/>
    </w:p>
    <w:tbl>
      <w:tblPr>
        <w:tblW w:w="5000" w:type="pct"/>
        <w:tblBorders>
          <w:top w:val="single" w:sz="4" w:space="0" w:color="auto"/>
          <w:bottom w:val="single" w:sz="4" w:space="0" w:color="auto"/>
        </w:tblBorders>
        <w:tblLook w:val="04A0" w:firstRow="1" w:lastRow="0" w:firstColumn="1" w:lastColumn="0" w:noHBand="0" w:noVBand="1"/>
      </w:tblPr>
      <w:tblGrid>
        <w:gridCol w:w="1906"/>
        <w:gridCol w:w="4140"/>
        <w:gridCol w:w="3024"/>
      </w:tblGrid>
      <w:tr w:rsidR="003438A2" w14:paraId="05959F66" w14:textId="77777777">
        <w:tc>
          <w:tcPr>
            <w:tcW w:w="1051" w:type="pct"/>
          </w:tcPr>
          <w:p w14:paraId="554B9607" w14:textId="77777777" w:rsidR="003438A2" w:rsidRDefault="003438A2" w:rsidP="004255F5">
            <w:pPr>
              <w:pStyle w:val="TableHeading"/>
            </w:pPr>
            <w:r>
              <w:t>Likelihood</w:t>
            </w:r>
          </w:p>
        </w:tc>
        <w:tc>
          <w:tcPr>
            <w:tcW w:w="2282" w:type="pct"/>
          </w:tcPr>
          <w:p w14:paraId="4FC7608F" w14:textId="77777777" w:rsidR="003438A2" w:rsidRDefault="003438A2" w:rsidP="004255F5">
            <w:pPr>
              <w:pStyle w:val="TableHeading"/>
            </w:pPr>
            <w:r>
              <w:t>Descriptive definition</w:t>
            </w:r>
          </w:p>
        </w:tc>
        <w:tc>
          <w:tcPr>
            <w:tcW w:w="1667" w:type="pct"/>
          </w:tcPr>
          <w:p w14:paraId="2ED03BDF" w14:textId="77777777" w:rsidR="003438A2" w:rsidRDefault="003438A2" w:rsidP="004255F5">
            <w:pPr>
              <w:pStyle w:val="TableHeading"/>
            </w:pPr>
            <w:r>
              <w:t>Indicative range</w:t>
            </w:r>
          </w:p>
        </w:tc>
      </w:tr>
      <w:tr w:rsidR="003438A2" w14:paraId="31A32DF1" w14:textId="77777777">
        <w:tc>
          <w:tcPr>
            <w:tcW w:w="1051" w:type="pct"/>
          </w:tcPr>
          <w:p w14:paraId="5810C72C" w14:textId="77777777" w:rsidR="003438A2" w:rsidRDefault="003438A2" w:rsidP="00901A6E">
            <w:pPr>
              <w:pStyle w:val="TableText"/>
            </w:pPr>
            <w:r>
              <w:t>High</w:t>
            </w:r>
          </w:p>
        </w:tc>
        <w:tc>
          <w:tcPr>
            <w:tcW w:w="2282" w:type="pct"/>
          </w:tcPr>
          <w:p w14:paraId="16B5C8E4" w14:textId="77777777" w:rsidR="003438A2" w:rsidRDefault="003438A2" w:rsidP="00901A6E">
            <w:pPr>
              <w:pStyle w:val="TableText"/>
            </w:pPr>
            <w:r>
              <w:t>The event would be very likely to occur</w:t>
            </w:r>
          </w:p>
        </w:tc>
        <w:tc>
          <w:tcPr>
            <w:tcW w:w="1667" w:type="pct"/>
          </w:tcPr>
          <w:p w14:paraId="56E88780" w14:textId="77777777" w:rsidR="003438A2" w:rsidRDefault="003438A2" w:rsidP="00901A6E">
            <w:pPr>
              <w:pStyle w:val="TableText"/>
            </w:pPr>
            <w:r>
              <w:t>0.7 &lt; to ≤ 1</w:t>
            </w:r>
          </w:p>
        </w:tc>
      </w:tr>
      <w:tr w:rsidR="003438A2" w14:paraId="32A9C1B8" w14:textId="77777777">
        <w:tc>
          <w:tcPr>
            <w:tcW w:w="1051" w:type="pct"/>
          </w:tcPr>
          <w:p w14:paraId="5C26345D" w14:textId="77777777" w:rsidR="003438A2" w:rsidRDefault="003438A2" w:rsidP="00901A6E">
            <w:pPr>
              <w:pStyle w:val="TableText"/>
            </w:pPr>
            <w:r>
              <w:t>Moderate</w:t>
            </w:r>
          </w:p>
        </w:tc>
        <w:tc>
          <w:tcPr>
            <w:tcW w:w="2282" w:type="pct"/>
          </w:tcPr>
          <w:p w14:paraId="40B3CE5E" w14:textId="77777777" w:rsidR="003438A2" w:rsidRDefault="003438A2" w:rsidP="00901A6E">
            <w:pPr>
              <w:pStyle w:val="TableText"/>
            </w:pPr>
            <w:r>
              <w:t>The event would occur with an even likelihood</w:t>
            </w:r>
          </w:p>
        </w:tc>
        <w:tc>
          <w:tcPr>
            <w:tcW w:w="1667" w:type="pct"/>
          </w:tcPr>
          <w:p w14:paraId="4D00CC48" w14:textId="77777777" w:rsidR="003438A2" w:rsidRDefault="003438A2" w:rsidP="00901A6E">
            <w:pPr>
              <w:pStyle w:val="TableText"/>
            </w:pPr>
            <w:r>
              <w:t>0.3 &lt; to ≤ 0.7</w:t>
            </w:r>
          </w:p>
        </w:tc>
      </w:tr>
      <w:tr w:rsidR="003438A2" w14:paraId="48FD005E" w14:textId="77777777">
        <w:tc>
          <w:tcPr>
            <w:tcW w:w="1051" w:type="pct"/>
          </w:tcPr>
          <w:p w14:paraId="35798856" w14:textId="77777777" w:rsidR="003438A2" w:rsidRDefault="003438A2" w:rsidP="00901A6E">
            <w:pPr>
              <w:pStyle w:val="TableText"/>
            </w:pPr>
            <w:r>
              <w:t>Low</w:t>
            </w:r>
          </w:p>
        </w:tc>
        <w:tc>
          <w:tcPr>
            <w:tcW w:w="2282" w:type="pct"/>
          </w:tcPr>
          <w:p w14:paraId="12701294" w14:textId="77777777" w:rsidR="003438A2" w:rsidRDefault="003438A2" w:rsidP="00901A6E">
            <w:pPr>
              <w:pStyle w:val="TableText"/>
            </w:pPr>
            <w:r>
              <w:t>The event would be unlikely to occur</w:t>
            </w:r>
          </w:p>
        </w:tc>
        <w:tc>
          <w:tcPr>
            <w:tcW w:w="1667" w:type="pct"/>
          </w:tcPr>
          <w:p w14:paraId="7085683E" w14:textId="77777777" w:rsidR="003438A2" w:rsidRDefault="003438A2" w:rsidP="00901A6E">
            <w:pPr>
              <w:pStyle w:val="TableText"/>
            </w:pPr>
            <w:r>
              <w:t>0.05 &lt; to ≤ 0.3</w:t>
            </w:r>
          </w:p>
        </w:tc>
      </w:tr>
      <w:tr w:rsidR="003438A2" w14:paraId="5C63F18D" w14:textId="77777777">
        <w:tc>
          <w:tcPr>
            <w:tcW w:w="1051" w:type="pct"/>
          </w:tcPr>
          <w:p w14:paraId="2D03FB14" w14:textId="77777777" w:rsidR="003438A2" w:rsidRDefault="003438A2" w:rsidP="00901A6E">
            <w:pPr>
              <w:pStyle w:val="TableText"/>
            </w:pPr>
            <w:r>
              <w:t>Very low</w:t>
            </w:r>
          </w:p>
        </w:tc>
        <w:tc>
          <w:tcPr>
            <w:tcW w:w="2282" w:type="pct"/>
          </w:tcPr>
          <w:p w14:paraId="0CC3FB72" w14:textId="77777777" w:rsidR="003438A2" w:rsidRDefault="003438A2" w:rsidP="00901A6E">
            <w:pPr>
              <w:pStyle w:val="TableText"/>
            </w:pPr>
            <w:r>
              <w:t>The event would be very unlikely to occur</w:t>
            </w:r>
          </w:p>
        </w:tc>
        <w:tc>
          <w:tcPr>
            <w:tcW w:w="1667" w:type="pct"/>
          </w:tcPr>
          <w:p w14:paraId="5591FB56" w14:textId="77777777" w:rsidR="003438A2" w:rsidRDefault="003438A2" w:rsidP="00901A6E">
            <w:pPr>
              <w:pStyle w:val="TableText"/>
            </w:pPr>
            <w:r>
              <w:t>0.001 &lt; to ≤ 0.05</w:t>
            </w:r>
          </w:p>
        </w:tc>
      </w:tr>
      <w:tr w:rsidR="003438A2" w14:paraId="2AE1F448" w14:textId="77777777">
        <w:tc>
          <w:tcPr>
            <w:tcW w:w="1051" w:type="pct"/>
          </w:tcPr>
          <w:p w14:paraId="013689DD" w14:textId="77777777" w:rsidR="003438A2" w:rsidRDefault="003438A2" w:rsidP="00901A6E">
            <w:pPr>
              <w:pStyle w:val="TableText"/>
            </w:pPr>
            <w:r>
              <w:t>Extremely low</w:t>
            </w:r>
          </w:p>
        </w:tc>
        <w:tc>
          <w:tcPr>
            <w:tcW w:w="2282" w:type="pct"/>
          </w:tcPr>
          <w:p w14:paraId="24539C62" w14:textId="77777777" w:rsidR="003438A2" w:rsidRDefault="003438A2" w:rsidP="00901A6E">
            <w:pPr>
              <w:pStyle w:val="TableText"/>
            </w:pPr>
            <w:r>
              <w:t>The event would be extremely unlikely to occur</w:t>
            </w:r>
          </w:p>
        </w:tc>
        <w:tc>
          <w:tcPr>
            <w:tcW w:w="1667" w:type="pct"/>
          </w:tcPr>
          <w:p w14:paraId="36A31ED0" w14:textId="77777777" w:rsidR="003438A2" w:rsidRDefault="003438A2" w:rsidP="00901A6E">
            <w:pPr>
              <w:pStyle w:val="TableText"/>
            </w:pPr>
            <w:r>
              <w:t>0.000001 &lt; to ≤ 0.001</w:t>
            </w:r>
          </w:p>
        </w:tc>
      </w:tr>
      <w:tr w:rsidR="003438A2" w14:paraId="20A977EA" w14:textId="77777777">
        <w:tc>
          <w:tcPr>
            <w:tcW w:w="1051" w:type="pct"/>
          </w:tcPr>
          <w:p w14:paraId="396540BA" w14:textId="77777777" w:rsidR="003438A2" w:rsidRDefault="003438A2" w:rsidP="00901A6E">
            <w:pPr>
              <w:pStyle w:val="TableText"/>
            </w:pPr>
            <w:r>
              <w:t>Negligible</w:t>
            </w:r>
          </w:p>
        </w:tc>
        <w:tc>
          <w:tcPr>
            <w:tcW w:w="2282" w:type="pct"/>
          </w:tcPr>
          <w:p w14:paraId="7C70FFDA" w14:textId="77777777" w:rsidR="003438A2" w:rsidRDefault="003438A2" w:rsidP="00901A6E">
            <w:pPr>
              <w:pStyle w:val="TableText"/>
            </w:pPr>
            <w:r>
              <w:t>The event would almost certainly not occur</w:t>
            </w:r>
          </w:p>
        </w:tc>
        <w:tc>
          <w:tcPr>
            <w:tcW w:w="1667" w:type="pct"/>
          </w:tcPr>
          <w:p w14:paraId="161437B2" w14:textId="77777777" w:rsidR="003438A2" w:rsidRDefault="003438A2" w:rsidP="00901A6E">
            <w:pPr>
              <w:pStyle w:val="TableText"/>
            </w:pPr>
            <w:r>
              <w:t>0 &lt; to ≤ 0.000001</w:t>
            </w:r>
          </w:p>
        </w:tc>
      </w:tr>
    </w:tbl>
    <w:p w14:paraId="206A1417" w14:textId="77777777" w:rsidR="003438A2" w:rsidRDefault="003438A2" w:rsidP="00591D87">
      <w:pPr>
        <w:pStyle w:val="Heading5"/>
      </w:pPr>
      <w:r>
        <w:t>Combining likelihoods</w:t>
      </w:r>
    </w:p>
    <w:p w14:paraId="20918628" w14:textId="77777777" w:rsidR="003438A2" w:rsidRDefault="003438A2" w:rsidP="00901A6E">
      <w:r>
        <w:t xml:space="preserve">The likelihood of entry is determined by combining the likelihood that the pest will be imported into the PRA area and the likelihood that the pest will be distributed within the PRA area, using a matrix </w:t>
      </w:r>
      <w:r w:rsidRPr="00FF74E9">
        <w:t>of rules (</w:t>
      </w:r>
      <w:r w:rsidRPr="00B751A6">
        <w:fldChar w:fldCharType="begin" w:fldLock="1"/>
      </w:r>
      <w:r w:rsidRPr="00B751A6">
        <w:instrText xml:space="preserve"> REF _Ref457826328 \h </w:instrText>
      </w:r>
      <w:r w:rsidRPr="00B751A6">
        <w:fldChar w:fldCharType="separate"/>
      </w:r>
      <w:r w:rsidRPr="00DB5F8D">
        <w:t xml:space="preserve">Table </w:t>
      </w:r>
      <w:r>
        <w:rPr>
          <w:noProof/>
        </w:rPr>
        <w:t>2</w:t>
      </w:r>
      <w:r>
        <w:t>.</w:t>
      </w:r>
      <w:r>
        <w:rPr>
          <w:noProof/>
        </w:rPr>
        <w:t>2</w:t>
      </w:r>
      <w:r w:rsidRPr="00B751A6">
        <w:fldChar w:fldCharType="end"/>
      </w:r>
      <w:r w:rsidRPr="00B751A6">
        <w:t>)</w:t>
      </w:r>
      <w:r w:rsidRPr="00FF74E9">
        <w:t>. This matrix is then used to combine the likelihood of entry and the likelihood of establishment, and the</w:t>
      </w:r>
      <w:r>
        <w:t xml:space="preserve"> likelihood of entry and establishment is then combined with the likelihood of spread to determine the overall likelihood of entry, establishment and spread.</w:t>
      </w:r>
    </w:p>
    <w:p w14:paraId="09D4712B" w14:textId="77777777" w:rsidR="003438A2" w:rsidRDefault="003438A2" w:rsidP="00901A6E">
      <w:r>
        <w:t>For example, if the likelihood of importation is assigned a descriptor of ‘low’ and the likelihood of distribution is assigned a descriptor of ‘moderate’, then they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14:paraId="360640C9" w14:textId="77777777" w:rsidR="003438A2" w:rsidRDefault="003438A2" w:rsidP="00901A6E">
      <w:pPr>
        <w:tabs>
          <w:tab w:val="left" w:pos="4395"/>
        </w:tabs>
      </w:pPr>
      <w:r>
        <w:t>importation x distribution = entry [E]</w:t>
      </w:r>
      <w:r>
        <w:tab/>
      </w:r>
      <w:r w:rsidRPr="00901A6E">
        <w:rPr>
          <w:rStyle w:val="Strong"/>
        </w:rPr>
        <w:t>low x moderate = low</w:t>
      </w:r>
    </w:p>
    <w:p w14:paraId="28F02168" w14:textId="77777777" w:rsidR="003438A2" w:rsidRDefault="003438A2" w:rsidP="00901A6E">
      <w:pPr>
        <w:tabs>
          <w:tab w:val="left" w:pos="4395"/>
        </w:tabs>
      </w:pPr>
      <w:r>
        <w:t xml:space="preserve">entry x establishment = [EE] </w:t>
      </w:r>
      <w:r>
        <w:tab/>
      </w:r>
      <w:r w:rsidRPr="00901A6E">
        <w:rPr>
          <w:rStyle w:val="Strong"/>
        </w:rPr>
        <w:t>low x high = low</w:t>
      </w:r>
    </w:p>
    <w:p w14:paraId="1F3E6A13" w14:textId="77777777" w:rsidR="003438A2" w:rsidRDefault="003438A2" w:rsidP="00901A6E">
      <w:pPr>
        <w:tabs>
          <w:tab w:val="left" w:pos="4395"/>
        </w:tabs>
        <w:rPr>
          <w:rStyle w:val="Strong"/>
        </w:rPr>
      </w:pPr>
      <w:r>
        <w:t xml:space="preserve">[EE] x spread = [EES] </w:t>
      </w:r>
      <w:r>
        <w:tab/>
      </w:r>
      <w:r w:rsidRPr="00901A6E">
        <w:rPr>
          <w:rStyle w:val="Strong"/>
        </w:rPr>
        <w:t>low x very low = very low</w:t>
      </w:r>
    </w:p>
    <w:p w14:paraId="387825D5" w14:textId="77777777" w:rsidR="003438A2" w:rsidRDefault="003438A2" w:rsidP="00901A6E">
      <w:pPr>
        <w:tabs>
          <w:tab w:val="left" w:pos="4395"/>
        </w:tabs>
        <w:rPr>
          <w:rStyle w:val="Strong"/>
        </w:rPr>
      </w:pPr>
    </w:p>
    <w:p w14:paraId="7450286E" w14:textId="77777777" w:rsidR="003438A2" w:rsidRDefault="003438A2" w:rsidP="00901A6E">
      <w:pPr>
        <w:tabs>
          <w:tab w:val="left" w:pos="4395"/>
        </w:tabs>
        <w:rPr>
          <w:rStyle w:val="Strong"/>
        </w:rPr>
      </w:pPr>
    </w:p>
    <w:p w14:paraId="422BEBD0" w14:textId="77777777" w:rsidR="003438A2" w:rsidRDefault="003438A2" w:rsidP="00901A6E">
      <w:pPr>
        <w:tabs>
          <w:tab w:val="left" w:pos="4395"/>
        </w:tabs>
        <w:rPr>
          <w:rStyle w:val="Strong"/>
        </w:rPr>
      </w:pPr>
    </w:p>
    <w:p w14:paraId="2A025B1D" w14:textId="77777777" w:rsidR="003438A2" w:rsidRDefault="003438A2" w:rsidP="00901A6E">
      <w:pPr>
        <w:tabs>
          <w:tab w:val="left" w:pos="4395"/>
        </w:tabs>
        <w:rPr>
          <w:rStyle w:val="Strong"/>
        </w:rPr>
      </w:pPr>
    </w:p>
    <w:p w14:paraId="376E2521" w14:textId="77777777" w:rsidR="003438A2" w:rsidRDefault="003438A2" w:rsidP="00901A6E">
      <w:pPr>
        <w:tabs>
          <w:tab w:val="left" w:pos="4395"/>
        </w:tabs>
        <w:rPr>
          <w:rStyle w:val="Strong"/>
        </w:rPr>
      </w:pPr>
    </w:p>
    <w:p w14:paraId="1793224E" w14:textId="77777777" w:rsidR="003438A2" w:rsidRPr="00901A6E" w:rsidRDefault="003438A2" w:rsidP="00901A6E">
      <w:pPr>
        <w:tabs>
          <w:tab w:val="left" w:pos="4395"/>
        </w:tabs>
        <w:rPr>
          <w:rStyle w:val="Strong"/>
        </w:rPr>
      </w:pPr>
    </w:p>
    <w:p w14:paraId="0297D079" w14:textId="77777777" w:rsidR="003438A2" w:rsidRPr="00DB5F8D" w:rsidRDefault="003438A2" w:rsidP="004134DD">
      <w:pPr>
        <w:pStyle w:val="Caption"/>
      </w:pPr>
      <w:bookmarkStart w:id="50" w:name="_Ref457826328"/>
      <w:bookmarkStart w:id="51" w:name="_Toc45003735"/>
      <w:bookmarkStart w:id="52" w:name="_Toc112770156"/>
      <w:r w:rsidRPr="00DB5F8D">
        <w:lastRenderedPageBreak/>
        <w:t xml:space="preserve">Table </w:t>
      </w:r>
      <w:fldSimple w:instr=" STYLEREF 2 \s " w:fldLock="1">
        <w:r>
          <w:rPr>
            <w:noProof/>
          </w:rPr>
          <w:t>2</w:t>
        </w:r>
      </w:fldSimple>
      <w:r>
        <w:t>.</w:t>
      </w:r>
      <w:fldSimple w:instr=" SEQ Table \* ARABIC \s 2 " w:fldLock="1">
        <w:r>
          <w:rPr>
            <w:noProof/>
          </w:rPr>
          <w:t>2</w:t>
        </w:r>
      </w:fldSimple>
      <w:bookmarkEnd w:id="50"/>
      <w:r w:rsidRPr="00DB5F8D">
        <w:t xml:space="preserve"> Matrix of rules for combining likelihoods</w:t>
      </w:r>
      <w:bookmarkEnd w:id="51"/>
      <w:bookmarkEnd w:id="52"/>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194"/>
        <w:gridCol w:w="1309"/>
        <w:gridCol w:w="1310"/>
        <w:gridCol w:w="1309"/>
        <w:gridCol w:w="1309"/>
        <w:gridCol w:w="1310"/>
        <w:gridCol w:w="1309"/>
      </w:tblGrid>
      <w:tr w:rsidR="003438A2" w14:paraId="49EE642C" w14:textId="77777777">
        <w:trPr>
          <w:cantSplit/>
          <w:trHeight w:val="75"/>
        </w:trPr>
        <w:tc>
          <w:tcPr>
            <w:tcW w:w="660" w:type="pct"/>
            <w:tcBorders>
              <w:top w:val="single" w:sz="8" w:space="0" w:color="auto"/>
              <w:left w:val="single" w:sz="8" w:space="0" w:color="auto"/>
              <w:bottom w:val="nil"/>
              <w:right w:val="nil"/>
              <w:tl2br w:val="single" w:sz="4" w:space="0" w:color="C0C0C0"/>
            </w:tcBorders>
            <w:shd w:val="clear" w:color="auto" w:fill="auto"/>
          </w:tcPr>
          <w:p w14:paraId="15256609" w14:textId="77777777" w:rsidR="003438A2" w:rsidRDefault="003438A2" w:rsidP="0016140B">
            <w:pPr>
              <w:pStyle w:val="TableText"/>
            </w:pPr>
          </w:p>
        </w:tc>
        <w:tc>
          <w:tcPr>
            <w:tcW w:w="723" w:type="pct"/>
            <w:tcBorders>
              <w:top w:val="single" w:sz="8" w:space="0" w:color="auto"/>
              <w:left w:val="nil"/>
              <w:bottom w:val="single" w:sz="8" w:space="0" w:color="C0C0C0"/>
            </w:tcBorders>
            <w:shd w:val="clear" w:color="auto" w:fill="auto"/>
          </w:tcPr>
          <w:p w14:paraId="56C823F6" w14:textId="77777777" w:rsidR="003438A2" w:rsidRDefault="003438A2" w:rsidP="0016140B">
            <w:pPr>
              <w:pStyle w:val="TableText"/>
            </w:pPr>
            <w:r>
              <w:t>High</w:t>
            </w:r>
          </w:p>
        </w:tc>
        <w:tc>
          <w:tcPr>
            <w:tcW w:w="724" w:type="pct"/>
            <w:tcBorders>
              <w:top w:val="single" w:sz="8" w:space="0" w:color="auto"/>
              <w:bottom w:val="single" w:sz="8" w:space="0" w:color="C0C0C0"/>
            </w:tcBorders>
            <w:shd w:val="clear" w:color="auto" w:fill="auto"/>
          </w:tcPr>
          <w:p w14:paraId="57188A27" w14:textId="77777777" w:rsidR="003438A2" w:rsidRDefault="003438A2" w:rsidP="0016140B">
            <w:pPr>
              <w:pStyle w:val="TableText"/>
            </w:pPr>
            <w:r>
              <w:t>Moderate</w:t>
            </w:r>
          </w:p>
        </w:tc>
        <w:tc>
          <w:tcPr>
            <w:tcW w:w="723" w:type="pct"/>
            <w:tcBorders>
              <w:top w:val="single" w:sz="8" w:space="0" w:color="auto"/>
              <w:bottom w:val="single" w:sz="8" w:space="0" w:color="C0C0C0"/>
            </w:tcBorders>
            <w:shd w:val="clear" w:color="auto" w:fill="auto"/>
          </w:tcPr>
          <w:p w14:paraId="6378E8AF" w14:textId="77777777" w:rsidR="003438A2" w:rsidRDefault="003438A2" w:rsidP="0016140B">
            <w:pPr>
              <w:pStyle w:val="TableText"/>
            </w:pPr>
            <w:r>
              <w:t>Low</w:t>
            </w:r>
          </w:p>
        </w:tc>
        <w:tc>
          <w:tcPr>
            <w:tcW w:w="723" w:type="pct"/>
            <w:tcBorders>
              <w:top w:val="single" w:sz="8" w:space="0" w:color="auto"/>
              <w:bottom w:val="single" w:sz="8" w:space="0" w:color="C0C0C0"/>
            </w:tcBorders>
            <w:shd w:val="clear" w:color="auto" w:fill="auto"/>
          </w:tcPr>
          <w:p w14:paraId="30837EB5" w14:textId="77777777" w:rsidR="003438A2" w:rsidRDefault="003438A2" w:rsidP="0016140B">
            <w:pPr>
              <w:pStyle w:val="TableText"/>
            </w:pPr>
            <w:r>
              <w:t>Very low</w:t>
            </w:r>
          </w:p>
        </w:tc>
        <w:tc>
          <w:tcPr>
            <w:tcW w:w="724" w:type="pct"/>
            <w:tcBorders>
              <w:top w:val="single" w:sz="8" w:space="0" w:color="auto"/>
              <w:bottom w:val="single" w:sz="8" w:space="0" w:color="C0C0C0"/>
            </w:tcBorders>
            <w:shd w:val="clear" w:color="auto" w:fill="auto"/>
          </w:tcPr>
          <w:p w14:paraId="3FA0A644" w14:textId="77777777" w:rsidR="003438A2" w:rsidRDefault="003438A2" w:rsidP="0016140B">
            <w:pPr>
              <w:pStyle w:val="TableText"/>
            </w:pPr>
            <w:r>
              <w:t>Extremely low</w:t>
            </w:r>
          </w:p>
        </w:tc>
        <w:tc>
          <w:tcPr>
            <w:tcW w:w="723" w:type="pct"/>
            <w:tcBorders>
              <w:top w:val="single" w:sz="8" w:space="0" w:color="auto"/>
              <w:bottom w:val="single" w:sz="8" w:space="0" w:color="C0C0C0"/>
              <w:right w:val="single" w:sz="8" w:space="0" w:color="auto"/>
            </w:tcBorders>
            <w:shd w:val="clear" w:color="auto" w:fill="auto"/>
          </w:tcPr>
          <w:p w14:paraId="1117679B" w14:textId="77777777" w:rsidR="003438A2" w:rsidRDefault="003438A2" w:rsidP="0016140B">
            <w:pPr>
              <w:pStyle w:val="TableText"/>
            </w:pPr>
            <w:r>
              <w:t>Negligible</w:t>
            </w:r>
          </w:p>
        </w:tc>
      </w:tr>
      <w:tr w:rsidR="003438A2" w14:paraId="33E3A41B" w14:textId="77777777">
        <w:trPr>
          <w:cantSplit/>
        </w:trPr>
        <w:tc>
          <w:tcPr>
            <w:tcW w:w="660" w:type="pct"/>
            <w:tcBorders>
              <w:top w:val="nil"/>
              <w:left w:val="single" w:sz="8" w:space="0" w:color="auto"/>
              <w:bottom w:val="single" w:sz="8" w:space="0" w:color="C0C0C0"/>
            </w:tcBorders>
            <w:vAlign w:val="center"/>
          </w:tcPr>
          <w:p w14:paraId="5985D508" w14:textId="77777777" w:rsidR="003438A2" w:rsidRDefault="003438A2" w:rsidP="0016140B">
            <w:pPr>
              <w:pStyle w:val="TableText"/>
            </w:pPr>
            <w:r>
              <w:t>High</w:t>
            </w:r>
          </w:p>
        </w:tc>
        <w:tc>
          <w:tcPr>
            <w:tcW w:w="723" w:type="pct"/>
            <w:tcBorders>
              <w:top w:val="single" w:sz="8" w:space="0" w:color="C0C0C0"/>
              <w:bottom w:val="single" w:sz="8" w:space="0" w:color="C0C0C0"/>
            </w:tcBorders>
            <w:shd w:val="clear" w:color="auto" w:fill="FF99CC"/>
            <w:vAlign w:val="center"/>
          </w:tcPr>
          <w:p w14:paraId="7E4A8711" w14:textId="77777777" w:rsidR="003438A2" w:rsidRDefault="003438A2" w:rsidP="0016140B">
            <w:pPr>
              <w:pStyle w:val="TableText"/>
              <w:rPr>
                <w:snapToGrid w:val="0"/>
              </w:rPr>
            </w:pPr>
            <w:r>
              <w:rPr>
                <w:snapToGrid w:val="0"/>
              </w:rPr>
              <w:t>High</w:t>
            </w:r>
          </w:p>
        </w:tc>
        <w:tc>
          <w:tcPr>
            <w:tcW w:w="724" w:type="pct"/>
            <w:tcBorders>
              <w:top w:val="single" w:sz="8" w:space="0" w:color="C0C0C0"/>
            </w:tcBorders>
            <w:shd w:val="clear" w:color="auto" w:fill="FFCC99"/>
            <w:vAlign w:val="center"/>
          </w:tcPr>
          <w:p w14:paraId="0C2C9E5A" w14:textId="77777777" w:rsidR="003438A2" w:rsidRDefault="003438A2" w:rsidP="0016140B">
            <w:pPr>
              <w:pStyle w:val="TableText"/>
              <w:rPr>
                <w:snapToGrid w:val="0"/>
              </w:rPr>
            </w:pPr>
            <w:r>
              <w:rPr>
                <w:snapToGrid w:val="0"/>
              </w:rPr>
              <w:t>Moderate</w:t>
            </w:r>
          </w:p>
        </w:tc>
        <w:tc>
          <w:tcPr>
            <w:tcW w:w="723" w:type="pct"/>
            <w:tcBorders>
              <w:top w:val="single" w:sz="8" w:space="0" w:color="C0C0C0"/>
            </w:tcBorders>
            <w:shd w:val="clear" w:color="auto" w:fill="FFFF99"/>
            <w:vAlign w:val="center"/>
          </w:tcPr>
          <w:p w14:paraId="26C389E2" w14:textId="77777777" w:rsidR="003438A2" w:rsidRDefault="003438A2" w:rsidP="0016140B">
            <w:pPr>
              <w:pStyle w:val="TableText"/>
              <w:rPr>
                <w:snapToGrid w:val="0"/>
              </w:rPr>
            </w:pPr>
            <w:r>
              <w:rPr>
                <w:snapToGrid w:val="0"/>
              </w:rPr>
              <w:t>Low</w:t>
            </w:r>
          </w:p>
        </w:tc>
        <w:tc>
          <w:tcPr>
            <w:tcW w:w="723" w:type="pct"/>
            <w:tcBorders>
              <w:top w:val="single" w:sz="8" w:space="0" w:color="C0C0C0"/>
            </w:tcBorders>
            <w:shd w:val="clear" w:color="auto" w:fill="CCFFCC"/>
            <w:vAlign w:val="center"/>
          </w:tcPr>
          <w:p w14:paraId="368D7CDE" w14:textId="77777777" w:rsidR="003438A2" w:rsidRDefault="003438A2" w:rsidP="0016140B">
            <w:pPr>
              <w:pStyle w:val="TableText"/>
              <w:rPr>
                <w:snapToGrid w:val="0"/>
              </w:rPr>
            </w:pPr>
            <w:r>
              <w:rPr>
                <w:snapToGrid w:val="0"/>
              </w:rPr>
              <w:t>Very low</w:t>
            </w:r>
          </w:p>
        </w:tc>
        <w:tc>
          <w:tcPr>
            <w:tcW w:w="724" w:type="pct"/>
            <w:tcBorders>
              <w:top w:val="single" w:sz="8" w:space="0" w:color="C0C0C0"/>
            </w:tcBorders>
            <w:shd w:val="clear" w:color="auto" w:fill="CCFFFF"/>
            <w:vAlign w:val="center"/>
          </w:tcPr>
          <w:p w14:paraId="6CFC1B59" w14:textId="77777777" w:rsidR="003438A2" w:rsidRDefault="003438A2" w:rsidP="0016140B">
            <w:pPr>
              <w:pStyle w:val="TableText"/>
              <w:rPr>
                <w:snapToGrid w:val="0"/>
              </w:rPr>
            </w:pPr>
            <w:r>
              <w:rPr>
                <w:snapToGrid w:val="0"/>
              </w:rPr>
              <w:t>Extremely low</w:t>
            </w:r>
          </w:p>
        </w:tc>
        <w:tc>
          <w:tcPr>
            <w:tcW w:w="723" w:type="pct"/>
            <w:tcBorders>
              <w:top w:val="single" w:sz="8" w:space="0" w:color="C0C0C0"/>
              <w:right w:val="single" w:sz="8" w:space="0" w:color="auto"/>
            </w:tcBorders>
            <w:shd w:val="clear" w:color="auto" w:fill="F2F2F2" w:themeFill="background1" w:themeFillShade="F2"/>
            <w:vAlign w:val="center"/>
          </w:tcPr>
          <w:p w14:paraId="1EB22935" w14:textId="77777777" w:rsidR="003438A2" w:rsidRDefault="003438A2" w:rsidP="0016140B">
            <w:pPr>
              <w:pStyle w:val="TableText"/>
              <w:rPr>
                <w:rFonts w:cs="Arial"/>
                <w:snapToGrid w:val="0"/>
                <w:szCs w:val="18"/>
              </w:rPr>
            </w:pPr>
            <w:r>
              <w:rPr>
                <w:rFonts w:cs="Arial"/>
                <w:snapToGrid w:val="0"/>
                <w:szCs w:val="18"/>
              </w:rPr>
              <w:t>Negligible</w:t>
            </w:r>
          </w:p>
        </w:tc>
      </w:tr>
      <w:tr w:rsidR="003438A2" w14:paraId="476F5D92" w14:textId="77777777">
        <w:trPr>
          <w:cantSplit/>
        </w:trPr>
        <w:tc>
          <w:tcPr>
            <w:tcW w:w="1382" w:type="pct"/>
            <w:gridSpan w:val="2"/>
            <w:tcBorders>
              <w:top w:val="single" w:sz="8" w:space="0" w:color="C0C0C0"/>
              <w:left w:val="single" w:sz="8" w:space="0" w:color="auto"/>
              <w:bottom w:val="single" w:sz="8" w:space="0" w:color="C0C0C0"/>
            </w:tcBorders>
            <w:vAlign w:val="center"/>
          </w:tcPr>
          <w:p w14:paraId="3F1B6F15" w14:textId="77777777" w:rsidR="003438A2" w:rsidRDefault="003438A2" w:rsidP="0016140B">
            <w:pPr>
              <w:pStyle w:val="TableText"/>
            </w:pPr>
            <w:r>
              <w:t>Moderate</w:t>
            </w:r>
          </w:p>
        </w:tc>
        <w:tc>
          <w:tcPr>
            <w:tcW w:w="724" w:type="pct"/>
            <w:tcBorders>
              <w:bottom w:val="single" w:sz="8" w:space="0" w:color="C0C0C0"/>
            </w:tcBorders>
            <w:shd w:val="clear" w:color="auto" w:fill="FFFF99"/>
            <w:vAlign w:val="center"/>
          </w:tcPr>
          <w:p w14:paraId="1A815937" w14:textId="77777777" w:rsidR="003438A2" w:rsidRDefault="003438A2" w:rsidP="0016140B">
            <w:pPr>
              <w:pStyle w:val="TableText"/>
              <w:rPr>
                <w:snapToGrid w:val="0"/>
              </w:rPr>
            </w:pPr>
            <w:r>
              <w:rPr>
                <w:snapToGrid w:val="0"/>
              </w:rPr>
              <w:t>Low</w:t>
            </w:r>
          </w:p>
        </w:tc>
        <w:tc>
          <w:tcPr>
            <w:tcW w:w="723" w:type="pct"/>
            <w:shd w:val="clear" w:color="auto" w:fill="FFFF99"/>
            <w:vAlign w:val="center"/>
          </w:tcPr>
          <w:p w14:paraId="6F484BA0" w14:textId="77777777" w:rsidR="003438A2" w:rsidRDefault="003438A2" w:rsidP="0016140B">
            <w:pPr>
              <w:pStyle w:val="TableText"/>
              <w:rPr>
                <w:snapToGrid w:val="0"/>
              </w:rPr>
            </w:pPr>
            <w:r>
              <w:rPr>
                <w:snapToGrid w:val="0"/>
              </w:rPr>
              <w:t>Low</w:t>
            </w:r>
          </w:p>
        </w:tc>
        <w:tc>
          <w:tcPr>
            <w:tcW w:w="723" w:type="pct"/>
            <w:shd w:val="clear" w:color="auto" w:fill="CCFFCC"/>
            <w:vAlign w:val="center"/>
          </w:tcPr>
          <w:p w14:paraId="438A1F41" w14:textId="77777777" w:rsidR="003438A2" w:rsidRDefault="003438A2" w:rsidP="0016140B">
            <w:pPr>
              <w:pStyle w:val="TableText"/>
              <w:rPr>
                <w:snapToGrid w:val="0"/>
              </w:rPr>
            </w:pPr>
            <w:r>
              <w:rPr>
                <w:snapToGrid w:val="0"/>
              </w:rPr>
              <w:t>Very low</w:t>
            </w:r>
          </w:p>
        </w:tc>
        <w:tc>
          <w:tcPr>
            <w:tcW w:w="724" w:type="pct"/>
            <w:shd w:val="clear" w:color="auto" w:fill="CCFFFF"/>
            <w:vAlign w:val="center"/>
          </w:tcPr>
          <w:p w14:paraId="24DDCA45" w14:textId="77777777" w:rsidR="003438A2" w:rsidRDefault="003438A2" w:rsidP="0016140B">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6BA581BF" w14:textId="77777777" w:rsidR="003438A2" w:rsidRDefault="003438A2" w:rsidP="0016140B">
            <w:pPr>
              <w:pStyle w:val="TableText"/>
              <w:rPr>
                <w:rFonts w:cs="Arial"/>
                <w:snapToGrid w:val="0"/>
                <w:szCs w:val="18"/>
              </w:rPr>
            </w:pPr>
            <w:r>
              <w:rPr>
                <w:rFonts w:cs="Arial"/>
                <w:snapToGrid w:val="0"/>
                <w:szCs w:val="18"/>
              </w:rPr>
              <w:t>Negligible</w:t>
            </w:r>
          </w:p>
        </w:tc>
      </w:tr>
      <w:tr w:rsidR="003438A2" w14:paraId="063B65F5" w14:textId="77777777">
        <w:trPr>
          <w:cantSplit/>
        </w:trPr>
        <w:tc>
          <w:tcPr>
            <w:tcW w:w="2106" w:type="pct"/>
            <w:gridSpan w:val="3"/>
            <w:tcBorders>
              <w:top w:val="single" w:sz="8" w:space="0" w:color="C0C0C0"/>
              <w:left w:val="single" w:sz="8" w:space="0" w:color="auto"/>
              <w:bottom w:val="single" w:sz="8" w:space="0" w:color="C0C0C0"/>
            </w:tcBorders>
            <w:vAlign w:val="center"/>
          </w:tcPr>
          <w:p w14:paraId="16657425" w14:textId="77777777" w:rsidR="003438A2" w:rsidRDefault="003438A2" w:rsidP="0016140B">
            <w:pPr>
              <w:pStyle w:val="TableText"/>
            </w:pPr>
            <w:r>
              <w:t>Low</w:t>
            </w:r>
          </w:p>
        </w:tc>
        <w:tc>
          <w:tcPr>
            <w:tcW w:w="723" w:type="pct"/>
            <w:tcBorders>
              <w:bottom w:val="single" w:sz="8" w:space="0" w:color="C0C0C0"/>
            </w:tcBorders>
            <w:shd w:val="clear" w:color="auto" w:fill="CCFFCC"/>
            <w:vAlign w:val="center"/>
          </w:tcPr>
          <w:p w14:paraId="4D257B91" w14:textId="77777777" w:rsidR="003438A2" w:rsidRDefault="003438A2" w:rsidP="0016140B">
            <w:pPr>
              <w:pStyle w:val="TableText"/>
              <w:rPr>
                <w:snapToGrid w:val="0"/>
              </w:rPr>
            </w:pPr>
            <w:r>
              <w:rPr>
                <w:snapToGrid w:val="0"/>
              </w:rPr>
              <w:t>Very low</w:t>
            </w:r>
          </w:p>
        </w:tc>
        <w:tc>
          <w:tcPr>
            <w:tcW w:w="723" w:type="pct"/>
            <w:shd w:val="clear" w:color="auto" w:fill="CCFFCC"/>
            <w:vAlign w:val="center"/>
          </w:tcPr>
          <w:p w14:paraId="3202587F" w14:textId="77777777" w:rsidR="003438A2" w:rsidRDefault="003438A2" w:rsidP="0016140B">
            <w:pPr>
              <w:pStyle w:val="TableText"/>
              <w:rPr>
                <w:snapToGrid w:val="0"/>
              </w:rPr>
            </w:pPr>
            <w:r>
              <w:rPr>
                <w:snapToGrid w:val="0"/>
              </w:rPr>
              <w:t>Very low</w:t>
            </w:r>
          </w:p>
        </w:tc>
        <w:tc>
          <w:tcPr>
            <w:tcW w:w="724" w:type="pct"/>
            <w:shd w:val="clear" w:color="auto" w:fill="CCFFFF"/>
            <w:vAlign w:val="center"/>
          </w:tcPr>
          <w:p w14:paraId="1F09CC6B" w14:textId="77777777" w:rsidR="003438A2" w:rsidRDefault="003438A2" w:rsidP="0016140B">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55F3D4E6" w14:textId="77777777" w:rsidR="003438A2" w:rsidRDefault="003438A2" w:rsidP="0016140B">
            <w:pPr>
              <w:pStyle w:val="TableText"/>
              <w:rPr>
                <w:rFonts w:cs="Arial"/>
                <w:snapToGrid w:val="0"/>
                <w:szCs w:val="18"/>
              </w:rPr>
            </w:pPr>
            <w:r>
              <w:rPr>
                <w:rFonts w:cs="Arial"/>
                <w:snapToGrid w:val="0"/>
                <w:szCs w:val="18"/>
              </w:rPr>
              <w:t>Negligible</w:t>
            </w:r>
          </w:p>
        </w:tc>
      </w:tr>
      <w:tr w:rsidR="003438A2" w14:paraId="64EDF1D4" w14:textId="77777777">
        <w:trPr>
          <w:cantSplit/>
        </w:trPr>
        <w:tc>
          <w:tcPr>
            <w:tcW w:w="2830" w:type="pct"/>
            <w:gridSpan w:val="4"/>
            <w:tcBorders>
              <w:top w:val="single" w:sz="8" w:space="0" w:color="C0C0C0"/>
              <w:left w:val="single" w:sz="8" w:space="0" w:color="auto"/>
              <w:bottom w:val="single" w:sz="8" w:space="0" w:color="C0C0C0"/>
            </w:tcBorders>
            <w:vAlign w:val="center"/>
          </w:tcPr>
          <w:p w14:paraId="2FC318C9" w14:textId="77777777" w:rsidR="003438A2" w:rsidRDefault="003438A2" w:rsidP="0016140B">
            <w:pPr>
              <w:pStyle w:val="TableText"/>
            </w:pPr>
            <w:r>
              <w:t>Very low</w:t>
            </w:r>
          </w:p>
        </w:tc>
        <w:tc>
          <w:tcPr>
            <w:tcW w:w="723" w:type="pct"/>
            <w:tcBorders>
              <w:bottom w:val="single" w:sz="8" w:space="0" w:color="C0C0C0"/>
            </w:tcBorders>
            <w:shd w:val="clear" w:color="auto" w:fill="CCFFFF"/>
            <w:vAlign w:val="center"/>
          </w:tcPr>
          <w:p w14:paraId="6A9A9402" w14:textId="77777777" w:rsidR="003438A2" w:rsidRDefault="003438A2" w:rsidP="0016140B">
            <w:pPr>
              <w:pStyle w:val="TableText"/>
              <w:rPr>
                <w:snapToGrid w:val="0"/>
              </w:rPr>
            </w:pPr>
            <w:r>
              <w:rPr>
                <w:snapToGrid w:val="0"/>
              </w:rPr>
              <w:t>Extremely low</w:t>
            </w:r>
          </w:p>
        </w:tc>
        <w:tc>
          <w:tcPr>
            <w:tcW w:w="724" w:type="pct"/>
            <w:shd w:val="clear" w:color="auto" w:fill="CCFFFF"/>
            <w:vAlign w:val="center"/>
          </w:tcPr>
          <w:p w14:paraId="472D0B62" w14:textId="77777777" w:rsidR="003438A2" w:rsidRDefault="003438A2" w:rsidP="0016140B">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261A95B4" w14:textId="77777777" w:rsidR="003438A2" w:rsidRDefault="003438A2" w:rsidP="0016140B">
            <w:pPr>
              <w:pStyle w:val="TableText"/>
              <w:rPr>
                <w:rFonts w:cs="Arial"/>
                <w:snapToGrid w:val="0"/>
                <w:szCs w:val="18"/>
              </w:rPr>
            </w:pPr>
            <w:r>
              <w:rPr>
                <w:rFonts w:cs="Arial"/>
                <w:snapToGrid w:val="0"/>
                <w:szCs w:val="18"/>
              </w:rPr>
              <w:t>Negligible</w:t>
            </w:r>
          </w:p>
        </w:tc>
      </w:tr>
      <w:tr w:rsidR="003438A2" w14:paraId="1CA1840F" w14:textId="77777777">
        <w:trPr>
          <w:cantSplit/>
        </w:trPr>
        <w:tc>
          <w:tcPr>
            <w:tcW w:w="3553" w:type="pct"/>
            <w:gridSpan w:val="5"/>
            <w:tcBorders>
              <w:top w:val="single" w:sz="8" w:space="0" w:color="C0C0C0"/>
              <w:left w:val="single" w:sz="8" w:space="0" w:color="auto"/>
              <w:bottom w:val="single" w:sz="8" w:space="0" w:color="C0C0C0"/>
            </w:tcBorders>
            <w:vAlign w:val="center"/>
          </w:tcPr>
          <w:p w14:paraId="1763513F" w14:textId="77777777" w:rsidR="003438A2" w:rsidRDefault="003438A2" w:rsidP="0016140B">
            <w:pPr>
              <w:pStyle w:val="TableText"/>
            </w:pPr>
            <w:r>
              <w:t>Extremely low</w:t>
            </w:r>
          </w:p>
        </w:tc>
        <w:tc>
          <w:tcPr>
            <w:tcW w:w="724" w:type="pct"/>
            <w:tcBorders>
              <w:bottom w:val="single" w:sz="8" w:space="0" w:color="C0C0C0"/>
            </w:tcBorders>
            <w:shd w:val="clear" w:color="auto" w:fill="F2F2F2" w:themeFill="background1" w:themeFillShade="F2"/>
            <w:vAlign w:val="center"/>
          </w:tcPr>
          <w:p w14:paraId="5830A1B2" w14:textId="77777777" w:rsidR="003438A2" w:rsidRDefault="003438A2" w:rsidP="0016140B">
            <w:pPr>
              <w:pStyle w:val="TableText"/>
              <w:rPr>
                <w:snapToGrid w:val="0"/>
              </w:rPr>
            </w:pPr>
            <w:r>
              <w:rPr>
                <w:snapToGrid w:val="0"/>
              </w:rPr>
              <w:t>Negligible</w:t>
            </w:r>
          </w:p>
        </w:tc>
        <w:tc>
          <w:tcPr>
            <w:tcW w:w="723" w:type="pct"/>
            <w:tcBorders>
              <w:right w:val="single" w:sz="8" w:space="0" w:color="auto"/>
            </w:tcBorders>
            <w:shd w:val="clear" w:color="auto" w:fill="F2F2F2" w:themeFill="background1" w:themeFillShade="F2"/>
            <w:vAlign w:val="center"/>
          </w:tcPr>
          <w:p w14:paraId="5CB81243" w14:textId="77777777" w:rsidR="003438A2" w:rsidRDefault="003438A2" w:rsidP="0016140B">
            <w:pPr>
              <w:pStyle w:val="TableText"/>
              <w:rPr>
                <w:rFonts w:cs="Arial"/>
                <w:snapToGrid w:val="0"/>
                <w:szCs w:val="18"/>
              </w:rPr>
            </w:pPr>
            <w:r>
              <w:rPr>
                <w:rFonts w:cs="Arial"/>
                <w:snapToGrid w:val="0"/>
                <w:szCs w:val="18"/>
              </w:rPr>
              <w:t>Negligible</w:t>
            </w:r>
          </w:p>
        </w:tc>
      </w:tr>
      <w:tr w:rsidR="003438A2" w14:paraId="3E5DCDC8" w14:textId="77777777">
        <w:trPr>
          <w:cantSplit/>
        </w:trPr>
        <w:tc>
          <w:tcPr>
            <w:tcW w:w="4277" w:type="pct"/>
            <w:gridSpan w:val="6"/>
            <w:tcBorders>
              <w:top w:val="single" w:sz="8" w:space="0" w:color="C0C0C0"/>
              <w:left w:val="single" w:sz="8" w:space="0" w:color="auto"/>
              <w:bottom w:val="single" w:sz="8" w:space="0" w:color="auto"/>
            </w:tcBorders>
            <w:vAlign w:val="center"/>
          </w:tcPr>
          <w:p w14:paraId="7B54069E" w14:textId="77777777" w:rsidR="003438A2" w:rsidRDefault="003438A2" w:rsidP="0016140B">
            <w:pPr>
              <w:pStyle w:val="TableText"/>
            </w:pPr>
            <w:r>
              <w:t>Negligible</w:t>
            </w:r>
          </w:p>
        </w:tc>
        <w:tc>
          <w:tcPr>
            <w:tcW w:w="723" w:type="pct"/>
            <w:tcBorders>
              <w:bottom w:val="single" w:sz="8" w:space="0" w:color="auto"/>
              <w:right w:val="single" w:sz="8" w:space="0" w:color="auto"/>
            </w:tcBorders>
            <w:shd w:val="clear" w:color="auto" w:fill="F2F2F2" w:themeFill="background1" w:themeFillShade="F2"/>
            <w:vAlign w:val="center"/>
          </w:tcPr>
          <w:p w14:paraId="618ECD10" w14:textId="77777777" w:rsidR="003438A2" w:rsidRDefault="003438A2" w:rsidP="0016140B">
            <w:pPr>
              <w:pStyle w:val="TableText"/>
              <w:rPr>
                <w:rFonts w:cs="Arial"/>
                <w:szCs w:val="18"/>
              </w:rPr>
            </w:pPr>
            <w:r>
              <w:rPr>
                <w:rFonts w:cs="Arial"/>
                <w:snapToGrid w:val="0"/>
                <w:szCs w:val="18"/>
              </w:rPr>
              <w:t>Negligible</w:t>
            </w:r>
          </w:p>
        </w:tc>
      </w:tr>
    </w:tbl>
    <w:p w14:paraId="2FAC4BDF" w14:textId="77777777" w:rsidR="003438A2" w:rsidRDefault="003438A2" w:rsidP="00591D87">
      <w:pPr>
        <w:pStyle w:val="Heading5"/>
      </w:pPr>
    </w:p>
    <w:p w14:paraId="7FE77829" w14:textId="77777777" w:rsidR="003438A2" w:rsidRDefault="003438A2" w:rsidP="00591D87">
      <w:pPr>
        <w:pStyle w:val="Heading5"/>
      </w:pPr>
      <w:r>
        <w:t>Time and volume of trade</w:t>
      </w:r>
    </w:p>
    <w:p w14:paraId="6DF9A80A" w14:textId="77777777" w:rsidR="003438A2" w:rsidRDefault="003438A2">
      <w:r>
        <w:t>One factor affecting the likelihood of entry is the volume and duration of trade. If all other conditions remain the same, the overall likelihood of entry will increase as time passes and the overall volume of trade increases.</w:t>
      </w:r>
    </w:p>
    <w:p w14:paraId="1DB07E3F" w14:textId="77777777" w:rsidR="003438A2" w:rsidRDefault="003438A2">
      <w:r>
        <w:t>The department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consequences takes into account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14:paraId="16E7FF0C" w14:textId="77777777" w:rsidR="003438A2" w:rsidRDefault="003438A2">
      <w:r>
        <w:t>The use of a one-year volume of trade has been taken into account when setting up the matrix that is used to estimate the risk and therefore any policy based on this analysis does not simply apply to one year of trade. Policy decisions that are based on the department’s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advice.</w:t>
      </w:r>
    </w:p>
    <w:p w14:paraId="5D301FC3" w14:textId="77777777" w:rsidR="003438A2" w:rsidRDefault="003438A2">
      <w:r w:rsidRPr="00CD1D1D">
        <w:t>In assessing the volume of trade in this risk analysis, the department assumed that a substantial volume of trade will occur</w:t>
      </w:r>
      <w:r>
        <w:t>.</w:t>
      </w:r>
    </w:p>
    <w:p w14:paraId="1A3F62B8" w14:textId="77777777" w:rsidR="003438A2" w:rsidRDefault="003438A2" w:rsidP="00591D87">
      <w:pPr>
        <w:pStyle w:val="Heading4"/>
      </w:pPr>
      <w:r>
        <w:t>Assessment of potential consequences</w:t>
      </w:r>
    </w:p>
    <w:p w14:paraId="0CBAEF62" w14:textId="77777777" w:rsidR="003438A2" w:rsidRDefault="003438A2" w:rsidP="00A32AD0">
      <w:r>
        <w:t xml:space="preserve">The objective of the consequence assessment is to provide a structured and transparent analysis of the potential consequences if the pests or disease agents were to enter, establish and spread in Australia. The assessment considers direct and indirect pest effects and their economic and environmental consequences. The requirements for assessing potential consequences are given in Article 5.3 of the SPS Agreement </w:t>
      </w:r>
      <w:r>
        <w:rPr>
          <w:noProof/>
        </w:rPr>
        <w:t>(WTO 1995)</w:t>
      </w:r>
      <w:r>
        <w:t xml:space="preserve">, ISPM 5 </w:t>
      </w:r>
      <w:r>
        <w:rPr>
          <w:noProof/>
        </w:rPr>
        <w:t>(FAO 2021c)</w:t>
      </w:r>
      <w:r>
        <w:t xml:space="preserve"> and ISPM 11 </w:t>
      </w:r>
      <w:r>
        <w:rPr>
          <w:noProof/>
        </w:rPr>
        <w:t>(FAO 2021e)</w:t>
      </w:r>
      <w:r>
        <w:t>.</w:t>
      </w:r>
    </w:p>
    <w:p w14:paraId="7A7E4177" w14:textId="77777777" w:rsidR="003438A2" w:rsidRPr="00F2399A" w:rsidRDefault="003438A2" w:rsidP="00741A55">
      <w:pPr>
        <w:autoSpaceDE w:val="0"/>
        <w:autoSpaceDN w:val="0"/>
        <w:adjustRightInd w:val="0"/>
        <w:spacing w:after="0" w:line="240" w:lineRule="auto"/>
        <w:rPr>
          <w:rFonts w:eastAsia="Cambria" w:cs="Cambria"/>
          <w:color w:val="000000"/>
          <w:lang w:eastAsia="en-AU"/>
        </w:rPr>
      </w:pPr>
      <w:r w:rsidRPr="00F2399A">
        <w:rPr>
          <w:rFonts w:eastAsia="Cambria" w:cs="Cambria"/>
          <w:color w:val="000000"/>
          <w:lang w:eastAsia="en-AU"/>
        </w:rPr>
        <w:lastRenderedPageBreak/>
        <w:t xml:space="preserve">Direct pest impacts are considered in the context of the impacts on: </w:t>
      </w:r>
    </w:p>
    <w:p w14:paraId="58A25B47" w14:textId="77777777" w:rsidR="003438A2" w:rsidRPr="00F2399A" w:rsidRDefault="003438A2" w:rsidP="00F843A1">
      <w:pPr>
        <w:pStyle w:val="ListParagraph"/>
        <w:numPr>
          <w:ilvl w:val="0"/>
          <w:numId w:val="39"/>
        </w:numPr>
        <w:autoSpaceDE w:val="0"/>
        <w:autoSpaceDN w:val="0"/>
        <w:adjustRightInd w:val="0"/>
        <w:spacing w:after="0" w:line="240" w:lineRule="auto"/>
        <w:rPr>
          <w:rFonts w:eastAsia="Cambria" w:cs="Cambria"/>
          <w:color w:val="000000"/>
          <w:lang w:eastAsia="en-AU"/>
        </w:rPr>
      </w:pPr>
      <w:r w:rsidRPr="00F2399A">
        <w:rPr>
          <w:rFonts w:eastAsia="Cambria" w:cs="Cambria"/>
          <w:color w:val="000000"/>
          <w:lang w:eastAsia="en-AU"/>
        </w:rPr>
        <w:t xml:space="preserve">the life or health of plants and plant products </w:t>
      </w:r>
    </w:p>
    <w:p w14:paraId="6794A61B" w14:textId="77777777" w:rsidR="003438A2" w:rsidRPr="00F2399A" w:rsidRDefault="003438A2" w:rsidP="00741A55">
      <w:pPr>
        <w:autoSpaceDE w:val="0"/>
        <w:autoSpaceDN w:val="0"/>
        <w:adjustRightInd w:val="0"/>
        <w:spacing w:after="0" w:line="240" w:lineRule="auto"/>
        <w:ind w:left="720"/>
        <w:rPr>
          <w:rFonts w:eastAsia="Cambria" w:cs="Cambria"/>
          <w:color w:val="000000"/>
          <w:lang w:eastAsia="en-AU"/>
        </w:rPr>
      </w:pPr>
      <w:r w:rsidRPr="00F2399A">
        <w:rPr>
          <w:rFonts w:eastAsia="Cambria" w:cs="Cambria"/>
          <w:color w:val="000000"/>
          <w:lang w:eastAsia="en-AU"/>
        </w:rPr>
        <w:t xml:space="preserve">This may include pest impacts on the life or health of the plants or production effects (yield or quality) either at harvest or during storage. </w:t>
      </w:r>
    </w:p>
    <w:p w14:paraId="4CB5488D" w14:textId="77777777" w:rsidR="003438A2" w:rsidRPr="00F2399A" w:rsidRDefault="003438A2" w:rsidP="00F843A1">
      <w:pPr>
        <w:pStyle w:val="ListParagraph"/>
        <w:numPr>
          <w:ilvl w:val="1"/>
          <w:numId w:val="27"/>
        </w:numPr>
        <w:autoSpaceDE w:val="0"/>
        <w:autoSpaceDN w:val="0"/>
        <w:adjustRightInd w:val="0"/>
        <w:spacing w:after="0" w:line="240" w:lineRule="auto"/>
        <w:rPr>
          <w:rFonts w:eastAsia="Cambria" w:cs="Cambria"/>
          <w:color w:val="000000"/>
          <w:lang w:eastAsia="en-AU"/>
        </w:rPr>
      </w:pPr>
      <w:r w:rsidRPr="00F2399A">
        <w:rPr>
          <w:rFonts w:eastAsia="Cambria" w:cs="Cambria"/>
          <w:color w:val="000000"/>
          <w:lang w:eastAsia="en-AU"/>
        </w:rPr>
        <w:t>Where applicable, pest impacts on the life or health of humans or of animals and animal products may also be considered</w:t>
      </w:r>
      <w:r>
        <w:rPr>
          <w:rFonts w:eastAsia="Cambria" w:cs="Cambria"/>
          <w:color w:val="000000"/>
          <w:lang w:eastAsia="en-AU"/>
        </w:rPr>
        <w:t>.</w:t>
      </w:r>
      <w:r w:rsidRPr="00F2399A">
        <w:rPr>
          <w:rFonts w:eastAsia="Cambria" w:cs="Cambria"/>
          <w:color w:val="000000"/>
          <w:lang w:eastAsia="en-AU"/>
        </w:rPr>
        <w:t xml:space="preserve"> </w:t>
      </w:r>
    </w:p>
    <w:p w14:paraId="61AD34E5" w14:textId="77777777" w:rsidR="003438A2" w:rsidRPr="00F2399A" w:rsidRDefault="003438A2" w:rsidP="00F843A1">
      <w:pPr>
        <w:pStyle w:val="ListParagraph"/>
        <w:numPr>
          <w:ilvl w:val="0"/>
          <w:numId w:val="39"/>
        </w:numPr>
        <w:autoSpaceDE w:val="0"/>
        <w:autoSpaceDN w:val="0"/>
        <w:adjustRightInd w:val="0"/>
        <w:spacing w:after="0" w:line="240" w:lineRule="auto"/>
        <w:rPr>
          <w:rFonts w:eastAsia="Cambria" w:cs="Cambria"/>
          <w:color w:val="000000"/>
          <w:lang w:eastAsia="en-AU"/>
        </w:rPr>
      </w:pPr>
      <w:r>
        <w:rPr>
          <w:rFonts w:eastAsia="Cambria" w:cs="Cambria"/>
          <w:color w:val="000000"/>
          <w:lang w:eastAsia="en-AU"/>
        </w:rPr>
        <w:t>o</w:t>
      </w:r>
      <w:r w:rsidRPr="00F2399A">
        <w:rPr>
          <w:rFonts w:eastAsia="Cambria" w:cs="Cambria"/>
          <w:color w:val="000000"/>
          <w:lang w:eastAsia="en-AU"/>
        </w:rPr>
        <w:t xml:space="preserve">ther aspects of the environment. </w:t>
      </w:r>
    </w:p>
    <w:p w14:paraId="4CD30FB4" w14:textId="77777777" w:rsidR="003438A2" w:rsidRPr="00F2399A" w:rsidRDefault="003438A2" w:rsidP="00741A55">
      <w:pPr>
        <w:autoSpaceDE w:val="0"/>
        <w:autoSpaceDN w:val="0"/>
        <w:adjustRightInd w:val="0"/>
        <w:spacing w:after="0" w:line="240" w:lineRule="auto"/>
        <w:rPr>
          <w:rFonts w:eastAsia="Cambria" w:cs="Cambria"/>
          <w:color w:val="000000"/>
          <w:lang w:eastAsia="en-AU"/>
        </w:rPr>
      </w:pPr>
    </w:p>
    <w:p w14:paraId="580E566A" w14:textId="77777777" w:rsidR="003438A2" w:rsidRPr="00F2399A" w:rsidRDefault="003438A2" w:rsidP="00741A55">
      <w:pPr>
        <w:autoSpaceDE w:val="0"/>
        <w:autoSpaceDN w:val="0"/>
        <w:adjustRightInd w:val="0"/>
        <w:spacing w:after="0" w:line="240" w:lineRule="auto"/>
        <w:rPr>
          <w:rFonts w:eastAsia="Cambria" w:cs="Cambria"/>
          <w:color w:val="000000"/>
          <w:lang w:eastAsia="en-AU"/>
        </w:rPr>
      </w:pPr>
      <w:r w:rsidRPr="00F2399A">
        <w:rPr>
          <w:rFonts w:eastAsia="Cambria" w:cs="Cambria"/>
          <w:color w:val="000000"/>
          <w:lang w:eastAsia="en-AU"/>
        </w:rPr>
        <w:t xml:space="preserve">Indirect pest impacts are considered in the context of the impacts on: </w:t>
      </w:r>
    </w:p>
    <w:p w14:paraId="3915FB2C" w14:textId="77777777" w:rsidR="003438A2" w:rsidRPr="00F2399A" w:rsidRDefault="003438A2" w:rsidP="00F843A1">
      <w:pPr>
        <w:pStyle w:val="ListParagraph"/>
        <w:numPr>
          <w:ilvl w:val="0"/>
          <w:numId w:val="39"/>
        </w:numPr>
        <w:autoSpaceDE w:val="0"/>
        <w:autoSpaceDN w:val="0"/>
        <w:adjustRightInd w:val="0"/>
        <w:spacing w:after="0" w:line="240" w:lineRule="auto"/>
        <w:rPr>
          <w:rFonts w:eastAsia="Cambria" w:cs="Cambria"/>
          <w:color w:val="000000"/>
          <w:lang w:eastAsia="en-AU"/>
        </w:rPr>
      </w:pPr>
      <w:r w:rsidRPr="00F2399A">
        <w:rPr>
          <w:rFonts w:eastAsia="Cambria" w:cs="Cambria"/>
          <w:color w:val="000000"/>
          <w:lang w:eastAsia="en-AU"/>
        </w:rPr>
        <w:t xml:space="preserve">eradication and control </w:t>
      </w:r>
    </w:p>
    <w:p w14:paraId="1B519895" w14:textId="77777777" w:rsidR="003438A2" w:rsidRPr="00F2399A" w:rsidRDefault="003438A2" w:rsidP="00741A55">
      <w:pPr>
        <w:autoSpaceDE w:val="0"/>
        <w:autoSpaceDN w:val="0"/>
        <w:adjustRightInd w:val="0"/>
        <w:spacing w:after="0" w:line="240" w:lineRule="auto"/>
        <w:ind w:left="720"/>
        <w:rPr>
          <w:rFonts w:eastAsia="Cambria" w:cs="Cambria"/>
          <w:color w:val="000000"/>
          <w:lang w:eastAsia="en-AU"/>
        </w:rPr>
      </w:pPr>
      <w:r w:rsidRPr="00F2399A">
        <w:rPr>
          <w:rFonts w:eastAsia="Cambria" w:cs="Cambria"/>
          <w:color w:val="000000"/>
          <w:lang w:eastAsia="en-AU"/>
        </w:rPr>
        <w:t xml:space="preserve">This may include pest impacts on new or modified eradication, control, surveillance or monitoring and compensation strategies or programs. </w:t>
      </w:r>
    </w:p>
    <w:p w14:paraId="24575E8D" w14:textId="77777777" w:rsidR="003438A2" w:rsidRPr="00F2399A" w:rsidRDefault="003438A2" w:rsidP="00F843A1">
      <w:pPr>
        <w:pStyle w:val="ListParagraph"/>
        <w:numPr>
          <w:ilvl w:val="0"/>
          <w:numId w:val="39"/>
        </w:numPr>
        <w:autoSpaceDE w:val="0"/>
        <w:autoSpaceDN w:val="0"/>
        <w:adjustRightInd w:val="0"/>
        <w:spacing w:after="0" w:line="240" w:lineRule="auto"/>
        <w:rPr>
          <w:rFonts w:eastAsia="Cambria" w:cs="Cambria"/>
          <w:color w:val="000000"/>
          <w:lang w:eastAsia="en-AU"/>
        </w:rPr>
      </w:pPr>
      <w:r w:rsidRPr="00F2399A">
        <w:rPr>
          <w:rFonts w:eastAsia="Cambria" w:cs="Cambria"/>
          <w:color w:val="000000"/>
          <w:lang w:eastAsia="en-AU"/>
        </w:rPr>
        <w:t xml:space="preserve">domestic trade </w:t>
      </w:r>
    </w:p>
    <w:p w14:paraId="46D31992" w14:textId="77777777" w:rsidR="003438A2" w:rsidRPr="00F2399A" w:rsidRDefault="003438A2" w:rsidP="00741A55">
      <w:pPr>
        <w:autoSpaceDE w:val="0"/>
        <w:autoSpaceDN w:val="0"/>
        <w:adjustRightInd w:val="0"/>
        <w:spacing w:after="0" w:line="240" w:lineRule="auto"/>
        <w:ind w:left="720"/>
        <w:rPr>
          <w:rFonts w:eastAsia="Cambria" w:cs="Cambria"/>
          <w:color w:val="000000"/>
          <w:lang w:eastAsia="en-AU"/>
        </w:rPr>
      </w:pPr>
      <w:r w:rsidRPr="00F2399A">
        <w:rPr>
          <w:rFonts w:eastAsia="Cambria" w:cs="Cambria"/>
          <w:color w:val="000000"/>
          <w:lang w:eastAsia="en-AU"/>
        </w:rPr>
        <w:t xml:space="preserve">This may include pest impacts on domestic trade or industry, including changes in domestic consumer demand for a product resulting from quality changes and effects on other industries supplying inputs to, or using outputs from, directly affected industries. </w:t>
      </w:r>
    </w:p>
    <w:p w14:paraId="2B88C16B" w14:textId="77777777" w:rsidR="003438A2" w:rsidRPr="00F2399A" w:rsidRDefault="003438A2" w:rsidP="00F843A1">
      <w:pPr>
        <w:pStyle w:val="ListParagraph"/>
        <w:numPr>
          <w:ilvl w:val="0"/>
          <w:numId w:val="39"/>
        </w:numPr>
        <w:autoSpaceDE w:val="0"/>
        <w:autoSpaceDN w:val="0"/>
        <w:adjustRightInd w:val="0"/>
        <w:spacing w:after="0" w:line="240" w:lineRule="auto"/>
        <w:rPr>
          <w:rFonts w:eastAsia="Cambria" w:cs="Cambria"/>
          <w:color w:val="000000"/>
          <w:lang w:eastAsia="en-AU"/>
        </w:rPr>
      </w:pPr>
      <w:r w:rsidRPr="00F2399A">
        <w:rPr>
          <w:rFonts w:eastAsia="Cambria" w:cs="Cambria"/>
          <w:color w:val="000000"/>
          <w:lang w:eastAsia="en-AU"/>
        </w:rPr>
        <w:t xml:space="preserve">international trade </w:t>
      </w:r>
    </w:p>
    <w:p w14:paraId="3870F55F" w14:textId="77777777" w:rsidR="003438A2" w:rsidRPr="00F2399A" w:rsidRDefault="003438A2" w:rsidP="00741A55">
      <w:pPr>
        <w:autoSpaceDE w:val="0"/>
        <w:autoSpaceDN w:val="0"/>
        <w:adjustRightInd w:val="0"/>
        <w:spacing w:after="0" w:line="240" w:lineRule="auto"/>
        <w:ind w:left="720"/>
        <w:rPr>
          <w:rFonts w:eastAsia="Cambria" w:cs="Cambria"/>
          <w:color w:val="000000"/>
          <w:lang w:eastAsia="en-AU"/>
        </w:rPr>
      </w:pPr>
      <w:r w:rsidRPr="00F2399A">
        <w:rPr>
          <w:rFonts w:eastAsia="Cambria" w:cs="Cambria"/>
          <w:color w:val="000000"/>
          <w:lang w:eastAsia="en-AU"/>
        </w:rPr>
        <w:t xml:space="preserve">This may include pest impacts on international trade, including loss of markets, meeting new technical requirements to enter or maintain markets and changes in international consumer demand for a product resulting from quality changes. </w:t>
      </w:r>
    </w:p>
    <w:p w14:paraId="60820CA2" w14:textId="77777777" w:rsidR="003438A2" w:rsidRPr="00F2399A" w:rsidRDefault="003438A2" w:rsidP="00F843A1">
      <w:pPr>
        <w:pStyle w:val="ListParagraph"/>
        <w:numPr>
          <w:ilvl w:val="0"/>
          <w:numId w:val="39"/>
        </w:numPr>
        <w:autoSpaceDE w:val="0"/>
        <w:autoSpaceDN w:val="0"/>
        <w:adjustRightInd w:val="0"/>
        <w:spacing w:after="0" w:line="240" w:lineRule="auto"/>
        <w:rPr>
          <w:rFonts w:eastAsia="Cambria" w:cs="Cambria"/>
          <w:color w:val="000000"/>
          <w:lang w:eastAsia="en-AU"/>
        </w:rPr>
      </w:pPr>
      <w:r w:rsidRPr="00F2399A">
        <w:rPr>
          <w:rFonts w:eastAsia="Cambria" w:cs="Cambria"/>
          <w:color w:val="000000"/>
          <w:lang w:eastAsia="en-AU"/>
        </w:rPr>
        <w:t xml:space="preserve">non-commercial and environment </w:t>
      </w:r>
    </w:p>
    <w:p w14:paraId="782B9BDC" w14:textId="77777777" w:rsidR="003438A2" w:rsidRDefault="003438A2" w:rsidP="00741A55">
      <w:pPr>
        <w:ind w:left="720"/>
        <w:rPr>
          <w:rFonts w:eastAsia="Cambria" w:cs="Cambria"/>
          <w:color w:val="000000"/>
          <w:lang w:eastAsia="en-AU"/>
        </w:rPr>
      </w:pPr>
      <w:r w:rsidRPr="00F2399A">
        <w:rPr>
          <w:rFonts w:eastAsia="Cambria" w:cs="Cambria"/>
          <w:color w:val="000000"/>
          <w:lang w:eastAsia="en-AU"/>
        </w:rPr>
        <w:t xml:space="preserve">This may include pest impacts on the community and environment, including reduced tourism, reduced rural and regional economic viability, loss of social amenity, and any ‘side effects’ of control measures. </w:t>
      </w:r>
    </w:p>
    <w:p w14:paraId="3C072E2C" w14:textId="77777777" w:rsidR="003438A2" w:rsidRDefault="003438A2" w:rsidP="003D0FBE">
      <w:r>
        <w:t>For each of these six criteria, the consequences were estimated over four geographic levels, defined as:</w:t>
      </w:r>
    </w:p>
    <w:p w14:paraId="7A833382" w14:textId="77777777" w:rsidR="003438A2" w:rsidRDefault="003438A2" w:rsidP="00A32AD0">
      <w:r w:rsidRPr="00A32AD0">
        <w:rPr>
          <w:rStyle w:val="Strong"/>
        </w:rPr>
        <w:t>Local</w:t>
      </w:r>
      <w:r>
        <w:t>—an aggregate of households or enterprises (a rural community, a town or a local government area).</w:t>
      </w:r>
    </w:p>
    <w:p w14:paraId="165C0727" w14:textId="77777777" w:rsidR="003438A2" w:rsidRDefault="003438A2" w:rsidP="00A32AD0">
      <w:r w:rsidRPr="00A32AD0">
        <w:rPr>
          <w:rStyle w:val="Strong"/>
        </w:rPr>
        <w:t>District</w:t>
      </w:r>
      <w:r>
        <w:t>—a geographically or geopolitically associated collection of aggregates (generally a recognised section of a state or territory, such as ‘Far North Queensland’).</w:t>
      </w:r>
    </w:p>
    <w:p w14:paraId="638B1FA2" w14:textId="77777777" w:rsidR="003438A2" w:rsidRDefault="003438A2" w:rsidP="00A32AD0">
      <w:r w:rsidRPr="00A32AD0">
        <w:rPr>
          <w:rStyle w:val="Strong"/>
        </w:rPr>
        <w:t>Regional</w:t>
      </w:r>
      <w:r>
        <w:t>—a geographically or geopolitically associated collection of districts in a geographic area (generally a state or territory, although there may be exceptions with larger states such as Western Australia).</w:t>
      </w:r>
    </w:p>
    <w:p w14:paraId="6B497A18" w14:textId="77777777" w:rsidR="003438A2" w:rsidRDefault="003438A2" w:rsidP="00A32AD0">
      <w:r w:rsidRPr="00A32AD0">
        <w:rPr>
          <w:rStyle w:val="Strong"/>
        </w:rPr>
        <w:t>National</w:t>
      </w:r>
      <w:r>
        <w:t>—Australia wide (Australian mainland states and territories and Tasmania).</w:t>
      </w:r>
    </w:p>
    <w:p w14:paraId="7CDDC84D" w14:textId="77777777" w:rsidR="003438A2" w:rsidRDefault="003438A2" w:rsidP="00A32AD0">
      <w:r>
        <w:t>For each criterion, the magnitude of the potential consequence at each of these levels was described using four categories, defined as:</w:t>
      </w:r>
    </w:p>
    <w:p w14:paraId="635A2D3A" w14:textId="77777777" w:rsidR="003438A2" w:rsidRDefault="003438A2" w:rsidP="00A32AD0">
      <w:r w:rsidRPr="00A32AD0">
        <w:rPr>
          <w:rStyle w:val="Strong"/>
        </w:rPr>
        <w:t>Indiscernible</w:t>
      </w:r>
      <w:r>
        <w:t>—pest impact unlikely to be noticeable.</w:t>
      </w:r>
    </w:p>
    <w:p w14:paraId="158602A2" w14:textId="77777777" w:rsidR="003438A2" w:rsidRDefault="003438A2" w:rsidP="00A32AD0">
      <w:r w:rsidRPr="00A32AD0">
        <w:rPr>
          <w:rStyle w:val="Strong"/>
        </w:rPr>
        <w:t>Minor significance</w:t>
      </w:r>
      <w:r>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511FBE4B" w14:textId="77777777" w:rsidR="003438A2" w:rsidRDefault="003438A2" w:rsidP="00A32AD0">
      <w:r w:rsidRPr="005F1B70">
        <w:rPr>
          <w:b/>
        </w:rPr>
        <w:t>Significant</w:t>
      </w:r>
      <w:r>
        <w:t xml:space="preserve">—expected to threaten the economic viability of production through a moderate increase in mortality/morbidity of hosts, or a moderate decrease in production. Expected to </w:t>
      </w:r>
      <w:r>
        <w:lastRenderedPageBreak/>
        <w:t>significantly diminish or threaten the intrinsic value of non-commercial criteria. Effects may not be reversible.</w:t>
      </w:r>
    </w:p>
    <w:p w14:paraId="49D41AFD" w14:textId="77777777" w:rsidR="003438A2" w:rsidRDefault="003438A2" w:rsidP="00A32AD0">
      <w:r w:rsidRPr="005F1B70">
        <w:rPr>
          <w:b/>
        </w:rPr>
        <w:t>Major significance</w:t>
      </w:r>
      <w:r>
        <w:t>—expected to threaten the economic viability through a large increase in mortality/morbidity of hosts, or a large decrease in production. Expected to severely or irreversibly damage the intrinsic ‘value’ of non-commercial criteria.</w:t>
      </w:r>
    </w:p>
    <w:p w14:paraId="691C2A48" w14:textId="77777777" w:rsidR="003438A2" w:rsidRDefault="003438A2" w:rsidP="00A32AD0">
      <w:r>
        <w:t xml:space="preserve">The estimates of the magnitude of the potential consequences over the four geographic levels were translated into a qualitative impact </w:t>
      </w:r>
      <w:r w:rsidRPr="00FF74E9">
        <w:t>score (A</w:t>
      </w:r>
      <w:r>
        <w:softHyphen/>
        <w:t>–</w:t>
      </w:r>
      <w:r w:rsidRPr="00FF74E9">
        <w:t>G) using</w:t>
      </w:r>
      <w:r>
        <w:t xml:space="preserve"> </w:t>
      </w:r>
      <w:r>
        <w:fldChar w:fldCharType="begin" w:fldLock="1"/>
      </w:r>
      <w:r>
        <w:instrText xml:space="preserve"> REF _Ref457826350 \h </w:instrText>
      </w:r>
      <w:r>
        <w:fldChar w:fldCharType="separate"/>
      </w:r>
      <w:r>
        <w:t xml:space="preserve">Table </w:t>
      </w:r>
      <w:r>
        <w:rPr>
          <w:noProof/>
        </w:rPr>
        <w:t>2</w:t>
      </w:r>
      <w:r>
        <w:t>.</w:t>
      </w:r>
      <w:r>
        <w:rPr>
          <w:noProof/>
        </w:rPr>
        <w:t>3</w:t>
      </w:r>
      <w:r>
        <w:fldChar w:fldCharType="end"/>
      </w:r>
      <w:r w:rsidRPr="00FF74E9">
        <w:t>. For example</w:t>
      </w:r>
      <w:r>
        <w:t>, a consequence with a magnitude of ‘significant’ at the ‘district’ level will have a consequence impact score of D.</w:t>
      </w:r>
    </w:p>
    <w:p w14:paraId="788F0C35" w14:textId="77777777" w:rsidR="003438A2" w:rsidRDefault="003438A2" w:rsidP="002934EF">
      <w:pPr>
        <w:pStyle w:val="Caption"/>
      </w:pPr>
      <w:bookmarkStart w:id="53" w:name="_Ref457826350"/>
      <w:bookmarkStart w:id="54" w:name="_Toc384979278"/>
      <w:bookmarkStart w:id="55" w:name="_Toc112770157"/>
      <w:r>
        <w:t xml:space="preserve">Table </w:t>
      </w:r>
      <w:fldSimple w:instr=" STYLEREF 2 \s " w:fldLock="1">
        <w:r>
          <w:rPr>
            <w:noProof/>
          </w:rPr>
          <w:t>2</w:t>
        </w:r>
      </w:fldSimple>
      <w:r>
        <w:t>.</w:t>
      </w:r>
      <w:fldSimple w:instr=" SEQ Table \* ARABIC \s 2 " w:fldLock="1">
        <w:r>
          <w:rPr>
            <w:noProof/>
          </w:rPr>
          <w:t>3</w:t>
        </w:r>
      </w:fldSimple>
      <w:bookmarkEnd w:id="53"/>
      <w:r>
        <w:t xml:space="preserve"> Decision rules for determining the consequence impact score based on the magnitude of consequences at four geographic scales</w:t>
      </w:r>
      <w:bookmarkEnd w:id="54"/>
      <w:bookmarkEnd w:id="55"/>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98"/>
        <w:gridCol w:w="1741"/>
        <w:gridCol w:w="1741"/>
        <w:gridCol w:w="1740"/>
        <w:gridCol w:w="1740"/>
      </w:tblGrid>
      <w:tr w:rsidR="003438A2" w14:paraId="6BDBB8FD" w14:textId="77777777">
        <w:trPr>
          <w:cantSplit/>
        </w:trPr>
        <w:tc>
          <w:tcPr>
            <w:tcW w:w="1158" w:type="pct"/>
            <w:vMerge w:val="restart"/>
            <w:tcBorders>
              <w:top w:val="single" w:sz="4" w:space="0" w:color="000000" w:themeColor="text1"/>
              <w:bottom w:val="nil"/>
              <w:right w:val="nil"/>
              <w:tl2br w:val="nil"/>
            </w:tcBorders>
            <w:vAlign w:val="bottom"/>
          </w:tcPr>
          <w:p w14:paraId="22D4375B" w14:textId="77777777" w:rsidR="003438A2" w:rsidRDefault="003438A2" w:rsidP="00A32AD0">
            <w:pPr>
              <w:pStyle w:val="TableText"/>
            </w:pPr>
            <w:r>
              <w:t>Magnitude</w:t>
            </w:r>
          </w:p>
        </w:tc>
        <w:tc>
          <w:tcPr>
            <w:tcW w:w="3842" w:type="pct"/>
            <w:gridSpan w:val="4"/>
            <w:tcBorders>
              <w:top w:val="single" w:sz="4" w:space="0" w:color="000000" w:themeColor="text1"/>
              <w:left w:val="nil"/>
              <w:bottom w:val="single" w:sz="4" w:space="0" w:color="BFBFBF" w:themeColor="background1" w:themeShade="BF"/>
              <w:right w:val="single" w:sz="4" w:space="0" w:color="000000" w:themeColor="text1"/>
            </w:tcBorders>
          </w:tcPr>
          <w:p w14:paraId="425C5954" w14:textId="77777777" w:rsidR="003438A2" w:rsidRDefault="003438A2" w:rsidP="00A32AD0">
            <w:pPr>
              <w:pStyle w:val="TableText"/>
            </w:pPr>
            <w:r>
              <w:t>Geographic scale</w:t>
            </w:r>
          </w:p>
        </w:tc>
      </w:tr>
      <w:tr w:rsidR="003438A2" w14:paraId="032E1BE4" w14:textId="77777777">
        <w:trPr>
          <w:cantSplit/>
        </w:trPr>
        <w:tc>
          <w:tcPr>
            <w:tcW w:w="1158" w:type="pct"/>
            <w:vMerge/>
            <w:tcBorders>
              <w:top w:val="single" w:sz="4" w:space="0" w:color="auto"/>
              <w:bottom w:val="single" w:sz="4" w:space="0" w:color="BFBFBF" w:themeColor="background1" w:themeShade="BF"/>
              <w:right w:val="nil"/>
              <w:tl2br w:val="nil"/>
            </w:tcBorders>
          </w:tcPr>
          <w:p w14:paraId="6754BB11" w14:textId="77777777" w:rsidR="003438A2" w:rsidRDefault="003438A2" w:rsidP="00A32AD0">
            <w:pPr>
              <w:pStyle w:val="TableText"/>
            </w:pPr>
          </w:p>
        </w:tc>
        <w:tc>
          <w:tcPr>
            <w:tcW w:w="961" w:type="pct"/>
            <w:tcBorders>
              <w:top w:val="single" w:sz="4" w:space="0" w:color="BFBFBF" w:themeColor="background1" w:themeShade="BF"/>
              <w:left w:val="nil"/>
              <w:bottom w:val="single" w:sz="4" w:space="0" w:color="BFBFBF" w:themeColor="background1" w:themeShade="BF"/>
            </w:tcBorders>
          </w:tcPr>
          <w:p w14:paraId="38997070" w14:textId="77777777" w:rsidR="003438A2" w:rsidRDefault="003438A2" w:rsidP="00A32AD0">
            <w:pPr>
              <w:pStyle w:val="TableText"/>
            </w:pPr>
            <w:r>
              <w:t>Local</w:t>
            </w:r>
          </w:p>
        </w:tc>
        <w:tc>
          <w:tcPr>
            <w:tcW w:w="961" w:type="pct"/>
            <w:tcBorders>
              <w:top w:val="single" w:sz="4" w:space="0" w:color="BFBFBF" w:themeColor="background1" w:themeShade="BF"/>
              <w:bottom w:val="single" w:sz="4" w:space="0" w:color="BFBFBF" w:themeColor="background1" w:themeShade="BF"/>
            </w:tcBorders>
          </w:tcPr>
          <w:p w14:paraId="717B5CCA" w14:textId="77777777" w:rsidR="003438A2" w:rsidRDefault="003438A2" w:rsidP="00A32AD0">
            <w:pPr>
              <w:pStyle w:val="TableText"/>
            </w:pPr>
            <w:r>
              <w:t>District</w:t>
            </w:r>
          </w:p>
        </w:tc>
        <w:tc>
          <w:tcPr>
            <w:tcW w:w="960" w:type="pct"/>
            <w:tcBorders>
              <w:top w:val="single" w:sz="4" w:space="0" w:color="BFBFBF" w:themeColor="background1" w:themeShade="BF"/>
              <w:bottom w:val="single" w:sz="4" w:space="0" w:color="BFBFBF" w:themeColor="background1" w:themeShade="BF"/>
            </w:tcBorders>
          </w:tcPr>
          <w:p w14:paraId="24A3A500" w14:textId="77777777" w:rsidR="003438A2" w:rsidRDefault="003438A2" w:rsidP="00A32AD0">
            <w:pPr>
              <w:pStyle w:val="TableText"/>
            </w:pPr>
            <w:r>
              <w:t>Region</w:t>
            </w:r>
          </w:p>
        </w:tc>
        <w:tc>
          <w:tcPr>
            <w:tcW w:w="960" w:type="pct"/>
            <w:tcBorders>
              <w:top w:val="single" w:sz="4" w:space="0" w:color="BFBFBF" w:themeColor="background1" w:themeShade="BF"/>
              <w:bottom w:val="single" w:sz="4" w:space="0" w:color="BFBFBF" w:themeColor="background1" w:themeShade="BF"/>
              <w:right w:val="single" w:sz="4" w:space="0" w:color="000000" w:themeColor="text1"/>
            </w:tcBorders>
          </w:tcPr>
          <w:p w14:paraId="34FDAEF7" w14:textId="77777777" w:rsidR="003438A2" w:rsidRDefault="003438A2" w:rsidP="00A32AD0">
            <w:pPr>
              <w:pStyle w:val="TableText"/>
            </w:pPr>
            <w:r>
              <w:t>Nation</w:t>
            </w:r>
          </w:p>
        </w:tc>
      </w:tr>
      <w:tr w:rsidR="003438A2" w14:paraId="409710E6" w14:textId="77777777">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1AF0AB5C" w14:textId="77777777" w:rsidR="003438A2" w:rsidRDefault="003438A2" w:rsidP="00A32AD0">
            <w:pPr>
              <w:pStyle w:val="TableText"/>
            </w:pPr>
            <w:r>
              <w:t>Indiscernible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DEA9E60" w14:textId="77777777" w:rsidR="003438A2" w:rsidRDefault="003438A2" w:rsidP="00A32AD0">
            <w:pPr>
              <w:pStyle w:val="TableText"/>
            </w:pPr>
            <w:r>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CCA8AF6" w14:textId="77777777" w:rsidR="003438A2" w:rsidRDefault="003438A2" w:rsidP="00A32AD0">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41E127" w14:textId="77777777" w:rsidR="003438A2" w:rsidRDefault="003438A2" w:rsidP="00A32AD0">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2F2F2" w:themeFill="background1" w:themeFillShade="F2"/>
            <w:vAlign w:val="center"/>
          </w:tcPr>
          <w:p w14:paraId="27674A38" w14:textId="77777777" w:rsidR="003438A2" w:rsidRDefault="003438A2" w:rsidP="00A32AD0">
            <w:pPr>
              <w:pStyle w:val="TableText"/>
            </w:pPr>
            <w:r>
              <w:t>A</w:t>
            </w:r>
          </w:p>
        </w:tc>
      </w:tr>
      <w:tr w:rsidR="003438A2" w14:paraId="5FE98D87" w14:textId="77777777">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7E701720" w14:textId="77777777" w:rsidR="003438A2" w:rsidRDefault="003438A2" w:rsidP="00A32AD0">
            <w:pPr>
              <w:pStyle w:val="TableText"/>
            </w:pPr>
            <w:r>
              <w:t>Minor significance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FE7FD"/>
            <w:vAlign w:val="center"/>
          </w:tcPr>
          <w:p w14:paraId="2D342315" w14:textId="77777777" w:rsidR="003438A2" w:rsidRDefault="003438A2" w:rsidP="00A32AD0">
            <w:pPr>
              <w:pStyle w:val="TableText"/>
              <w:rPr>
                <w:rFonts w:cs="Arial"/>
                <w:snapToGrid w:val="0"/>
                <w:szCs w:val="18"/>
              </w:rPr>
            </w:pPr>
            <w:r>
              <w:rPr>
                <w:rFonts w:cs="Arial"/>
                <w:snapToGrid w:val="0"/>
                <w:szCs w:val="18"/>
              </w:rPr>
              <w:t>B</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vAlign w:val="center"/>
          </w:tcPr>
          <w:p w14:paraId="4432AB3B" w14:textId="77777777" w:rsidR="003438A2" w:rsidRDefault="003438A2" w:rsidP="00A32AD0">
            <w:pPr>
              <w:pStyle w:val="TableText"/>
              <w:rPr>
                <w:rFonts w:cs="Arial"/>
                <w:snapToGrid w:val="0"/>
                <w:szCs w:val="18"/>
              </w:rPr>
            </w:pPr>
            <w:r>
              <w:rPr>
                <w:rFonts w:cs="Arial"/>
                <w:snapToGrid w:val="0"/>
                <w:szCs w:val="18"/>
              </w:rPr>
              <w:t>C</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14:paraId="66DFBEAA" w14:textId="77777777" w:rsidR="003438A2" w:rsidRDefault="003438A2" w:rsidP="00A32AD0">
            <w:pPr>
              <w:pStyle w:val="TableText"/>
              <w:rPr>
                <w:rFonts w:cs="Arial"/>
                <w:snapToGrid w:val="0"/>
                <w:szCs w:val="18"/>
              </w:rPr>
            </w:pPr>
            <w:r>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14:paraId="30A25D7F" w14:textId="77777777" w:rsidR="003438A2" w:rsidRDefault="003438A2" w:rsidP="00A32AD0">
            <w:pPr>
              <w:pStyle w:val="TableText"/>
            </w:pPr>
            <w:r>
              <w:t>E</w:t>
            </w:r>
          </w:p>
        </w:tc>
      </w:tr>
      <w:tr w:rsidR="003438A2" w14:paraId="7D96DDF4" w14:textId="77777777">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1DE75D52" w14:textId="77777777" w:rsidR="003438A2" w:rsidRDefault="003438A2" w:rsidP="00A32AD0">
            <w:pPr>
              <w:pStyle w:val="TableText"/>
            </w:pPr>
            <w:r>
              <w:t>Significant</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vAlign w:val="center"/>
          </w:tcPr>
          <w:p w14:paraId="4FF3CE22" w14:textId="77777777" w:rsidR="003438A2" w:rsidRDefault="003438A2" w:rsidP="00A32AD0">
            <w:pPr>
              <w:pStyle w:val="TableText"/>
              <w:rPr>
                <w:rFonts w:cs="Arial"/>
                <w:snapToGrid w:val="0"/>
                <w:szCs w:val="18"/>
              </w:rPr>
            </w:pPr>
            <w:r>
              <w:rPr>
                <w:rFonts w:cs="Arial"/>
                <w:snapToGrid w:val="0"/>
                <w:szCs w:val="18"/>
              </w:rPr>
              <w:t>C</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vAlign w:val="center"/>
          </w:tcPr>
          <w:p w14:paraId="5737C2CB" w14:textId="77777777" w:rsidR="003438A2" w:rsidRDefault="003438A2" w:rsidP="00A32AD0">
            <w:pPr>
              <w:pStyle w:val="TableText"/>
              <w:rPr>
                <w:rFonts w:cs="Arial"/>
                <w:snapToGrid w:val="0"/>
                <w:szCs w:val="18"/>
              </w:rPr>
            </w:pPr>
            <w:r>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14:paraId="1138DACA" w14:textId="77777777" w:rsidR="003438A2" w:rsidRDefault="003438A2" w:rsidP="00A32AD0">
            <w:pPr>
              <w:pStyle w:val="TableText"/>
            </w:pPr>
            <w:r>
              <w:t>E</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14:paraId="4D2E2038" w14:textId="77777777" w:rsidR="003438A2" w:rsidRDefault="003438A2" w:rsidP="00A32AD0">
            <w:pPr>
              <w:pStyle w:val="TableText"/>
            </w:pPr>
            <w:r>
              <w:t>F</w:t>
            </w:r>
          </w:p>
        </w:tc>
      </w:tr>
      <w:tr w:rsidR="003438A2" w14:paraId="7BE561AF" w14:textId="77777777">
        <w:trPr>
          <w:cantSplit/>
        </w:trPr>
        <w:tc>
          <w:tcPr>
            <w:tcW w:w="1158"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vAlign w:val="center"/>
          </w:tcPr>
          <w:p w14:paraId="1FCDE323" w14:textId="77777777" w:rsidR="003438A2" w:rsidRDefault="003438A2" w:rsidP="00A32AD0">
            <w:pPr>
              <w:pStyle w:val="TableText"/>
            </w:pPr>
            <w:r>
              <w:t>Major significance</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vAlign w:val="center"/>
          </w:tcPr>
          <w:p w14:paraId="388F752E" w14:textId="77777777" w:rsidR="003438A2" w:rsidRDefault="003438A2" w:rsidP="00A32AD0">
            <w:pPr>
              <w:pStyle w:val="TableText"/>
              <w:rPr>
                <w:rFonts w:cs="Arial"/>
                <w:snapToGrid w:val="0"/>
                <w:szCs w:val="18"/>
              </w:rPr>
            </w:pPr>
            <w:r>
              <w:rPr>
                <w:rFonts w:cs="Arial"/>
                <w:snapToGrid w:val="0"/>
                <w:szCs w:val="18"/>
              </w:rPr>
              <w:t>D</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vAlign w:val="center"/>
          </w:tcPr>
          <w:p w14:paraId="728F39C7" w14:textId="77777777" w:rsidR="003438A2" w:rsidRDefault="003438A2" w:rsidP="00A32AD0">
            <w:pPr>
              <w:pStyle w:val="TableText"/>
            </w:pPr>
            <w:r>
              <w:rPr>
                <w:rFonts w:cs="Arial"/>
                <w:snapToGrid w:val="0"/>
                <w:szCs w:val="18"/>
              </w:rPr>
              <w:t>E</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vAlign w:val="center"/>
          </w:tcPr>
          <w:p w14:paraId="7BA87FD9" w14:textId="77777777" w:rsidR="003438A2" w:rsidRDefault="003438A2" w:rsidP="00A32AD0">
            <w:pPr>
              <w:pStyle w:val="TableText"/>
            </w:pPr>
            <w:r>
              <w:t>F</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14:paraId="0A3DB214" w14:textId="77777777" w:rsidR="003438A2" w:rsidRDefault="003438A2" w:rsidP="00A32AD0">
            <w:pPr>
              <w:pStyle w:val="TableText"/>
            </w:pPr>
            <w:r>
              <w:t>G</w:t>
            </w:r>
          </w:p>
        </w:tc>
      </w:tr>
    </w:tbl>
    <w:p w14:paraId="29E16E29" w14:textId="77777777" w:rsidR="003438A2" w:rsidRDefault="003438A2" w:rsidP="005F1B70">
      <w:pPr>
        <w:pStyle w:val="FigureTableNoteSource"/>
      </w:pPr>
      <w:r>
        <w:t>Note: In earlier qualitative PRAs, the scale for the impact scores went from A to F and did not explicitly allow for the rating ‘indiscernible’ at all four levels. This combination might be applicable for some criteria. In this report, the impact scale of A to F has been changed to become B</w:t>
      </w:r>
      <w:r>
        <w:noBreakHyphen/>
        <w:t xml:space="preserve">G and a new lowest category A (‘indiscernible’ at all four levels) was added. The rules for combining impacts in </w:t>
      </w:r>
      <w:r>
        <w:fldChar w:fldCharType="begin" w:fldLock="1"/>
      </w:r>
      <w:r>
        <w:instrText xml:space="preserve"> REF _Ref457826361 \h </w:instrText>
      </w:r>
      <w:r>
        <w:fldChar w:fldCharType="separate"/>
      </w:r>
      <w:r>
        <w:t xml:space="preserve">Table </w:t>
      </w:r>
      <w:r>
        <w:rPr>
          <w:noProof/>
        </w:rPr>
        <w:t>2</w:t>
      </w:r>
      <w:r>
        <w:t>.</w:t>
      </w:r>
      <w:r>
        <w:rPr>
          <w:noProof/>
        </w:rPr>
        <w:t>4</w:t>
      </w:r>
      <w:r>
        <w:fldChar w:fldCharType="end"/>
      </w:r>
      <w:r>
        <w:t xml:space="preserve"> were adjusted accordingly.</w:t>
      </w:r>
    </w:p>
    <w:p w14:paraId="484BF0D6" w14:textId="77777777" w:rsidR="003438A2" w:rsidRDefault="003438A2" w:rsidP="00A32AD0">
      <w:r>
        <w:t>The overall consequence for each pest is achieved by combining the qu</w:t>
      </w:r>
      <w:r w:rsidRPr="00FF74E9">
        <w:t xml:space="preserve">alitative impact scores (A–G) for each direct and indirect consequence using a series of decision </w:t>
      </w:r>
      <w:r>
        <w:t xml:space="preserve">rules </w:t>
      </w:r>
      <w:r>
        <w:fldChar w:fldCharType="begin" w:fldLock="1"/>
      </w:r>
      <w:r>
        <w:instrText xml:space="preserve"> REF _Ref457826361 \h </w:instrText>
      </w:r>
      <w:r>
        <w:fldChar w:fldCharType="separate"/>
      </w:r>
      <w:r>
        <w:t xml:space="preserve">Table </w:t>
      </w:r>
      <w:r>
        <w:rPr>
          <w:noProof/>
        </w:rPr>
        <w:t>2</w:t>
      </w:r>
      <w:r>
        <w:t>.</w:t>
      </w:r>
      <w:r>
        <w:rPr>
          <w:noProof/>
        </w:rPr>
        <w:t>4</w:t>
      </w:r>
      <w:r>
        <w:fldChar w:fldCharType="end"/>
      </w:r>
      <w:r>
        <w:t>). These rules are mutually exclusive and are assessed in numerical order until one applies.</w:t>
      </w:r>
    </w:p>
    <w:p w14:paraId="246328B2" w14:textId="77777777" w:rsidR="003438A2" w:rsidRDefault="003438A2" w:rsidP="00867F64">
      <w:pPr>
        <w:pStyle w:val="Caption"/>
      </w:pPr>
      <w:bookmarkStart w:id="56" w:name="_Ref457826361"/>
      <w:bookmarkStart w:id="57" w:name="_Toc384979279"/>
      <w:bookmarkStart w:id="58" w:name="_Toc112770158"/>
      <w:r>
        <w:t xml:space="preserve">Table </w:t>
      </w:r>
      <w:fldSimple w:instr=" STYLEREF 2 \s " w:fldLock="1">
        <w:r>
          <w:rPr>
            <w:noProof/>
          </w:rPr>
          <w:t>2</w:t>
        </w:r>
      </w:fldSimple>
      <w:r>
        <w:t>.</w:t>
      </w:r>
      <w:fldSimple w:instr=" SEQ Table \* ARABIC \s 2 " w:fldLock="1">
        <w:r>
          <w:rPr>
            <w:noProof/>
          </w:rPr>
          <w:t>4</w:t>
        </w:r>
      </w:fldSimple>
      <w:bookmarkEnd w:id="56"/>
      <w:r>
        <w:t xml:space="preserve"> Decision rules for determining the overall consequence rating for each pest</w:t>
      </w:r>
      <w:bookmarkEnd w:id="57"/>
      <w:bookmarkEnd w:id="58"/>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3438A2" w14:paraId="7269FFFD" w14:textId="77777777">
        <w:trPr>
          <w:trHeight w:val="414"/>
        </w:trPr>
        <w:tc>
          <w:tcPr>
            <w:tcW w:w="440" w:type="pct"/>
          </w:tcPr>
          <w:p w14:paraId="0B1CFE2C" w14:textId="77777777" w:rsidR="003438A2" w:rsidRDefault="003438A2" w:rsidP="00EE62A7">
            <w:pPr>
              <w:pStyle w:val="TableText"/>
            </w:pPr>
            <w:r>
              <w:t>Rule</w:t>
            </w:r>
          </w:p>
        </w:tc>
        <w:tc>
          <w:tcPr>
            <w:tcW w:w="3206" w:type="pct"/>
          </w:tcPr>
          <w:p w14:paraId="724F98BA" w14:textId="77777777" w:rsidR="003438A2" w:rsidRDefault="003438A2" w:rsidP="00EE62A7">
            <w:pPr>
              <w:pStyle w:val="TableText"/>
            </w:pPr>
            <w:r>
              <w:t>The impact scores for consequences of direct and indirect criteria</w:t>
            </w:r>
          </w:p>
        </w:tc>
        <w:tc>
          <w:tcPr>
            <w:tcW w:w="1354" w:type="pct"/>
          </w:tcPr>
          <w:p w14:paraId="72A300FE" w14:textId="77777777" w:rsidR="003438A2" w:rsidRDefault="003438A2" w:rsidP="00EE62A7">
            <w:pPr>
              <w:pStyle w:val="TableText"/>
            </w:pPr>
            <w:r>
              <w:t>Overall consequence rating</w:t>
            </w:r>
          </w:p>
        </w:tc>
      </w:tr>
      <w:tr w:rsidR="003438A2" w14:paraId="31267D37" w14:textId="77777777">
        <w:trPr>
          <w:trHeight w:val="414"/>
        </w:trPr>
        <w:tc>
          <w:tcPr>
            <w:tcW w:w="440" w:type="pct"/>
          </w:tcPr>
          <w:p w14:paraId="678E8684" w14:textId="77777777" w:rsidR="003438A2" w:rsidRDefault="003438A2" w:rsidP="00EE62A7">
            <w:pPr>
              <w:pStyle w:val="TableText"/>
            </w:pPr>
            <w:r>
              <w:t>1</w:t>
            </w:r>
          </w:p>
        </w:tc>
        <w:tc>
          <w:tcPr>
            <w:tcW w:w="3206" w:type="pct"/>
          </w:tcPr>
          <w:p w14:paraId="61CB6EA9" w14:textId="77777777" w:rsidR="003438A2" w:rsidRDefault="003438A2" w:rsidP="00EE62A7">
            <w:pPr>
              <w:pStyle w:val="TableText"/>
            </w:pPr>
            <w:r>
              <w:t>Any criterion has an impact of ‘G’; or</w:t>
            </w:r>
            <w:r>
              <w:br/>
              <w:t>more than one criterion has an impact of ‘F’; or</w:t>
            </w:r>
            <w:r>
              <w:br/>
              <w:t>a single criterion has an impact of ‘F’ and each remaining criterion an ‘E’.</w:t>
            </w:r>
          </w:p>
        </w:tc>
        <w:tc>
          <w:tcPr>
            <w:tcW w:w="1354" w:type="pct"/>
          </w:tcPr>
          <w:p w14:paraId="54613B22" w14:textId="77777777" w:rsidR="003438A2" w:rsidRDefault="003438A2" w:rsidP="00EE62A7">
            <w:pPr>
              <w:pStyle w:val="TableText"/>
            </w:pPr>
            <w:r>
              <w:t>Extreme</w:t>
            </w:r>
          </w:p>
        </w:tc>
      </w:tr>
      <w:tr w:rsidR="003438A2" w14:paraId="375F02B5" w14:textId="77777777">
        <w:trPr>
          <w:trHeight w:val="414"/>
        </w:trPr>
        <w:tc>
          <w:tcPr>
            <w:tcW w:w="440" w:type="pct"/>
          </w:tcPr>
          <w:p w14:paraId="2C9E761B" w14:textId="77777777" w:rsidR="003438A2" w:rsidRDefault="003438A2" w:rsidP="00EE62A7">
            <w:pPr>
              <w:pStyle w:val="TableText"/>
            </w:pPr>
            <w:r>
              <w:t>2</w:t>
            </w:r>
          </w:p>
        </w:tc>
        <w:tc>
          <w:tcPr>
            <w:tcW w:w="3206" w:type="pct"/>
          </w:tcPr>
          <w:p w14:paraId="5625BC74" w14:textId="77777777" w:rsidR="003438A2" w:rsidRDefault="003438A2" w:rsidP="00EE62A7">
            <w:pPr>
              <w:pStyle w:val="TableText"/>
            </w:pPr>
            <w:r>
              <w:t>A single criterion has an impact of ‘F’; or</w:t>
            </w:r>
            <w:r>
              <w:br/>
              <w:t>all criteria have an impact of ‘E’.</w:t>
            </w:r>
          </w:p>
        </w:tc>
        <w:tc>
          <w:tcPr>
            <w:tcW w:w="1354" w:type="pct"/>
          </w:tcPr>
          <w:p w14:paraId="00BB9565" w14:textId="77777777" w:rsidR="003438A2" w:rsidRDefault="003438A2" w:rsidP="00EE62A7">
            <w:pPr>
              <w:pStyle w:val="TableText"/>
            </w:pPr>
            <w:r>
              <w:t>High</w:t>
            </w:r>
          </w:p>
        </w:tc>
      </w:tr>
      <w:tr w:rsidR="003438A2" w14:paraId="72053DE6" w14:textId="77777777">
        <w:trPr>
          <w:trHeight w:val="414"/>
        </w:trPr>
        <w:tc>
          <w:tcPr>
            <w:tcW w:w="440" w:type="pct"/>
          </w:tcPr>
          <w:p w14:paraId="52F7AA61" w14:textId="77777777" w:rsidR="003438A2" w:rsidRDefault="003438A2" w:rsidP="00EE62A7">
            <w:pPr>
              <w:pStyle w:val="TableText"/>
            </w:pPr>
            <w:r>
              <w:t>3</w:t>
            </w:r>
          </w:p>
        </w:tc>
        <w:tc>
          <w:tcPr>
            <w:tcW w:w="3206" w:type="pct"/>
          </w:tcPr>
          <w:p w14:paraId="02501B44" w14:textId="77777777" w:rsidR="003438A2" w:rsidRDefault="003438A2" w:rsidP="00EE62A7">
            <w:pPr>
              <w:pStyle w:val="TableText"/>
            </w:pPr>
            <w:r>
              <w:t>One or more criteria have an impact of ‘E’; or</w:t>
            </w:r>
            <w:r>
              <w:br/>
              <w:t>all criteria have an impact of ‘D’.</w:t>
            </w:r>
          </w:p>
        </w:tc>
        <w:tc>
          <w:tcPr>
            <w:tcW w:w="1354" w:type="pct"/>
          </w:tcPr>
          <w:p w14:paraId="5632B2E1" w14:textId="77777777" w:rsidR="003438A2" w:rsidRDefault="003438A2" w:rsidP="00EE62A7">
            <w:pPr>
              <w:pStyle w:val="TableText"/>
            </w:pPr>
            <w:r>
              <w:t>Moderate</w:t>
            </w:r>
          </w:p>
        </w:tc>
      </w:tr>
      <w:tr w:rsidR="003438A2" w14:paraId="3010C15E" w14:textId="77777777">
        <w:trPr>
          <w:trHeight w:val="414"/>
        </w:trPr>
        <w:tc>
          <w:tcPr>
            <w:tcW w:w="440" w:type="pct"/>
          </w:tcPr>
          <w:p w14:paraId="4E24A16E" w14:textId="77777777" w:rsidR="003438A2" w:rsidRDefault="003438A2" w:rsidP="00EE62A7">
            <w:pPr>
              <w:pStyle w:val="TableText"/>
            </w:pPr>
            <w:r>
              <w:t>4</w:t>
            </w:r>
          </w:p>
        </w:tc>
        <w:tc>
          <w:tcPr>
            <w:tcW w:w="3206" w:type="pct"/>
          </w:tcPr>
          <w:p w14:paraId="6E51E2FB" w14:textId="77777777" w:rsidR="003438A2" w:rsidRDefault="003438A2" w:rsidP="00EE62A7">
            <w:pPr>
              <w:pStyle w:val="TableText"/>
            </w:pPr>
            <w:r>
              <w:t>One or more criteria have an impact of ‘D’; or</w:t>
            </w:r>
            <w:r>
              <w:br/>
              <w:t>all criteria have an impact of ‘C’.</w:t>
            </w:r>
          </w:p>
        </w:tc>
        <w:tc>
          <w:tcPr>
            <w:tcW w:w="1354" w:type="pct"/>
          </w:tcPr>
          <w:p w14:paraId="567DB836" w14:textId="77777777" w:rsidR="003438A2" w:rsidRDefault="003438A2" w:rsidP="00EE62A7">
            <w:pPr>
              <w:pStyle w:val="TableText"/>
            </w:pPr>
            <w:r>
              <w:t>Low</w:t>
            </w:r>
          </w:p>
        </w:tc>
      </w:tr>
      <w:tr w:rsidR="003438A2" w14:paraId="345BFE5E" w14:textId="77777777">
        <w:trPr>
          <w:trHeight w:val="414"/>
        </w:trPr>
        <w:tc>
          <w:tcPr>
            <w:tcW w:w="440" w:type="pct"/>
          </w:tcPr>
          <w:p w14:paraId="0DD6ED25" w14:textId="77777777" w:rsidR="003438A2" w:rsidRDefault="003438A2" w:rsidP="00EE62A7">
            <w:pPr>
              <w:pStyle w:val="TableText"/>
            </w:pPr>
            <w:r>
              <w:t>5</w:t>
            </w:r>
          </w:p>
        </w:tc>
        <w:tc>
          <w:tcPr>
            <w:tcW w:w="3206" w:type="pct"/>
          </w:tcPr>
          <w:p w14:paraId="09546E8D" w14:textId="77777777" w:rsidR="003438A2" w:rsidRDefault="003438A2" w:rsidP="00EE62A7">
            <w:pPr>
              <w:pStyle w:val="TableText"/>
            </w:pPr>
            <w:r>
              <w:t>One or more criteria have an impact of ‘C’; or</w:t>
            </w:r>
            <w:r>
              <w:br/>
              <w:t>all criteria have an impact of ‘B’.</w:t>
            </w:r>
          </w:p>
        </w:tc>
        <w:tc>
          <w:tcPr>
            <w:tcW w:w="1354" w:type="pct"/>
          </w:tcPr>
          <w:p w14:paraId="0721BCFE" w14:textId="77777777" w:rsidR="003438A2" w:rsidRDefault="003438A2" w:rsidP="00EE62A7">
            <w:pPr>
              <w:pStyle w:val="TableText"/>
            </w:pPr>
            <w:r>
              <w:t>Very Low</w:t>
            </w:r>
          </w:p>
        </w:tc>
      </w:tr>
      <w:tr w:rsidR="003438A2" w14:paraId="40103CD7" w14:textId="77777777">
        <w:trPr>
          <w:trHeight w:val="414"/>
        </w:trPr>
        <w:tc>
          <w:tcPr>
            <w:tcW w:w="440" w:type="pct"/>
          </w:tcPr>
          <w:p w14:paraId="483A286D" w14:textId="77777777" w:rsidR="003438A2" w:rsidRDefault="003438A2" w:rsidP="00EE62A7">
            <w:pPr>
              <w:pStyle w:val="TableText"/>
            </w:pPr>
            <w:r>
              <w:t>6</w:t>
            </w:r>
          </w:p>
        </w:tc>
        <w:tc>
          <w:tcPr>
            <w:tcW w:w="3206" w:type="pct"/>
          </w:tcPr>
          <w:p w14:paraId="7A2DB3FD" w14:textId="77777777" w:rsidR="003438A2" w:rsidRDefault="003438A2" w:rsidP="00EE62A7">
            <w:pPr>
              <w:pStyle w:val="TableText"/>
            </w:pPr>
            <w:r>
              <w:t>One or more but not all criteria have an impact of ‘B’, and</w:t>
            </w:r>
            <w:r>
              <w:br/>
              <w:t>all remaining criteria have an impact of ‘A’.</w:t>
            </w:r>
          </w:p>
        </w:tc>
        <w:tc>
          <w:tcPr>
            <w:tcW w:w="1354" w:type="pct"/>
          </w:tcPr>
          <w:p w14:paraId="465EDB4F" w14:textId="77777777" w:rsidR="003438A2" w:rsidRDefault="003438A2" w:rsidP="00EE62A7">
            <w:pPr>
              <w:pStyle w:val="TableText"/>
            </w:pPr>
            <w:r>
              <w:t>Negligible</w:t>
            </w:r>
          </w:p>
        </w:tc>
      </w:tr>
    </w:tbl>
    <w:p w14:paraId="49FAE776" w14:textId="77777777" w:rsidR="003438A2" w:rsidRDefault="003438A2" w:rsidP="00591D87">
      <w:pPr>
        <w:pStyle w:val="Heading4"/>
      </w:pPr>
      <w:r>
        <w:t>Estimation of the unrestricted risk</w:t>
      </w:r>
    </w:p>
    <w:p w14:paraId="398E6E2A" w14:textId="77777777" w:rsidR="003438A2" w:rsidRDefault="003438A2" w:rsidP="00EE62A7">
      <w:r>
        <w:t xml:space="preserve">Once the assessment of </w:t>
      </w:r>
      <w:r w:rsidRPr="00CF284C">
        <w:t>the overall likelihood of entry, establishment and spread and for potential consequences are completed, the unrestricted risk can be determined for each pest or groups of pests. This is determined by using a risk estimation matrix (</w:t>
      </w:r>
      <w:r w:rsidRPr="00CF284C">
        <w:fldChar w:fldCharType="begin" w:fldLock="1"/>
      </w:r>
      <w:r w:rsidRPr="00CF284C">
        <w:instrText xml:space="preserve"> REF _Ref457826369 \h  \* MERGEFORMAT </w:instrText>
      </w:r>
      <w:r w:rsidRPr="00CF284C">
        <w:fldChar w:fldCharType="separate"/>
      </w:r>
      <w:r>
        <w:t>Table 2.5</w:t>
      </w:r>
      <w:r w:rsidRPr="00CF284C">
        <w:fldChar w:fldCharType="end"/>
      </w:r>
      <w:r w:rsidRPr="00CF284C">
        <w:t xml:space="preserve">) to combine the </w:t>
      </w:r>
      <w:r w:rsidRPr="00CF284C">
        <w:lastRenderedPageBreak/>
        <w:t>estimate of the overall likelihood of entry, establishment and spread and the consequences of pest entry, establishment and spread</w:t>
      </w:r>
      <w:r>
        <w:t>. Therefore, risk is the combination of likelihood and consequence.</w:t>
      </w:r>
    </w:p>
    <w:p w14:paraId="282501FF" w14:textId="77777777" w:rsidR="003438A2" w:rsidRDefault="003438A2" w:rsidP="00EE62A7">
      <w:r>
        <w:t>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whereas the latter would be rated as a ‘low’ unrestricted risk.</w:t>
      </w:r>
      <w:bookmarkStart w:id="59" w:name="_Toc384979280"/>
    </w:p>
    <w:p w14:paraId="2ECA6B14" w14:textId="77777777" w:rsidR="003438A2" w:rsidRDefault="003438A2" w:rsidP="00080699">
      <w:pPr>
        <w:pStyle w:val="Caption"/>
      </w:pPr>
      <w:bookmarkStart w:id="60" w:name="_Ref457826369"/>
      <w:bookmarkStart w:id="61" w:name="_Toc389741475"/>
      <w:bookmarkStart w:id="62" w:name="_Ref15998898"/>
      <w:bookmarkStart w:id="63" w:name="_Toc112770159"/>
      <w:r>
        <w:t xml:space="preserve">Table </w:t>
      </w:r>
      <w:fldSimple w:instr=" STYLEREF 2 \s " w:fldLock="1">
        <w:r>
          <w:rPr>
            <w:noProof/>
          </w:rPr>
          <w:t>2</w:t>
        </w:r>
      </w:fldSimple>
      <w:r>
        <w:t>.</w:t>
      </w:r>
      <w:fldSimple w:instr=" SEQ Table \* ARABIC \s 2 " w:fldLock="1">
        <w:r>
          <w:rPr>
            <w:noProof/>
          </w:rPr>
          <w:t>5</w:t>
        </w:r>
      </w:fldSimple>
      <w:bookmarkEnd w:id="60"/>
      <w:r>
        <w:t xml:space="preserve"> Risk estimation matrix</w:t>
      </w:r>
      <w:bookmarkEnd w:id="59"/>
      <w:bookmarkEnd w:id="61"/>
      <w:bookmarkEnd w:id="62"/>
      <w:bookmarkEnd w:id="63"/>
    </w:p>
    <w:tbl>
      <w:tblPr>
        <w:tblW w:w="5000" w:type="pct"/>
        <w:tblLook w:val="0000" w:firstRow="0" w:lastRow="0" w:firstColumn="0" w:lastColumn="0" w:noHBand="0" w:noVBand="0"/>
      </w:tblPr>
      <w:tblGrid>
        <w:gridCol w:w="1438"/>
        <w:gridCol w:w="1270"/>
        <w:gridCol w:w="1270"/>
        <w:gridCol w:w="1272"/>
        <w:gridCol w:w="1270"/>
        <w:gridCol w:w="1270"/>
        <w:gridCol w:w="1270"/>
      </w:tblGrid>
      <w:tr w:rsidR="003438A2" w14:paraId="6FACA87E" w14:textId="77777777">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14:paraId="267AB722" w14:textId="77777777" w:rsidR="003438A2" w:rsidRDefault="003438A2" w:rsidP="00EE62A7">
            <w:pPr>
              <w:pStyle w:val="TableText"/>
            </w:pPr>
            <w:r w:rsidRPr="00CF284C">
              <w:t>Overall likelihood of pest entry, establishment</w:t>
            </w:r>
            <w:r>
              <w:t xml:space="preserve"> and spread</w:t>
            </w:r>
          </w:p>
        </w:tc>
        <w:tc>
          <w:tcPr>
            <w:tcW w:w="4207"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14:paraId="4CD05729" w14:textId="77777777" w:rsidR="003438A2" w:rsidRDefault="003438A2" w:rsidP="00EE62A7">
            <w:pPr>
              <w:pStyle w:val="TableText"/>
            </w:pPr>
            <w:r>
              <w:t>Consequences of pest entry, establishment and spread</w:t>
            </w:r>
          </w:p>
        </w:tc>
      </w:tr>
      <w:tr w:rsidR="003438A2" w14:paraId="2DD143F3" w14:textId="77777777">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14:paraId="4DC8D97E" w14:textId="77777777" w:rsidR="003438A2" w:rsidRDefault="003438A2" w:rsidP="00EE62A7">
            <w:pPr>
              <w:pStyle w:val="TableT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14:paraId="2D4C8A05" w14:textId="77777777" w:rsidR="003438A2" w:rsidRDefault="003438A2" w:rsidP="00EE62A7">
            <w:pPr>
              <w:pStyle w:val="TableText"/>
            </w:pPr>
            <w:r>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14:paraId="6C57B416" w14:textId="77777777" w:rsidR="003438A2" w:rsidRDefault="003438A2" w:rsidP="00EE62A7">
            <w:pPr>
              <w:pStyle w:val="TableText"/>
            </w:pPr>
            <w:r>
              <w:t>Very low</w:t>
            </w:r>
          </w:p>
        </w:tc>
        <w:tc>
          <w:tcPr>
            <w:tcW w:w="702" w:type="pct"/>
            <w:tcBorders>
              <w:top w:val="single" w:sz="4" w:space="0" w:color="BFBFBF" w:themeColor="background1" w:themeShade="BF"/>
              <w:bottom w:val="single" w:sz="8" w:space="0" w:color="C0C0C0"/>
            </w:tcBorders>
            <w:shd w:val="clear" w:color="auto" w:fill="auto"/>
            <w:vAlign w:val="bottom"/>
          </w:tcPr>
          <w:p w14:paraId="7BA49AC3" w14:textId="77777777" w:rsidR="003438A2" w:rsidRDefault="003438A2" w:rsidP="00EE62A7">
            <w:pPr>
              <w:pStyle w:val="TableText"/>
            </w:pPr>
            <w:r>
              <w:t xml:space="preserve">Low </w:t>
            </w:r>
          </w:p>
        </w:tc>
        <w:tc>
          <w:tcPr>
            <w:tcW w:w="701" w:type="pct"/>
            <w:tcBorders>
              <w:top w:val="single" w:sz="4" w:space="0" w:color="BFBFBF" w:themeColor="background1" w:themeShade="BF"/>
              <w:bottom w:val="single" w:sz="8" w:space="0" w:color="C0C0C0"/>
            </w:tcBorders>
            <w:shd w:val="clear" w:color="auto" w:fill="auto"/>
            <w:vAlign w:val="bottom"/>
          </w:tcPr>
          <w:p w14:paraId="74D224E5" w14:textId="77777777" w:rsidR="003438A2" w:rsidRDefault="003438A2" w:rsidP="00EE62A7">
            <w:pPr>
              <w:pStyle w:val="TableText"/>
            </w:pPr>
            <w:r>
              <w:t>Moderate</w:t>
            </w:r>
          </w:p>
        </w:tc>
        <w:tc>
          <w:tcPr>
            <w:tcW w:w="701" w:type="pct"/>
            <w:tcBorders>
              <w:top w:val="single" w:sz="4" w:space="0" w:color="BFBFBF" w:themeColor="background1" w:themeShade="BF"/>
              <w:bottom w:val="single" w:sz="8" w:space="0" w:color="C0C0C0"/>
            </w:tcBorders>
            <w:shd w:val="clear" w:color="auto" w:fill="auto"/>
            <w:vAlign w:val="bottom"/>
          </w:tcPr>
          <w:p w14:paraId="3CDE6159" w14:textId="77777777" w:rsidR="003438A2" w:rsidRDefault="003438A2" w:rsidP="00EE62A7">
            <w:pPr>
              <w:pStyle w:val="TableText"/>
            </w:pPr>
            <w:r>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14:paraId="3A496C6C" w14:textId="77777777" w:rsidR="003438A2" w:rsidRDefault="003438A2" w:rsidP="00EE62A7">
            <w:pPr>
              <w:pStyle w:val="TableText"/>
            </w:pPr>
            <w:r>
              <w:t xml:space="preserve">Extreme </w:t>
            </w:r>
          </w:p>
        </w:tc>
      </w:tr>
      <w:tr w:rsidR="003438A2" w14:paraId="341E8639"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50289D83" w14:textId="77777777" w:rsidR="003438A2" w:rsidRDefault="003438A2" w:rsidP="00EE62A7">
            <w:pPr>
              <w:pStyle w:val="TableText"/>
            </w:pPr>
            <w: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412F9B6F" w14:textId="77777777" w:rsidR="003438A2" w:rsidRDefault="003438A2" w:rsidP="00EE62A7">
            <w:pPr>
              <w:pStyle w:val="TableText"/>
            </w:pPr>
            <w: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5A6AB9EE" w14:textId="77777777" w:rsidR="003438A2" w:rsidRDefault="003438A2" w:rsidP="00EE62A7">
            <w:pPr>
              <w:pStyle w:val="TableText"/>
              <w:rPr>
                <w:color w:val="FFFFFF"/>
              </w:rPr>
            </w:pPr>
            <w:r>
              <w:rPr>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4B6BB9AD" w14:textId="77777777" w:rsidR="003438A2" w:rsidRDefault="003438A2" w:rsidP="00EE62A7">
            <w:pPr>
              <w:pStyle w:val="TableText"/>
            </w:pPr>
            <w: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7EBEEFFF" w14:textId="77777777" w:rsidR="003438A2" w:rsidRDefault="003438A2" w:rsidP="00EE62A7">
            <w:pPr>
              <w:pStyle w:val="TableText"/>
            </w:pPr>
            <w: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7E09F4C8" w14:textId="77777777" w:rsidR="003438A2" w:rsidRDefault="003438A2" w:rsidP="00EE62A7">
            <w:pPr>
              <w:pStyle w:val="TableText"/>
            </w:pPr>
            <w: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5F009344" w14:textId="77777777" w:rsidR="003438A2" w:rsidRDefault="003438A2" w:rsidP="00EE62A7">
            <w:pPr>
              <w:pStyle w:val="TableText"/>
            </w:pPr>
            <w:r>
              <w:t>Extreme risk</w:t>
            </w:r>
          </w:p>
        </w:tc>
      </w:tr>
      <w:tr w:rsidR="003438A2" w14:paraId="777B14FC"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12100F7A" w14:textId="77777777" w:rsidR="003438A2" w:rsidRDefault="003438A2" w:rsidP="00EE62A7">
            <w:pPr>
              <w:pStyle w:val="TableText"/>
            </w:pPr>
            <w: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0D2E7BD6" w14:textId="77777777" w:rsidR="003438A2" w:rsidRDefault="003438A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4B518347" w14:textId="77777777" w:rsidR="003438A2" w:rsidRDefault="003438A2" w:rsidP="00EE62A7">
            <w:pPr>
              <w:pStyle w:val="TableText"/>
              <w:rPr>
                <w:color w:val="FFFFFF"/>
              </w:rPr>
            </w:pPr>
            <w:r>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11262006" w14:textId="77777777" w:rsidR="003438A2" w:rsidRDefault="003438A2" w:rsidP="00EE62A7">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7EA748DD" w14:textId="77777777" w:rsidR="003438A2" w:rsidRDefault="003438A2" w:rsidP="00EE62A7">
            <w:pPr>
              <w:pStyle w:val="TableText"/>
            </w:pPr>
            <w: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72A33972" w14:textId="77777777" w:rsidR="003438A2" w:rsidRDefault="003438A2" w:rsidP="00EE62A7">
            <w:pPr>
              <w:pStyle w:val="TableText"/>
            </w:pPr>
            <w: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14:paraId="7ADFD1A8" w14:textId="77777777" w:rsidR="003438A2" w:rsidRDefault="003438A2" w:rsidP="00EE62A7">
            <w:pPr>
              <w:pStyle w:val="TableText"/>
            </w:pPr>
            <w:r>
              <w:t>Extreme risk</w:t>
            </w:r>
          </w:p>
        </w:tc>
      </w:tr>
      <w:tr w:rsidR="003438A2" w14:paraId="70327B63"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7E10A99" w14:textId="77777777" w:rsidR="003438A2" w:rsidRDefault="003438A2" w:rsidP="00EE62A7">
            <w:pPr>
              <w:pStyle w:val="TableText"/>
            </w:pPr>
            <w: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1F605D96" w14:textId="77777777" w:rsidR="003438A2" w:rsidRDefault="003438A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EF2FA57" w14:textId="77777777" w:rsidR="003438A2" w:rsidRDefault="003438A2" w:rsidP="00EE62A7">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5A7AB3F2" w14:textId="77777777" w:rsidR="003438A2" w:rsidRDefault="003438A2" w:rsidP="00EE62A7">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30562AAC" w14:textId="77777777" w:rsidR="003438A2" w:rsidRDefault="003438A2" w:rsidP="00EE62A7">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74AFE791" w14:textId="77777777" w:rsidR="003438A2" w:rsidRDefault="003438A2" w:rsidP="00EE62A7">
            <w:pPr>
              <w:pStyle w:val="TableText"/>
            </w:pPr>
            <w: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14:paraId="1B5392C6" w14:textId="77777777" w:rsidR="003438A2" w:rsidRDefault="003438A2" w:rsidP="00EE62A7">
            <w:pPr>
              <w:pStyle w:val="TableText"/>
            </w:pPr>
            <w:r>
              <w:t>High risk</w:t>
            </w:r>
          </w:p>
        </w:tc>
      </w:tr>
      <w:tr w:rsidR="003438A2" w14:paraId="1117BE9F"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5BB46D6A" w14:textId="77777777" w:rsidR="003438A2" w:rsidRDefault="003438A2" w:rsidP="00EE62A7">
            <w:pPr>
              <w:pStyle w:val="TableText"/>
            </w:pPr>
            <w: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33D65D71" w14:textId="77777777" w:rsidR="003438A2" w:rsidRDefault="003438A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1CB7B09" w14:textId="77777777" w:rsidR="003438A2" w:rsidRDefault="003438A2" w:rsidP="00EE62A7">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363BF0F2" w14:textId="77777777" w:rsidR="003438A2" w:rsidRDefault="003438A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3497443D" w14:textId="77777777" w:rsidR="003438A2" w:rsidRDefault="003438A2" w:rsidP="00EE62A7">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2A21A736" w14:textId="77777777" w:rsidR="003438A2" w:rsidRDefault="003438A2" w:rsidP="00EE62A7">
            <w:pPr>
              <w:pStyle w:val="TableText"/>
            </w:pPr>
            <w: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14:paraId="68188E4B" w14:textId="77777777" w:rsidR="003438A2" w:rsidRDefault="003438A2" w:rsidP="00EE62A7">
            <w:pPr>
              <w:pStyle w:val="TableText"/>
            </w:pPr>
            <w:r>
              <w:t>Moderate risk</w:t>
            </w:r>
          </w:p>
        </w:tc>
      </w:tr>
      <w:tr w:rsidR="003438A2" w14:paraId="438C1BD3"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56F89867" w14:textId="77777777" w:rsidR="003438A2" w:rsidRDefault="003438A2" w:rsidP="00EE62A7">
            <w:pPr>
              <w:pStyle w:val="TableText"/>
            </w:pPr>
            <w: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19FB7B91" w14:textId="77777777" w:rsidR="003438A2" w:rsidRDefault="003438A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5FC01C7A" w14:textId="77777777" w:rsidR="003438A2" w:rsidRDefault="003438A2" w:rsidP="00EE62A7">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68115400" w14:textId="77777777" w:rsidR="003438A2" w:rsidRDefault="003438A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7BD0827A" w14:textId="77777777" w:rsidR="003438A2" w:rsidRDefault="003438A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092A738A" w14:textId="77777777" w:rsidR="003438A2" w:rsidRDefault="003438A2" w:rsidP="00EE62A7">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14:paraId="3C9F3A4B" w14:textId="77777777" w:rsidR="003438A2" w:rsidRDefault="003438A2" w:rsidP="00EE62A7">
            <w:pPr>
              <w:pStyle w:val="TableText"/>
            </w:pPr>
            <w:r>
              <w:t>Low risk</w:t>
            </w:r>
          </w:p>
        </w:tc>
      </w:tr>
      <w:tr w:rsidR="003438A2" w14:paraId="4646491F" w14:textId="77777777">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7114398D" w14:textId="77777777" w:rsidR="003438A2" w:rsidRDefault="003438A2" w:rsidP="00EE62A7">
            <w:pPr>
              <w:pStyle w:val="TableText"/>
            </w:pPr>
            <w: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2FF0D680" w14:textId="77777777" w:rsidR="003438A2" w:rsidRDefault="003438A2" w:rsidP="00EE62A7">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561C524" w14:textId="77777777" w:rsidR="003438A2" w:rsidRDefault="003438A2" w:rsidP="00EE62A7">
            <w:pPr>
              <w:pStyle w:val="TableText"/>
            </w:pPr>
            <w: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52D4CB58" w14:textId="77777777" w:rsidR="003438A2" w:rsidRDefault="003438A2" w:rsidP="00EE62A7">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889E3EE" w14:textId="77777777" w:rsidR="003438A2" w:rsidRDefault="003438A2" w:rsidP="00EE62A7">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6CFA100D" w14:textId="77777777" w:rsidR="003438A2" w:rsidRDefault="003438A2" w:rsidP="00EE62A7">
            <w:pPr>
              <w:pStyle w:val="TableText"/>
            </w:pPr>
            <w: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14:paraId="5046C6D2" w14:textId="77777777" w:rsidR="003438A2" w:rsidRDefault="003438A2" w:rsidP="00EE62A7">
            <w:pPr>
              <w:pStyle w:val="TableText"/>
              <w:rPr>
                <w:color w:val="FFFFFF"/>
              </w:rPr>
            </w:pPr>
            <w:r>
              <w:rPr>
                <w:color w:val="FFFFFF"/>
              </w:rPr>
              <w:t>Very low risk</w:t>
            </w:r>
          </w:p>
        </w:tc>
      </w:tr>
    </w:tbl>
    <w:p w14:paraId="116FF425" w14:textId="77777777" w:rsidR="003438A2" w:rsidRDefault="003438A2" w:rsidP="00591D87">
      <w:pPr>
        <w:pStyle w:val="Heading4"/>
      </w:pPr>
      <w:r>
        <w:t>The appropriate level of protection (ALOP) for Australia</w:t>
      </w:r>
    </w:p>
    <w:p w14:paraId="0EF5E6AB" w14:textId="77777777" w:rsidR="003438A2" w:rsidRDefault="003438A2">
      <w: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0A9EDC95" w14:textId="77777777" w:rsidR="003438A2" w:rsidRDefault="003438A2">
      <w:r>
        <w:t xml:space="preserve">Like many other countries, Australia expresses its ALOP in qualitative terms. The ALOP for Australia, which reflects community expectations through government policy, is currently expressed as providing a high </w:t>
      </w:r>
      <w:r w:rsidRPr="002159EB">
        <w:t xml:space="preserve">level of sanitary or phytosanitary protection aimed at reducing risk to a very low level, but not to zero. The band of cells in </w:t>
      </w:r>
      <w:r w:rsidRPr="002159EB">
        <w:fldChar w:fldCharType="begin" w:fldLock="1"/>
      </w:r>
      <w:r w:rsidRPr="002159EB">
        <w:instrText xml:space="preserve"> REF _Ref457826369 \h  \* MERGEFORMAT </w:instrText>
      </w:r>
      <w:r w:rsidRPr="002159EB">
        <w:fldChar w:fldCharType="separate"/>
      </w:r>
      <w:r>
        <w:t>Table 2.5</w:t>
      </w:r>
      <w:r w:rsidRPr="002159EB">
        <w:fldChar w:fldCharType="end"/>
      </w:r>
      <w:r w:rsidRPr="002159EB">
        <w:t xml:space="preserve"> marked</w:t>
      </w:r>
      <w:r>
        <w:t xml:space="preserve"> ‘very low risk’ represents the ALOP for Australia.</w:t>
      </w:r>
    </w:p>
    <w:p w14:paraId="0B80E4EC" w14:textId="77777777" w:rsidR="003438A2" w:rsidRPr="00111CA8" w:rsidRDefault="003438A2" w:rsidP="00E72D4D">
      <w:pPr>
        <w:pStyle w:val="Heading4"/>
      </w:pPr>
      <w:bookmarkStart w:id="64" w:name="_Ref523924726"/>
      <w:r w:rsidRPr="00111CA8">
        <w:t>Adoption of outcomes from previous assessments</w:t>
      </w:r>
      <w:bookmarkEnd w:id="64"/>
    </w:p>
    <w:p w14:paraId="6ADAEC53" w14:textId="77777777" w:rsidR="003438A2" w:rsidRPr="00111CA8" w:rsidRDefault="003438A2" w:rsidP="00E72D4D">
      <w:r w:rsidRPr="00111CA8">
        <w:t>Outcomes of previous risk assessments have been adopted in this assessment for pests for which the risk profile is assessed as comparable to previously assessed situations.</w:t>
      </w:r>
    </w:p>
    <w:p w14:paraId="6BA92E00" w14:textId="77777777" w:rsidR="003438A2" w:rsidRPr="00111CA8" w:rsidRDefault="003438A2" w:rsidP="00E72D4D">
      <w:r w:rsidRPr="00111CA8">
        <w:t xml:space="preserve">The prospective adoption of previous risk assessment ratings is considered on a case-by-case basis by comparing factors relevant to the current commodity/country pathway with those assessed previously. For assessment of the likelihood of importation, factors considered/compared include the commodity type, the prevalence of the pest and commercial </w:t>
      </w:r>
      <w:r w:rsidRPr="00111CA8">
        <w:lastRenderedPageBreak/>
        <w:t>production practices, whereas for assessment of the likelihood of distribution of a pest the factors include the commodity type, the time of year when importation occurs, and the availability and susceptibility of hosts at that time. After comparing these factors and reviewing the latest literature, previously determined ratings may be adopted if the department considers the likelihoods to be comparable to those assigned in the previous assessment(s).</w:t>
      </w:r>
    </w:p>
    <w:p w14:paraId="5456ADF6" w14:textId="77777777" w:rsidR="003438A2" w:rsidRPr="00111CA8" w:rsidRDefault="003438A2" w:rsidP="00E72D4D">
      <w:r w:rsidRPr="00111CA8">
        <w:t>The likelihood of establishment and of spread of a pest species in the PRA area (in this instance, Australia) will be comparable between risk assessments, regardless of the commodity/country pathway through which the pest is imported, as these likelihoods relate specifically to conditions and events that occur in the PRA area, and are independent of the importation pathway. Similarly, the estimate of potential consequences associated with a pest species is also independent of the importation pathway. Therefore, the likelihoods of establishment and of spread of a pest, and the estimate of potential consequences, are directly comparable between assessments, and may be adopted with confidence.</w:t>
      </w:r>
    </w:p>
    <w:p w14:paraId="1C5C88DE" w14:textId="77777777" w:rsidR="003438A2" w:rsidRPr="00111CA8" w:rsidRDefault="003438A2" w:rsidP="00E72D4D">
      <w:pPr>
        <w:pStyle w:val="Heading4"/>
      </w:pPr>
      <w:bookmarkStart w:id="65" w:name="_Ref523924658"/>
      <w:r w:rsidRPr="00111CA8">
        <w:t>Application of Group PRA</w:t>
      </w:r>
      <w:r>
        <w:t>s</w:t>
      </w:r>
      <w:bookmarkEnd w:id="65"/>
    </w:p>
    <w:p w14:paraId="24FB5F9A" w14:textId="77777777" w:rsidR="003438A2" w:rsidRPr="00B751A6" w:rsidRDefault="003438A2" w:rsidP="00CE37AF">
      <w:bookmarkStart w:id="66" w:name="_Toc389741444"/>
      <w:r w:rsidRPr="00B751A6">
        <w:t>The Group PRAs that were applied to this risk analysis are:</w:t>
      </w:r>
    </w:p>
    <w:p w14:paraId="5A8F5E33" w14:textId="77777777" w:rsidR="003438A2" w:rsidRPr="00B751A6" w:rsidRDefault="003438A2" w:rsidP="00CE37AF">
      <w:pPr>
        <w:pStyle w:val="ListBullet"/>
        <w:numPr>
          <w:ilvl w:val="0"/>
          <w:numId w:val="14"/>
        </w:numPr>
        <w:tabs>
          <w:tab w:val="left" w:pos="720"/>
        </w:tabs>
        <w:spacing w:before="0" w:after="200" w:line="276" w:lineRule="auto"/>
        <w:ind w:left="714" w:hanging="357"/>
      </w:pPr>
      <w:r w:rsidRPr="00B751A6">
        <w:t xml:space="preserve">the </w:t>
      </w:r>
      <w:r w:rsidRPr="00B751A6">
        <w:rPr>
          <w:i/>
        </w:rPr>
        <w:t>Final group pest risk analysis for thrips and orthotospoviruses on fresh fruit, vegetable, cut-flower and foliage imports</w:t>
      </w:r>
      <w:r w:rsidRPr="00B751A6">
        <w:t xml:space="preserve"> (the thrips Group PRA) </w:t>
      </w:r>
      <w:bookmarkStart w:id="67" w:name="_Hlk89426281"/>
      <w:r w:rsidRPr="00B751A6">
        <w:rPr>
          <w:noProof/>
        </w:rPr>
        <w:t>(DAWR 2017)</w:t>
      </w:r>
      <w:r w:rsidRPr="00B751A6">
        <w:t xml:space="preserve"> </w:t>
      </w:r>
    </w:p>
    <w:bookmarkEnd w:id="67"/>
    <w:p w14:paraId="491DC0C4" w14:textId="77777777" w:rsidR="003438A2" w:rsidRPr="00B751A6" w:rsidRDefault="003438A2" w:rsidP="00CE37AF">
      <w:pPr>
        <w:pStyle w:val="ListBullet"/>
        <w:numPr>
          <w:ilvl w:val="0"/>
          <w:numId w:val="14"/>
        </w:numPr>
        <w:tabs>
          <w:tab w:val="left" w:pos="720"/>
        </w:tabs>
        <w:spacing w:before="0" w:after="200" w:line="276" w:lineRule="auto"/>
        <w:ind w:left="714" w:hanging="357"/>
      </w:pPr>
      <w:r w:rsidRPr="00B751A6">
        <w:t xml:space="preserve">the </w:t>
      </w:r>
      <w:r w:rsidRPr="00B751A6">
        <w:rPr>
          <w:i/>
        </w:rPr>
        <w:t xml:space="preserve">Final group pest risk analysis for mealybugs and the viruses they transmit on fresh fruit, vegetable, cut-flower and foliage imports </w:t>
      </w:r>
      <w:r w:rsidRPr="00B751A6">
        <w:t xml:space="preserve">(the mealybugs Group PRA) </w:t>
      </w:r>
      <w:r w:rsidRPr="00B751A6">
        <w:rPr>
          <w:noProof/>
        </w:rPr>
        <w:t>(DAWR 2019)</w:t>
      </w:r>
    </w:p>
    <w:p w14:paraId="1578EACF" w14:textId="77777777" w:rsidR="003438A2" w:rsidRPr="00B751A6" w:rsidRDefault="003438A2" w:rsidP="00CE37AF">
      <w:pPr>
        <w:pStyle w:val="ListBullet"/>
        <w:numPr>
          <w:ilvl w:val="0"/>
          <w:numId w:val="14"/>
        </w:numPr>
        <w:tabs>
          <w:tab w:val="left" w:pos="720"/>
        </w:tabs>
        <w:spacing w:before="0" w:after="200" w:line="276" w:lineRule="auto"/>
        <w:ind w:left="714" w:hanging="357"/>
      </w:pPr>
      <w:r w:rsidRPr="00B751A6">
        <w:t xml:space="preserve">the </w:t>
      </w:r>
      <w:r w:rsidRPr="00B751A6">
        <w:rPr>
          <w:i/>
        </w:rPr>
        <w:t>Final group pest risk analysis for soft and hard scale insects on fresh fruit, vegetable, cut-flower and foliage imports</w:t>
      </w:r>
      <w:r w:rsidRPr="00B751A6">
        <w:t xml:space="preserve"> (the scales Group PRA) </w:t>
      </w:r>
      <w:bookmarkStart w:id="68" w:name="_Hlk89426341"/>
      <w:r w:rsidRPr="00B751A6">
        <w:rPr>
          <w:noProof/>
        </w:rPr>
        <w:t>(DAWE 2021)</w:t>
      </w:r>
      <w:r w:rsidRPr="00B751A6">
        <w:t>.</w:t>
      </w:r>
      <w:bookmarkEnd w:id="68"/>
    </w:p>
    <w:p w14:paraId="5AD4C53D" w14:textId="77777777" w:rsidR="003438A2" w:rsidRPr="00B751A6" w:rsidRDefault="003438A2" w:rsidP="00BD6F67">
      <w:r w:rsidRPr="00B751A6">
        <w:t xml:space="preserve">The Group PRA approach is consistent with relevant international standards and requirements—including ISPM 2: </w:t>
      </w:r>
      <w:r w:rsidRPr="00B751A6">
        <w:rPr>
          <w:i/>
          <w:iCs/>
        </w:rPr>
        <w:t>Framework for Pest Risk Analysis</w:t>
      </w:r>
      <w:r w:rsidRPr="00B751A6">
        <w:t xml:space="preserve"> </w:t>
      </w:r>
      <w:r w:rsidRPr="00B751A6">
        <w:rPr>
          <w:noProof/>
        </w:rPr>
        <w:t>(FAO 2021a)</w:t>
      </w:r>
      <w:r w:rsidRPr="00B751A6">
        <w:t xml:space="preserve">, ISPM 11: Pest Risk Analysis for Quarantine Pests </w:t>
      </w:r>
      <w:r w:rsidRPr="00B751A6">
        <w:rPr>
          <w:noProof/>
        </w:rPr>
        <w:t>(FAO 2021e)</w:t>
      </w:r>
      <w:r w:rsidRPr="00B751A6">
        <w:t xml:space="preserve"> and the SPS Agreement </w:t>
      </w:r>
      <w:r w:rsidRPr="00B751A6">
        <w:rPr>
          <w:noProof/>
        </w:rPr>
        <w:t>(WTO 1995)</w:t>
      </w:r>
      <w:r w:rsidRPr="00B751A6">
        <w:t>. ISPM 2 states that ‘Specific organisms may be analysed individually, or in groups where individual species share common biological characteristics.’</w:t>
      </w:r>
    </w:p>
    <w:p w14:paraId="2F9F9E49" w14:textId="77777777" w:rsidR="003438A2" w:rsidRPr="00813145" w:rsidRDefault="003438A2" w:rsidP="00813145">
      <w:pPr>
        <w:rPr>
          <w:color w:val="000000" w:themeColor="text1"/>
        </w:rPr>
      </w:pPr>
      <w:r w:rsidRPr="00813145">
        <w:rPr>
          <w:color w:val="000000" w:themeColor="text1"/>
        </w:rPr>
        <w:t xml:space="preserve">Risk estimates derived from a Group PRA are ‘indicative’ in character. This is because the likelihood of entry (the combined likelihoods of importation and distribution) can be influenced by a range of pathway-specific factors, as explained in Section </w:t>
      </w:r>
      <w:r>
        <w:rPr>
          <w:color w:val="000000" w:themeColor="text1"/>
        </w:rPr>
        <w:fldChar w:fldCharType="begin" w:fldLock="1"/>
      </w:r>
      <w:r>
        <w:rPr>
          <w:color w:val="000000" w:themeColor="text1"/>
        </w:rPr>
        <w:instrText xml:space="preserve"> REF _Ref523924726 \r \h </w:instrText>
      </w:r>
      <w:r>
        <w:rPr>
          <w:color w:val="000000" w:themeColor="text1"/>
        </w:rPr>
      </w:r>
      <w:r>
        <w:rPr>
          <w:color w:val="000000" w:themeColor="text1"/>
        </w:rPr>
        <w:fldChar w:fldCharType="separate"/>
      </w:r>
      <w:r>
        <w:rPr>
          <w:color w:val="000000" w:themeColor="text1"/>
        </w:rPr>
        <w:t>2.2.6</w:t>
      </w:r>
      <w:r>
        <w:rPr>
          <w:color w:val="000000" w:themeColor="text1"/>
        </w:rPr>
        <w:fldChar w:fldCharType="end"/>
      </w:r>
      <w:r w:rsidRPr="00813145">
        <w:rPr>
          <w:color w:val="000000" w:themeColor="text1"/>
        </w:rPr>
        <w:t>. Therefore, the indicative likelihood of entry from a Group PRA needs to be verified on a case-by-case basis.</w:t>
      </w:r>
    </w:p>
    <w:p w14:paraId="19882A4B" w14:textId="77777777" w:rsidR="003438A2" w:rsidRPr="00813145" w:rsidRDefault="003438A2" w:rsidP="00813145">
      <w:pPr>
        <w:rPr>
          <w:color w:val="000000" w:themeColor="text1"/>
        </w:rPr>
      </w:pPr>
      <w:r w:rsidRPr="00813145">
        <w:rPr>
          <w:color w:val="000000" w:themeColor="text1"/>
        </w:rPr>
        <w:t xml:space="preserve">In contrast, and as noted in Section </w:t>
      </w:r>
      <w:r>
        <w:rPr>
          <w:color w:val="000000" w:themeColor="text1"/>
        </w:rPr>
        <w:fldChar w:fldCharType="begin" w:fldLock="1"/>
      </w:r>
      <w:r>
        <w:rPr>
          <w:color w:val="000000" w:themeColor="text1"/>
        </w:rPr>
        <w:instrText xml:space="preserve"> REF _Ref523924726 \r \h </w:instrText>
      </w:r>
      <w:r>
        <w:rPr>
          <w:color w:val="000000" w:themeColor="text1"/>
        </w:rPr>
      </w:r>
      <w:r>
        <w:rPr>
          <w:color w:val="000000" w:themeColor="text1"/>
        </w:rPr>
        <w:fldChar w:fldCharType="separate"/>
      </w:r>
      <w:r>
        <w:rPr>
          <w:color w:val="000000" w:themeColor="text1"/>
        </w:rPr>
        <w:t>2.2.6</w:t>
      </w:r>
      <w:r>
        <w:rPr>
          <w:color w:val="000000" w:themeColor="text1"/>
        </w:rPr>
        <w:fldChar w:fldCharType="end"/>
      </w:r>
      <w:r w:rsidRPr="00813145">
        <w:rPr>
          <w:color w:val="000000" w:themeColor="text1"/>
        </w:rPr>
        <w:t xml:space="preserve">, the risk factors considered in the likelihoods of establishment and spread, and the potential consequences associated with a pest species are not pathway-specific, and are therefore comparable across all import pathways within the scope of the Group PRA. This is because at these latter stages of the risk analysis the pest is assumed to have already found a host within Australia at or beyond its point of </w:t>
      </w:r>
      <w:r w:rsidRPr="00C709E5">
        <w:rPr>
          <w:color w:val="000000" w:themeColor="text1"/>
        </w:rPr>
        <w:t>entry. Therefore</w:t>
      </w:r>
      <w:r w:rsidRPr="00C709E5">
        <w:t xml:space="preserve">, unless there is specific evidence to suggest otherwise </w:t>
      </w:r>
      <w:r w:rsidRPr="00C709E5">
        <w:rPr>
          <w:color w:val="000000" w:themeColor="text1"/>
        </w:rPr>
        <w:t>a Group PRA assessment can be applied as the default outcome for any pest species on a plant import pathway once</w:t>
      </w:r>
      <w:r w:rsidRPr="00813145">
        <w:rPr>
          <w:color w:val="000000" w:themeColor="text1"/>
        </w:rPr>
        <w:t xml:space="preserve"> the previously assigned likelihood of entry has been verified.</w:t>
      </w:r>
    </w:p>
    <w:p w14:paraId="17CB3592" w14:textId="77777777" w:rsidR="003438A2" w:rsidRPr="00813145" w:rsidRDefault="003438A2" w:rsidP="00813145">
      <w:pPr>
        <w:rPr>
          <w:color w:val="000000" w:themeColor="text1"/>
        </w:rPr>
      </w:pPr>
      <w:r w:rsidRPr="00813145">
        <w:rPr>
          <w:color w:val="000000" w:themeColor="text1"/>
        </w:rPr>
        <w:t xml:space="preserve">In a scenario where the likelihood of entry for a pest species on a commodity is assessed as different to the indicative estimate, the Group PRA-derived likelihoods of establishment and </w:t>
      </w:r>
      <w:r w:rsidRPr="00813145">
        <w:rPr>
          <w:color w:val="000000" w:themeColor="text1"/>
        </w:rPr>
        <w:lastRenderedPageBreak/>
        <w:t>spread and the estimate of consequences can still be used, but the overall risk rating may change.</w:t>
      </w:r>
    </w:p>
    <w:p w14:paraId="69D2EFF6" w14:textId="77777777" w:rsidR="003438A2" w:rsidRPr="00B751A6" w:rsidRDefault="003438A2" w:rsidP="00BD6F67">
      <w:r w:rsidRPr="00B751A6">
        <w:t xml:space="preserve">Application of Group policy involves identification of up to three species of each relevant group associated with the commodity pathway. However, if any other </w:t>
      </w:r>
      <w:r w:rsidRPr="00C709E5">
        <w:t>quarantine pests or regulated articles not included in this risk analysis and/or in the relevant group policies are detected at pre-export or on arrival in Australia, the relevant Group policy will also apply</w:t>
      </w:r>
      <w:r w:rsidRPr="00B751A6">
        <w:t>.</w:t>
      </w:r>
    </w:p>
    <w:p w14:paraId="5C4CACF9" w14:textId="77777777" w:rsidR="003438A2" w:rsidRDefault="003438A2" w:rsidP="00761279">
      <w:pPr>
        <w:pStyle w:val="Heading3"/>
      </w:pPr>
      <w:bookmarkStart w:id="69" w:name="_Toc112768991"/>
      <w:r>
        <w:t>Stage 3 Pest risk management</w:t>
      </w:r>
      <w:bookmarkEnd w:id="66"/>
      <w:bookmarkEnd w:id="69"/>
    </w:p>
    <w:p w14:paraId="0494A8EC" w14:textId="77777777" w:rsidR="003438A2" w:rsidRDefault="003438A2">
      <w:r>
        <w:t>Pest risk management describes the process of identifying and implementing phytosanitary measures to manage risks to achieve the ALOP for Australia, while ensuring that any negative effects on trade are minimised.</w:t>
      </w:r>
    </w:p>
    <w:p w14:paraId="56211EC1" w14:textId="77777777" w:rsidR="003438A2" w:rsidRDefault="003438A2">
      <w:r>
        <w:t xml:space="preserve">The conclusions from pest risk assessment are used to decide whether risk management is required and if so, the appropriate measures to be used. Where the unrestricted risk estimate does not achieve the ALOP for Australia, risk management measures are required to reduce this </w:t>
      </w:r>
      <w:r w:rsidRPr="000E38A1">
        <w:t>risk to a very low level. The guiding</w:t>
      </w:r>
      <w:r>
        <w:t xml:space="preserve"> principle for risk management is to manage risk to achieve the ALOP for Australia. The effectiveness of any proposed phytosanitary measures (or combination of measures) is evaluated, using the same approach as used to evaluate the unrestricted risk, to ensure the restricted risk for the relevant pest or pests achieves the ALOP for Australia.</w:t>
      </w:r>
    </w:p>
    <w:p w14:paraId="4FA5B4B8" w14:textId="77777777" w:rsidR="003438A2" w:rsidRDefault="003438A2">
      <w:r>
        <w:t xml:space="preserve">ISPM 11 </w:t>
      </w:r>
      <w:r>
        <w:rPr>
          <w:noProof/>
        </w:rPr>
        <w:t>(FAO 2021e)</w:t>
      </w:r>
      <w:r>
        <w:t xml:space="preserve"> provides details on the identification and selection of appropriate risk management options and notes that the choice of measures should be based on their effectiveness in reducing the likelihood of entry of the pest.</w:t>
      </w:r>
    </w:p>
    <w:p w14:paraId="2312D22F" w14:textId="77777777" w:rsidR="003438A2" w:rsidRDefault="003438A2">
      <w:r>
        <w:t>Examples given of measures commonly applied to traded commodities include:</w:t>
      </w:r>
    </w:p>
    <w:p w14:paraId="241618A9" w14:textId="77777777" w:rsidR="003438A2" w:rsidRDefault="003438A2" w:rsidP="003438A2">
      <w:pPr>
        <w:pStyle w:val="ListBullet"/>
        <w:numPr>
          <w:ilvl w:val="0"/>
          <w:numId w:val="15"/>
        </w:numPr>
        <w:tabs>
          <w:tab w:val="clear" w:pos="567"/>
          <w:tab w:val="num" w:pos="709"/>
        </w:tabs>
        <w:ind w:left="709" w:hanging="425"/>
      </w:pPr>
      <w:r>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14:paraId="7EBCDF16" w14:textId="77777777" w:rsidR="003438A2" w:rsidRDefault="003438A2" w:rsidP="003438A2">
      <w:pPr>
        <w:pStyle w:val="ListBullet"/>
        <w:numPr>
          <w:ilvl w:val="0"/>
          <w:numId w:val="15"/>
        </w:numPr>
        <w:tabs>
          <w:tab w:val="clear" w:pos="567"/>
          <w:tab w:val="num" w:pos="709"/>
        </w:tabs>
        <w:ind w:left="709" w:hanging="425"/>
      </w:pPr>
      <w:r>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14:paraId="2EC74B13" w14:textId="77777777" w:rsidR="003438A2" w:rsidRDefault="003438A2" w:rsidP="003438A2">
      <w:pPr>
        <w:pStyle w:val="ListBullet"/>
        <w:numPr>
          <w:ilvl w:val="0"/>
          <w:numId w:val="15"/>
        </w:numPr>
        <w:tabs>
          <w:tab w:val="clear" w:pos="567"/>
          <w:tab w:val="num" w:pos="709"/>
        </w:tabs>
        <w:ind w:left="709" w:hanging="425"/>
      </w:pPr>
      <w:r>
        <w:t>options ensuring that the area, place or site of production or crop is free from the pest—for example, pest-free area, pest-free place of production or pest-free production site</w:t>
      </w:r>
    </w:p>
    <w:p w14:paraId="2E97E9F3" w14:textId="77777777" w:rsidR="003438A2" w:rsidRDefault="003438A2" w:rsidP="003438A2">
      <w:pPr>
        <w:pStyle w:val="ListBullet"/>
        <w:numPr>
          <w:ilvl w:val="0"/>
          <w:numId w:val="15"/>
        </w:numPr>
        <w:tabs>
          <w:tab w:val="clear" w:pos="567"/>
          <w:tab w:val="num" w:pos="709"/>
        </w:tabs>
        <w:ind w:left="709" w:hanging="425"/>
      </w:pPr>
      <w:r>
        <w:t>options for other types of pathways—for example, consider natural spread, measures for human travellers and their baggage, cleaning or disinfestations of contaminated machinery</w:t>
      </w:r>
    </w:p>
    <w:p w14:paraId="14F6E526" w14:textId="77777777" w:rsidR="003438A2" w:rsidRDefault="003438A2" w:rsidP="003438A2">
      <w:pPr>
        <w:pStyle w:val="ListBullet"/>
        <w:numPr>
          <w:ilvl w:val="0"/>
          <w:numId w:val="15"/>
        </w:numPr>
        <w:tabs>
          <w:tab w:val="clear" w:pos="567"/>
          <w:tab w:val="num" w:pos="709"/>
        </w:tabs>
        <w:ind w:left="709" w:hanging="425"/>
      </w:pPr>
      <w:r>
        <w:t>options within the importing country—for example, surveillance and eradication programs</w:t>
      </w:r>
    </w:p>
    <w:p w14:paraId="5EC19C6C" w14:textId="77777777" w:rsidR="003438A2" w:rsidRDefault="003438A2" w:rsidP="003438A2">
      <w:pPr>
        <w:pStyle w:val="ListBullet"/>
        <w:numPr>
          <w:ilvl w:val="0"/>
          <w:numId w:val="15"/>
        </w:numPr>
        <w:tabs>
          <w:tab w:val="clear" w:pos="567"/>
          <w:tab w:val="num" w:pos="709"/>
        </w:tabs>
        <w:ind w:left="709" w:hanging="425"/>
      </w:pPr>
      <w:r>
        <w:t>prohibition of commodities—if no satisfactory measure can be found.</w:t>
      </w:r>
    </w:p>
    <w:p w14:paraId="449ACF39" w14:textId="77777777" w:rsidR="003438A2" w:rsidRDefault="003438A2">
      <w:r>
        <w:t>Risk management measures are identified for each quarantine pest where the level of biosecurity risk does not achieve the ALOP for Australia. These are presented in Chapter 5: Pest risk management, of this report.</w:t>
      </w:r>
    </w:p>
    <w:p w14:paraId="020C9E72" w14:textId="77777777" w:rsidR="003438A2" w:rsidRDefault="003438A2" w:rsidP="00591D87">
      <w:pPr>
        <w:pStyle w:val="Heading2"/>
        <w:rPr>
          <w:highlight w:val="yellow"/>
        </w:rPr>
        <w:sectPr w:rsidR="003438A2" w:rsidSect="00E310DC">
          <w:headerReference w:type="even" r:id="rId44"/>
          <w:headerReference w:type="default" r:id="rId45"/>
          <w:headerReference w:type="first" r:id="rId46"/>
          <w:pgSz w:w="11906" w:h="16838"/>
          <w:pgMar w:top="1418" w:right="1418" w:bottom="1418" w:left="1418" w:header="567" w:footer="283" w:gutter="0"/>
          <w:cols w:space="708"/>
          <w:docGrid w:linePitch="360"/>
        </w:sectPr>
      </w:pPr>
      <w:bookmarkStart w:id="70" w:name="_Toc389741445"/>
    </w:p>
    <w:p w14:paraId="39271BA2" w14:textId="77777777" w:rsidR="003438A2" w:rsidRPr="00D83AC6" w:rsidRDefault="003438A2" w:rsidP="00F843A1">
      <w:pPr>
        <w:pStyle w:val="Heading2"/>
        <w:numPr>
          <w:ilvl w:val="0"/>
          <w:numId w:val="31"/>
        </w:numPr>
      </w:pPr>
      <w:bookmarkStart w:id="71" w:name="_Toc112768992"/>
      <w:bookmarkStart w:id="72" w:name="_Toc389741452"/>
      <w:bookmarkStart w:id="73" w:name="_Ref8805853"/>
      <w:bookmarkStart w:id="74" w:name="_Hlk39357761"/>
      <w:bookmarkStart w:id="75" w:name="_Toc257729654"/>
      <w:bookmarkStart w:id="76" w:name="_Toc256600540"/>
      <w:bookmarkStart w:id="77" w:name="_Toc232831060"/>
      <w:bookmarkStart w:id="78" w:name="_Toc389741453"/>
      <w:bookmarkStart w:id="79" w:name="_Hlk44965894"/>
      <w:bookmarkEnd w:id="32"/>
      <w:bookmarkEnd w:id="70"/>
      <w:r w:rsidRPr="00D83AC6">
        <w:lastRenderedPageBreak/>
        <w:t>The Pacific Northwest - United States of America commercial apple production practices</w:t>
      </w:r>
      <w:bookmarkEnd w:id="71"/>
      <w:r w:rsidRPr="00D83AC6">
        <w:t xml:space="preserve"> </w:t>
      </w:r>
    </w:p>
    <w:p w14:paraId="2C5BF3BE" w14:textId="77777777" w:rsidR="003438A2" w:rsidRDefault="003438A2" w:rsidP="001D02E4">
      <w:r>
        <w:t xml:space="preserve">This chapter provides information on pre-harvest, harvest and post-harvest practices considered to be standard </w:t>
      </w:r>
      <w:r w:rsidRPr="00EE7E43">
        <w:t>in the PNW</w:t>
      </w:r>
      <w:r>
        <w:t>-USA</w:t>
      </w:r>
      <w:r w:rsidRPr="00EE7E43">
        <w:t xml:space="preserve"> for the production of fresh apple fruit for export. The export capability of the PNW</w:t>
      </w:r>
      <w:r>
        <w:t>-USA</w:t>
      </w:r>
      <w:r w:rsidRPr="00EE7E43">
        <w:t xml:space="preserve"> is also outlined.</w:t>
      </w:r>
    </w:p>
    <w:p w14:paraId="5EA27AFE" w14:textId="77777777" w:rsidR="003438A2" w:rsidRPr="00D83AC6" w:rsidRDefault="003438A2" w:rsidP="00F843A1">
      <w:pPr>
        <w:pStyle w:val="Heading3"/>
        <w:numPr>
          <w:ilvl w:val="1"/>
          <w:numId w:val="31"/>
        </w:numPr>
      </w:pPr>
      <w:bookmarkStart w:id="80" w:name="_Toc389741446"/>
      <w:bookmarkStart w:id="81" w:name="_Toc112768993"/>
      <w:r w:rsidRPr="00D83AC6">
        <w:t>Assumptions used in estimating unrestricted risk</w:t>
      </w:r>
      <w:bookmarkEnd w:id="80"/>
      <w:bookmarkEnd w:id="81"/>
    </w:p>
    <w:p w14:paraId="1A553A3E" w14:textId="77777777" w:rsidR="003438A2" w:rsidRDefault="003438A2" w:rsidP="001D02E4">
      <w:r>
        <w:t xml:space="preserve">The USA provided </w:t>
      </w:r>
      <w:r w:rsidRPr="00EE7E43">
        <w:t>Australia with information on the standard practices for commercial production of apple cultivars in</w:t>
      </w:r>
      <w:r>
        <w:t xml:space="preserve"> the PNW-</w:t>
      </w:r>
      <w:r w:rsidRPr="00EE7E43">
        <w:t>USA. This information has been complemented with data from other sources, such as published</w:t>
      </w:r>
      <w:r>
        <w:t xml:space="preserve"> literature, and was taken into consideration when estimating the unrestricted risks of pests that may be associated with the import of this commodity.</w:t>
      </w:r>
    </w:p>
    <w:p w14:paraId="52A81970" w14:textId="77777777" w:rsidR="003438A2" w:rsidRDefault="003438A2" w:rsidP="001D02E4">
      <w:r w:rsidRPr="00E412DA">
        <w:t xml:space="preserve">In August 2010 and March 2016, officers from the Department of Agriculture, Fisheries and Forestry visited apple production areas in the PNW-USA. </w:t>
      </w:r>
      <w:r w:rsidRPr="00E412DA">
        <w:rPr>
          <w:color w:val="000000" w:themeColor="text1"/>
        </w:rPr>
        <w:t xml:space="preserve">The objective of these visits was to </w:t>
      </w:r>
      <w:r w:rsidRPr="00E412DA">
        <w:t>observe the apple production system, harvesting, processing, packing</w:t>
      </w:r>
      <w:r w:rsidRPr="00256022">
        <w:t xml:space="preserve"> and pest management procedures. The observations </w:t>
      </w:r>
      <w:r>
        <w:t xml:space="preserve">by the department, </w:t>
      </w:r>
      <w:r w:rsidRPr="00256022">
        <w:t xml:space="preserve">and additional information provided by </w:t>
      </w:r>
      <w:r>
        <w:t xml:space="preserve">the </w:t>
      </w:r>
      <w:r w:rsidRPr="00256022">
        <w:t>USA</w:t>
      </w:r>
      <w:r>
        <w:t>,</w:t>
      </w:r>
      <w:r w:rsidRPr="00256022">
        <w:t xml:space="preserve"> confirmed the production and processing procedures described in this chapter as standard commercial</w:t>
      </w:r>
      <w:r w:rsidRPr="0073657F">
        <w:t xml:space="preserve"> production practices for </w:t>
      </w:r>
      <w:r>
        <w:t>apple fruit</w:t>
      </w:r>
      <w:r w:rsidRPr="0073657F">
        <w:t xml:space="preserve"> for export.</w:t>
      </w:r>
    </w:p>
    <w:p w14:paraId="15E4D161" w14:textId="77777777" w:rsidR="003438A2" w:rsidRDefault="003438A2" w:rsidP="0036190A">
      <w:r w:rsidRPr="00F6124E">
        <w:t xml:space="preserve">In estimating the likelihood of pest introduction, it was </w:t>
      </w:r>
      <w:r>
        <w:t>considered</w:t>
      </w:r>
      <w:r w:rsidRPr="00F6124E">
        <w:t xml:space="preserve"> that the pre-harvest, harvest and post-harvest production practices for </w:t>
      </w:r>
      <w:r>
        <w:t xml:space="preserve">PNW-USA </w:t>
      </w:r>
      <w:r w:rsidRPr="0073657F">
        <w:t>apples</w:t>
      </w:r>
      <w:r>
        <w:t xml:space="preserve">, </w:t>
      </w:r>
      <w:r w:rsidRPr="0073657F">
        <w:t xml:space="preserve">as described </w:t>
      </w:r>
      <w:r>
        <w:t xml:space="preserve">in this chapter, are </w:t>
      </w:r>
      <w:r w:rsidRPr="0068403C">
        <w:t>implemented for all regions</w:t>
      </w:r>
      <w:r>
        <w:t xml:space="preserve"> within the PNW-USA</w:t>
      </w:r>
      <w:r w:rsidRPr="0068403C">
        <w:t>, and for all apple cultivars</w:t>
      </w:r>
      <w:r>
        <w:t xml:space="preserve"> produced for export</w:t>
      </w:r>
      <w:r w:rsidRPr="0068403C">
        <w:t xml:space="preserve">. </w:t>
      </w:r>
    </w:p>
    <w:p w14:paraId="06413B1A" w14:textId="77777777" w:rsidR="003438A2" w:rsidRPr="0099372F" w:rsidRDefault="003438A2" w:rsidP="0036190A">
      <w:r w:rsidRPr="00880148">
        <w:t xml:space="preserve">For example, commercial </w:t>
      </w:r>
      <w:r>
        <w:t>production</w:t>
      </w:r>
      <w:r w:rsidRPr="00880148">
        <w:t xml:space="preserve"> practices already in place for three pests, apple leafcurling midge (</w:t>
      </w:r>
      <w:r w:rsidRPr="00880148">
        <w:rPr>
          <w:bCs/>
          <w:i/>
          <w:iCs/>
          <w:lang w:eastAsia="en-AU"/>
        </w:rPr>
        <w:t>Dasineura mali</w:t>
      </w:r>
      <w:r w:rsidRPr="00880148">
        <w:rPr>
          <w:bCs/>
          <w:iCs/>
          <w:lang w:eastAsia="en-AU"/>
        </w:rPr>
        <w:t>),</w:t>
      </w:r>
      <w:r w:rsidRPr="00880148">
        <w:t xml:space="preserve"> fire blight (</w:t>
      </w:r>
      <w:r w:rsidRPr="00880148">
        <w:rPr>
          <w:bCs/>
          <w:i/>
          <w:iCs/>
        </w:rPr>
        <w:t>Erwinia amylovora</w:t>
      </w:r>
      <w:r w:rsidRPr="00880148">
        <w:rPr>
          <w:bCs/>
          <w:iCs/>
        </w:rPr>
        <w:t>)</w:t>
      </w:r>
      <w:r w:rsidRPr="00880148">
        <w:t xml:space="preserve"> and European canker (</w:t>
      </w:r>
      <w:r w:rsidRPr="00880148">
        <w:rPr>
          <w:i/>
        </w:rPr>
        <w:t>Neonectria ditissima</w:t>
      </w:r>
      <w:r w:rsidRPr="00880148">
        <w:t xml:space="preserve">), as outlined in </w:t>
      </w:r>
      <w:r>
        <w:t>this chapter</w:t>
      </w:r>
      <w:r w:rsidRPr="00880148">
        <w:t xml:space="preserve">, were taken into consideration when assessing the risk of </w:t>
      </w:r>
      <w:r w:rsidRPr="0099372F">
        <w:t>those pests associated with PNW-USA apples. These commercial control practices include the following:</w:t>
      </w:r>
    </w:p>
    <w:p w14:paraId="0F850527" w14:textId="77777777" w:rsidR="003438A2" w:rsidRPr="0099372F" w:rsidRDefault="003438A2" w:rsidP="003438A2">
      <w:pPr>
        <w:pStyle w:val="ListBullet"/>
        <w:numPr>
          <w:ilvl w:val="0"/>
          <w:numId w:val="15"/>
        </w:numPr>
      </w:pPr>
      <w:r w:rsidRPr="0099372F">
        <w:t>in-field monitoring and controls, fruit maturity testing, packing house sanitation and phytosanitary inspection prior to export for fire blight</w:t>
      </w:r>
    </w:p>
    <w:p w14:paraId="7D235F30" w14:textId="77777777" w:rsidR="003438A2" w:rsidRPr="0099372F" w:rsidRDefault="003438A2" w:rsidP="003438A2">
      <w:pPr>
        <w:pStyle w:val="ListBullet"/>
        <w:numPr>
          <w:ilvl w:val="0"/>
          <w:numId w:val="15"/>
        </w:numPr>
      </w:pPr>
      <w:r w:rsidRPr="0099372F">
        <w:t>in-field monitoring and controls, packing house sanitation and phytosanitary inspection prior to export for European canker</w:t>
      </w:r>
    </w:p>
    <w:p w14:paraId="5107B337" w14:textId="77777777" w:rsidR="003438A2" w:rsidRPr="0099372F" w:rsidRDefault="003438A2" w:rsidP="003438A2">
      <w:pPr>
        <w:pStyle w:val="ListBullet"/>
        <w:numPr>
          <w:ilvl w:val="0"/>
          <w:numId w:val="15"/>
        </w:numPr>
        <w:rPr>
          <w:lang w:eastAsia="en-AU"/>
        </w:rPr>
      </w:pPr>
      <w:r w:rsidRPr="0099372F">
        <w:rPr>
          <w:lang w:eastAsia="en-AU"/>
        </w:rPr>
        <w:t>in-field monitoring and controls, packing house procedures (sorting, grading and packing house sanitation) and phytosanitary inspection prior to export for apple leafcurling midge.</w:t>
      </w:r>
    </w:p>
    <w:p w14:paraId="2F732BB5" w14:textId="77777777" w:rsidR="003438A2" w:rsidRDefault="003438A2" w:rsidP="001D02E4">
      <w:r w:rsidRPr="0099372F">
        <w:t xml:space="preserve">This approach is consistent with the risk assessment methodology for these three pests in apples from New Zealand </w:t>
      </w:r>
      <w:r w:rsidRPr="0099372F">
        <w:rPr>
          <w:noProof/>
        </w:rPr>
        <w:t>(Biosecurity Australia 2011b)</w:t>
      </w:r>
      <w:r w:rsidRPr="0099372F">
        <w:t>.</w:t>
      </w:r>
    </w:p>
    <w:p w14:paraId="706099B7" w14:textId="77777777" w:rsidR="003438A2" w:rsidRPr="00D83AC6" w:rsidRDefault="003438A2" w:rsidP="00F843A1">
      <w:pPr>
        <w:pStyle w:val="Heading3"/>
        <w:numPr>
          <w:ilvl w:val="1"/>
          <w:numId w:val="31"/>
        </w:numPr>
      </w:pPr>
      <w:bookmarkStart w:id="82" w:name="_Toc112768994"/>
      <w:r w:rsidRPr="00D83AC6">
        <w:t>Apple production areas</w:t>
      </w:r>
      <w:bookmarkEnd w:id="82"/>
    </w:p>
    <w:p w14:paraId="44F5EEF3" w14:textId="77777777" w:rsidR="003438A2" w:rsidRDefault="003438A2" w:rsidP="001D02E4">
      <w:r>
        <w:t xml:space="preserve">The PNW-USA consists of the states of Idaho, Oregon and Washington. Approximately 97% of the PNW apple crop is produced in </w:t>
      </w:r>
      <w:r w:rsidRPr="00E97F50">
        <w:t xml:space="preserve">Washington </w:t>
      </w:r>
      <w:r>
        <w:rPr>
          <w:noProof/>
        </w:rPr>
        <w:t>(USDA-NASS 2017a)</w:t>
      </w:r>
      <w:r w:rsidRPr="00EA0D33">
        <w:t xml:space="preserve">. </w:t>
      </w:r>
      <w:r w:rsidRPr="00E97F50">
        <w:t>The</w:t>
      </w:r>
      <w:r>
        <w:t xml:space="preserve"> major production regions of Washington are the Yakima Valley, the Wenatchee region</w:t>
      </w:r>
      <w:r w:rsidRPr="00F13859">
        <w:rPr>
          <w:color w:val="00B050"/>
        </w:rPr>
        <w:t xml:space="preserve"> </w:t>
      </w:r>
      <w:r>
        <w:t xml:space="preserve">and the Columbia Basin, which are all located in the central part of the state </w:t>
      </w:r>
      <w:r w:rsidRPr="00757D39">
        <w:t>(</w:t>
      </w:r>
      <w:r w:rsidRPr="00EA0D33">
        <w:fldChar w:fldCharType="begin" w:fldLock="1"/>
      </w:r>
      <w:r w:rsidRPr="00EA0D33">
        <w:instrText xml:space="preserve"> REF _Ref531173160 \h  \* MERGEFORMAT </w:instrText>
      </w:r>
      <w:r w:rsidRPr="00EA0D33">
        <w:fldChar w:fldCharType="separate"/>
      </w:r>
      <w:r>
        <w:t>Map 4</w:t>
      </w:r>
      <w:r w:rsidRPr="00EA0D33">
        <w:fldChar w:fldCharType="end"/>
      </w:r>
      <w:r w:rsidRPr="00757D39">
        <w:t>)</w:t>
      </w:r>
      <w:r>
        <w:t xml:space="preserve">, east of the Cascade Range </w:t>
      </w:r>
      <w:r w:rsidRPr="00E5425D">
        <w:t>(</w:t>
      </w:r>
      <w:r>
        <w:fldChar w:fldCharType="begin" w:fldLock="1"/>
      </w:r>
      <w:r>
        <w:instrText xml:space="preserve"> REF _Ref48244836 \h </w:instrText>
      </w:r>
      <w:r>
        <w:fldChar w:fldCharType="separate"/>
      </w:r>
      <w:r>
        <w:t xml:space="preserve">Map </w:t>
      </w:r>
      <w:r>
        <w:rPr>
          <w:noProof/>
        </w:rPr>
        <w:t>5</w:t>
      </w:r>
      <w:r>
        <w:fldChar w:fldCharType="end"/>
      </w:r>
      <w:r w:rsidRPr="00E5425D">
        <w:t>)</w:t>
      </w:r>
      <w:r w:rsidRPr="00757D39">
        <w:t xml:space="preserve">. </w:t>
      </w:r>
      <w:r>
        <w:t xml:space="preserve">Washington state counties are shown in </w:t>
      </w:r>
      <w:r>
        <w:fldChar w:fldCharType="begin" w:fldLock="1"/>
      </w:r>
      <w:r>
        <w:instrText xml:space="preserve"> REF _Ref108774398 \h </w:instrText>
      </w:r>
      <w:r>
        <w:fldChar w:fldCharType="separate"/>
      </w:r>
      <w:r>
        <w:t xml:space="preserve">Map </w:t>
      </w:r>
      <w:r>
        <w:rPr>
          <w:noProof/>
        </w:rPr>
        <w:t>6</w:t>
      </w:r>
      <w:r>
        <w:fldChar w:fldCharType="end"/>
      </w:r>
      <w:r>
        <w:fldChar w:fldCharType="begin" w:fldLock="1"/>
      </w:r>
      <w:r>
        <w:instrText xml:space="preserve"> REF _Ref47074532 \h </w:instrText>
      </w:r>
      <w:r>
        <w:fldChar w:fldCharType="end"/>
      </w:r>
      <w:r w:rsidRPr="00E5425D">
        <w:t>. Oregon (</w:t>
      </w:r>
      <w:r w:rsidRPr="00E5425D">
        <w:fldChar w:fldCharType="begin" w:fldLock="1"/>
      </w:r>
      <w:r w:rsidRPr="00E5425D">
        <w:instrText xml:space="preserve"> REF _Ref47075443 \h  \* MERGEFORMAT </w:instrText>
      </w:r>
      <w:r w:rsidRPr="00E5425D">
        <w:fldChar w:fldCharType="separate"/>
      </w:r>
      <w:r>
        <w:t xml:space="preserve">Map </w:t>
      </w:r>
      <w:r>
        <w:rPr>
          <w:noProof/>
        </w:rPr>
        <w:t>7</w:t>
      </w:r>
      <w:r w:rsidRPr="00E5425D">
        <w:fldChar w:fldCharType="end"/>
      </w:r>
      <w:r w:rsidRPr="00E5425D">
        <w:t>) and Idaho (</w:t>
      </w:r>
      <w:r w:rsidRPr="00E5425D">
        <w:fldChar w:fldCharType="begin" w:fldLock="1"/>
      </w:r>
      <w:r w:rsidRPr="00E5425D">
        <w:instrText xml:space="preserve"> REF _Ref47075456 \h  \* MERGEFORMAT </w:instrText>
      </w:r>
      <w:r w:rsidRPr="00E5425D">
        <w:fldChar w:fldCharType="separate"/>
      </w:r>
      <w:r>
        <w:t xml:space="preserve">Map </w:t>
      </w:r>
      <w:r>
        <w:rPr>
          <w:noProof/>
        </w:rPr>
        <w:t>8</w:t>
      </w:r>
      <w:r w:rsidRPr="00E5425D">
        <w:fldChar w:fldCharType="end"/>
      </w:r>
      <w:r w:rsidRPr="00E5425D">
        <w:t xml:space="preserve">) produce significantly less apples than Washington. The main production regions in Oregon are </w:t>
      </w:r>
      <w:r w:rsidRPr="00E5425D">
        <w:rPr>
          <w:lang w:eastAsia="en-AU"/>
        </w:rPr>
        <w:t>Willamette Valley, the Mid-Columbia Valley and Milton-Freewater area</w:t>
      </w:r>
      <w:r w:rsidRPr="00E5425D">
        <w:t xml:space="preserve"> </w:t>
      </w:r>
      <w:r>
        <w:rPr>
          <w:noProof/>
        </w:rPr>
        <w:t xml:space="preserve">(Oregon State University </w:t>
      </w:r>
      <w:r>
        <w:rPr>
          <w:noProof/>
        </w:rPr>
        <w:lastRenderedPageBreak/>
        <w:t>2020)</w:t>
      </w:r>
      <w:r w:rsidRPr="00E5425D">
        <w:t xml:space="preserve">, with Umatilla county being the main production area. In Idaho, Canyon is the major apple producing county </w:t>
      </w:r>
      <w:r>
        <w:rPr>
          <w:noProof/>
        </w:rPr>
        <w:t>(Colt et al. 2001)</w:t>
      </w:r>
      <w:r w:rsidRPr="00E5425D">
        <w:t>.</w:t>
      </w:r>
      <w:r>
        <w:t xml:space="preserve"> </w:t>
      </w:r>
    </w:p>
    <w:p w14:paraId="29DCC8A7" w14:textId="77777777" w:rsidR="003438A2" w:rsidRPr="002C19FA" w:rsidRDefault="003438A2" w:rsidP="001D02E4">
      <w:pPr>
        <w:rPr>
          <w:color w:val="000000" w:themeColor="text1"/>
        </w:rPr>
      </w:pPr>
      <w:bookmarkStart w:id="83" w:name="_Hlk46770087"/>
      <w:r w:rsidRPr="003C4823">
        <w:t>In 2019, Oregon and Washington had approximately 2,023 and 69,606 hectares of fruit</w:t>
      </w:r>
      <w:r>
        <w:t>-</w:t>
      </w:r>
      <w:r w:rsidRPr="003C4823">
        <w:t xml:space="preserve">bearing apple trees, </w:t>
      </w:r>
      <w:r w:rsidRPr="002C19FA">
        <w:rPr>
          <w:color w:val="000000" w:themeColor="text1"/>
        </w:rPr>
        <w:t xml:space="preserve">respectively </w:t>
      </w:r>
      <w:r>
        <w:rPr>
          <w:noProof/>
          <w:color w:val="000000" w:themeColor="text1"/>
        </w:rPr>
        <w:t>(USDA NASS 2019a, b)</w:t>
      </w:r>
      <w:r w:rsidRPr="002C19FA">
        <w:rPr>
          <w:color w:val="000000" w:themeColor="text1"/>
        </w:rPr>
        <w:t xml:space="preserve">. </w:t>
      </w:r>
      <w:r>
        <w:rPr>
          <w:color w:val="000000" w:themeColor="text1"/>
        </w:rPr>
        <w:t xml:space="preserve">In 2017, </w:t>
      </w:r>
      <w:r w:rsidRPr="002C19FA">
        <w:rPr>
          <w:color w:val="000000" w:themeColor="text1"/>
        </w:rPr>
        <w:t xml:space="preserve">Idaho </w:t>
      </w:r>
      <w:r w:rsidRPr="002C19FA">
        <w:t>had approximately 850 hectares of fruit-bearing apple trees</w:t>
      </w:r>
      <w:r w:rsidRPr="002C19FA">
        <w:rPr>
          <w:color w:val="000000" w:themeColor="text1"/>
        </w:rPr>
        <w:t xml:space="preserve"> </w:t>
      </w:r>
      <w:r>
        <w:rPr>
          <w:noProof/>
          <w:color w:val="000000" w:themeColor="text1"/>
        </w:rPr>
        <w:t>(USDA NASS 2017)</w:t>
      </w:r>
      <w:r w:rsidRPr="002C19FA">
        <w:rPr>
          <w:color w:val="000000" w:themeColor="text1"/>
        </w:rPr>
        <w:t>.</w:t>
      </w:r>
    </w:p>
    <w:p w14:paraId="160A897C" w14:textId="77777777" w:rsidR="003438A2" w:rsidRDefault="003438A2" w:rsidP="001D02E4">
      <w:pPr>
        <w:pStyle w:val="Caption"/>
        <w:spacing w:after="240"/>
      </w:pPr>
      <w:bookmarkStart w:id="84" w:name="_Ref531173160"/>
      <w:bookmarkStart w:id="85" w:name="_Toc44961941"/>
      <w:bookmarkStart w:id="86" w:name="_Toc112770175"/>
      <w:bookmarkEnd w:id="83"/>
      <w:r>
        <w:t xml:space="preserve">Map </w:t>
      </w:r>
      <w:r>
        <w:rPr>
          <w:noProof/>
        </w:rPr>
        <w:fldChar w:fldCharType="begin" w:fldLock="1"/>
      </w:r>
      <w:r>
        <w:rPr>
          <w:noProof/>
        </w:rPr>
        <w:instrText xml:space="preserve"> SEQ Map \* ARABIC </w:instrText>
      </w:r>
      <w:r>
        <w:rPr>
          <w:noProof/>
        </w:rPr>
        <w:fldChar w:fldCharType="separate"/>
      </w:r>
      <w:r>
        <w:rPr>
          <w:noProof/>
        </w:rPr>
        <w:t>4</w:t>
      </w:r>
      <w:r>
        <w:rPr>
          <w:noProof/>
        </w:rPr>
        <w:fldChar w:fldCharType="end"/>
      </w:r>
      <w:bookmarkEnd w:id="84"/>
      <w:r>
        <w:t xml:space="preserve"> </w:t>
      </w:r>
      <w:r w:rsidRPr="00025783">
        <w:t>Main apple production areas in the PNW</w:t>
      </w:r>
      <w:r>
        <w:t>-USA</w:t>
      </w:r>
      <w:bookmarkEnd w:id="85"/>
      <w:bookmarkEnd w:id="86"/>
    </w:p>
    <w:p w14:paraId="2D491338" w14:textId="77777777" w:rsidR="003438A2" w:rsidRDefault="003438A2" w:rsidP="001D02E4">
      <w:r>
        <w:rPr>
          <w:noProof/>
          <w:lang w:eastAsia="en-AU"/>
        </w:rPr>
        <w:drawing>
          <wp:inline distT="0" distB="0" distL="0" distR="0" wp14:anchorId="775C2EEA" wp14:editId="2680B0BC">
            <wp:extent cx="5826819" cy="3275937"/>
            <wp:effectExtent l="0" t="0" r="2540" b="127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95017" cy="3314279"/>
                    </a:xfrm>
                    <a:prstGeom prst="rect">
                      <a:avLst/>
                    </a:prstGeom>
                    <a:noFill/>
                    <a:ln>
                      <a:noFill/>
                    </a:ln>
                  </pic:spPr>
                </pic:pic>
              </a:graphicData>
            </a:graphic>
          </wp:inline>
        </w:drawing>
      </w:r>
    </w:p>
    <w:p w14:paraId="67731585" w14:textId="77777777" w:rsidR="003438A2" w:rsidRDefault="003438A2" w:rsidP="001D02E4">
      <w:pPr>
        <w:pStyle w:val="FigureTableNoteSource"/>
        <w:rPr>
          <w:color w:val="000000" w:themeColor="text1"/>
        </w:rPr>
      </w:pPr>
      <w:bookmarkStart w:id="87" w:name="_Hlk46770458"/>
      <w:r>
        <w:t xml:space="preserve">Source: </w:t>
      </w:r>
      <w:r w:rsidRPr="00F63455">
        <w:t xml:space="preserve">Based on </w:t>
      </w:r>
      <w:r>
        <w:rPr>
          <w:noProof/>
          <w:color w:val="000000" w:themeColor="text1"/>
        </w:rPr>
        <w:t>(USDA NASS 2017, 2019a, b)</w:t>
      </w:r>
      <w:r w:rsidRPr="002C19FA">
        <w:rPr>
          <w:color w:val="000000" w:themeColor="text1"/>
        </w:rPr>
        <w:t>.</w:t>
      </w:r>
    </w:p>
    <w:p w14:paraId="450D88C6" w14:textId="77777777" w:rsidR="003438A2" w:rsidRPr="00BC2AD3" w:rsidRDefault="003438A2" w:rsidP="001D02E4">
      <w:pPr>
        <w:pStyle w:val="Caption"/>
      </w:pPr>
      <w:bookmarkStart w:id="88" w:name="_Ref48244836"/>
      <w:bookmarkStart w:id="89" w:name="_Toc112770176"/>
      <w:bookmarkEnd w:id="87"/>
      <w:r>
        <w:lastRenderedPageBreak/>
        <w:t xml:space="preserve">Map </w:t>
      </w:r>
      <w:fldSimple w:instr=" SEQ Map \* ARABIC " w:fldLock="1">
        <w:r>
          <w:rPr>
            <w:noProof/>
          </w:rPr>
          <w:t>5</w:t>
        </w:r>
      </w:fldSimple>
      <w:bookmarkEnd w:id="88"/>
      <w:r w:rsidRPr="00BC2AD3">
        <w:t xml:space="preserve"> Washington state</w:t>
      </w:r>
      <w:r>
        <w:t>, USA</w:t>
      </w:r>
      <w:bookmarkEnd w:id="89"/>
    </w:p>
    <w:p w14:paraId="3344FEA1" w14:textId="77777777" w:rsidR="003438A2" w:rsidRDefault="003438A2" w:rsidP="001D02E4">
      <w:r>
        <w:rPr>
          <w:noProof/>
          <w:lang w:eastAsia="en-AU"/>
        </w:rPr>
        <w:drawing>
          <wp:inline distT="0" distB="0" distL="0" distR="0" wp14:anchorId="3208DB2A" wp14:editId="18CC9CF2">
            <wp:extent cx="5731510" cy="3615690"/>
            <wp:effectExtent l="0" t="0" r="2540" b="3810"/>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ap&#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3615690"/>
                    </a:xfrm>
                    <a:prstGeom prst="rect">
                      <a:avLst/>
                    </a:prstGeom>
                    <a:noFill/>
                    <a:ln>
                      <a:noFill/>
                    </a:ln>
                  </pic:spPr>
                </pic:pic>
              </a:graphicData>
            </a:graphic>
          </wp:inline>
        </w:drawing>
      </w:r>
    </w:p>
    <w:bookmarkStart w:id="90" w:name="_Ref47074532"/>
    <w:bookmarkStart w:id="91" w:name="_Ref108774398"/>
    <w:bookmarkStart w:id="92" w:name="_Toc112770177"/>
    <w:p w14:paraId="78E93323" w14:textId="77777777" w:rsidR="003438A2" w:rsidRDefault="003438A2" w:rsidP="000420F5">
      <w:pPr>
        <w:pStyle w:val="Caption"/>
      </w:pPr>
      <w:r>
        <w:rPr>
          <w:noProof/>
          <w:lang w:eastAsia="en-AU"/>
        </w:rPr>
        <mc:AlternateContent>
          <mc:Choice Requires="wps">
            <w:drawing>
              <wp:anchor distT="0" distB="0" distL="114300" distR="114300" simplePos="0" relativeHeight="251665408" behindDoc="0" locked="0" layoutInCell="1" allowOverlap="1" wp14:anchorId="7CADBCB6" wp14:editId="302D994A">
                <wp:simplePos x="0" y="0"/>
                <wp:positionH relativeFrom="margin">
                  <wp:posOffset>1757680</wp:posOffset>
                </wp:positionH>
                <wp:positionV relativeFrom="paragraph">
                  <wp:posOffset>203744</wp:posOffset>
                </wp:positionV>
                <wp:extent cx="739471" cy="254442"/>
                <wp:effectExtent l="0" t="0" r="0" b="0"/>
                <wp:wrapNone/>
                <wp:docPr id="48" name="Text Box 48"/>
                <wp:cNvGraphicFramePr/>
                <a:graphic xmlns:a="http://schemas.openxmlformats.org/drawingml/2006/main">
                  <a:graphicData uri="http://schemas.microsoft.com/office/word/2010/wordprocessingShape">
                    <wps:wsp>
                      <wps:cNvSpPr txBox="1"/>
                      <wps:spPr>
                        <a:xfrm>
                          <a:off x="0" y="0"/>
                          <a:ext cx="739471" cy="254442"/>
                        </a:xfrm>
                        <a:prstGeom prst="rect">
                          <a:avLst/>
                        </a:prstGeom>
                        <a:noFill/>
                        <a:ln>
                          <a:noFill/>
                        </a:ln>
                      </wps:spPr>
                      <wps:txbx>
                        <w:txbxContent>
                          <w:p w14:paraId="45926B91" w14:textId="77777777" w:rsidR="003438A2" w:rsidRPr="00745D3F" w:rsidRDefault="003438A2" w:rsidP="001D02E4">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5D3F">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Western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DBCB6" id="Text Box 48" o:spid="_x0000_s1027" type="#_x0000_t202" style="position:absolute;margin-left:138.4pt;margin-top:16.05pt;width:58.25pt;height:20.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" filled="f" stroked="f">
                <v:textbox>
                  <w:txbxContent>
                    <w:p w14:paraId="45926B91" w14:textId="77777777" w:rsidR="003438A2" w:rsidRPr="00745D3F" w:rsidRDefault="003438A2" w:rsidP="001D02E4">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5D3F">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Western</w:t>
                      </w:r>
                    </w:p>
                  </w:txbxContent>
                </v:textbox>
                <w10:wrap anchorx="margin"/>
              </v:shape>
            </w:pict>
          </mc:Fallback>
        </mc:AlternateContent>
      </w:r>
      <w:r>
        <w:rPr>
          <w:noProof/>
          <w:lang w:eastAsia="en-AU"/>
        </w:rPr>
        <mc:AlternateContent>
          <mc:Choice Requires="wps">
            <w:drawing>
              <wp:anchor distT="0" distB="0" distL="114300" distR="114300" simplePos="0" relativeHeight="251666432" behindDoc="0" locked="0" layoutInCell="1" allowOverlap="1" wp14:anchorId="605E796F" wp14:editId="23657117">
                <wp:simplePos x="0" y="0"/>
                <wp:positionH relativeFrom="margin">
                  <wp:posOffset>2913470</wp:posOffset>
                </wp:positionH>
                <wp:positionV relativeFrom="paragraph">
                  <wp:posOffset>223066</wp:posOffset>
                </wp:positionV>
                <wp:extent cx="1828800" cy="263047"/>
                <wp:effectExtent l="0" t="0" r="0" b="3810"/>
                <wp:wrapNone/>
                <wp:docPr id="49" name="Text Box 49"/>
                <wp:cNvGraphicFramePr/>
                <a:graphic xmlns:a="http://schemas.openxmlformats.org/drawingml/2006/main">
                  <a:graphicData uri="http://schemas.microsoft.com/office/word/2010/wordprocessingShape">
                    <wps:wsp>
                      <wps:cNvSpPr txBox="1"/>
                      <wps:spPr>
                        <a:xfrm>
                          <a:off x="0" y="0"/>
                          <a:ext cx="1828800" cy="263047"/>
                        </a:xfrm>
                        <a:prstGeom prst="rect">
                          <a:avLst/>
                        </a:prstGeom>
                        <a:noFill/>
                        <a:ln>
                          <a:noFill/>
                        </a:ln>
                      </wps:spPr>
                      <wps:txbx>
                        <w:txbxContent>
                          <w:p w14:paraId="27441920" w14:textId="77777777" w:rsidR="003438A2" w:rsidRPr="00745D3F" w:rsidRDefault="003438A2" w:rsidP="001D02E4">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5D3F">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Eastern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5E796F" id="Text Box 49" o:spid="_x0000_s1028" type="#_x0000_t202" style="position:absolute;margin-left:229.4pt;margin-top:17.55pt;width:2in;height:20.7pt;z-index:25166643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" filled="f" stroked="f">
                <v:textbox>
                  <w:txbxContent>
                    <w:p w14:paraId="27441920" w14:textId="77777777" w:rsidR="003438A2" w:rsidRPr="00745D3F" w:rsidRDefault="003438A2" w:rsidP="001D02E4">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5D3F">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Eastern</w:t>
                      </w:r>
                    </w:p>
                  </w:txbxContent>
                </v:textbox>
                <w10:wrap anchorx="margin"/>
              </v:shape>
            </w:pict>
          </mc:Fallback>
        </mc:AlternateContent>
      </w:r>
      <w:bookmarkEnd w:id="90"/>
      <w:r>
        <w:t xml:space="preserve">Map </w:t>
      </w:r>
      <w:fldSimple w:instr=" SEQ Map \* ARABIC " w:fldLock="1">
        <w:r>
          <w:rPr>
            <w:noProof/>
          </w:rPr>
          <w:t>6</w:t>
        </w:r>
      </w:fldSimple>
      <w:bookmarkEnd w:id="91"/>
      <w:r>
        <w:t xml:space="preserve"> </w:t>
      </w:r>
      <w:r w:rsidRPr="00D53B68">
        <w:t>Washington state counties</w:t>
      </w:r>
      <w:bookmarkEnd w:id="92"/>
    </w:p>
    <w:p w14:paraId="255BBEF3" w14:textId="77777777" w:rsidR="003438A2" w:rsidRPr="00D00528" w:rsidRDefault="003438A2" w:rsidP="001D02E4">
      <w:pPr>
        <w:rPr>
          <w:rFonts w:asciiTheme="minorHAnsi" w:hAnsiTheme="minorHAnsi" w:cstheme="minorHAnsi"/>
          <w:sz w:val="18"/>
          <w:szCs w:val="18"/>
        </w:rPr>
      </w:pPr>
      <w:r>
        <w:rPr>
          <w:rFonts w:ascii="Roboto" w:hAnsi="Roboto"/>
          <w:noProof/>
          <w:color w:val="2962FF"/>
          <w:lang w:eastAsia="en-AU"/>
        </w:rPr>
        <mc:AlternateContent>
          <mc:Choice Requires="wps">
            <w:drawing>
              <wp:anchor distT="0" distB="0" distL="114300" distR="114300" simplePos="0" relativeHeight="251663360" behindDoc="0" locked="0" layoutInCell="1" allowOverlap="1" wp14:anchorId="05B04A10" wp14:editId="5715FEF5">
                <wp:simplePos x="0" y="0"/>
                <wp:positionH relativeFrom="column">
                  <wp:posOffset>2642507</wp:posOffset>
                </wp:positionH>
                <wp:positionV relativeFrom="paragraph">
                  <wp:posOffset>32022</wp:posOffset>
                </wp:positionV>
                <wp:extent cx="45719" cy="127663"/>
                <wp:effectExtent l="57150" t="19050" r="50165" b="43815"/>
                <wp:wrapNone/>
                <wp:docPr id="46" name="Arrow: Down 46"/>
                <wp:cNvGraphicFramePr/>
                <a:graphic xmlns:a="http://schemas.openxmlformats.org/drawingml/2006/main">
                  <a:graphicData uri="http://schemas.microsoft.com/office/word/2010/wordprocessingShape">
                    <wps:wsp>
                      <wps:cNvSpPr/>
                      <wps:spPr>
                        <a:xfrm>
                          <a:off x="0" y="0"/>
                          <a:ext cx="45719" cy="127663"/>
                        </a:xfrm>
                        <a:prstGeom prst="downArrow">
                          <a:avLst/>
                        </a:prstGeom>
                        <a:ln w="38100">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2C2E3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6" o:spid="_x0000_s1026" type="#_x0000_t67" style="position:absolute;margin-left:208.05pt;margin-top:2.5pt;width:3.6pt;height:10.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" adj="17732" fillcolor="black [3200]" strokecolor="black [3213]" strokeweight="3pt"/>
            </w:pict>
          </mc:Fallback>
        </mc:AlternateContent>
      </w:r>
      <w:r>
        <w:rPr>
          <w:rFonts w:ascii="Roboto" w:hAnsi="Roboto"/>
          <w:noProof/>
          <w:color w:val="2962FF"/>
          <w:lang w:eastAsia="en-AU"/>
        </w:rPr>
        <mc:AlternateContent>
          <mc:Choice Requires="wps">
            <w:drawing>
              <wp:anchor distT="0" distB="0" distL="114300" distR="114300" simplePos="0" relativeHeight="251664384" behindDoc="0" locked="0" layoutInCell="1" allowOverlap="1" wp14:anchorId="01E2F139" wp14:editId="7A4CC09D">
                <wp:simplePos x="0" y="0"/>
                <wp:positionH relativeFrom="column">
                  <wp:posOffset>2228933</wp:posOffset>
                </wp:positionH>
                <wp:positionV relativeFrom="paragraph">
                  <wp:posOffset>3448879</wp:posOffset>
                </wp:positionV>
                <wp:extent cx="45719" cy="135172"/>
                <wp:effectExtent l="57150" t="38100" r="50165" b="17780"/>
                <wp:wrapNone/>
                <wp:docPr id="47" name="Arrow: Up 47"/>
                <wp:cNvGraphicFramePr/>
                <a:graphic xmlns:a="http://schemas.openxmlformats.org/drawingml/2006/main">
                  <a:graphicData uri="http://schemas.microsoft.com/office/word/2010/wordprocessingShape">
                    <wps:wsp>
                      <wps:cNvSpPr/>
                      <wps:spPr>
                        <a:xfrm>
                          <a:off x="0" y="0"/>
                          <a:ext cx="45719" cy="135172"/>
                        </a:xfrm>
                        <a:prstGeom prst="upArrow">
                          <a:avLst/>
                        </a:prstGeom>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577361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7" o:spid="_x0000_s1026" type="#_x0000_t68" style="position:absolute;margin-left:175.5pt;margin-top:271.55pt;width:3.6pt;height:10.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" adj="3653" fillcolor="#4472c4 [3204]" strokecolor="black [3213]" strokeweight="3pt"/>
            </w:pict>
          </mc:Fallback>
        </mc:AlternateContent>
      </w:r>
      <w:r>
        <w:rPr>
          <w:rFonts w:ascii="Arial" w:hAnsi="Arial" w:cs="Arial"/>
          <w:noProof/>
          <w:color w:val="0000FF"/>
          <w:sz w:val="21"/>
          <w:szCs w:val="21"/>
          <w:lang w:eastAsia="en-AU"/>
        </w:rPr>
        <w:drawing>
          <wp:inline distT="0" distB="0" distL="0" distR="0" wp14:anchorId="6D864DFB" wp14:editId="546A8C32">
            <wp:extent cx="5598713" cy="3673502"/>
            <wp:effectExtent l="0" t="0" r="2540" b="3175"/>
            <wp:docPr id="23" name="Picture 23" descr="Washington counties">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hington counties">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4345" cy="3683758"/>
                    </a:xfrm>
                    <a:prstGeom prst="rect">
                      <a:avLst/>
                    </a:prstGeom>
                    <a:noFill/>
                    <a:ln>
                      <a:noFill/>
                    </a:ln>
                  </pic:spPr>
                </pic:pic>
              </a:graphicData>
            </a:graphic>
          </wp:inline>
        </w:drawing>
      </w:r>
    </w:p>
    <w:p w14:paraId="4BB94638" w14:textId="77777777" w:rsidR="003438A2" w:rsidRDefault="003438A2" w:rsidP="001D02E4">
      <w:pPr>
        <w:pStyle w:val="Caption"/>
      </w:pPr>
      <w:bookmarkStart w:id="93" w:name="_Ref47075443"/>
      <w:bookmarkStart w:id="94" w:name="_Toc112770178"/>
      <w:r>
        <w:lastRenderedPageBreak/>
        <w:t xml:space="preserve">Map </w:t>
      </w:r>
      <w:r>
        <w:rPr>
          <w:noProof/>
        </w:rPr>
        <w:fldChar w:fldCharType="begin" w:fldLock="1"/>
      </w:r>
      <w:r>
        <w:rPr>
          <w:noProof/>
        </w:rPr>
        <w:instrText xml:space="preserve"> SEQ Map \* ARABIC </w:instrText>
      </w:r>
      <w:r>
        <w:rPr>
          <w:noProof/>
        </w:rPr>
        <w:fldChar w:fldCharType="separate"/>
      </w:r>
      <w:r>
        <w:rPr>
          <w:noProof/>
        </w:rPr>
        <w:t>7</w:t>
      </w:r>
      <w:r>
        <w:rPr>
          <w:noProof/>
        </w:rPr>
        <w:fldChar w:fldCharType="end"/>
      </w:r>
      <w:bookmarkEnd w:id="93"/>
      <w:r w:rsidRPr="00804F5B">
        <w:t xml:space="preserve"> Oregon state counties</w:t>
      </w:r>
      <w:bookmarkEnd w:id="94"/>
    </w:p>
    <w:p w14:paraId="1DC7B94C" w14:textId="77777777" w:rsidR="003438A2" w:rsidRPr="00A4291B" w:rsidRDefault="003438A2" w:rsidP="001D02E4">
      <w:r>
        <w:rPr>
          <w:noProof/>
          <w:lang w:eastAsia="en-AU"/>
        </w:rPr>
        <w:drawing>
          <wp:inline distT="0" distB="0" distL="0" distR="0" wp14:anchorId="1691374E" wp14:editId="5C035658">
            <wp:extent cx="5192202" cy="3712969"/>
            <wp:effectExtent l="0" t="0" r="8890" b="1905"/>
            <wp:docPr id="31" name="Picture 3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p&#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38203" cy="3745864"/>
                    </a:xfrm>
                    <a:prstGeom prst="rect">
                      <a:avLst/>
                    </a:prstGeom>
                    <a:noFill/>
                    <a:ln>
                      <a:noFill/>
                    </a:ln>
                  </pic:spPr>
                </pic:pic>
              </a:graphicData>
            </a:graphic>
          </wp:inline>
        </w:drawing>
      </w:r>
    </w:p>
    <w:p w14:paraId="121C621E" w14:textId="77777777" w:rsidR="003438A2" w:rsidRDefault="003438A2" w:rsidP="001D02E4">
      <w:pPr>
        <w:pStyle w:val="Caption"/>
      </w:pPr>
      <w:bookmarkStart w:id="95" w:name="_Ref47075456"/>
      <w:bookmarkStart w:id="96" w:name="_Toc112770179"/>
      <w:r>
        <w:t xml:space="preserve">Map </w:t>
      </w:r>
      <w:r>
        <w:rPr>
          <w:noProof/>
        </w:rPr>
        <w:fldChar w:fldCharType="begin" w:fldLock="1"/>
      </w:r>
      <w:r>
        <w:rPr>
          <w:noProof/>
        </w:rPr>
        <w:instrText xml:space="preserve"> SEQ Map \* ARABIC </w:instrText>
      </w:r>
      <w:r>
        <w:rPr>
          <w:noProof/>
        </w:rPr>
        <w:fldChar w:fldCharType="separate"/>
      </w:r>
      <w:r>
        <w:rPr>
          <w:noProof/>
        </w:rPr>
        <w:t>8</w:t>
      </w:r>
      <w:r>
        <w:rPr>
          <w:noProof/>
        </w:rPr>
        <w:fldChar w:fldCharType="end"/>
      </w:r>
      <w:bookmarkEnd w:id="95"/>
      <w:r w:rsidRPr="00275A75">
        <w:t xml:space="preserve"> Idaho state counties</w:t>
      </w:r>
      <w:bookmarkEnd w:id="96"/>
    </w:p>
    <w:p w14:paraId="65ECD3A4" w14:textId="77777777" w:rsidR="003438A2" w:rsidRPr="00A4291B" w:rsidRDefault="003438A2" w:rsidP="001D02E4">
      <w:r>
        <w:rPr>
          <w:noProof/>
          <w:lang w:eastAsia="en-AU"/>
        </w:rPr>
        <w:drawing>
          <wp:inline distT="0" distB="0" distL="0" distR="0" wp14:anchorId="071451DA" wp14:editId="3194D08B">
            <wp:extent cx="3505325" cy="4347067"/>
            <wp:effectExtent l="0" t="0" r="0" b="0"/>
            <wp:docPr id="36" name="Picture 3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Map&#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13319" cy="4356980"/>
                    </a:xfrm>
                    <a:prstGeom prst="rect">
                      <a:avLst/>
                    </a:prstGeom>
                    <a:noFill/>
                    <a:ln>
                      <a:noFill/>
                    </a:ln>
                  </pic:spPr>
                </pic:pic>
              </a:graphicData>
            </a:graphic>
          </wp:inline>
        </w:drawing>
      </w:r>
    </w:p>
    <w:p w14:paraId="49802401" w14:textId="77777777" w:rsidR="003438A2" w:rsidRPr="00D83AC6" w:rsidRDefault="003438A2" w:rsidP="00F843A1">
      <w:pPr>
        <w:pStyle w:val="Heading3"/>
        <w:numPr>
          <w:ilvl w:val="1"/>
          <w:numId w:val="31"/>
        </w:numPr>
      </w:pPr>
      <w:bookmarkStart w:id="97" w:name="_Toc112768995"/>
      <w:r w:rsidRPr="00D83AC6">
        <w:lastRenderedPageBreak/>
        <w:t>Climate in production areas</w:t>
      </w:r>
      <w:bookmarkEnd w:id="97"/>
    </w:p>
    <w:p w14:paraId="53F203A4" w14:textId="77777777" w:rsidR="003438A2" w:rsidRDefault="003438A2" w:rsidP="001D02E4">
      <w:r>
        <w:t>The PNW states of Idaho, Oregon and Washington are in the temperate climate zone. The mean monthly maximum temperature in apple growing regions in the PNW-USA can exceed 30</w:t>
      </w:r>
      <w:r w:rsidRPr="00223363">
        <w:t>°</w:t>
      </w:r>
      <w:r>
        <w:t>C in summer and the mean monthly minimum temperature can be as low as -5</w:t>
      </w:r>
      <w:r w:rsidRPr="00223363">
        <w:t>°</w:t>
      </w:r>
      <w:r>
        <w:t>C in the winter months (</w:t>
      </w:r>
      <w:r>
        <w:rPr>
          <w:highlight w:val="yellow"/>
        </w:rPr>
        <w:fldChar w:fldCharType="begin" w:fldLock="1"/>
      </w:r>
      <w:r>
        <w:instrText xml:space="preserve"> REF _Ref531173282 \h </w:instrText>
      </w:r>
      <w:r>
        <w:rPr>
          <w:highlight w:val="yellow"/>
        </w:rPr>
      </w:r>
      <w:r>
        <w:rPr>
          <w:highlight w:val="yellow"/>
        </w:rPr>
        <w:fldChar w:fldCharType="separate"/>
      </w:r>
      <w:r>
        <w:t xml:space="preserve">Figure </w:t>
      </w:r>
      <w:r>
        <w:rPr>
          <w:noProof/>
        </w:rPr>
        <w:t>2</w:t>
      </w:r>
      <w:r>
        <w:rPr>
          <w:highlight w:val="yellow"/>
        </w:rPr>
        <w:fldChar w:fldCharType="end"/>
      </w:r>
      <w:r>
        <w:t>). Rainfall is low in the summer months, and increases in the winter months, although this varies with location.</w:t>
      </w:r>
    </w:p>
    <w:p w14:paraId="06829D26" w14:textId="77777777" w:rsidR="003438A2" w:rsidRDefault="003438A2" w:rsidP="000A2029">
      <w:r>
        <w:t xml:space="preserve">In Washington the apple production areas are separated by the Cascade Range, </w:t>
      </w:r>
      <w:r w:rsidRPr="00AA3B7A">
        <w:t xml:space="preserve">which creates </w:t>
      </w:r>
      <w:r>
        <w:t>two</w:t>
      </w:r>
      <w:r w:rsidRPr="00AA3B7A">
        <w:t xml:space="preserve"> distinct climatic regions in the state</w:t>
      </w:r>
      <w:r>
        <w:t xml:space="preserve"> </w:t>
      </w:r>
      <w:r>
        <w:rPr>
          <w:noProof/>
        </w:rPr>
        <w:t xml:space="preserve">(NCDC 2022). </w:t>
      </w:r>
      <w:bookmarkStart w:id="98" w:name="_Hlk46770491"/>
      <w:r>
        <w:t>The majority of apple production regions are located east of the Cascade Range,</w:t>
      </w:r>
      <w:bookmarkEnd w:id="98"/>
      <w:r>
        <w:t xml:space="preserve"> which experience</w:t>
      </w:r>
      <w:r w:rsidRPr="00AA3B7A">
        <w:t xml:space="preserve"> warmer summers, cooler winters and lower precipitation than </w:t>
      </w:r>
      <w:r>
        <w:t>those located west of the Cascade Range (</w:t>
      </w:r>
      <w:r w:rsidRPr="00AA3B7A">
        <w:t>western Washington</w:t>
      </w:r>
      <w:r>
        <w:t>)</w:t>
      </w:r>
      <w:r w:rsidRPr="00AA3B7A">
        <w:t>, although rainfall var</w:t>
      </w:r>
      <w:r>
        <w:t>ies</w:t>
      </w:r>
      <w:r w:rsidRPr="00AA3B7A">
        <w:t xml:space="preserve"> with elevation</w:t>
      </w:r>
      <w:r>
        <w:t xml:space="preserve"> </w:t>
      </w:r>
      <w:r>
        <w:rPr>
          <w:noProof/>
        </w:rPr>
        <w:t xml:space="preserve">(NCDC 2022). </w:t>
      </w:r>
    </w:p>
    <w:p w14:paraId="5BD363DD" w14:textId="77777777" w:rsidR="003438A2" w:rsidRDefault="003438A2" w:rsidP="001D02E4">
      <w:r w:rsidRPr="00AA3B7A">
        <w:t xml:space="preserve">Apple production regions in Idaho and Oregon have similar </w:t>
      </w:r>
      <w:r>
        <w:t>climatic</w:t>
      </w:r>
      <w:r w:rsidRPr="00AA3B7A">
        <w:t xml:space="preserve"> conditions to those in</w:t>
      </w:r>
      <w:r>
        <w:t xml:space="preserve"> western Washington State.</w:t>
      </w:r>
    </w:p>
    <w:p w14:paraId="57AB03CE" w14:textId="77777777" w:rsidR="003438A2" w:rsidRDefault="003438A2" w:rsidP="001D02E4">
      <w:pPr>
        <w:pStyle w:val="Caption"/>
      </w:pPr>
      <w:bookmarkStart w:id="99" w:name="_Ref531173282"/>
      <w:bookmarkStart w:id="100" w:name="_Toc384979255"/>
      <w:bookmarkStart w:id="101" w:name="_Toc384979282"/>
      <w:bookmarkStart w:id="102" w:name="_Toc389741469"/>
      <w:bookmarkStart w:id="103" w:name="_Toc112770152"/>
      <w:r>
        <w:lastRenderedPageBreak/>
        <w:t xml:space="preserve">Figure </w:t>
      </w:r>
      <w:r>
        <w:rPr>
          <w:noProof/>
        </w:rPr>
        <w:fldChar w:fldCharType="begin" w:fldLock="1"/>
      </w:r>
      <w:r>
        <w:rPr>
          <w:noProof/>
        </w:rPr>
        <w:instrText xml:space="preserve"> SEQ Figure \* ARABIC </w:instrText>
      </w:r>
      <w:r>
        <w:rPr>
          <w:noProof/>
        </w:rPr>
        <w:fldChar w:fldCharType="separate"/>
      </w:r>
      <w:r>
        <w:rPr>
          <w:noProof/>
        </w:rPr>
        <w:t>2</w:t>
      </w:r>
      <w:r>
        <w:rPr>
          <w:noProof/>
        </w:rPr>
        <w:fldChar w:fldCharType="end"/>
      </w:r>
      <w:bookmarkEnd w:id="99"/>
      <w:r>
        <w:t xml:space="preserve"> Mean monthly maximum and minimum temperatures and mean monthly rainfall in main apple production area</w:t>
      </w:r>
      <w:bookmarkEnd w:id="100"/>
      <w:bookmarkEnd w:id="101"/>
      <w:bookmarkEnd w:id="102"/>
      <w:r>
        <w:t>s of the PNW-USA</w:t>
      </w:r>
      <w:bookmarkEnd w:id="103"/>
    </w:p>
    <w:p w14:paraId="56BDCC9A" w14:textId="77777777" w:rsidR="003438A2" w:rsidRDefault="003438A2" w:rsidP="001D02E4">
      <w:r>
        <w:rPr>
          <w:noProof/>
          <w:lang w:eastAsia="en-AU"/>
        </w:rPr>
        <w:drawing>
          <wp:inline distT="0" distB="0" distL="0" distR="0" wp14:anchorId="35112EC0" wp14:editId="6F3B55D0">
            <wp:extent cx="2862000" cy="1973793"/>
            <wp:effectExtent l="0" t="0" r="0" b="7620"/>
            <wp:docPr id="2" name="Chart 2" descr="The following six charts show the average climatic conditions in six cities in apple growing regions of PNW. These six cities are Yakima, Wentachee, Lind and Walla Walla from Wahington, Payette from Idaho and Umatilla from Oregon. &#10;All six of them have their highest maximum and minimum mean temperature in July-August. The mean maximum temperature during those months is roughly 30 degrees celcius for all cities and mean minimum temperature is between 10 and 20 degrees celcius in all states. December-January are the coldest months in all six cities with mean maximimus between 0 and 10 degrees and mean minimums between 0 and -10 degrees. &#10;Mean monthy rainfall follows a similar patternacross all cities  with rainfall peaking in late Autumn and Winter and bottoming out in July, August and September. &#10;Febuary to June rainfall differs significantly with some some cities (Lind, Walla Walla and Payette) maintaining slightly lower rainfall than December-January, while others rapidly dropping to just abouve July levels (Yakima, Wentachee and Umatilla).&#10;Some regions are significantly wetter than other with the highest mean rainfall in Walla Walla in November at just under 80mm while Umatilla's highest meant rainfall is just over 30mm in December. Other regions peak at 40-50mm of rainfall in November or December." title="Graph one of mean monthly maximum and minimum temperatures and mean monthly rainfall in main apple production areas of the PNW"/>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noProof/>
          <w:lang w:eastAsia="en-AU"/>
        </w:rPr>
        <w:drawing>
          <wp:inline distT="0" distB="0" distL="0" distR="0" wp14:anchorId="5257F323" wp14:editId="1317792F">
            <wp:extent cx="2862000" cy="1973793"/>
            <wp:effectExtent l="0" t="0" r="0" b="7620"/>
            <wp:docPr id="7" name="Chart 7" title="Graph two of mean monthly maximum and minimum temperatures and mean monthly rainfall in main apple production areas of the PNW"/>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noProof/>
          <w:lang w:eastAsia="en-AU"/>
        </w:rPr>
        <w:drawing>
          <wp:inline distT="0" distB="0" distL="0" distR="0" wp14:anchorId="0690B008" wp14:editId="77BDDFF8">
            <wp:extent cx="2862000" cy="1973793"/>
            <wp:effectExtent l="0" t="0" r="0" b="7620"/>
            <wp:docPr id="12" name="Chart 12" title="Graph  three of mean monthly maximum and minimum temperatures and mean monthly rainfall in main apple production areas of the PNW"/>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noProof/>
          <w:lang w:eastAsia="en-AU"/>
        </w:rPr>
        <w:drawing>
          <wp:inline distT="0" distB="0" distL="0" distR="0" wp14:anchorId="4A462EB8" wp14:editId="017B2BFA">
            <wp:extent cx="2862000" cy="1973793"/>
            <wp:effectExtent l="0" t="0" r="0" b="7620"/>
            <wp:docPr id="14" name="Chart 14" title="Graph four of mean monthly maximum and minimum temperatures and mean monthly rainfall in main apple production areas of the PNW"/>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noProof/>
          <w:lang w:eastAsia="en-AU"/>
        </w:rPr>
        <w:drawing>
          <wp:inline distT="0" distB="0" distL="0" distR="0" wp14:anchorId="6D52D535" wp14:editId="1DCA45B9">
            <wp:extent cx="2862000" cy="1973793"/>
            <wp:effectExtent l="0" t="0" r="0" b="7620"/>
            <wp:docPr id="10" name="Chart 10" title="Graph  five of mean monthly maximum and minimum temperatures and mean monthly rainfall in main apple production areas of the PNW"/>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lang w:eastAsia="en-AU"/>
        </w:rPr>
        <w:drawing>
          <wp:inline distT="0" distB="0" distL="0" distR="0" wp14:anchorId="73E185C6" wp14:editId="2DD5E648">
            <wp:extent cx="2862000" cy="1973793"/>
            <wp:effectExtent l="0" t="0" r="0" b="7620"/>
            <wp:docPr id="18" name="Chart 18" title="Graph six of mean monthly maximum and minimum temperatures and mean monthly rainfall in main apple production areas of the PNW"/>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A5F16D2" w14:textId="77777777" w:rsidR="003438A2" w:rsidRDefault="003438A2" w:rsidP="001D02E4">
      <w:pPr>
        <w:pStyle w:val="FigureTableNoteSource"/>
      </w:pPr>
      <w:r>
        <w:t>Mean m</w:t>
      </w:r>
      <w:r w:rsidRPr="00257303">
        <w:t xml:space="preserve">onthly </w:t>
      </w:r>
      <w:r w:rsidRPr="00DE0140">
        <w:rPr>
          <w:rFonts w:cstheme="majorBidi"/>
        </w:rPr>
        <w:t>maximum</w:t>
      </w:r>
      <w:r w:rsidRPr="00257303">
        <w:t xml:space="preserve"> (</w:t>
      </w:r>
      <w:r w:rsidRPr="00BF7448">
        <w:rPr>
          <w:rFonts w:cs="Cambria"/>
          <w:color w:val="C00000"/>
        </w:rPr>
        <w:t>—</w:t>
      </w:r>
      <w:r w:rsidRPr="00393484">
        <w:rPr>
          <w:rFonts w:ascii="Segoe UI Symbol" w:hAnsi="Segoe UI Symbol" w:cs="Segoe UI Symbol"/>
          <w:color w:val="C00000"/>
        </w:rPr>
        <w:t>♦</w:t>
      </w:r>
      <w:r w:rsidRPr="00BF7448">
        <w:rPr>
          <w:rFonts w:cs="Cambria"/>
          <w:color w:val="C00000"/>
        </w:rPr>
        <w:t>—</w:t>
      </w:r>
      <w:r w:rsidRPr="00257303">
        <w:t xml:space="preserve">) and </w:t>
      </w:r>
      <w:r w:rsidRPr="00DE0140">
        <w:rPr>
          <w:rFonts w:cstheme="majorBidi"/>
        </w:rPr>
        <w:t>minimum</w:t>
      </w:r>
      <w:r w:rsidRPr="00257303">
        <w:t xml:space="preserve"> (</w:t>
      </w:r>
      <w:r w:rsidRPr="00BF7448">
        <w:rPr>
          <w:color w:val="2F5496" w:themeColor="accent1" w:themeShade="BF"/>
        </w:rPr>
        <w:t>—</w:t>
      </w:r>
      <w:r w:rsidRPr="00393484">
        <w:rPr>
          <w:rFonts w:ascii="Times New Roman" w:hAnsi="Times New Roman" w:cs="Times New Roman"/>
          <w:color w:val="2F5496" w:themeColor="accent1" w:themeShade="BF"/>
        </w:rPr>
        <w:t>■</w:t>
      </w:r>
      <w:r w:rsidRPr="00BF7448">
        <w:rPr>
          <w:rFonts w:cs="Cambria"/>
          <w:color w:val="2F5496" w:themeColor="accent1" w:themeShade="BF"/>
        </w:rPr>
        <w:t>—</w:t>
      </w:r>
      <w:r w:rsidRPr="00257303">
        <w:t>) temperatures (</w:t>
      </w:r>
      <w:r>
        <w:rPr>
          <w:rFonts w:cs="Cambria"/>
        </w:rPr>
        <w:t>°C</w:t>
      </w:r>
      <w:r w:rsidRPr="00257303">
        <w:t>) and mean monthly rainfall (millimetres) (</w:t>
      </w:r>
      <w:r w:rsidRPr="00BF7448">
        <w:rPr>
          <w:rFonts w:cs="Cambria"/>
          <w:color w:val="92D050"/>
        </w:rPr>
        <w:t>—</w:t>
      </w:r>
      <w:r w:rsidRPr="00BF7448">
        <w:rPr>
          <w:rFonts w:ascii="Times New Roman" w:hAnsi="Times New Roman" w:cs="Times New Roman"/>
          <w:color w:val="92D050"/>
        </w:rPr>
        <w:t>▲</w:t>
      </w:r>
      <w:r w:rsidRPr="00BF7448">
        <w:rPr>
          <w:rFonts w:cs="Cambria"/>
          <w:color w:val="92D050"/>
        </w:rPr>
        <w:t>—</w:t>
      </w:r>
      <w:r w:rsidRPr="00257303">
        <w:t xml:space="preserve">) </w:t>
      </w:r>
      <w:r>
        <w:t>from climatic data collected between 2007 and 2018 (</w:t>
      </w:r>
      <w:hyperlink r:id="rId59" w:history="1">
        <w:r w:rsidRPr="00D654D8">
          <w:rPr>
            <w:rStyle w:val="Hyperlink"/>
          </w:rPr>
          <w:t>https://www.usclimatedata.com/</w:t>
        </w:r>
      </w:hyperlink>
      <w:r>
        <w:t xml:space="preserve">) </w:t>
      </w:r>
      <w:r w:rsidRPr="00257303">
        <w:t xml:space="preserve">in </w:t>
      </w:r>
      <w:r>
        <w:t>PNW regions Yakima, Wenatchee, Lind (Columbia basin), Walla Walla, Payette and Umatilla.</w:t>
      </w:r>
    </w:p>
    <w:p w14:paraId="3CFB5F30" w14:textId="77777777" w:rsidR="003438A2" w:rsidRPr="00D83AC6" w:rsidRDefault="003438A2" w:rsidP="00F843A1">
      <w:pPr>
        <w:pStyle w:val="Heading3"/>
        <w:numPr>
          <w:ilvl w:val="1"/>
          <w:numId w:val="31"/>
        </w:numPr>
      </w:pPr>
      <w:bookmarkStart w:id="104" w:name="_Toc389741448"/>
      <w:r w:rsidRPr="00D83AC6">
        <w:t xml:space="preserve"> </w:t>
      </w:r>
      <w:bookmarkStart w:id="105" w:name="_Toc112768996"/>
      <w:r w:rsidRPr="00D83AC6">
        <w:t>Pre-harvest</w:t>
      </w:r>
      <w:bookmarkEnd w:id="104"/>
      <w:bookmarkEnd w:id="105"/>
    </w:p>
    <w:p w14:paraId="127F99AB" w14:textId="77777777" w:rsidR="003438A2" w:rsidRPr="00D83AC6" w:rsidRDefault="003438A2" w:rsidP="00F843A1">
      <w:pPr>
        <w:pStyle w:val="Heading4"/>
        <w:numPr>
          <w:ilvl w:val="2"/>
          <w:numId w:val="31"/>
        </w:numPr>
        <w:tabs>
          <w:tab w:val="clear" w:pos="1645"/>
          <w:tab w:val="num" w:pos="794"/>
        </w:tabs>
        <w:ind w:left="1786"/>
      </w:pPr>
      <w:r w:rsidRPr="00D83AC6">
        <w:t>Cultivars</w:t>
      </w:r>
    </w:p>
    <w:p w14:paraId="4436F7CF" w14:textId="77777777" w:rsidR="003438A2" w:rsidRDefault="003438A2" w:rsidP="001D02E4">
      <w:r>
        <w:t xml:space="preserve">Almost 100 apple varieties are grown commercially in the USA. In Washington, the major varieties grown are Red Delicious (~24%), Gala (~24%), Fuji (~14%), Granny Smith (~12%) and Honeycrisp (~10%) </w:t>
      </w:r>
      <w:r>
        <w:rPr>
          <w:noProof/>
        </w:rPr>
        <w:t>(USDA-NASS 2017b)</w:t>
      </w:r>
      <w:r>
        <w:t>. Varieties grown in each region vary in number over time as popularity fluctuates.</w:t>
      </w:r>
    </w:p>
    <w:p w14:paraId="0BCD8D01" w14:textId="77777777" w:rsidR="003438A2" w:rsidRPr="00D83AC6" w:rsidRDefault="003438A2" w:rsidP="00F843A1">
      <w:pPr>
        <w:pStyle w:val="Heading4"/>
        <w:numPr>
          <w:ilvl w:val="2"/>
          <w:numId w:val="31"/>
        </w:numPr>
        <w:tabs>
          <w:tab w:val="clear" w:pos="1645"/>
          <w:tab w:val="num" w:pos="794"/>
        </w:tabs>
        <w:ind w:left="1786"/>
      </w:pPr>
      <w:r w:rsidRPr="00D83AC6">
        <w:lastRenderedPageBreak/>
        <w:t>Cultivation practices</w:t>
      </w:r>
    </w:p>
    <w:p w14:paraId="67A719CE" w14:textId="77777777" w:rsidR="003438A2" w:rsidRDefault="003438A2" w:rsidP="000C1D70">
      <w:r>
        <w:t xml:space="preserve">The majority of orchards in Washington established prior to 1996 </w:t>
      </w:r>
      <w:r w:rsidRPr="002E65E7">
        <w:t xml:space="preserve">produce the varieties Red Delicious, Gala and Fuji, planted at densities of 900, 769 and 1,753 trees per hectare, respectively </w:t>
      </w:r>
      <w:r>
        <w:rPr>
          <w:noProof/>
        </w:rPr>
        <w:t>(USDA-NASS 2017a)</w:t>
      </w:r>
      <w:r w:rsidRPr="002E65E7">
        <w:t xml:space="preserve">. In newer orchards, </w:t>
      </w:r>
      <w:r>
        <w:t xml:space="preserve">except for Red Delicious, </w:t>
      </w:r>
      <w:r w:rsidRPr="002E65E7">
        <w:t>trees are usually planted at higher densities—approximately 1</w:t>
      </w:r>
      <w:r>
        <w:t>,</w:t>
      </w:r>
      <w:r w:rsidRPr="002E65E7">
        <w:t>900 and 4</w:t>
      </w:r>
      <w:r>
        <w:t>,</w:t>
      </w:r>
      <w:r w:rsidRPr="002E65E7">
        <w:t xml:space="preserve">330 trees per hectare for Gala and Fuji varieties, respectively </w:t>
      </w:r>
      <w:r>
        <w:rPr>
          <w:noProof/>
        </w:rPr>
        <w:t>(USDA-NASS 2017b)</w:t>
      </w:r>
      <w:r w:rsidRPr="002E65E7">
        <w:t>. Trees in older orchards are generally</w:t>
      </w:r>
      <w:r>
        <w:t xml:space="preserve"> taller and wider, making pruning, spraying, fruit thinning and picking more difficult and labour intensive; trees in newer orchards are generally much smaller </w:t>
      </w:r>
      <w:r>
        <w:rPr>
          <w:noProof/>
        </w:rPr>
        <w:t>(Washington State University 2014)</w:t>
      </w:r>
      <w:r>
        <w:t xml:space="preserve">. Orchards are replaced every 18 to 25 years, depending on cultivar popularity and tree damage over time </w:t>
      </w:r>
      <w:r>
        <w:rPr>
          <w:noProof/>
        </w:rPr>
        <w:t>(Washington State University 2014)</w:t>
      </w:r>
      <w:r>
        <w:t>.</w:t>
      </w:r>
    </w:p>
    <w:p w14:paraId="1095E7C1" w14:textId="77777777" w:rsidR="003438A2" w:rsidRDefault="003438A2" w:rsidP="001D02E4">
      <w:r>
        <w:t xml:space="preserve">Honey bees are used to promote pollination; usually one to two hives per hectare are left in the orchard at flowering for four to five days, depending on weather conditions </w:t>
      </w:r>
      <w:r>
        <w:rPr>
          <w:noProof/>
        </w:rPr>
        <w:t>(Smith 2001)</w:t>
      </w:r>
      <w:r w:rsidRPr="009E1247">
        <w:t>.</w:t>
      </w:r>
      <w:r>
        <w:t xml:space="preserve"> Optimal pollination requires approximately 20 to 25 bees per tree in mature orchards </w:t>
      </w:r>
      <w:r>
        <w:rPr>
          <w:noProof/>
        </w:rPr>
        <w:t>(Washington State University 2018a)</w:t>
      </w:r>
      <w:r>
        <w:t xml:space="preserve">. The bees are transported from California to Oregon then Washington, following the cycle of the bloom </w:t>
      </w:r>
      <w:r>
        <w:rPr>
          <w:noProof/>
        </w:rPr>
        <w:t>(Smith 2001)</w:t>
      </w:r>
      <w:r w:rsidRPr="004F5FE0">
        <w:t>.</w:t>
      </w:r>
    </w:p>
    <w:p w14:paraId="61E88A83" w14:textId="77777777" w:rsidR="003438A2" w:rsidRDefault="003438A2" w:rsidP="001D02E4">
      <w:r>
        <w:t xml:space="preserve">Fruit thinning occurs every spring </w:t>
      </w:r>
      <w:r>
        <w:rPr>
          <w:noProof/>
        </w:rPr>
        <w:t>(DuPont 2019b)</w:t>
      </w:r>
      <w:r>
        <w:t xml:space="preserve"> to ensure fruit production and quality remain consistent over growing seasons. Chemical thinners are used during and shortly after the bloom period to manage fruit set, or to remove fruit that may set in clusters. Manual thinning also occurs in June and July to remove low quality fruit and fruit spaced too tightly </w:t>
      </w:r>
      <w:r>
        <w:rPr>
          <w:noProof/>
        </w:rPr>
        <w:t>(Washington State University 2014)</w:t>
      </w:r>
      <w:r>
        <w:t>.</w:t>
      </w:r>
    </w:p>
    <w:p w14:paraId="3116B4A8" w14:textId="77777777" w:rsidR="003438A2" w:rsidRDefault="003438A2" w:rsidP="001D02E4">
      <w:r>
        <w:t>Orchards in the PNW-USA experience very low rainfall during the summer months leading up to harvest (</w:t>
      </w:r>
      <w:r>
        <w:rPr>
          <w:highlight w:val="yellow"/>
        </w:rPr>
        <w:fldChar w:fldCharType="begin" w:fldLock="1"/>
      </w:r>
      <w:r>
        <w:instrText xml:space="preserve"> REF _Ref531173282 \h </w:instrText>
      </w:r>
      <w:r>
        <w:rPr>
          <w:highlight w:val="yellow"/>
        </w:rPr>
      </w:r>
      <w:r>
        <w:rPr>
          <w:highlight w:val="yellow"/>
        </w:rPr>
        <w:fldChar w:fldCharType="separate"/>
      </w:r>
      <w:r>
        <w:t xml:space="preserve">Figure </w:t>
      </w:r>
      <w:r>
        <w:rPr>
          <w:noProof/>
        </w:rPr>
        <w:t>2</w:t>
      </w:r>
      <w:r>
        <w:rPr>
          <w:highlight w:val="yellow"/>
        </w:rPr>
        <w:fldChar w:fldCharType="end"/>
      </w:r>
      <w:r>
        <w:t xml:space="preserve">). Irrigation is required during the growing season; methods may include high pressure under-tree irrigation, or overhead, drip, trickle or surge irrigation systems. According to </w:t>
      </w:r>
      <w:r>
        <w:rPr>
          <w:noProof/>
        </w:rPr>
        <w:t>APHIS (2008)</w:t>
      </w:r>
      <w:r>
        <w:t xml:space="preserve">, </w:t>
      </w:r>
      <w:r w:rsidRPr="00334BC9">
        <w:t>the use</w:t>
      </w:r>
      <w:r>
        <w:t xml:space="preserve"> of overhead or high pressure systems has declined in favour of drip irrigation and micro-sprinklers to reduce the likelihood of disease spread, enhance irrigation efficiency, lower the costs of irrigation, and more efficiently apply fertilisers and pesticides. Overhead or high pressure under-tree systems may trigger disease infections, remove pesticides too soon after application, and may leach nitrogen from the soil if over-irrigation occurs </w:t>
      </w:r>
      <w:r>
        <w:rPr>
          <w:noProof/>
        </w:rPr>
        <w:t>(Colt et al. 2001)</w:t>
      </w:r>
      <w:r>
        <w:t>.</w:t>
      </w:r>
    </w:p>
    <w:p w14:paraId="4F1D6E8B" w14:textId="77777777" w:rsidR="003438A2" w:rsidRDefault="003438A2" w:rsidP="00FD2D6F">
      <w:r>
        <w:t xml:space="preserve">Other commercial apple orchard management practices include tree </w:t>
      </w:r>
      <w:r w:rsidRPr="00D5775C">
        <w:t>pruning through the winter</w:t>
      </w:r>
      <w:r>
        <w:t xml:space="preserve"> </w:t>
      </w:r>
      <w:r w:rsidRPr="00D5775C">
        <w:t xml:space="preserve">while </w:t>
      </w:r>
      <w:r>
        <w:t>trees</w:t>
      </w:r>
      <w:r w:rsidRPr="00D5775C">
        <w:t xml:space="preserve"> are dormant</w:t>
      </w:r>
      <w:r>
        <w:t xml:space="preserve"> </w:t>
      </w:r>
      <w:r>
        <w:rPr>
          <w:noProof/>
        </w:rPr>
        <w:t>(Smith 2001)</w:t>
      </w:r>
      <w:r w:rsidRPr="004F5FE0">
        <w:t>,</w:t>
      </w:r>
      <w:r w:rsidRPr="00D5775C">
        <w:t xml:space="preserve"> fertiliser application, </w:t>
      </w:r>
      <w:r>
        <w:t xml:space="preserve">general </w:t>
      </w:r>
      <w:r w:rsidRPr="00D5775C">
        <w:t>orchard h</w:t>
      </w:r>
      <w:r>
        <w:t xml:space="preserve">ygiene procedures and weed and pest management </w:t>
      </w:r>
      <w:r>
        <w:rPr>
          <w:noProof/>
        </w:rPr>
        <w:t>(Smith 2001; Washington State University 2014)</w:t>
      </w:r>
      <w:r w:rsidRPr="004F5FE0">
        <w:t>.</w:t>
      </w:r>
    </w:p>
    <w:p w14:paraId="37269859" w14:textId="77777777" w:rsidR="003438A2" w:rsidRPr="00D83AC6" w:rsidRDefault="003438A2" w:rsidP="00F843A1">
      <w:pPr>
        <w:pStyle w:val="Heading4"/>
        <w:numPr>
          <w:ilvl w:val="2"/>
          <w:numId w:val="31"/>
        </w:numPr>
        <w:tabs>
          <w:tab w:val="clear" w:pos="1645"/>
          <w:tab w:val="num" w:pos="794"/>
        </w:tabs>
        <w:ind w:left="1786"/>
      </w:pPr>
      <w:bookmarkStart w:id="106" w:name="_Ref46060065"/>
      <w:bookmarkStart w:id="107" w:name="_Toc389741449"/>
      <w:r w:rsidRPr="00D83AC6">
        <w:t>Pest management and monitoring</w:t>
      </w:r>
      <w:bookmarkEnd w:id="106"/>
    </w:p>
    <w:p w14:paraId="5EAF5D9B" w14:textId="77777777" w:rsidR="003438A2" w:rsidRDefault="003438A2" w:rsidP="008801D5">
      <w:pPr>
        <w:sectPr w:rsidR="003438A2" w:rsidSect="00874700">
          <w:headerReference w:type="even" r:id="rId60"/>
          <w:headerReference w:type="default" r:id="rId61"/>
          <w:headerReference w:type="first" r:id="rId62"/>
          <w:pgSz w:w="11906" w:h="16838" w:code="9"/>
          <w:pgMar w:top="1418" w:right="1418" w:bottom="1418" w:left="1418" w:header="567" w:footer="284" w:gutter="0"/>
          <w:cols w:space="708"/>
          <w:docGrid w:linePitch="360"/>
        </w:sectPr>
      </w:pPr>
      <w:r>
        <w:t xml:space="preserve">Pest management strategies and programs vary between counties throughout the PNW-USA, depending on climate conditions and the pest types and prevalence </w:t>
      </w:r>
      <w:r>
        <w:rPr>
          <w:noProof/>
        </w:rPr>
        <w:t>(Mellott 2021; Smith 2001)</w:t>
      </w:r>
      <w:r>
        <w:t>.</w:t>
      </w:r>
      <w:r w:rsidRPr="009B268B">
        <w:t xml:space="preserve"> </w:t>
      </w:r>
      <w:r>
        <w:t xml:space="preserve">Most apple growers use a range of integrated pest management (IPM) practices, including pheromone disruption, timing of pesticide applications, and biological and cultural control methods. </w:t>
      </w:r>
    </w:p>
    <w:p w14:paraId="08A6E3E5" w14:textId="77777777" w:rsidR="003438A2" w:rsidRPr="00D83AC6" w:rsidRDefault="003438A2" w:rsidP="001D02E4">
      <w:pPr>
        <w:pStyle w:val="Heading5"/>
      </w:pPr>
      <w:bookmarkStart w:id="108" w:name="_Hlk110856242"/>
      <w:r w:rsidRPr="00D83AC6">
        <w:lastRenderedPageBreak/>
        <w:t>Arthropod pest management</w:t>
      </w:r>
    </w:p>
    <w:p w14:paraId="058180D7" w14:textId="77777777" w:rsidR="003438A2" w:rsidRPr="00B87979" w:rsidRDefault="003438A2" w:rsidP="001D02E4">
      <w:pPr>
        <w:rPr>
          <w:noProof/>
          <w:color w:val="00B050"/>
        </w:rPr>
      </w:pPr>
      <w:r>
        <w:t xml:space="preserve">Chemical control is the main method used for control of arthropod pests, and complete spray schedules of insecticides, including miticides, are available for different growing regions of Washington, Oregon and </w:t>
      </w:r>
      <w:r w:rsidRPr="000B0B83">
        <w:t>Idaho</w:t>
      </w:r>
      <w:r>
        <w:t xml:space="preserve"> </w:t>
      </w:r>
      <w:r>
        <w:rPr>
          <w:noProof/>
        </w:rPr>
        <w:t>(Mellott 2021; Wiman &amp; Stoven 2021b)</w:t>
      </w:r>
      <w:r>
        <w:t>.</w:t>
      </w:r>
      <w:r w:rsidRPr="000B0B83">
        <w:rPr>
          <w:noProof/>
        </w:rPr>
        <w:t xml:space="preserve"> </w:t>
      </w:r>
      <w:r w:rsidRPr="000B0B83">
        <w:t>However</w:t>
      </w:r>
      <w:r>
        <w:t>, m</w:t>
      </w:r>
      <w:r w:rsidRPr="008859DE">
        <w:t>ost apple growers use a range of cultural and chemical control practices for arthropod pests</w:t>
      </w:r>
      <w:r>
        <w:t>.</w:t>
      </w:r>
    </w:p>
    <w:p w14:paraId="543877DE" w14:textId="77777777" w:rsidR="003438A2" w:rsidRPr="000B0B83" w:rsidRDefault="003438A2" w:rsidP="00576535">
      <w:r>
        <w:t xml:space="preserve">Specific materials and formulations may be more effective in certain areas of the PNW-USA than in others. Guidance on specific management programs is provided to growers by the county agent or agricultural research centre. </w:t>
      </w:r>
      <w:r w:rsidRPr="000B0B83">
        <w:t>The state departments of agriculture license individuals to be pest control advisors. Pest control advisors work closely with the universities and research cent</w:t>
      </w:r>
      <w:r>
        <w:t>r</w:t>
      </w:r>
      <w:r w:rsidRPr="000B0B83">
        <w:t xml:space="preserve">es to provide advice to growers during regular orchard consultation and monitoring visits throughout the growing period. It is common for growers to employ one primary advisor for pest control, who also coordinates with the packing </w:t>
      </w:r>
      <w:r>
        <w:t>house staff</w:t>
      </w:r>
      <w:r w:rsidRPr="000B0B83">
        <w:t>.</w:t>
      </w:r>
    </w:p>
    <w:p w14:paraId="155B6F98" w14:textId="77777777" w:rsidR="003438A2" w:rsidRDefault="003438A2" w:rsidP="001D02E4">
      <w:r>
        <w:t xml:space="preserve">Tree size, amount of foliage, and type of equipment used are among the factors that are important in determining the amount of spray solution used. </w:t>
      </w:r>
      <w:r w:rsidRPr="00256748">
        <w:t xml:space="preserve">To prolong the effectiveness of </w:t>
      </w:r>
      <w:r>
        <w:t>pesticide</w:t>
      </w:r>
      <w:r w:rsidRPr="00256748">
        <w:t>s, resistance management program</w:t>
      </w:r>
      <w:r>
        <w:t>s are undertaken as</w:t>
      </w:r>
      <w:r w:rsidRPr="00256748">
        <w:t xml:space="preserve"> part of IPM program</w:t>
      </w:r>
      <w:r>
        <w:t>s</w:t>
      </w:r>
      <w:r w:rsidRPr="00256748">
        <w:t xml:space="preserve"> that involve sampling and monitoring, treatment thresholds, biological and cultural control</w:t>
      </w:r>
      <w:r>
        <w:t xml:space="preserve"> </w:t>
      </w:r>
      <w:bookmarkStart w:id="109" w:name="_Hlk108964373"/>
      <w:r>
        <w:rPr>
          <w:noProof/>
        </w:rPr>
        <w:t>(Mellott 2021; Wiman &amp; Stoven 2021b)</w:t>
      </w:r>
      <w:r>
        <w:t>.</w:t>
      </w:r>
      <w:bookmarkEnd w:id="109"/>
      <w:r w:rsidRPr="000B0B83">
        <w:t xml:space="preserve"> During these programs</w:t>
      </w:r>
      <w:r>
        <w:t>,</w:t>
      </w:r>
      <w:r w:rsidRPr="00256748">
        <w:t xml:space="preserve"> </w:t>
      </w:r>
      <w:r>
        <w:t xml:space="preserve">the use of </w:t>
      </w:r>
      <w:r w:rsidRPr="00256748">
        <w:t xml:space="preserve">pesticides with the same mode of action on </w:t>
      </w:r>
      <w:r>
        <w:t>successive</w:t>
      </w:r>
      <w:r w:rsidRPr="00256748">
        <w:t xml:space="preserve"> generations of a pest</w:t>
      </w:r>
      <w:r>
        <w:t xml:space="preserve"> is not encouraged</w:t>
      </w:r>
      <w:r w:rsidRPr="00256748">
        <w:t xml:space="preserve">. </w:t>
      </w:r>
      <w:r>
        <w:t xml:space="preserve">Under Federal </w:t>
      </w:r>
      <w:r w:rsidRPr="00DF1AEF">
        <w:t>regulations, it is illegal to apply any pesticide in a manner, rate, or dilution that is not recommended on the label.</w:t>
      </w:r>
    </w:p>
    <w:p w14:paraId="6FD4DBEE" w14:textId="77777777" w:rsidR="003438A2" w:rsidRPr="008E2E85" w:rsidRDefault="003438A2" w:rsidP="001D02E4">
      <w:r w:rsidRPr="00A91C80">
        <w:t xml:space="preserve">Biological control is </w:t>
      </w:r>
      <w:r>
        <w:t>also used</w:t>
      </w:r>
      <w:r w:rsidRPr="00A91C80">
        <w:t xml:space="preserve"> </w:t>
      </w:r>
      <w:r w:rsidRPr="0099372F">
        <w:t>in the PNW-USA. There are many natural enemies of tree fruit pests in the PNW-USA. Broad-spectrum pesticide sprays that disrupt biological control are avoided where possible. For control of leafrollers, parasitoid wasps are used to target eggs, larvae and pupae. Spiders and parasitoid wasps, as well as predators such as the brown lacewing, greatly reduce leafroller populations throughout the year. Parasitism is particularly intense on mature larvae just prior to pupation, a time when insecticide</w:t>
      </w:r>
      <w:r w:rsidRPr="0020706D">
        <w:t xml:space="preserve"> treatments are not effective against leafrollers </w:t>
      </w:r>
      <w:r>
        <w:t>but when they have a strong negative impact</w:t>
      </w:r>
      <w:r w:rsidRPr="00B33F03">
        <w:t xml:space="preserve"> on the natural enemy community </w:t>
      </w:r>
      <w:r>
        <w:rPr>
          <w:noProof/>
        </w:rPr>
        <w:t>(Wiman, Stoven &amp; Bush 2019)</w:t>
      </w:r>
      <w:r w:rsidRPr="00B33F03">
        <w:t xml:space="preserve">. </w:t>
      </w:r>
      <w:r w:rsidRPr="0091224F">
        <w:t xml:space="preserve">Predatory mites, such as </w:t>
      </w:r>
      <w:r w:rsidRPr="0091224F">
        <w:rPr>
          <w:i/>
        </w:rPr>
        <w:t xml:space="preserve">Typhlodromus </w:t>
      </w:r>
      <w:r w:rsidRPr="0091224F">
        <w:t xml:space="preserve">spp. commonly keep phytophagous mites under control if broad-spectrum insecticide applications are avoided. </w:t>
      </w:r>
    </w:p>
    <w:p w14:paraId="54061EC3" w14:textId="77777777" w:rsidR="003438A2" w:rsidRDefault="003438A2" w:rsidP="001D02E4">
      <w:r w:rsidRPr="0044002B">
        <w:t>Cultural control</w:t>
      </w:r>
      <w:r>
        <w:t>,</w:t>
      </w:r>
      <w:r w:rsidRPr="0044002B">
        <w:t xml:space="preserve"> including removal of infested material and control of weeds </w:t>
      </w:r>
      <w:r w:rsidRPr="004A6E26">
        <w:t xml:space="preserve">that provide </w:t>
      </w:r>
      <w:r>
        <w:t>hosts and refuge for</w:t>
      </w:r>
      <w:r w:rsidRPr="004A6E26">
        <w:t xml:space="preserve"> pests</w:t>
      </w:r>
      <w:r>
        <w:t>,</w:t>
      </w:r>
      <w:r w:rsidRPr="0044002B">
        <w:t xml:space="preserve"> may also be used. </w:t>
      </w:r>
      <w:r w:rsidRPr="000E0122">
        <w:t xml:space="preserve">For cultural control of </w:t>
      </w:r>
      <w:r>
        <w:t>phytophagous</w:t>
      </w:r>
      <w:r w:rsidRPr="000E0122">
        <w:t xml:space="preserve"> mites, broadleaf weed </w:t>
      </w:r>
      <w:r>
        <w:t>hosts such as</w:t>
      </w:r>
      <w:r w:rsidRPr="000E0122">
        <w:t xml:space="preserve"> mallow, bindweed, white clover and knotweed that </w:t>
      </w:r>
      <w:r>
        <w:t xml:space="preserve">support </w:t>
      </w:r>
      <w:r w:rsidRPr="000E0122">
        <w:t>mite numbers are suppressed by cultivation</w:t>
      </w:r>
      <w:r>
        <w:t>.</w:t>
      </w:r>
      <w:r w:rsidRPr="007536C3">
        <w:t xml:space="preserve"> </w:t>
      </w:r>
      <w:r>
        <w:t>Regular</w:t>
      </w:r>
      <w:r w:rsidRPr="007536C3">
        <w:t xml:space="preserve"> irrigation </w:t>
      </w:r>
      <w:r>
        <w:t xml:space="preserve">can </w:t>
      </w:r>
      <w:r w:rsidRPr="007536C3">
        <w:t xml:space="preserve">help </w:t>
      </w:r>
      <w:r>
        <w:t xml:space="preserve">to suppress mite populations, </w:t>
      </w:r>
      <w:r w:rsidRPr="007536C3">
        <w:t>as drought-stressed trees are more susceptible</w:t>
      </w:r>
      <w:r>
        <w:t xml:space="preserve"> to attack. Conversely,</w:t>
      </w:r>
      <w:r w:rsidRPr="007536C3">
        <w:t xml:space="preserve"> excessive nitrogen applications are avoided as </w:t>
      </w:r>
      <w:r>
        <w:t>high levels of foliar nitrogen</w:t>
      </w:r>
      <w:r w:rsidRPr="007536C3">
        <w:t xml:space="preserve"> </w:t>
      </w:r>
      <w:r>
        <w:t xml:space="preserve">can </w:t>
      </w:r>
      <w:r w:rsidRPr="007536C3">
        <w:t xml:space="preserve">encourage </w:t>
      </w:r>
      <w:r w:rsidRPr="00BB3D9C">
        <w:t xml:space="preserve">mites </w:t>
      </w:r>
      <w:r>
        <w:rPr>
          <w:noProof/>
        </w:rPr>
        <w:t>(Wiman &amp; Stoven 2021b)</w:t>
      </w:r>
      <w:r>
        <w:t xml:space="preserve">. Thinning and disposal of infested or damaged fruit can help in preventing pest development and </w:t>
      </w:r>
      <w:r w:rsidRPr="00851F56">
        <w:t>spread</w:t>
      </w:r>
      <w:r>
        <w:t xml:space="preserve"> </w:t>
      </w:r>
      <w:r w:rsidRPr="00851F56">
        <w:t>to other branches and trees.</w:t>
      </w:r>
    </w:p>
    <w:p w14:paraId="09D70EDC" w14:textId="77777777" w:rsidR="003438A2" w:rsidRDefault="003438A2" w:rsidP="009F5208">
      <w:r w:rsidRPr="00DD24C5">
        <w:t xml:space="preserve">Spider mite infestations </w:t>
      </w:r>
      <w:r>
        <w:t>can be</w:t>
      </w:r>
      <w:r w:rsidRPr="00DD24C5">
        <w:t xml:space="preserve"> reduced by using cover crops </w:t>
      </w:r>
      <w:r>
        <w:t>to</w:t>
      </w:r>
      <w:r w:rsidRPr="00DD24C5">
        <w:t xml:space="preserve"> </w:t>
      </w:r>
      <w:r w:rsidRPr="0099372F">
        <w:t>reduce dust. For Lygus bugs, cultural control includes elimination of weeds that serve as protection and early season food for the insect. As Lygus bug problems are most likely to occur with alfalfa or other recognised host plants, eliminating these plants can assist with control.</w:t>
      </w:r>
    </w:p>
    <w:p w14:paraId="1A61D69B" w14:textId="77777777" w:rsidR="003438A2" w:rsidRPr="00D83AC6" w:rsidRDefault="003438A2" w:rsidP="001D02E4">
      <w:pPr>
        <w:pStyle w:val="Heading6"/>
      </w:pPr>
      <w:r w:rsidRPr="00D83AC6">
        <w:lastRenderedPageBreak/>
        <w:t>Apple maggot regulation</w:t>
      </w:r>
      <w:r>
        <w:t xml:space="preserve"> and management</w:t>
      </w:r>
      <w:r w:rsidRPr="00D83AC6">
        <w:t xml:space="preserve"> in the PNW-USA</w:t>
      </w:r>
    </w:p>
    <w:p w14:paraId="3672B321" w14:textId="77777777" w:rsidR="003438A2" w:rsidRDefault="003438A2" w:rsidP="00E176E3">
      <w:r>
        <w:t>A</w:t>
      </w:r>
      <w:r w:rsidRPr="0021630C">
        <w:t>pple maggot (</w:t>
      </w:r>
      <w:r w:rsidRPr="0021630C">
        <w:rPr>
          <w:i/>
        </w:rPr>
        <w:t>Rhagoletis pomonella</w:t>
      </w:r>
      <w:r w:rsidRPr="0021630C">
        <w:t xml:space="preserve">) is a small </w:t>
      </w:r>
      <w:r>
        <w:t xml:space="preserve">tephritid </w:t>
      </w:r>
      <w:r w:rsidRPr="0021630C">
        <w:t>fly native to the northeastern United States</w:t>
      </w:r>
      <w:r w:rsidRPr="00BA43A0">
        <w:t xml:space="preserve"> </w:t>
      </w:r>
      <w:r w:rsidRPr="00EF4AC8">
        <w:t>and Canada, where it originally fed on hawthorn</w:t>
      </w:r>
      <w:r>
        <w:t xml:space="preserve"> as a host</w:t>
      </w:r>
      <w:r w:rsidRPr="00EF4AC8">
        <w:t xml:space="preserve"> </w:t>
      </w:r>
      <w:r>
        <w:rPr>
          <w:noProof/>
        </w:rPr>
        <w:t>(Wiman &amp; Stoven 2021b)</w:t>
      </w:r>
      <w:r w:rsidRPr="00EF4AC8">
        <w:t>. It was not until 100 years after apples were introduced to North America that it was found feeding on apples</w:t>
      </w:r>
      <w:r>
        <w:t>. I</w:t>
      </w:r>
      <w:r w:rsidRPr="00EF4AC8">
        <w:t xml:space="preserve">t is </w:t>
      </w:r>
      <w:r>
        <w:t xml:space="preserve">now </w:t>
      </w:r>
      <w:r w:rsidRPr="00EF4AC8">
        <w:t>a key pest of apples in northeastern regions</w:t>
      </w:r>
      <w:r>
        <w:t xml:space="preserve"> of the USA</w:t>
      </w:r>
      <w:r w:rsidRPr="00EF4AC8">
        <w:t xml:space="preserve">, where </w:t>
      </w:r>
      <w:r>
        <w:t>multiple</w:t>
      </w:r>
      <w:r w:rsidRPr="00EF4AC8">
        <w:t xml:space="preserve"> insecticide sprays are</w:t>
      </w:r>
      <w:r w:rsidRPr="00DE0693">
        <w:t xml:space="preserve"> necessary to produce fruit free from maggot injury and contamination. </w:t>
      </w:r>
      <w:r>
        <w:t xml:space="preserve">Apple maggot subsequently established in </w:t>
      </w:r>
      <w:r w:rsidRPr="00DE0693">
        <w:t>the PNW</w:t>
      </w:r>
      <w:r>
        <w:t>-USA</w:t>
      </w:r>
      <w:r w:rsidRPr="00DE0693">
        <w:t xml:space="preserve">, with the first reports of </w:t>
      </w:r>
      <w:r w:rsidRPr="004A2405">
        <w:rPr>
          <w:iCs/>
        </w:rPr>
        <w:t>it</w:t>
      </w:r>
      <w:r w:rsidRPr="00DE0693">
        <w:t xml:space="preserve"> infesting commercial apple crops </w:t>
      </w:r>
      <w:r>
        <w:t>in</w:t>
      </w:r>
      <w:r w:rsidRPr="00DE0693">
        <w:t xml:space="preserve"> </w:t>
      </w:r>
      <w:r>
        <w:t xml:space="preserve">Portland, </w:t>
      </w:r>
      <w:r w:rsidRPr="00DE0693">
        <w:t>Oregon</w:t>
      </w:r>
      <w:r>
        <w:t xml:space="preserve"> in</w:t>
      </w:r>
      <w:r w:rsidRPr="00DE0693">
        <w:t xml:space="preserve"> 1979</w:t>
      </w:r>
      <w:r>
        <w:t xml:space="preserve"> </w:t>
      </w:r>
      <w:r>
        <w:rPr>
          <w:noProof/>
        </w:rPr>
        <w:t>(Bush et al. 2005; Fisher &amp; Olsen 2009)</w:t>
      </w:r>
      <w:r>
        <w:t>.</w:t>
      </w:r>
      <w:r w:rsidRPr="00DE0693">
        <w:t xml:space="preserve"> </w:t>
      </w:r>
      <w:r w:rsidRPr="008F35D2">
        <w:t xml:space="preserve">By 2000 it was found in most western Oregon and </w:t>
      </w:r>
      <w:r>
        <w:t xml:space="preserve">western </w:t>
      </w:r>
      <w:r w:rsidRPr="008F35D2">
        <w:t xml:space="preserve">Washington counties. </w:t>
      </w:r>
      <w:r>
        <w:t>A</w:t>
      </w:r>
      <w:r w:rsidRPr="008F35D2">
        <w:t>pple maggot is considered to be a potential threat to the commercial northwest apple industry in the Columbia Basin</w:t>
      </w:r>
      <w:r>
        <w:t xml:space="preserve"> </w:t>
      </w:r>
      <w:r>
        <w:rPr>
          <w:noProof/>
        </w:rPr>
        <w:t>(Zhao, Wahl &amp; Marsh 2007)</w:t>
      </w:r>
      <w:r>
        <w:t>.</w:t>
      </w:r>
    </w:p>
    <w:p w14:paraId="694EC304" w14:textId="77777777" w:rsidR="003438A2" w:rsidRPr="00BD76D2" w:rsidRDefault="003438A2" w:rsidP="00472020">
      <w:pPr>
        <w:rPr>
          <w:rFonts w:eastAsiaTheme="majorEastAsia" w:cstheme="majorBidi"/>
          <w:b/>
          <w:bCs/>
          <w:color w:val="595959" w:themeColor="text1" w:themeTint="A6"/>
          <w:sz w:val="20"/>
          <w:szCs w:val="18"/>
        </w:rPr>
      </w:pPr>
      <w:r>
        <w:t>A</w:t>
      </w:r>
      <w:r w:rsidRPr="00E73F94">
        <w:t xml:space="preserve">pple maggot </w:t>
      </w:r>
      <w:r w:rsidRPr="00DE0693">
        <w:t xml:space="preserve">is </w:t>
      </w:r>
      <w:r w:rsidRPr="004850BE">
        <w:t>under official control</w:t>
      </w:r>
      <w:r>
        <w:t xml:space="preserve"> in the PNW-USA. As per the ISPM definition of official control, PNW-USA states have phytosanitary regulations and procedures to ensure containment of apple maggot to quarantine areas and ensure maintenance of areas free of the pest. T</w:t>
      </w:r>
      <w:r w:rsidRPr="00E73F94">
        <w:t>he movement of</w:t>
      </w:r>
      <w:r>
        <w:t xml:space="preserve"> host material, including but not limited to</w:t>
      </w:r>
      <w:r w:rsidRPr="00E73F94">
        <w:t xml:space="preserve"> apple fruit</w:t>
      </w:r>
      <w:r>
        <w:t>,</w:t>
      </w:r>
      <w:r w:rsidRPr="00E73F94">
        <w:t xml:space="preserve"> into the states of Idaho, Oregon</w:t>
      </w:r>
      <w:r>
        <w:t xml:space="preserve"> </w:t>
      </w:r>
      <w:r w:rsidRPr="00E73F94">
        <w:t xml:space="preserve">and Washington is restricted under State quarantine </w:t>
      </w:r>
      <w:r>
        <w:t>controls.</w:t>
      </w:r>
      <w:r w:rsidRPr="00E73F94">
        <w:t xml:space="preserve"> </w:t>
      </w:r>
      <w:r>
        <w:rPr>
          <w:rFonts w:eastAsia="Cambria" w:cs="Courier New PSMT"/>
          <w:color w:val="000000"/>
          <w:lang w:eastAsia="en-AU"/>
        </w:rPr>
        <w:t>S</w:t>
      </w:r>
      <w:r w:rsidRPr="00DE0693">
        <w:rPr>
          <w:rFonts w:eastAsia="Cambria" w:cs="Courier New PSMT"/>
          <w:color w:val="000000"/>
          <w:lang w:eastAsia="en-AU"/>
        </w:rPr>
        <w:t xml:space="preserve">ignificant portions of the major </w:t>
      </w:r>
      <w:r>
        <w:rPr>
          <w:rFonts w:eastAsia="Cambria" w:cs="Courier New PSMT"/>
          <w:color w:val="000000"/>
          <w:lang w:eastAsia="en-AU"/>
        </w:rPr>
        <w:t>apple</w:t>
      </w:r>
      <w:r w:rsidRPr="00DE0693">
        <w:rPr>
          <w:rFonts w:eastAsia="Cambria" w:cs="Courier New PSMT"/>
          <w:color w:val="000000"/>
          <w:lang w:eastAsia="en-AU"/>
        </w:rPr>
        <w:t xml:space="preserve"> </w:t>
      </w:r>
      <w:r w:rsidRPr="00D933BB">
        <w:t xml:space="preserve">production areas </w:t>
      </w:r>
      <w:r>
        <w:t>in Washington, Oregon and Idaho</w:t>
      </w:r>
      <w:r>
        <w:rPr>
          <w:rFonts w:eastAsia="Cambria" w:cs="Courier New PSMT"/>
          <w:color w:val="000000"/>
          <w:lang w:eastAsia="en-AU"/>
        </w:rPr>
        <w:t xml:space="preserve"> are declared as pest free areas</w:t>
      </w:r>
      <w:r w:rsidRPr="00D933BB">
        <w:t xml:space="preserve">. </w:t>
      </w:r>
      <w:r>
        <w:t>In order to</w:t>
      </w:r>
      <w:r w:rsidRPr="00A3230B">
        <w:t xml:space="preserve"> maintain</w:t>
      </w:r>
      <w:r>
        <w:t xml:space="preserve"> pest free</w:t>
      </w:r>
      <w:r w:rsidRPr="00A3230B">
        <w:t xml:space="preserve"> area</w:t>
      </w:r>
      <w:r>
        <w:t>s</w:t>
      </w:r>
      <w:r w:rsidRPr="00A3230B">
        <w:t xml:space="preserve"> </w:t>
      </w:r>
      <w:r w:rsidRPr="001938B4">
        <w:t>for apple maggot</w:t>
      </w:r>
      <w:r>
        <w:t xml:space="preserve"> under </w:t>
      </w:r>
      <w:r w:rsidRPr="00A3230B">
        <w:t xml:space="preserve">state </w:t>
      </w:r>
      <w:r>
        <w:t xml:space="preserve">legislation, </w:t>
      </w:r>
      <w:r w:rsidRPr="00A3230B">
        <w:t>trapping, monitoring</w:t>
      </w:r>
      <w:r>
        <w:t xml:space="preserve"> and</w:t>
      </w:r>
      <w:r w:rsidRPr="00A3230B">
        <w:t xml:space="preserve"> surveillance program</w:t>
      </w:r>
      <w:r>
        <w:t>s are</w:t>
      </w:r>
      <w:r w:rsidRPr="00A3230B">
        <w:t xml:space="preserve"> in place</w:t>
      </w:r>
      <w:r>
        <w:t>, with eradication programs carried out in the event of pest incursions (</w:t>
      </w:r>
      <w:r>
        <w:fldChar w:fldCharType="begin" w:fldLock="1"/>
      </w:r>
      <w:r>
        <w:instrText xml:space="preserve"> REF _Ref108437154 \h </w:instrText>
      </w:r>
      <w:r>
        <w:fldChar w:fldCharType="separate"/>
      </w:r>
      <w:r>
        <w:t xml:space="preserve">Table </w:t>
      </w:r>
      <w:r>
        <w:rPr>
          <w:noProof/>
        </w:rPr>
        <w:t>3</w:t>
      </w:r>
      <w:r>
        <w:t>.</w:t>
      </w:r>
      <w:r>
        <w:rPr>
          <w:noProof/>
        </w:rPr>
        <w:t>1</w:t>
      </w:r>
      <w:r>
        <w:fldChar w:fldCharType="end"/>
      </w:r>
      <w:r>
        <w:t>)</w:t>
      </w:r>
      <w:r w:rsidRPr="00A3230B">
        <w:t xml:space="preserve">. </w:t>
      </w:r>
      <w:r w:rsidRPr="00A3230B">
        <w:rPr>
          <w:lang w:eastAsia="en-AU"/>
        </w:rPr>
        <w:t>The Washington State Department</w:t>
      </w:r>
      <w:r>
        <w:rPr>
          <w:lang w:eastAsia="en-AU"/>
        </w:rPr>
        <w:t xml:space="preserve"> of Agriculture has developed an extensive state-wide annual survey for apple maggot and traps to </w:t>
      </w:r>
      <w:r w:rsidRPr="000B0B83">
        <w:rPr>
          <w:lang w:eastAsia="en-AU"/>
        </w:rPr>
        <w:t xml:space="preserve">provide assurance of freedom from </w:t>
      </w:r>
      <w:r>
        <w:rPr>
          <w:lang w:eastAsia="en-AU"/>
        </w:rPr>
        <w:t xml:space="preserve">apple maggot flies are in place through much of the </w:t>
      </w:r>
      <w:r w:rsidRPr="00FA5208">
        <w:rPr>
          <w:lang w:eastAsia="en-AU"/>
        </w:rPr>
        <w:t>state</w:t>
      </w:r>
      <w:r>
        <w:rPr>
          <w:lang w:eastAsia="en-AU"/>
        </w:rPr>
        <w:t xml:space="preserve"> </w:t>
      </w:r>
      <w:r w:rsidRPr="00B040A2">
        <w:rPr>
          <w:noProof/>
          <w:lang w:eastAsia="en-AU"/>
        </w:rPr>
        <w:t>(Beers, Antonelli &amp; LaGasa 1996; Washington State Department of Agriculture 2019)</w:t>
      </w:r>
      <w:r>
        <w:rPr>
          <w:lang w:eastAsia="en-AU"/>
        </w:rPr>
        <w:t>.</w:t>
      </w:r>
      <w:r w:rsidRPr="00702740">
        <w:rPr>
          <w:color w:val="00B050"/>
          <w:lang w:eastAsia="en-AU"/>
        </w:rPr>
        <w:t xml:space="preserve"> </w:t>
      </w:r>
      <w:r w:rsidRPr="005C78BB">
        <w:t xml:space="preserve">Traps are </w:t>
      </w:r>
      <w:r>
        <w:t>placed</w:t>
      </w:r>
      <w:r w:rsidRPr="00DC652D">
        <w:t xml:space="preserve"> in </w:t>
      </w:r>
      <w:r>
        <w:t xml:space="preserve">high risk </w:t>
      </w:r>
      <w:r w:rsidRPr="00DC652D">
        <w:t xml:space="preserve">areas such as host trees in populated areas, </w:t>
      </w:r>
      <w:r>
        <w:t xml:space="preserve">roadsides and </w:t>
      </w:r>
      <w:r w:rsidRPr="00DC652D">
        <w:t>abandoned orchards</w:t>
      </w:r>
      <w:r>
        <w:t xml:space="preserve">, and are </w:t>
      </w:r>
      <w:r w:rsidRPr="00304904">
        <w:t xml:space="preserve">inspected regularly </w:t>
      </w:r>
      <w:r w:rsidRPr="00304904">
        <w:rPr>
          <w:lang w:eastAsia="en-AU"/>
        </w:rPr>
        <w:t>from June through September</w:t>
      </w:r>
      <w:r>
        <w:rPr>
          <w:lang w:eastAsia="en-AU"/>
        </w:rPr>
        <w:t xml:space="preserve"> (</w:t>
      </w:r>
      <w:hyperlink w:anchor="_ENREF_14" w:tooltip="Beers, 1996 #5756" w:history="1">
        <w:r>
          <w:rPr>
            <w:noProof/>
          </w:rPr>
          <w:t>Beers, Antonelli &amp; LaGasa 1996</w:t>
        </w:r>
      </w:hyperlink>
      <w:r>
        <w:rPr>
          <w:noProof/>
        </w:rPr>
        <w:t xml:space="preserve">). </w:t>
      </w:r>
      <w:r>
        <w:t>Similarly, in the PNW states of Oregon and Idaho, pest free areas are established and maintained for counties or portions of counties through trapping, surveillance and eradication programs.</w:t>
      </w:r>
    </w:p>
    <w:p w14:paraId="0D9C5BFB" w14:textId="77777777" w:rsidR="003438A2" w:rsidRDefault="003438A2" w:rsidP="001D02E4">
      <w:r w:rsidRPr="007C6B1B">
        <w:t>Areas within the PNW-USA where apple maggot</w:t>
      </w:r>
      <w:r w:rsidRPr="007C6B1B">
        <w:rPr>
          <w:i/>
        </w:rPr>
        <w:t xml:space="preserve"> </w:t>
      </w:r>
      <w:r w:rsidRPr="007C6B1B">
        <w:t xml:space="preserve">is reported to be present </w:t>
      </w:r>
      <w:r>
        <w:rPr>
          <w:noProof/>
        </w:rPr>
        <w:t>(Yee et al. 2012)</w:t>
      </w:r>
      <w:r w:rsidRPr="007C6B1B">
        <w:t xml:space="preserve"> are declared as quarantine areas under state legislation</w:t>
      </w:r>
      <w:r>
        <w:t xml:space="preserve">, and the pest is monitored </w:t>
      </w:r>
      <w:r w:rsidRPr="007628F5">
        <w:t xml:space="preserve">through trapping. </w:t>
      </w:r>
      <w:r w:rsidRPr="00D11B53">
        <w:t>Traps are best placed in areas where there is a history of activity such as in non-commercial host plants in backyards, roadsides and natural environments.</w:t>
      </w:r>
      <w:r>
        <w:t xml:space="preserve"> </w:t>
      </w:r>
      <w:r w:rsidRPr="000B0B83">
        <w:rPr>
          <w:bCs/>
        </w:rPr>
        <w:t>Apple maggot monito</w:t>
      </w:r>
      <w:r w:rsidRPr="007628F5">
        <w:rPr>
          <w:bCs/>
        </w:rPr>
        <w:t xml:space="preserve">ring </w:t>
      </w:r>
      <w:r>
        <w:rPr>
          <w:bCs/>
        </w:rPr>
        <w:t>in areas</w:t>
      </w:r>
      <w:r w:rsidRPr="007628F5">
        <w:rPr>
          <w:bCs/>
        </w:rPr>
        <w:t xml:space="preserve"> where the pest is established </w:t>
      </w:r>
      <w:r>
        <w:rPr>
          <w:bCs/>
        </w:rPr>
        <w:t>includes</w:t>
      </w:r>
      <w:r w:rsidRPr="007628F5">
        <w:rPr>
          <w:bCs/>
        </w:rPr>
        <w:t xml:space="preserve"> scouting and </w:t>
      </w:r>
      <w:r>
        <w:rPr>
          <w:bCs/>
        </w:rPr>
        <w:t>observing</w:t>
      </w:r>
      <w:r w:rsidRPr="007628F5">
        <w:rPr>
          <w:bCs/>
        </w:rPr>
        <w:t xml:space="preserve"> thresholds </w:t>
      </w:r>
      <w:r>
        <w:rPr>
          <w:bCs/>
        </w:rPr>
        <w:t xml:space="preserve">for action </w:t>
      </w:r>
      <w:r w:rsidRPr="007628F5">
        <w:rPr>
          <w:bCs/>
        </w:rPr>
        <w:t>in field.</w:t>
      </w:r>
      <w:r>
        <w:rPr>
          <w:bCs/>
        </w:rPr>
        <w:t xml:space="preserve"> </w:t>
      </w:r>
      <w:r w:rsidRPr="00F832A4">
        <w:t xml:space="preserve">Targeted insecticidal sprays are </w:t>
      </w:r>
      <w:r>
        <w:t>also used</w:t>
      </w:r>
      <w:r w:rsidRPr="00F832A4">
        <w:t xml:space="preserve"> for control of apple maggots in </w:t>
      </w:r>
      <w:r>
        <w:t xml:space="preserve">quarantine </w:t>
      </w:r>
      <w:r w:rsidRPr="00F832A4">
        <w:t xml:space="preserve">areas </w:t>
      </w:r>
      <w:r>
        <w:rPr>
          <w:noProof/>
        </w:rPr>
        <w:t>(Yee et al. 2012)</w:t>
      </w:r>
      <w:r w:rsidRPr="005C78BB">
        <w:t xml:space="preserve">. </w:t>
      </w:r>
      <w:r w:rsidRPr="005C78BB">
        <w:rPr>
          <w:rFonts w:eastAsia="Cambria" w:cs="Cambria"/>
          <w:lang w:eastAsia="en-AU"/>
        </w:rPr>
        <w:t xml:space="preserve">Because the pest is controlled in the adult stage prior to the deposition of eggs, contact insecticides are required for good crop protection </w:t>
      </w:r>
      <w:r>
        <w:rPr>
          <w:noProof/>
        </w:rPr>
        <w:t>(Dupont &amp; Brunner 2016)</w:t>
      </w:r>
      <w:r w:rsidRPr="005C78BB">
        <w:rPr>
          <w:rFonts w:eastAsia="Cambria" w:cs="Cambria"/>
          <w:lang w:eastAsia="en-AU"/>
        </w:rPr>
        <w:t>.</w:t>
      </w:r>
      <w:r w:rsidRPr="00CB50E0">
        <w:rPr>
          <w:rFonts w:eastAsia="Cambria" w:cs="Cambria"/>
          <w:lang w:eastAsia="en-AU"/>
        </w:rPr>
        <w:t xml:space="preserve"> If an orchard is threatened by apple maggot, insecticide applicati</w:t>
      </w:r>
      <w:r w:rsidRPr="00F832A4">
        <w:rPr>
          <w:rFonts w:eastAsia="Cambria" w:cs="Cambria"/>
          <w:lang w:eastAsia="en-AU"/>
        </w:rPr>
        <w:t xml:space="preserve">ons are recommended starting </w:t>
      </w:r>
      <w:r w:rsidRPr="00F93C5E">
        <w:rPr>
          <w:rFonts w:eastAsia="Cambria" w:cs="Cambria"/>
          <w:lang w:eastAsia="en-AU"/>
        </w:rPr>
        <w:t xml:space="preserve">7 to 10 days after adults are predicted to emerge from the soil. A predictive model of adult apple maggot emergence is available on the </w:t>
      </w:r>
      <w:r w:rsidRPr="00F93C5E">
        <w:rPr>
          <w:lang w:val="en-US"/>
        </w:rPr>
        <w:t>Washington State University (</w:t>
      </w:r>
      <w:r w:rsidRPr="00F93C5E">
        <w:rPr>
          <w:rFonts w:eastAsia="Cambria" w:cs="Cambria"/>
          <w:lang w:eastAsia="en-AU"/>
        </w:rPr>
        <w:t xml:space="preserve">WSU) Decision Aid System </w:t>
      </w:r>
      <w:r>
        <w:rPr>
          <w:noProof/>
        </w:rPr>
        <w:t>(Dupont &amp; Brunner 2016)</w:t>
      </w:r>
      <w:r w:rsidRPr="00F93C5E">
        <w:rPr>
          <w:rFonts w:eastAsia="Cambria" w:cs="Cambria"/>
          <w:lang w:eastAsia="en-AU"/>
        </w:rPr>
        <w:t>.</w:t>
      </w:r>
      <w:r w:rsidRPr="00F832A4">
        <w:rPr>
          <w:rFonts w:eastAsia="Cambria" w:cs="Cambria"/>
          <w:lang w:eastAsia="en-AU"/>
        </w:rPr>
        <w:t xml:space="preserve"> </w:t>
      </w:r>
    </w:p>
    <w:p w14:paraId="42815266" w14:textId="77777777" w:rsidR="003438A2" w:rsidRPr="00C24DFE" w:rsidRDefault="003438A2" w:rsidP="001D48C5">
      <w:r w:rsidRPr="00DC3154">
        <w:t xml:space="preserve">While </w:t>
      </w:r>
      <w:r>
        <w:t>apple maggot</w:t>
      </w:r>
      <w:r>
        <w:rPr>
          <w:i/>
        </w:rPr>
        <w:t xml:space="preserve"> </w:t>
      </w:r>
      <w:r w:rsidRPr="00DC3154">
        <w:t xml:space="preserve">is not subject to eradication in </w:t>
      </w:r>
      <w:r>
        <w:t>quarantine areas where the pest is established</w:t>
      </w:r>
      <w:r w:rsidRPr="00DC3154">
        <w:t xml:space="preserve">, </w:t>
      </w:r>
      <w:r>
        <w:t xml:space="preserve">various </w:t>
      </w:r>
      <w:r w:rsidRPr="00DC3154">
        <w:t>measures</w:t>
      </w:r>
      <w:r>
        <w:t xml:space="preserve"> are</w:t>
      </w:r>
      <w:r w:rsidRPr="00DC3154">
        <w:t xml:space="preserve"> aimed at preventing </w:t>
      </w:r>
      <w:r>
        <w:t xml:space="preserve">its </w:t>
      </w:r>
      <w:r w:rsidRPr="00DC3154">
        <w:t>spread</w:t>
      </w:r>
      <w:r>
        <w:t xml:space="preserve"> </w:t>
      </w:r>
      <w:r>
        <w:rPr>
          <w:noProof/>
        </w:rPr>
        <w:t>(Sansford, Mastro &amp; Reynolds 2016)</w:t>
      </w:r>
      <w:r w:rsidRPr="00DC3154">
        <w:t xml:space="preserve">. </w:t>
      </w:r>
      <w:r w:rsidRPr="00EE4CFD">
        <w:t>Movement of fruit fly host m</w:t>
      </w:r>
      <w:r>
        <w:t xml:space="preserve">aterials, </w:t>
      </w:r>
      <w:r w:rsidRPr="00165BDF">
        <w:t xml:space="preserve">including </w:t>
      </w:r>
      <w:r>
        <w:t xml:space="preserve">but not limited to </w:t>
      </w:r>
      <w:r w:rsidRPr="00165BDF">
        <w:t>apple fruit</w:t>
      </w:r>
      <w:r>
        <w:t>,</w:t>
      </w:r>
      <w:r w:rsidRPr="00165BDF">
        <w:t xml:space="preserve"> into PNW states</w:t>
      </w:r>
      <w:r>
        <w:t>,</w:t>
      </w:r>
      <w:r w:rsidRPr="00165BDF">
        <w:t xml:space="preserve"> is </w:t>
      </w:r>
      <w:r w:rsidRPr="00C24DFE">
        <w:t>restricted under United States Federal Regulation 7CFR301.32</w:t>
      </w:r>
      <w:r>
        <w:t>,</w:t>
      </w:r>
      <w:r w:rsidRPr="00C24DFE">
        <w:t xml:space="preserve"> </w:t>
      </w:r>
      <w:r w:rsidRPr="000B0B83">
        <w:t xml:space="preserve">which applies to species of Tephritidae </w:t>
      </w:r>
      <w:r>
        <w:rPr>
          <w:noProof/>
        </w:rPr>
        <w:t>(USDA-APHIS 2019)</w:t>
      </w:r>
      <w:r w:rsidRPr="00C24DFE">
        <w:t xml:space="preserve">. </w:t>
      </w:r>
      <w:r>
        <w:t>The three PNW states each also has regulatory systems as further described.</w:t>
      </w:r>
    </w:p>
    <w:p w14:paraId="7642DEF4" w14:textId="77777777" w:rsidR="003438A2" w:rsidRPr="00D83AC6" w:rsidRDefault="003438A2" w:rsidP="001D02E4">
      <w:pPr>
        <w:pStyle w:val="Heading7"/>
      </w:pPr>
      <w:r w:rsidRPr="00D83AC6">
        <w:lastRenderedPageBreak/>
        <w:t>Washington</w:t>
      </w:r>
    </w:p>
    <w:p w14:paraId="7E7036EA" w14:textId="77777777" w:rsidR="003438A2" w:rsidRDefault="003438A2" w:rsidP="001D02E4">
      <w:pPr>
        <w:rPr>
          <w:lang w:eastAsia="en-AU"/>
        </w:rPr>
      </w:pPr>
      <w:r w:rsidRPr="00664362">
        <w:t xml:space="preserve">The major apple growing regions in Washington have been declared as pest free areas under the </w:t>
      </w:r>
      <w:r w:rsidRPr="00F237F2">
        <w:t xml:space="preserve">Washington Agriculture Code Title 16, Chapter 470–105 </w:t>
      </w:r>
      <w:r>
        <w:rPr>
          <w:noProof/>
        </w:rPr>
        <w:t>(Washington State Legislature 2018)</w:t>
      </w:r>
      <w:r w:rsidRPr="00F237F2">
        <w:t>.</w:t>
      </w:r>
      <w:r w:rsidRPr="00664362">
        <w:t xml:space="preserve"> </w:t>
      </w:r>
      <w:r w:rsidRPr="00664362">
        <w:rPr>
          <w:rFonts w:eastAsia="Cambria" w:cs="Courier New PSMT"/>
          <w:color w:val="000000"/>
          <w:lang w:eastAsia="en-AU"/>
        </w:rPr>
        <w:t xml:space="preserve">Apple maggot is not established in significant portions of the major fruit production areas east of the </w:t>
      </w:r>
      <w:r w:rsidRPr="0057531A">
        <w:rPr>
          <w:rFonts w:eastAsia="Cambria" w:cs="Courier New PSMT"/>
          <w:color w:val="000000"/>
          <w:lang w:eastAsia="en-AU"/>
        </w:rPr>
        <w:t xml:space="preserve">Cascade </w:t>
      </w:r>
      <w:r>
        <w:rPr>
          <w:rFonts w:eastAsia="Cambria" w:cs="Courier New PSMT"/>
          <w:color w:val="000000"/>
          <w:lang w:eastAsia="en-AU"/>
        </w:rPr>
        <w:t>Range,</w:t>
      </w:r>
      <w:r w:rsidRPr="00EF0F87">
        <w:rPr>
          <w:rFonts w:eastAsia="Cambria" w:cs="Courier New PSMT"/>
          <w:color w:val="000000"/>
          <w:lang w:eastAsia="en-AU"/>
        </w:rPr>
        <w:t xml:space="preserve"> and the state of Washington has declared</w:t>
      </w:r>
      <w:r>
        <w:rPr>
          <w:rFonts w:eastAsia="Cambria" w:cs="Courier New PSMT"/>
          <w:color w:val="000000"/>
          <w:lang w:eastAsia="en-AU"/>
        </w:rPr>
        <w:t xml:space="preserve"> </w:t>
      </w:r>
      <w:r w:rsidRPr="00EF0F87">
        <w:rPr>
          <w:rFonts w:eastAsia="Cambria" w:cs="Courier New PSMT"/>
          <w:color w:val="000000"/>
          <w:lang w:eastAsia="en-AU"/>
        </w:rPr>
        <w:t xml:space="preserve">the counties </w:t>
      </w:r>
      <w:r w:rsidRPr="0057531A">
        <w:rPr>
          <w:lang w:eastAsia="en-AU"/>
        </w:rPr>
        <w:t>of Ada</w:t>
      </w:r>
      <w:r w:rsidRPr="00664362">
        <w:rPr>
          <w:lang w:eastAsia="en-AU"/>
        </w:rPr>
        <w:t>ms, Asotin, Benton,</w:t>
      </w:r>
      <w:r w:rsidRPr="00DE0693">
        <w:rPr>
          <w:lang w:eastAsia="en-AU"/>
        </w:rPr>
        <w:t xml:space="preserve"> Columbia, Douglas, Ferry, Franklin, Garfield, Grant, Pend Oreille, Stevens, Walla Walla and Whitman</w:t>
      </w:r>
      <w:r>
        <w:rPr>
          <w:lang w:eastAsia="en-AU"/>
        </w:rPr>
        <w:t xml:space="preserve">, and portions of the counties of </w:t>
      </w:r>
      <w:r w:rsidRPr="00DE0693">
        <w:rPr>
          <w:lang w:eastAsia="en-AU"/>
        </w:rPr>
        <w:t>Kittitas</w:t>
      </w:r>
      <w:r>
        <w:rPr>
          <w:lang w:eastAsia="en-AU"/>
        </w:rPr>
        <w:t xml:space="preserve">, </w:t>
      </w:r>
      <w:r w:rsidRPr="00DE0693">
        <w:rPr>
          <w:lang w:eastAsia="en-AU"/>
        </w:rPr>
        <w:t>Yakima</w:t>
      </w:r>
      <w:r>
        <w:rPr>
          <w:lang w:eastAsia="en-AU"/>
        </w:rPr>
        <w:t xml:space="preserve">, </w:t>
      </w:r>
      <w:r w:rsidRPr="00DE0693">
        <w:rPr>
          <w:lang w:eastAsia="en-AU"/>
        </w:rPr>
        <w:t>Chelan</w:t>
      </w:r>
      <w:r>
        <w:rPr>
          <w:lang w:eastAsia="en-AU"/>
        </w:rPr>
        <w:t xml:space="preserve">, </w:t>
      </w:r>
      <w:r w:rsidRPr="001646AF">
        <w:rPr>
          <w:lang w:eastAsia="en-AU"/>
        </w:rPr>
        <w:t>Lincoln</w:t>
      </w:r>
      <w:r>
        <w:rPr>
          <w:lang w:eastAsia="en-AU"/>
        </w:rPr>
        <w:t xml:space="preserve"> </w:t>
      </w:r>
      <w:r w:rsidRPr="00DF297F">
        <w:rPr>
          <w:lang w:eastAsia="en-AU"/>
        </w:rPr>
        <w:t>and Okanogan as pest</w:t>
      </w:r>
      <w:r>
        <w:rPr>
          <w:lang w:eastAsia="en-AU"/>
        </w:rPr>
        <w:t xml:space="preserve"> free areas for apple maggot.</w:t>
      </w:r>
    </w:p>
    <w:p w14:paraId="31F7AE03" w14:textId="77777777" w:rsidR="003438A2" w:rsidRDefault="003438A2" w:rsidP="001D02E4">
      <w:pPr>
        <w:rPr>
          <w:lang w:eastAsia="en-AU"/>
        </w:rPr>
      </w:pPr>
      <w:r w:rsidRPr="00226438">
        <w:t xml:space="preserve">Washington Agriculture Code, WAC 16-470-101, </w:t>
      </w:r>
      <w:r w:rsidRPr="00226438">
        <w:rPr>
          <w:lang w:val="en-US"/>
        </w:rPr>
        <w:t xml:space="preserve">also sets out requirements for establishing quarantine areas for apple maggot </w:t>
      </w:r>
      <w:r>
        <w:rPr>
          <w:noProof/>
        </w:rPr>
        <w:t>(Washington State Legislature 2019)</w:t>
      </w:r>
      <w:r w:rsidRPr="00226438">
        <w:t xml:space="preserve">. </w:t>
      </w:r>
      <w:r w:rsidRPr="00226438">
        <w:rPr>
          <w:lang w:eastAsia="en-AU"/>
        </w:rPr>
        <w:t>A</w:t>
      </w:r>
      <w:r w:rsidRPr="00E254C8">
        <w:rPr>
          <w:lang w:eastAsia="en-AU"/>
        </w:rPr>
        <w:t>reas under quarantine within Washington</w:t>
      </w:r>
      <w:r>
        <w:rPr>
          <w:lang w:eastAsia="en-AU"/>
        </w:rPr>
        <w:t xml:space="preserve"> </w:t>
      </w:r>
      <w:r w:rsidRPr="00E254C8">
        <w:rPr>
          <w:lang w:eastAsia="en-AU"/>
        </w:rPr>
        <w:t xml:space="preserve">(where </w:t>
      </w:r>
      <w:r w:rsidRPr="00E254C8">
        <w:t xml:space="preserve">apple maggot </w:t>
      </w:r>
      <w:r w:rsidRPr="00E254C8">
        <w:rPr>
          <w:lang w:eastAsia="en-AU"/>
        </w:rPr>
        <w:t>is established), include the counties of</w:t>
      </w:r>
      <w:r>
        <w:rPr>
          <w:lang w:eastAsia="en-AU"/>
        </w:rPr>
        <w:t xml:space="preserve"> </w:t>
      </w:r>
      <w:r w:rsidRPr="001646AF">
        <w:rPr>
          <w:lang w:eastAsia="en-AU"/>
        </w:rPr>
        <w:t>Clallam, Clark, Cowlitz, Grays Harbor, Island, Jefferson, King, Kitsap, Klickitat, Lewis, Mason, Pacific, Pierce, Snohomish, Spokane, Skagit, Skamania, Thurston, Wahkiakum, and Whatcom</w:t>
      </w:r>
      <w:r>
        <w:rPr>
          <w:lang w:eastAsia="en-AU"/>
        </w:rPr>
        <w:t xml:space="preserve">, and portions of counties of Kittitas, </w:t>
      </w:r>
      <w:r w:rsidRPr="001646AF">
        <w:rPr>
          <w:lang w:eastAsia="en-AU"/>
        </w:rPr>
        <w:t>Y</w:t>
      </w:r>
      <w:r>
        <w:rPr>
          <w:lang w:eastAsia="en-AU"/>
        </w:rPr>
        <w:t xml:space="preserve">akima, </w:t>
      </w:r>
      <w:r w:rsidRPr="001646AF">
        <w:rPr>
          <w:lang w:eastAsia="en-AU"/>
        </w:rPr>
        <w:t>Chelan</w:t>
      </w:r>
      <w:r>
        <w:rPr>
          <w:lang w:eastAsia="en-AU"/>
        </w:rPr>
        <w:t xml:space="preserve">, </w:t>
      </w:r>
      <w:r w:rsidRPr="001646AF">
        <w:rPr>
          <w:lang w:eastAsia="en-AU"/>
        </w:rPr>
        <w:t xml:space="preserve">Lincoln </w:t>
      </w:r>
      <w:r>
        <w:rPr>
          <w:lang w:eastAsia="en-AU"/>
        </w:rPr>
        <w:t xml:space="preserve">and </w:t>
      </w:r>
      <w:r w:rsidRPr="001646AF">
        <w:rPr>
          <w:lang w:eastAsia="en-AU"/>
        </w:rPr>
        <w:t>Okanogan</w:t>
      </w:r>
      <w:r>
        <w:rPr>
          <w:lang w:eastAsia="en-AU"/>
        </w:rPr>
        <w:t>.</w:t>
      </w:r>
    </w:p>
    <w:p w14:paraId="05DB7E70" w14:textId="77777777" w:rsidR="003438A2" w:rsidRPr="001646AF" w:rsidRDefault="003438A2" w:rsidP="001D02E4">
      <w:pPr>
        <w:rPr>
          <w:lang w:eastAsia="en-AU"/>
        </w:rPr>
      </w:pPr>
      <w:r w:rsidRPr="00587678">
        <w:rPr>
          <w:lang w:eastAsia="en-AU"/>
        </w:rPr>
        <w:t xml:space="preserve">A quarantine </w:t>
      </w:r>
      <w:r>
        <w:rPr>
          <w:lang w:eastAsia="en-AU"/>
        </w:rPr>
        <w:t xml:space="preserve">status </w:t>
      </w:r>
      <w:r w:rsidRPr="00587678">
        <w:rPr>
          <w:lang w:eastAsia="en-AU"/>
        </w:rPr>
        <w:t xml:space="preserve">for apple maggot is declared for all </w:t>
      </w:r>
      <w:r>
        <w:rPr>
          <w:lang w:eastAsia="en-AU"/>
        </w:rPr>
        <w:t xml:space="preserve">US </w:t>
      </w:r>
      <w:r w:rsidRPr="00587678">
        <w:rPr>
          <w:lang w:eastAsia="en-AU"/>
        </w:rPr>
        <w:t>states or foreign countries where apple maggot is established. The area under quarantine includes, but is not limited to, the states of Idaho, Oregon, Utah and California, and, in the eastern United States, all states and districts east of and including North Dakota, South Dakota, Nebraska, Kansas, Oklahoma and Texas, and any other areas where apple maggot is established.</w:t>
      </w:r>
    </w:p>
    <w:p w14:paraId="508E3DE4" w14:textId="39E9DD91" w:rsidR="003438A2" w:rsidRDefault="003438A2" w:rsidP="001D02E4">
      <w:pPr>
        <w:rPr>
          <w:lang w:eastAsia="en-AU"/>
        </w:rPr>
      </w:pPr>
      <w:r w:rsidRPr="004803E4">
        <w:rPr>
          <w:bCs/>
        </w:rPr>
        <w:t>Distribution of infested or damaged fruit is prohibited under the regulation</w:t>
      </w:r>
      <w:r>
        <w:rPr>
          <w:bCs/>
        </w:rPr>
        <w:t xml:space="preserve"> </w:t>
      </w:r>
      <w:r>
        <w:t>WAC 16-470-101</w:t>
      </w:r>
      <w:r w:rsidRPr="004803E4">
        <w:rPr>
          <w:bCs/>
        </w:rPr>
        <w:t xml:space="preserve">. </w:t>
      </w:r>
      <w:r w:rsidRPr="004803E4">
        <w:t xml:space="preserve">Regulated commodities that are known or found to be infested or damaged by apple maggot may not be distributed, sold, held for sale, or offered for sale, unless the fruit has undergone cold treatment. </w:t>
      </w:r>
      <w:r w:rsidRPr="004803E4">
        <w:rPr>
          <w:lang w:eastAsia="en-AU"/>
        </w:rPr>
        <w:t>Requirements for interstate trade from a state regulated for apple maggot (under quarantine) into the pest free area for apple maggot are set out in WAC 16-</w:t>
      </w:r>
      <w:r w:rsidRPr="001646AF">
        <w:rPr>
          <w:lang w:eastAsia="en-AU"/>
        </w:rPr>
        <w:t xml:space="preserve">470-113 </w:t>
      </w:r>
      <w:r>
        <w:rPr>
          <w:noProof/>
        </w:rPr>
        <w:t>(Washington State Legislature 2019)</w:t>
      </w:r>
      <w:r w:rsidRPr="001646AF">
        <w:rPr>
          <w:lang w:eastAsia="en-AU"/>
        </w:rPr>
        <w:t xml:space="preserve">. Shipment of fresh fruit, as specified in WAC 16-470-111(1), from an area under quarantine, as specified in WAC 16-470-105(3), into </w:t>
      </w:r>
      <w:r>
        <w:rPr>
          <w:lang w:eastAsia="en-AU"/>
        </w:rPr>
        <w:t>a</w:t>
      </w:r>
      <w:r w:rsidRPr="001646AF">
        <w:rPr>
          <w:lang w:eastAsia="en-AU"/>
        </w:rPr>
        <w:t xml:space="preserve"> pest free area </w:t>
      </w:r>
      <w:r>
        <w:rPr>
          <w:lang w:eastAsia="en-AU"/>
        </w:rPr>
        <w:t xml:space="preserve">as </w:t>
      </w:r>
      <w:r w:rsidRPr="001646AF">
        <w:rPr>
          <w:lang w:eastAsia="en-AU"/>
        </w:rPr>
        <w:t>specified in WAC 16-470-1</w:t>
      </w:r>
      <w:r>
        <w:rPr>
          <w:lang w:eastAsia="en-AU"/>
        </w:rPr>
        <w:t>05(1), is prohibited, unless conditions such as cold treatment are met.</w:t>
      </w:r>
    </w:p>
    <w:p w14:paraId="7BE93E4C" w14:textId="5121E2CF" w:rsidR="003438A2" w:rsidRDefault="006F3D02" w:rsidP="00BD4114">
      <w:r>
        <w:rPr>
          <w:lang w:eastAsia="en-AU"/>
        </w:rPr>
        <w:t xml:space="preserve">Washington Agriculture Code WAC 16-470-101 (Washington State Legislature 2019) </w:t>
      </w:r>
      <w:r w:rsidR="003438A2">
        <w:t xml:space="preserve">has determined that </w:t>
      </w:r>
      <w:r w:rsidR="003438A2" w:rsidRPr="00BD4114">
        <w:rPr>
          <w:lang w:eastAsia="en-AU"/>
        </w:rPr>
        <w:t>regulation and/or exclusion of fresh fruits grown or originating from areas infested with apple maggot or plum curculio is necessary to protect the environment and agricultural crops of the state.</w:t>
      </w:r>
    </w:p>
    <w:p w14:paraId="3E07EE15" w14:textId="77777777" w:rsidR="003438A2" w:rsidRDefault="003438A2" w:rsidP="00487791">
      <w:pPr>
        <w:rPr>
          <w:lang w:eastAsia="en-AU"/>
        </w:rPr>
      </w:pPr>
      <w:r>
        <w:rPr>
          <w:lang w:eastAsia="en-AU"/>
        </w:rPr>
        <w:t>In addition, c</w:t>
      </w:r>
      <w:r w:rsidRPr="001646AF">
        <w:rPr>
          <w:lang w:eastAsia="en-AU"/>
        </w:rPr>
        <w:t xml:space="preserve">ommodities </w:t>
      </w:r>
      <w:r>
        <w:rPr>
          <w:lang w:eastAsia="en-AU"/>
        </w:rPr>
        <w:t xml:space="preserve">and materials </w:t>
      </w:r>
      <w:r w:rsidRPr="001646AF">
        <w:rPr>
          <w:lang w:eastAsia="en-AU"/>
        </w:rPr>
        <w:t xml:space="preserve">regulated for apple maggot </w:t>
      </w:r>
      <w:r>
        <w:rPr>
          <w:lang w:eastAsia="en-AU"/>
        </w:rPr>
        <w:t xml:space="preserve">from other areas </w:t>
      </w:r>
      <w:r w:rsidRPr="001646AF">
        <w:rPr>
          <w:lang w:eastAsia="en-AU"/>
        </w:rPr>
        <w:t>under</w:t>
      </w:r>
      <w:r>
        <w:rPr>
          <w:lang w:eastAsia="en-AU"/>
        </w:rPr>
        <w:t xml:space="preserve"> Washington’s state regulations are:</w:t>
      </w:r>
    </w:p>
    <w:p w14:paraId="51457ADD" w14:textId="77777777" w:rsidR="003438A2" w:rsidRPr="00BD4114" w:rsidRDefault="003438A2" w:rsidP="00F843A1">
      <w:pPr>
        <w:pStyle w:val="ListParagraph"/>
        <w:numPr>
          <w:ilvl w:val="3"/>
          <w:numId w:val="31"/>
        </w:numPr>
        <w:rPr>
          <w:rFonts w:cs="Courier New PSMT"/>
          <w:lang w:eastAsia="en-AU"/>
        </w:rPr>
      </w:pPr>
      <w:r w:rsidRPr="00BD4114">
        <w:rPr>
          <w:rFonts w:cs="Courier New PSMT"/>
          <w:lang w:eastAsia="en-AU"/>
        </w:rPr>
        <w:t>all fresh fruit of apple (including crabapple), cherry (except cherries that are commercial fruit), hawthorn, pear (except pears that are commercial fruit from California, Idaho, Oregon, Utah and Washington), plum and quince.</w:t>
      </w:r>
    </w:p>
    <w:p w14:paraId="718744F4" w14:textId="77777777" w:rsidR="003438A2" w:rsidRPr="00810485" w:rsidRDefault="003438A2" w:rsidP="001D02E4">
      <w:pPr>
        <w:pStyle w:val="ListParagraph"/>
        <w:ind w:left="567"/>
        <w:rPr>
          <w:rFonts w:cs="Courier New PSMT"/>
          <w:lang w:eastAsia="en-AU"/>
        </w:rPr>
      </w:pPr>
      <w:r w:rsidRPr="00810485">
        <w:rPr>
          <w:rFonts w:cs="Courier New PSMT"/>
          <w:lang w:eastAsia="en-AU"/>
        </w:rPr>
        <w:t xml:space="preserve">Note: ‘Commercial fruit’ can be defined as fruit produced in commercial capacity orchard blocks and processed in packing </w:t>
      </w:r>
      <w:r>
        <w:rPr>
          <w:rFonts w:cs="Courier New PSMT"/>
          <w:lang w:eastAsia="en-AU"/>
        </w:rPr>
        <w:t>house</w:t>
      </w:r>
      <w:r w:rsidRPr="00810485">
        <w:rPr>
          <w:rFonts w:cs="Courier New PSMT"/>
          <w:lang w:eastAsia="en-AU"/>
        </w:rPr>
        <w:t xml:space="preserve">s, both registered with U.S. government or </w:t>
      </w:r>
      <w:r>
        <w:rPr>
          <w:rFonts w:cs="Courier New PSMT"/>
          <w:lang w:eastAsia="en-AU"/>
        </w:rPr>
        <w:t xml:space="preserve">other </w:t>
      </w:r>
      <w:r w:rsidRPr="00810485">
        <w:rPr>
          <w:rFonts w:cs="Courier New PSMT"/>
          <w:lang w:eastAsia="en-AU"/>
        </w:rPr>
        <w:t>regulatory authorities</w:t>
      </w:r>
      <w:r>
        <w:rPr>
          <w:rFonts w:cs="Courier New PSMT"/>
          <w:lang w:eastAsia="en-AU"/>
        </w:rPr>
        <w:t>,</w:t>
      </w:r>
      <w:r w:rsidRPr="00810485">
        <w:rPr>
          <w:rFonts w:cs="Courier New PSMT"/>
          <w:lang w:eastAsia="en-AU"/>
        </w:rPr>
        <w:t xml:space="preserve"> producing export quality fruit that meet the hygiene requirements and are subjected to regulatory controls by the Federal and State authorities. These orchards and facilities are required to have the necessary commercial production and </w:t>
      </w:r>
      <w:r w:rsidRPr="00810485">
        <w:rPr>
          <w:rFonts w:cs="Courier New PSMT"/>
          <w:lang w:eastAsia="en-AU"/>
        </w:rPr>
        <w:lastRenderedPageBreak/>
        <w:t xml:space="preserve">additional regulatory practices required as appropriate for export. Similarly, the packing </w:t>
      </w:r>
      <w:r>
        <w:rPr>
          <w:rFonts w:cs="Courier New PSMT"/>
          <w:lang w:eastAsia="en-AU"/>
        </w:rPr>
        <w:t>houses</w:t>
      </w:r>
      <w:r w:rsidRPr="00810485">
        <w:rPr>
          <w:rFonts w:cs="Courier New PSMT"/>
          <w:lang w:eastAsia="en-AU"/>
        </w:rPr>
        <w:t xml:space="preserve"> </w:t>
      </w:r>
      <w:r>
        <w:rPr>
          <w:rFonts w:cs="Courier New PSMT"/>
          <w:lang w:eastAsia="en-AU"/>
        </w:rPr>
        <w:t>must</w:t>
      </w:r>
      <w:r w:rsidRPr="00810485">
        <w:rPr>
          <w:rFonts w:cs="Courier New PSMT"/>
          <w:lang w:eastAsia="en-AU"/>
        </w:rPr>
        <w:t xml:space="preserve"> have operational system</w:t>
      </w:r>
      <w:r>
        <w:rPr>
          <w:rFonts w:cs="Courier New PSMT"/>
          <w:lang w:eastAsia="en-AU"/>
        </w:rPr>
        <w:t>s</w:t>
      </w:r>
      <w:r w:rsidRPr="00810485">
        <w:rPr>
          <w:rFonts w:cs="Courier New PSMT"/>
          <w:lang w:eastAsia="en-AU"/>
        </w:rPr>
        <w:t xml:space="preserve"> and processing practices and any regulatory controls in place as required. </w:t>
      </w:r>
    </w:p>
    <w:p w14:paraId="6D6D2838" w14:textId="77777777" w:rsidR="003438A2" w:rsidRPr="009B4CFD" w:rsidRDefault="003438A2" w:rsidP="001D02E4">
      <w:pPr>
        <w:pStyle w:val="ListParagraph"/>
        <w:ind w:left="567"/>
        <w:rPr>
          <w:rFonts w:cs="Courier New PSMT"/>
          <w:lang w:eastAsia="en-AU"/>
        </w:rPr>
      </w:pPr>
      <w:r w:rsidRPr="00810485">
        <w:rPr>
          <w:rFonts w:cs="Courier New PSMT"/>
          <w:lang w:eastAsia="en-AU"/>
        </w:rPr>
        <w:t xml:space="preserve">- Non-commercially produced fruit </w:t>
      </w:r>
      <w:r>
        <w:rPr>
          <w:rFonts w:cs="Courier New PSMT"/>
          <w:lang w:eastAsia="en-AU"/>
        </w:rPr>
        <w:t>are</w:t>
      </w:r>
      <w:r w:rsidRPr="00810485">
        <w:rPr>
          <w:rFonts w:cs="Courier New PSMT"/>
          <w:lang w:eastAsia="en-AU"/>
        </w:rPr>
        <w:t xml:space="preserve"> </w:t>
      </w:r>
      <w:r>
        <w:rPr>
          <w:rFonts w:cs="Courier New PSMT"/>
          <w:lang w:eastAsia="en-AU"/>
        </w:rPr>
        <w:t xml:space="preserve">not </w:t>
      </w:r>
      <w:r w:rsidRPr="00810485">
        <w:rPr>
          <w:rFonts w:cs="Courier New PSMT"/>
          <w:lang w:eastAsia="en-AU"/>
        </w:rPr>
        <w:t xml:space="preserve">allowed to move from apple maggot quarantine areas under any circumstances to </w:t>
      </w:r>
      <w:r w:rsidRPr="009B4CFD">
        <w:rPr>
          <w:rFonts w:cs="Courier New PSMT"/>
          <w:lang w:eastAsia="en-AU"/>
        </w:rPr>
        <w:t>the pest free areas.</w:t>
      </w:r>
    </w:p>
    <w:p w14:paraId="0FACD59F" w14:textId="77777777" w:rsidR="003438A2" w:rsidRPr="009B4CFD" w:rsidRDefault="003438A2" w:rsidP="001D02E4">
      <w:pPr>
        <w:pStyle w:val="ListParagraph"/>
        <w:ind w:left="567"/>
        <w:rPr>
          <w:rFonts w:cs="Courier New PSMT"/>
          <w:lang w:eastAsia="en-AU"/>
        </w:rPr>
      </w:pPr>
      <w:r w:rsidRPr="009B4CFD">
        <w:rPr>
          <w:rFonts w:cs="Courier New PSMT"/>
          <w:lang w:eastAsia="en-AU"/>
        </w:rPr>
        <w:t>- Commercially produced cherries are exempted from the prohibition due to this commodity being not a significant host for apple maggot.</w:t>
      </w:r>
    </w:p>
    <w:p w14:paraId="748BF02D" w14:textId="77777777" w:rsidR="003438A2" w:rsidRPr="009B4CFD" w:rsidRDefault="003438A2" w:rsidP="001D02E4">
      <w:pPr>
        <w:pStyle w:val="ListParagraph"/>
        <w:ind w:left="567"/>
        <w:rPr>
          <w:rFonts w:cs="Courier New PSMT"/>
          <w:lang w:eastAsia="en-AU"/>
        </w:rPr>
      </w:pPr>
      <w:r w:rsidRPr="009B4CFD">
        <w:rPr>
          <w:rFonts w:cs="Courier New PSMT"/>
          <w:lang w:eastAsia="en-AU"/>
        </w:rPr>
        <w:t>- Commercially produced pears from the states of California, Idaho, Oregon, Utah and Washington are exempted from the prohibition as the pest is not recorded on pears in these states.</w:t>
      </w:r>
    </w:p>
    <w:p w14:paraId="3789F020" w14:textId="77777777" w:rsidR="003438A2" w:rsidRPr="009B4CFD" w:rsidRDefault="003438A2" w:rsidP="00D711B8">
      <w:pPr>
        <w:pStyle w:val="Default0"/>
        <w:ind w:firstLine="567"/>
        <w:rPr>
          <w:rFonts w:ascii="Cambria" w:eastAsiaTheme="minorHAnsi" w:hAnsi="Cambria" w:cs="Courier New PSMT"/>
          <w:color w:val="auto"/>
          <w:sz w:val="22"/>
          <w:szCs w:val="22"/>
        </w:rPr>
      </w:pPr>
      <w:r w:rsidRPr="009B4CFD">
        <w:rPr>
          <w:rFonts w:ascii="Cambria" w:eastAsiaTheme="minorHAnsi" w:hAnsi="Cambria" w:cs="Courier New PSMT"/>
          <w:color w:val="auto"/>
          <w:sz w:val="22"/>
          <w:szCs w:val="22"/>
        </w:rPr>
        <w:t>- Any fresh fruit that are known or found to be infested or damaged are not allowed entry.</w:t>
      </w:r>
    </w:p>
    <w:p w14:paraId="41CDC62E" w14:textId="77777777" w:rsidR="003438A2" w:rsidRPr="009B4CFD" w:rsidRDefault="003438A2" w:rsidP="00D711B8">
      <w:pPr>
        <w:pStyle w:val="Default0"/>
        <w:ind w:firstLine="567"/>
        <w:rPr>
          <w:rFonts w:cs="Courier New PSMT"/>
        </w:rPr>
      </w:pPr>
    </w:p>
    <w:p w14:paraId="0E38A24A" w14:textId="77777777" w:rsidR="003438A2" w:rsidRPr="001646AF" w:rsidRDefault="003438A2" w:rsidP="00745F0E">
      <w:pPr>
        <w:ind w:left="567" w:hanging="567"/>
        <w:rPr>
          <w:rFonts w:cs="Courier New PSMT"/>
          <w:lang w:eastAsia="en-AU"/>
        </w:rPr>
      </w:pPr>
      <w:r w:rsidRPr="009B4CFD">
        <w:rPr>
          <w:rFonts w:cs="Courier New PSMT"/>
          <w:lang w:eastAsia="en-AU"/>
        </w:rPr>
        <w:t xml:space="preserve">(2) </w:t>
      </w:r>
      <w:r w:rsidRPr="009B4CFD">
        <w:rPr>
          <w:rFonts w:cs="Courier New PSMT"/>
          <w:lang w:eastAsia="en-AU"/>
        </w:rPr>
        <w:tab/>
        <w:t>municipal solid waste, as defined in WAC 173-350-100. Municipal solid</w:t>
      </w:r>
      <w:r w:rsidRPr="001646AF">
        <w:rPr>
          <w:rFonts w:cs="Courier New PSMT"/>
          <w:lang w:eastAsia="en-AU"/>
        </w:rPr>
        <w:t xml:space="preserve"> waste from the quarantine area is a</w:t>
      </w:r>
      <w:r>
        <w:rPr>
          <w:rFonts w:cs="Courier New PSMT"/>
          <w:lang w:eastAsia="en-AU"/>
        </w:rPr>
        <w:t xml:space="preserve"> potential</w:t>
      </w:r>
      <w:r w:rsidRPr="001646AF">
        <w:rPr>
          <w:rFonts w:cs="Courier New PSMT"/>
          <w:lang w:eastAsia="en-AU"/>
        </w:rPr>
        <w:t xml:space="preserve"> host medium for apple maggot </w:t>
      </w:r>
      <w:r>
        <w:rPr>
          <w:rFonts w:cs="Courier New PSMT"/>
          <w:lang w:eastAsia="en-AU"/>
        </w:rPr>
        <w:t>since it is</w:t>
      </w:r>
      <w:r w:rsidRPr="001646AF">
        <w:rPr>
          <w:rFonts w:cs="Courier New PSMT"/>
          <w:lang w:eastAsia="en-AU"/>
        </w:rPr>
        <w:t xml:space="preserve"> likely to contain </w:t>
      </w:r>
      <w:r>
        <w:rPr>
          <w:rFonts w:cs="Courier New PSMT"/>
          <w:lang w:eastAsia="en-AU"/>
        </w:rPr>
        <w:t xml:space="preserve">materials from </w:t>
      </w:r>
      <w:r w:rsidRPr="001646AF">
        <w:rPr>
          <w:rFonts w:cs="Courier New PSMT"/>
          <w:lang w:eastAsia="en-AU"/>
        </w:rPr>
        <w:t xml:space="preserve">those fruits listed </w:t>
      </w:r>
      <w:r>
        <w:rPr>
          <w:rFonts w:cs="Courier New PSMT"/>
          <w:lang w:eastAsia="en-AU"/>
        </w:rPr>
        <w:t>above</w:t>
      </w:r>
      <w:r w:rsidRPr="001646AF">
        <w:rPr>
          <w:rFonts w:cs="Courier New PSMT"/>
          <w:lang w:eastAsia="en-AU"/>
        </w:rPr>
        <w:t>.</w:t>
      </w:r>
    </w:p>
    <w:p w14:paraId="2DB6A09D" w14:textId="77777777" w:rsidR="003438A2" w:rsidRPr="001646AF" w:rsidRDefault="003438A2" w:rsidP="00745F0E">
      <w:pPr>
        <w:ind w:left="567" w:hanging="567"/>
        <w:rPr>
          <w:rFonts w:cs="Courier New PSMT"/>
          <w:lang w:eastAsia="en-AU"/>
        </w:rPr>
      </w:pPr>
      <w:r w:rsidRPr="001646AF">
        <w:rPr>
          <w:rFonts w:cs="Courier New PSMT"/>
          <w:lang w:eastAsia="en-AU"/>
        </w:rPr>
        <w:t xml:space="preserve">(3) </w:t>
      </w:r>
      <w:r>
        <w:rPr>
          <w:rFonts w:cs="Courier New PSMT"/>
          <w:lang w:eastAsia="en-AU"/>
        </w:rPr>
        <w:tab/>
        <w:t>y</w:t>
      </w:r>
      <w:r w:rsidRPr="001646AF">
        <w:rPr>
          <w:rFonts w:cs="Courier New PSMT"/>
          <w:lang w:eastAsia="en-AU"/>
        </w:rPr>
        <w:t>ard debris, organic feedstocks, organic materials and agricultural wastes</w:t>
      </w:r>
      <w:r>
        <w:rPr>
          <w:rFonts w:cs="Courier New PSMT"/>
          <w:lang w:eastAsia="en-AU"/>
        </w:rPr>
        <w:t>,</w:t>
      </w:r>
      <w:r w:rsidRPr="001646AF">
        <w:rPr>
          <w:rFonts w:cs="Courier New PSMT"/>
          <w:lang w:eastAsia="en-AU"/>
        </w:rPr>
        <w:t xml:space="preserve"> as defined in WAC 173-350-100</w:t>
      </w:r>
      <w:r>
        <w:rPr>
          <w:rFonts w:cs="Courier New PSMT"/>
          <w:lang w:eastAsia="en-AU"/>
        </w:rPr>
        <w:t>.</w:t>
      </w:r>
      <w:r w:rsidRPr="001646AF">
        <w:rPr>
          <w:rFonts w:cs="Courier New PSMT"/>
          <w:lang w:eastAsia="en-AU"/>
        </w:rPr>
        <w:t xml:space="preserve"> </w:t>
      </w:r>
      <w:r>
        <w:rPr>
          <w:rFonts w:cs="Courier New PSMT"/>
          <w:lang w:eastAsia="en-AU"/>
        </w:rPr>
        <w:t>As per the municipal waste, y</w:t>
      </w:r>
      <w:r w:rsidRPr="001646AF">
        <w:rPr>
          <w:rFonts w:cs="Courier New PSMT"/>
          <w:lang w:eastAsia="en-AU"/>
        </w:rPr>
        <w:t xml:space="preserve">ard debris, organic feedstocks, organic materials and agricultural wastes from quarantine areas are </w:t>
      </w:r>
      <w:r>
        <w:rPr>
          <w:rFonts w:cs="Courier New PSMT"/>
          <w:lang w:eastAsia="en-AU"/>
        </w:rPr>
        <w:t xml:space="preserve">potential </w:t>
      </w:r>
      <w:r w:rsidRPr="001646AF">
        <w:rPr>
          <w:rFonts w:cs="Courier New PSMT"/>
          <w:lang w:eastAsia="en-AU"/>
        </w:rPr>
        <w:t>host medi</w:t>
      </w:r>
      <w:r>
        <w:rPr>
          <w:rFonts w:cs="Courier New PSMT"/>
          <w:lang w:eastAsia="en-AU"/>
        </w:rPr>
        <w:t>a</w:t>
      </w:r>
      <w:r w:rsidRPr="001646AF">
        <w:rPr>
          <w:rFonts w:cs="Courier New PSMT"/>
          <w:lang w:eastAsia="en-AU"/>
        </w:rPr>
        <w:t xml:space="preserve"> for apple maggot</w:t>
      </w:r>
      <w:r>
        <w:rPr>
          <w:rFonts w:cs="Courier New PSMT"/>
          <w:lang w:eastAsia="en-AU"/>
        </w:rPr>
        <w:t>.</w:t>
      </w:r>
    </w:p>
    <w:p w14:paraId="523C758F" w14:textId="77777777" w:rsidR="003438A2" w:rsidRPr="00D83AC6" w:rsidRDefault="003438A2" w:rsidP="001D02E4">
      <w:pPr>
        <w:pStyle w:val="Heading7"/>
      </w:pPr>
      <w:r w:rsidRPr="00D83AC6">
        <w:t>Oregon</w:t>
      </w:r>
    </w:p>
    <w:p w14:paraId="7476D692" w14:textId="77777777" w:rsidR="003438A2" w:rsidRDefault="003438A2" w:rsidP="001D02E4">
      <w:pPr>
        <w:rPr>
          <w:lang w:eastAsia="en-AU"/>
        </w:rPr>
      </w:pPr>
      <w:r w:rsidRPr="001646AF">
        <w:rPr>
          <w:lang w:val="en-US"/>
        </w:rPr>
        <w:t xml:space="preserve">Oregon </w:t>
      </w:r>
      <w:r>
        <w:rPr>
          <w:lang w:val="en-US"/>
        </w:rPr>
        <w:t>D</w:t>
      </w:r>
      <w:r w:rsidRPr="001646AF">
        <w:rPr>
          <w:lang w:val="en-US"/>
        </w:rPr>
        <w:t xml:space="preserve">epartment of </w:t>
      </w:r>
      <w:r>
        <w:rPr>
          <w:lang w:val="en-US"/>
        </w:rPr>
        <w:t>A</w:t>
      </w:r>
      <w:r w:rsidRPr="001646AF">
        <w:rPr>
          <w:lang w:val="en-US"/>
        </w:rPr>
        <w:t xml:space="preserve">griculture legislation </w:t>
      </w:r>
      <w:r>
        <w:rPr>
          <w:lang w:val="en-US"/>
        </w:rPr>
        <w:t xml:space="preserve">declares that portions of the </w:t>
      </w:r>
      <w:r w:rsidRPr="001646AF">
        <w:rPr>
          <w:lang w:eastAsia="en-AU"/>
        </w:rPr>
        <w:t xml:space="preserve">Oregon counties of Gilliam, Grant, Hood River, Morrow, Sherman, Umatilla and Wasco </w:t>
      </w:r>
      <w:r>
        <w:rPr>
          <w:noProof/>
        </w:rPr>
        <w:t>(Oregon Secretary of State 2019)</w:t>
      </w:r>
      <w:r>
        <w:t xml:space="preserve"> are pest free areas for </w:t>
      </w:r>
      <w:r w:rsidRPr="008477CB">
        <w:t>apple maggot</w:t>
      </w:r>
      <w:r>
        <w:t xml:space="preserve"> and</w:t>
      </w:r>
      <w:r>
        <w:rPr>
          <w:lang w:val="en-US"/>
        </w:rPr>
        <w:t xml:space="preserve"> </w:t>
      </w:r>
      <w:r w:rsidRPr="001646AF">
        <w:rPr>
          <w:lang w:val="en-US"/>
        </w:rPr>
        <w:t xml:space="preserve">sets out the requirements for establishing quarantine areas for apple maggot under </w:t>
      </w:r>
      <w:r>
        <w:rPr>
          <w:lang w:val="en-US"/>
        </w:rPr>
        <w:t xml:space="preserve">administrative rule </w:t>
      </w:r>
      <w:r w:rsidRPr="001646AF">
        <w:rPr>
          <w:lang w:val="en-US"/>
        </w:rPr>
        <w:t xml:space="preserve">603-052-0121 </w:t>
      </w:r>
      <w:r>
        <w:rPr>
          <w:noProof/>
        </w:rPr>
        <w:t>(Oregon Secretary of State 2019)</w:t>
      </w:r>
      <w:r w:rsidRPr="001646AF">
        <w:t>.</w:t>
      </w:r>
      <w:r>
        <w:t xml:space="preserve"> </w:t>
      </w:r>
      <w:r w:rsidRPr="001646AF">
        <w:rPr>
          <w:lang w:eastAsia="en-AU"/>
        </w:rPr>
        <w:t xml:space="preserve">Areas under quarantine within the </w:t>
      </w:r>
      <w:r>
        <w:rPr>
          <w:lang w:eastAsia="en-AU"/>
        </w:rPr>
        <w:t>Oregon s</w:t>
      </w:r>
      <w:r w:rsidRPr="001646AF">
        <w:rPr>
          <w:lang w:eastAsia="en-AU"/>
        </w:rPr>
        <w:t xml:space="preserve">tate </w:t>
      </w:r>
      <w:r>
        <w:rPr>
          <w:lang w:eastAsia="en-AU"/>
        </w:rPr>
        <w:t>(</w:t>
      </w:r>
      <w:r w:rsidRPr="008477CB">
        <w:rPr>
          <w:lang w:eastAsia="en-AU"/>
        </w:rPr>
        <w:t xml:space="preserve">where </w:t>
      </w:r>
      <w:r w:rsidRPr="008477CB">
        <w:t xml:space="preserve">apple maggot </w:t>
      </w:r>
      <w:r w:rsidRPr="008477CB">
        <w:rPr>
          <w:lang w:eastAsia="en-AU"/>
        </w:rPr>
        <w:t>is</w:t>
      </w:r>
      <w:r>
        <w:rPr>
          <w:lang w:eastAsia="en-AU"/>
        </w:rPr>
        <w:t xml:space="preserve"> established)</w:t>
      </w:r>
      <w:r w:rsidRPr="001646AF">
        <w:rPr>
          <w:lang w:eastAsia="en-AU"/>
        </w:rPr>
        <w:t xml:space="preserve"> include the counties</w:t>
      </w:r>
      <w:r>
        <w:rPr>
          <w:lang w:eastAsia="en-AU"/>
        </w:rPr>
        <w:t>,</w:t>
      </w:r>
      <w:r w:rsidRPr="001646AF">
        <w:rPr>
          <w:lang w:eastAsia="en-AU"/>
        </w:rPr>
        <w:t xml:space="preserve"> </w:t>
      </w:r>
      <w:r>
        <w:rPr>
          <w:lang w:eastAsia="en-AU"/>
        </w:rPr>
        <w:t xml:space="preserve">or portions of, </w:t>
      </w:r>
      <w:r w:rsidRPr="001646AF">
        <w:rPr>
          <w:lang w:eastAsia="en-AU"/>
        </w:rPr>
        <w:t>Benton, Clackamas, Clatsop, Columbia, Coos, Curry, Douglas, Gilliam, Hood River, Jackson, Josephine, Lane, Lincoln, Linn, Marion, Multnomah, Polk, Sherman, Tillamook, Yamhill, Wasco, Washington, and the City of Pendleton in Umatilla County.</w:t>
      </w:r>
    </w:p>
    <w:p w14:paraId="0E12A743" w14:textId="77777777" w:rsidR="003438A2" w:rsidRPr="001646AF" w:rsidRDefault="003438A2" w:rsidP="001D02E4">
      <w:pPr>
        <w:rPr>
          <w:lang w:eastAsia="en-AU"/>
        </w:rPr>
      </w:pPr>
      <w:r w:rsidRPr="00E70945">
        <w:rPr>
          <w:lang w:eastAsia="en-AU"/>
        </w:rPr>
        <w:t>Commodities that are regulated from areas under quarantine are all fresh hawthorn fruit</w:t>
      </w:r>
      <w:r w:rsidRPr="00E70945">
        <w:t xml:space="preserve">, non-commercial </w:t>
      </w:r>
      <w:r w:rsidRPr="00E70945">
        <w:rPr>
          <w:lang w:eastAsia="en-AU"/>
        </w:rPr>
        <w:t>fresh pear fruit, and all fresh apple (including crabapple) fruit.</w:t>
      </w:r>
    </w:p>
    <w:p w14:paraId="7CA77181" w14:textId="77777777" w:rsidR="003438A2" w:rsidRPr="001646AF" w:rsidRDefault="003438A2" w:rsidP="001D02E4">
      <w:pPr>
        <w:rPr>
          <w:lang w:eastAsia="en-AU"/>
        </w:rPr>
      </w:pPr>
      <w:r w:rsidRPr="001646AF">
        <w:rPr>
          <w:lang w:eastAsia="en-AU"/>
        </w:rPr>
        <w:t xml:space="preserve">The restrictions on movement within the state include certification </w:t>
      </w:r>
      <w:r>
        <w:rPr>
          <w:lang w:eastAsia="en-AU"/>
        </w:rPr>
        <w:t>requirements for</w:t>
      </w:r>
      <w:r w:rsidRPr="001646AF">
        <w:rPr>
          <w:lang w:eastAsia="en-AU"/>
        </w:rPr>
        <w:t xml:space="preserve"> host commodities </w:t>
      </w:r>
      <w:r>
        <w:rPr>
          <w:lang w:eastAsia="en-AU"/>
        </w:rPr>
        <w:t>that</w:t>
      </w:r>
      <w:r w:rsidRPr="001646AF">
        <w:rPr>
          <w:lang w:eastAsia="en-AU"/>
        </w:rPr>
        <w:t xml:space="preserve"> are produced in or shipped from the area under quarantine</w:t>
      </w:r>
      <w:r>
        <w:rPr>
          <w:lang w:eastAsia="en-AU"/>
        </w:rPr>
        <w:t>,</w:t>
      </w:r>
      <w:r w:rsidRPr="001646AF">
        <w:rPr>
          <w:lang w:eastAsia="en-AU"/>
        </w:rPr>
        <w:t xml:space="preserve"> a</w:t>
      </w:r>
      <w:r>
        <w:rPr>
          <w:lang w:eastAsia="en-AU"/>
        </w:rPr>
        <w:t>nd</w:t>
      </w:r>
      <w:r w:rsidRPr="001646AF">
        <w:rPr>
          <w:lang w:eastAsia="en-AU"/>
        </w:rPr>
        <w:t xml:space="preserve"> prohibit</w:t>
      </w:r>
      <w:r>
        <w:rPr>
          <w:lang w:eastAsia="en-AU"/>
        </w:rPr>
        <w:t xml:space="preserve">ion of </w:t>
      </w:r>
      <w:r w:rsidRPr="001646AF">
        <w:rPr>
          <w:lang w:eastAsia="en-AU"/>
        </w:rPr>
        <w:t xml:space="preserve">entry into the commercial apple producing counties of Gilliam, Grant, Hood River, Morrow, Sherman, Umatilla and Wasco counties, unless each lot or shipment is accompanied by a certificate </w:t>
      </w:r>
      <w:r>
        <w:rPr>
          <w:lang w:eastAsia="en-AU"/>
        </w:rPr>
        <w:t xml:space="preserve">issued by </w:t>
      </w:r>
      <w:r w:rsidRPr="001646AF">
        <w:rPr>
          <w:lang w:eastAsia="en-AU"/>
        </w:rPr>
        <w:t>the authori</w:t>
      </w:r>
      <w:r>
        <w:rPr>
          <w:lang w:eastAsia="en-AU"/>
        </w:rPr>
        <w:t>s</w:t>
      </w:r>
      <w:r w:rsidRPr="001646AF">
        <w:rPr>
          <w:lang w:eastAsia="en-AU"/>
        </w:rPr>
        <w:t>ed agricultural official of the state from which the commodity is shipped</w:t>
      </w:r>
      <w:r>
        <w:rPr>
          <w:lang w:eastAsia="en-AU"/>
        </w:rPr>
        <w:t>.</w:t>
      </w:r>
      <w:r w:rsidRPr="001646AF">
        <w:rPr>
          <w:lang w:eastAsia="en-AU"/>
        </w:rPr>
        <w:t xml:space="preserve"> In western USA, not all counties in infested states have established populations of apple maggot. Provided each lot or shipment is certified by an authorised agricultural official to have been grown in a county not known to be infested with apple maggot, the commodities may be shipped to the Oregon counties of Gilliam, Grant, Hood River, Morrow, Sherman, Umatilla and Wasco </w:t>
      </w:r>
      <w:r>
        <w:rPr>
          <w:noProof/>
        </w:rPr>
        <w:t>(Oregon Secretary of State 2019)</w:t>
      </w:r>
      <w:r w:rsidRPr="001646AF">
        <w:rPr>
          <w:lang w:eastAsia="en-AU"/>
        </w:rPr>
        <w:t>.</w:t>
      </w:r>
    </w:p>
    <w:p w14:paraId="3EBA5C99" w14:textId="77777777" w:rsidR="003438A2" w:rsidRPr="001646AF" w:rsidRDefault="003438A2" w:rsidP="001D02E4">
      <w:pPr>
        <w:rPr>
          <w:lang w:eastAsia="en-AU"/>
        </w:rPr>
      </w:pPr>
      <w:r w:rsidRPr="001646AF">
        <w:rPr>
          <w:lang w:eastAsia="en-AU"/>
        </w:rPr>
        <w:lastRenderedPageBreak/>
        <w:t xml:space="preserve">Reshipments in original containers </w:t>
      </w:r>
      <w:r>
        <w:rPr>
          <w:lang w:eastAsia="en-AU"/>
        </w:rPr>
        <w:t>of</w:t>
      </w:r>
      <w:r w:rsidRPr="001646AF">
        <w:rPr>
          <w:lang w:eastAsia="en-AU"/>
        </w:rPr>
        <w:t xml:space="preserve"> commodities grown outside </w:t>
      </w:r>
      <w:r>
        <w:rPr>
          <w:lang w:eastAsia="en-AU"/>
        </w:rPr>
        <w:t xml:space="preserve">an </w:t>
      </w:r>
      <w:r w:rsidRPr="001646AF">
        <w:rPr>
          <w:lang w:eastAsia="en-AU"/>
        </w:rPr>
        <w:t>area under quarantine are permitted if</w:t>
      </w:r>
      <w:r>
        <w:rPr>
          <w:lang w:eastAsia="en-AU"/>
        </w:rPr>
        <w:t xml:space="preserve"> the </w:t>
      </w:r>
      <w:r w:rsidRPr="001646AF">
        <w:rPr>
          <w:lang w:eastAsia="en-AU"/>
        </w:rPr>
        <w:t xml:space="preserve">commodities </w:t>
      </w:r>
      <w:r>
        <w:rPr>
          <w:lang w:eastAsia="en-AU"/>
        </w:rPr>
        <w:t>are i</w:t>
      </w:r>
      <w:r w:rsidRPr="001646AF">
        <w:rPr>
          <w:lang w:eastAsia="en-AU"/>
        </w:rPr>
        <w:t>n original unopened containers</w:t>
      </w:r>
      <w:r>
        <w:rPr>
          <w:lang w:eastAsia="en-AU"/>
        </w:rPr>
        <w:t xml:space="preserve"> and</w:t>
      </w:r>
      <w:r w:rsidRPr="001646AF">
        <w:rPr>
          <w:lang w:eastAsia="en-AU"/>
        </w:rPr>
        <w:t xml:space="preserve"> each bear</w:t>
      </w:r>
      <w:r>
        <w:rPr>
          <w:lang w:eastAsia="en-AU"/>
        </w:rPr>
        <w:t>s</w:t>
      </w:r>
      <w:r w:rsidRPr="001646AF">
        <w:rPr>
          <w:lang w:eastAsia="en-AU"/>
        </w:rPr>
        <w:t xml:space="preserve"> labels or other identifying marks </w:t>
      </w:r>
      <w:r>
        <w:rPr>
          <w:lang w:eastAsia="en-AU"/>
        </w:rPr>
        <w:t xml:space="preserve">showing their </w:t>
      </w:r>
      <w:r w:rsidRPr="001646AF">
        <w:rPr>
          <w:lang w:eastAsia="en-AU"/>
        </w:rPr>
        <w:t>origin</w:t>
      </w:r>
      <w:r>
        <w:rPr>
          <w:lang w:eastAsia="en-AU"/>
        </w:rPr>
        <w:t xml:space="preserve">. This includes </w:t>
      </w:r>
      <w:r w:rsidRPr="001646AF">
        <w:rPr>
          <w:lang w:eastAsia="en-AU"/>
        </w:rPr>
        <w:t>reshipp</w:t>
      </w:r>
      <w:r>
        <w:rPr>
          <w:lang w:eastAsia="en-AU"/>
        </w:rPr>
        <w:t>ing to</w:t>
      </w:r>
      <w:r w:rsidRPr="001646AF">
        <w:rPr>
          <w:lang w:eastAsia="en-AU"/>
        </w:rPr>
        <w:t xml:space="preserve"> the counties</w:t>
      </w:r>
      <w:r>
        <w:rPr>
          <w:lang w:eastAsia="en-AU"/>
        </w:rPr>
        <w:t xml:space="preserve"> of</w:t>
      </w:r>
      <w:r w:rsidRPr="001646AF">
        <w:rPr>
          <w:lang w:eastAsia="en-AU"/>
        </w:rPr>
        <w:t xml:space="preserve"> Gilliam, Grant, Hood River, Morrow, Sherman, Umatilla and Wasco</w:t>
      </w:r>
      <w:r>
        <w:rPr>
          <w:lang w:eastAsia="en-AU"/>
        </w:rPr>
        <w:t>.</w:t>
      </w:r>
    </w:p>
    <w:p w14:paraId="0E7F2171" w14:textId="77777777" w:rsidR="003438A2" w:rsidRPr="000B0B83" w:rsidRDefault="003438A2" w:rsidP="001D02E4">
      <w:r w:rsidRPr="001646AF">
        <w:rPr>
          <w:lang w:eastAsia="en-AU"/>
        </w:rPr>
        <w:t xml:space="preserve">Apples exposed to controlled atmosphere storage in approved facilities </w:t>
      </w:r>
      <w:r>
        <w:rPr>
          <w:lang w:eastAsia="en-AU"/>
        </w:rPr>
        <w:t xml:space="preserve">where temperatures are maintained </w:t>
      </w:r>
      <w:r w:rsidRPr="001646AF">
        <w:rPr>
          <w:lang w:eastAsia="en-AU"/>
        </w:rPr>
        <w:t xml:space="preserve">for a continuous period of 90 days </w:t>
      </w:r>
      <w:r w:rsidRPr="001646AF">
        <w:t xml:space="preserve">at </w:t>
      </w:r>
      <w:r>
        <w:rPr>
          <w:lang w:eastAsia="en-AU"/>
        </w:rPr>
        <w:t>3.3</w:t>
      </w:r>
      <w:r w:rsidRPr="00223363">
        <w:t>°</w:t>
      </w:r>
      <w:r>
        <w:t>C</w:t>
      </w:r>
      <w:r w:rsidRPr="001646AF">
        <w:rPr>
          <w:lang w:eastAsia="en-AU"/>
        </w:rPr>
        <w:t xml:space="preserve"> (</w:t>
      </w:r>
      <w:r>
        <w:t>38</w:t>
      </w:r>
      <w:r w:rsidRPr="00223363">
        <w:t>°</w:t>
      </w:r>
      <w:r>
        <w:t>F</w:t>
      </w:r>
      <w:r w:rsidRPr="001646AF">
        <w:t>)</w:t>
      </w:r>
      <w:r w:rsidRPr="001646AF">
        <w:rPr>
          <w:lang w:eastAsia="en-AU"/>
        </w:rPr>
        <w:t xml:space="preserve"> or </w:t>
      </w:r>
      <w:r w:rsidRPr="000B0B83">
        <w:rPr>
          <w:lang w:eastAsia="en-AU"/>
        </w:rPr>
        <w:t xml:space="preserve">below or for a continuous period of at least 40 days at 0°C or below are also permitted entry into the counties of Hood River, Morrow, Umatilla and Wasco </w:t>
      </w:r>
      <w:r>
        <w:rPr>
          <w:noProof/>
        </w:rPr>
        <w:t>(Oregon Secretary of State 2019)</w:t>
      </w:r>
      <w:r w:rsidRPr="000B0B83">
        <w:rPr>
          <w:lang w:eastAsia="en-AU"/>
        </w:rPr>
        <w:t>.</w:t>
      </w:r>
    </w:p>
    <w:p w14:paraId="3E32A6F2" w14:textId="77777777" w:rsidR="003438A2" w:rsidRPr="00D83AC6" w:rsidRDefault="003438A2" w:rsidP="001D02E4">
      <w:pPr>
        <w:pStyle w:val="Heading7"/>
      </w:pPr>
      <w:r w:rsidRPr="00D83AC6">
        <w:t>Idaho</w:t>
      </w:r>
    </w:p>
    <w:p w14:paraId="383B62EA" w14:textId="77777777" w:rsidR="003438A2" w:rsidRDefault="003438A2" w:rsidP="001D02E4">
      <w:r w:rsidRPr="001646AF">
        <w:rPr>
          <w:lang w:eastAsia="en-AU"/>
        </w:rPr>
        <w:t xml:space="preserve">Idaho state </w:t>
      </w:r>
      <w:r>
        <w:rPr>
          <w:lang w:eastAsia="en-AU"/>
        </w:rPr>
        <w:t>D</w:t>
      </w:r>
      <w:r w:rsidRPr="001646AF">
        <w:rPr>
          <w:lang w:eastAsia="en-AU"/>
        </w:rPr>
        <w:t xml:space="preserve">epartment of </w:t>
      </w:r>
      <w:r>
        <w:rPr>
          <w:lang w:eastAsia="en-AU"/>
        </w:rPr>
        <w:t>A</w:t>
      </w:r>
      <w:r w:rsidRPr="001646AF">
        <w:rPr>
          <w:lang w:eastAsia="en-AU"/>
        </w:rPr>
        <w:t xml:space="preserve">griculture legislation, </w:t>
      </w:r>
      <w:r>
        <w:rPr>
          <w:lang w:eastAsia="en-AU"/>
        </w:rPr>
        <w:t>administrative rule</w:t>
      </w:r>
      <w:r w:rsidRPr="001646AF">
        <w:rPr>
          <w:lang w:eastAsia="en-AU"/>
        </w:rPr>
        <w:t xml:space="preserve"> </w:t>
      </w:r>
      <w:r w:rsidRPr="000B0B83">
        <w:t>02.06.05</w:t>
      </w:r>
      <w:r w:rsidRPr="000B0B83">
        <w:rPr>
          <w:lang w:eastAsia="en-AU"/>
        </w:rPr>
        <w:t xml:space="preserve">, </w:t>
      </w:r>
      <w:r w:rsidRPr="001646AF">
        <w:rPr>
          <w:lang w:eastAsia="en-AU"/>
        </w:rPr>
        <w:t xml:space="preserve">sets out requirements for apple maggot monitoring </w:t>
      </w:r>
      <w:r>
        <w:rPr>
          <w:noProof/>
        </w:rPr>
        <w:t>(Idaho Department of Agriculture 2021)</w:t>
      </w:r>
      <w:r w:rsidRPr="001646AF">
        <w:t xml:space="preserve">. All fresh fruit of apple (including crabapple), cherry (except cherries that are commercial fruit), hawthorn, pear (except pears that are commercial fruit from California, Idaho, Oregon, Utah and Washington), </w:t>
      </w:r>
      <w:r w:rsidRPr="00BF46F0">
        <w:t>plum, quince and rose</w:t>
      </w:r>
      <w:r w:rsidRPr="001646AF">
        <w:t xml:space="preserve"> hips are regulated</w:t>
      </w:r>
      <w:r>
        <w:t>.</w:t>
      </w:r>
      <w:r w:rsidRPr="001646AF">
        <w:t xml:space="preserve"> </w:t>
      </w:r>
      <w:r>
        <w:t>R</w:t>
      </w:r>
      <w:r w:rsidRPr="001646AF">
        <w:t>egulated articles that are produced in</w:t>
      </w:r>
      <w:r>
        <w:t xml:space="preserve"> </w:t>
      </w:r>
      <w:r w:rsidRPr="001646AF">
        <w:t>or shipped from infested areas are prohibited movement into or within the state of Idaho. The entire counties of Canyon, Owyhee and Payette,</w:t>
      </w:r>
      <w:r>
        <w:t xml:space="preserve"> and</w:t>
      </w:r>
      <w:r w:rsidRPr="001646AF">
        <w:t xml:space="preserve"> portions of the counties of Gem and Washington lying south of the quarantine areas are </w:t>
      </w:r>
      <w:r>
        <w:t xml:space="preserve">declared </w:t>
      </w:r>
      <w:r w:rsidRPr="001646AF">
        <w:t>pest free areas for apple maggot</w:t>
      </w:r>
      <w:r>
        <w:t>.</w:t>
      </w:r>
      <w:r w:rsidRPr="001646AF">
        <w:t xml:space="preserve"> Areas (infested) declared by the director to be under quarantine for apple maggot </w:t>
      </w:r>
      <w:r>
        <w:t xml:space="preserve">(where the pest is established) </w:t>
      </w:r>
      <w:r w:rsidRPr="001646AF">
        <w:t>include the counties of Franklin, Oneida, Caribou, Ada, Boise and Gooding, and portions of Gem and Washington counties</w:t>
      </w:r>
      <w:r>
        <w:t xml:space="preserve"> </w:t>
      </w:r>
      <w:r>
        <w:rPr>
          <w:noProof/>
        </w:rPr>
        <w:t>(Idaho Department of Agriculture 2021)</w:t>
      </w:r>
      <w:r w:rsidRPr="001646AF">
        <w:t>.</w:t>
      </w:r>
      <w:r>
        <w:t xml:space="preserve"> </w:t>
      </w:r>
      <w:r w:rsidRPr="001646AF">
        <w:t xml:space="preserve">Infested areas outside Idaho include all </w:t>
      </w:r>
      <w:r>
        <w:t xml:space="preserve">US </w:t>
      </w:r>
      <w:r w:rsidRPr="001646AF">
        <w:t>states or foreign countries</w:t>
      </w:r>
      <w:r>
        <w:t>,</w:t>
      </w:r>
      <w:r w:rsidRPr="001646AF">
        <w:t xml:space="preserve"> or portion</w:t>
      </w:r>
      <w:r>
        <w:t>s</w:t>
      </w:r>
      <w:r w:rsidRPr="001646AF">
        <w:t xml:space="preserve"> thereof</w:t>
      </w:r>
      <w:r>
        <w:t>,</w:t>
      </w:r>
      <w:r w:rsidRPr="001646AF">
        <w:t xml:space="preserve"> where apple maggot is known to occur.</w:t>
      </w:r>
    </w:p>
    <w:p w14:paraId="594E6C0B" w14:textId="77777777" w:rsidR="003438A2" w:rsidRDefault="003438A2" w:rsidP="001D02E4">
      <w:r w:rsidRPr="001646AF">
        <w:t>Apples exposed to controlled atmosphere storage</w:t>
      </w:r>
      <w:r>
        <w:t>,</w:t>
      </w:r>
      <w:r w:rsidRPr="001646AF">
        <w:t xml:space="preserve"> </w:t>
      </w:r>
      <w:r>
        <w:t xml:space="preserve">where temperatures are maintained </w:t>
      </w:r>
      <w:r w:rsidRPr="001646AF">
        <w:t xml:space="preserve">at </w:t>
      </w:r>
      <w:r>
        <w:rPr>
          <w:lang w:eastAsia="en-AU"/>
        </w:rPr>
        <w:t>3.3</w:t>
      </w:r>
      <w:r w:rsidRPr="00223363">
        <w:t>°</w:t>
      </w:r>
      <w:r>
        <w:t>C</w:t>
      </w:r>
      <w:r w:rsidRPr="001646AF">
        <w:rPr>
          <w:lang w:eastAsia="en-AU"/>
        </w:rPr>
        <w:t xml:space="preserve"> (</w:t>
      </w:r>
      <w:r>
        <w:t>38</w:t>
      </w:r>
      <w:r w:rsidRPr="00223363">
        <w:t>°</w:t>
      </w:r>
      <w:r>
        <w:t>F</w:t>
      </w:r>
      <w:r w:rsidRPr="001646AF">
        <w:t xml:space="preserve">) or </w:t>
      </w:r>
      <w:r>
        <w:t>below</w:t>
      </w:r>
      <w:r w:rsidRPr="001646AF">
        <w:t xml:space="preserve"> for a continuous period of 90 days, may be permitted to move from quarantine areas to other areas.</w:t>
      </w:r>
    </w:p>
    <w:p w14:paraId="3093D550" w14:textId="77777777" w:rsidR="003438A2" w:rsidRPr="00D83AC6" w:rsidRDefault="003438A2" w:rsidP="001D02E4">
      <w:pPr>
        <w:pStyle w:val="Heading6"/>
      </w:pPr>
      <w:r>
        <w:t>Apple l</w:t>
      </w:r>
      <w:r w:rsidRPr="00D83AC6">
        <w:t>eafcurling midge management</w:t>
      </w:r>
    </w:p>
    <w:p w14:paraId="326B2672" w14:textId="77777777" w:rsidR="003438A2" w:rsidRDefault="003438A2" w:rsidP="001D02E4">
      <w:r>
        <w:rPr>
          <w:iCs/>
        </w:rPr>
        <w:t>Apple l</w:t>
      </w:r>
      <w:r w:rsidRPr="00396040">
        <w:rPr>
          <w:iCs/>
        </w:rPr>
        <w:t>eafcurling midge</w:t>
      </w:r>
      <w:r>
        <w:rPr>
          <w:i/>
        </w:rPr>
        <w:t xml:space="preserve"> </w:t>
      </w:r>
      <w:r w:rsidRPr="00597966">
        <w:rPr>
          <w:iCs/>
        </w:rPr>
        <w:t>(</w:t>
      </w:r>
      <w:r>
        <w:rPr>
          <w:i/>
        </w:rPr>
        <w:t>Dasineura </w:t>
      </w:r>
      <w:r w:rsidRPr="00551846">
        <w:rPr>
          <w:i/>
        </w:rPr>
        <w:t>mali</w:t>
      </w:r>
      <w:r w:rsidRPr="00597966">
        <w:rPr>
          <w:iCs/>
        </w:rPr>
        <w:t xml:space="preserve">) </w:t>
      </w:r>
      <w:r w:rsidRPr="00551846">
        <w:t xml:space="preserve">is a small fly </w:t>
      </w:r>
      <w:r>
        <w:t xml:space="preserve">that belongs to the </w:t>
      </w:r>
      <w:r w:rsidRPr="00057234">
        <w:t xml:space="preserve">family </w:t>
      </w:r>
      <w:r>
        <w:t>Cecidomyiidae (gall midges).</w:t>
      </w:r>
      <w:r w:rsidRPr="00060D73">
        <w:t xml:space="preserve"> </w:t>
      </w:r>
      <w:r w:rsidRPr="002B497A">
        <w:t xml:space="preserve">In the PNW-USA, </w:t>
      </w:r>
      <w:r w:rsidRPr="002B497A">
        <w:rPr>
          <w:i/>
          <w:iCs/>
        </w:rPr>
        <w:t>D. mali</w:t>
      </w:r>
      <w:r w:rsidRPr="002B497A">
        <w:t xml:space="preserve"> has a restricted distribution, being only reported in parts of the state of Washington and no reports of the pest in the states of Idaho and Oregon</w:t>
      </w:r>
      <w:r>
        <w:t xml:space="preserve"> </w:t>
      </w:r>
      <w:r>
        <w:rPr>
          <w:noProof/>
        </w:rPr>
        <w:t>(CABI 2022)</w:t>
      </w:r>
      <w:r>
        <w:t>.</w:t>
      </w:r>
      <w:r w:rsidRPr="002B497A">
        <w:t xml:space="preserve"> In Washington, </w:t>
      </w:r>
      <w:r w:rsidRPr="00447318">
        <w:rPr>
          <w:i/>
          <w:iCs/>
        </w:rPr>
        <w:t>D. mali</w:t>
      </w:r>
      <w:r w:rsidRPr="002B497A">
        <w:t xml:space="preserve"> has only been reported in the counties of Whatcom, Skagit, Okanogan and Adams (Othello region)</w:t>
      </w:r>
      <w:r>
        <w:t xml:space="preserve"> </w:t>
      </w:r>
      <w:r w:rsidRPr="007D41F9">
        <w:rPr>
          <w:noProof/>
        </w:rPr>
        <w:t>(Antonelli &amp; Glass 2005; Beers 2017; Eddy 2013; LaGasa 2007)</w:t>
      </w:r>
      <w:r w:rsidRPr="007D41F9">
        <w:t>.</w:t>
      </w:r>
      <w:r>
        <w:t xml:space="preserve"> </w:t>
      </w:r>
      <w:r w:rsidRPr="002B497A">
        <w:t xml:space="preserve">Where </w:t>
      </w:r>
      <w:r w:rsidRPr="002B497A">
        <w:rPr>
          <w:bCs/>
          <w:i/>
          <w:iCs/>
          <w:lang w:eastAsia="en-AU"/>
        </w:rPr>
        <w:t>D. mali</w:t>
      </w:r>
      <w:r w:rsidRPr="002B497A">
        <w:t xml:space="preserve"> occurs in Washington, the apple industry has orchard control practices and packing house </w:t>
      </w:r>
      <w:r>
        <w:t>procedures</w:t>
      </w:r>
      <w:r w:rsidRPr="002B497A">
        <w:t xml:space="preserve"> in place</w:t>
      </w:r>
      <w:r>
        <w:t xml:space="preserve"> </w:t>
      </w:r>
      <w:r>
        <w:rPr>
          <w:noProof/>
        </w:rPr>
        <w:t>(CABI 2022)</w:t>
      </w:r>
      <w:r>
        <w:t>.</w:t>
      </w:r>
    </w:p>
    <w:p w14:paraId="53AEA8B9" w14:textId="77777777" w:rsidR="003438A2" w:rsidRPr="007129D9" w:rsidRDefault="003438A2" w:rsidP="001D02E4">
      <w:r>
        <w:rPr>
          <w:bCs/>
          <w:iCs/>
          <w:lang w:eastAsia="en-AU"/>
        </w:rPr>
        <w:t xml:space="preserve">Insecticides such as </w:t>
      </w:r>
      <w:r w:rsidRPr="00D575D2">
        <w:t>abamectin</w:t>
      </w:r>
      <w:r>
        <w:t xml:space="preserve"> and </w:t>
      </w:r>
      <w:r w:rsidRPr="00D575D2">
        <w:t>spinosad</w:t>
      </w:r>
      <w:r>
        <w:rPr>
          <w:bCs/>
          <w:iCs/>
          <w:lang w:eastAsia="en-AU"/>
        </w:rPr>
        <w:t xml:space="preserve"> are regularly used in the orchards at </w:t>
      </w:r>
      <w:r>
        <w:t xml:space="preserve">14 to </w:t>
      </w:r>
      <w:r w:rsidRPr="00D575D2">
        <w:t>28 days after full bloom</w:t>
      </w:r>
      <w:r>
        <w:t xml:space="preserve"> and at p</w:t>
      </w:r>
      <w:r w:rsidRPr="00D575D2">
        <w:t>re-harvest</w:t>
      </w:r>
      <w:r>
        <w:t xml:space="preserve"> (summarised in </w:t>
      </w:r>
      <w:r>
        <w:fldChar w:fldCharType="begin" w:fldLock="1"/>
      </w:r>
      <w:r>
        <w:instrText xml:space="preserve"> REF _Ref108437154 \h </w:instrText>
      </w:r>
      <w:r>
        <w:fldChar w:fldCharType="separate"/>
      </w:r>
      <w:r>
        <w:t xml:space="preserve">Table </w:t>
      </w:r>
      <w:r>
        <w:rPr>
          <w:noProof/>
        </w:rPr>
        <w:t>3</w:t>
      </w:r>
      <w:r>
        <w:t>.</w:t>
      </w:r>
      <w:r>
        <w:rPr>
          <w:noProof/>
        </w:rPr>
        <w:t>1</w:t>
      </w:r>
      <w:r>
        <w:fldChar w:fldCharType="end"/>
      </w:r>
      <w:r>
        <w:t>).</w:t>
      </w:r>
    </w:p>
    <w:p w14:paraId="6E8B9BB8" w14:textId="77777777" w:rsidR="003438A2" w:rsidRDefault="003438A2" w:rsidP="001D02E4">
      <w:r w:rsidRPr="002B497A">
        <w:t xml:space="preserve">In addition to in-field controls, standard packing house procedures in the PNW-USA, including sorting, grading and packing house sanitation (see </w:t>
      </w:r>
      <w:r>
        <w:t>S</w:t>
      </w:r>
      <w:r w:rsidRPr="002B497A">
        <w:t>ection</w:t>
      </w:r>
      <w:r>
        <w:t xml:space="preserve"> </w:t>
      </w:r>
      <w:r>
        <w:fldChar w:fldCharType="begin" w:fldLock="1"/>
      </w:r>
      <w:r>
        <w:instrText xml:space="preserve"> REF _Ref108437271 \n \h </w:instrText>
      </w:r>
      <w:r>
        <w:fldChar w:fldCharType="separate"/>
      </w:r>
      <w:r>
        <w:t>3.6</w:t>
      </w:r>
      <w:r>
        <w:fldChar w:fldCharType="end"/>
      </w:r>
      <w:r w:rsidRPr="002B497A">
        <w:t xml:space="preserve">) contribute to reducing </w:t>
      </w:r>
      <w:r w:rsidRPr="002B497A">
        <w:rPr>
          <w:i/>
          <w:iCs/>
        </w:rPr>
        <w:t>D. mali</w:t>
      </w:r>
      <w:r w:rsidRPr="002B497A">
        <w:t xml:space="preserve"> associat</w:t>
      </w:r>
      <w:r>
        <w:t>ion</w:t>
      </w:r>
      <w:r w:rsidRPr="002B497A">
        <w:t xml:space="preserve"> with commercial apple fruit.</w:t>
      </w:r>
    </w:p>
    <w:p w14:paraId="7CE1CBDD" w14:textId="77777777" w:rsidR="003438A2" w:rsidRPr="002B497A" w:rsidRDefault="003438A2" w:rsidP="001D02E4">
      <w:r w:rsidRPr="002B497A">
        <w:t xml:space="preserve">Commercial production practices in the PNW-USA for apple fruit for export also include phytosanitary inspection prior to export (see </w:t>
      </w:r>
      <w:r>
        <w:t>S</w:t>
      </w:r>
      <w:r w:rsidRPr="002B497A">
        <w:t>ection</w:t>
      </w:r>
      <w:r>
        <w:t xml:space="preserve"> </w:t>
      </w:r>
      <w:r>
        <w:fldChar w:fldCharType="begin" w:fldLock="1"/>
      </w:r>
      <w:r>
        <w:instrText xml:space="preserve"> REF _Ref108437271 \n \h </w:instrText>
      </w:r>
      <w:r>
        <w:fldChar w:fldCharType="separate"/>
      </w:r>
      <w:r>
        <w:t>3.6</w:t>
      </w:r>
      <w:r>
        <w:fldChar w:fldCharType="end"/>
      </w:r>
      <w:r w:rsidRPr="002B497A">
        <w:t>).</w:t>
      </w:r>
    </w:p>
    <w:p w14:paraId="7D56DE62" w14:textId="77777777" w:rsidR="003438A2" w:rsidRDefault="003438A2" w:rsidP="001D02E4">
      <w:pPr>
        <w:pStyle w:val="Heading6"/>
      </w:pPr>
      <w:r w:rsidRPr="00D83AC6">
        <w:lastRenderedPageBreak/>
        <w:t>Codling moth management</w:t>
      </w:r>
    </w:p>
    <w:p w14:paraId="089E549C" w14:textId="77777777" w:rsidR="003438A2" w:rsidRDefault="003438A2" w:rsidP="001D02E4">
      <w:pPr>
        <w:rPr>
          <w:strike/>
        </w:rPr>
      </w:pPr>
      <w:r w:rsidRPr="001646AF">
        <w:t xml:space="preserve">Codling moth is </w:t>
      </w:r>
      <w:r>
        <w:t xml:space="preserve">a lepidopteran pest that belongs to the </w:t>
      </w:r>
      <w:r w:rsidRPr="009B52CB">
        <w:rPr>
          <w:color w:val="000000" w:themeColor="text1"/>
        </w:rPr>
        <w:t>family Tortricidae</w:t>
      </w:r>
      <w:r>
        <w:rPr>
          <w:color w:val="000000" w:themeColor="text1"/>
        </w:rPr>
        <w:t>;</w:t>
      </w:r>
      <w:r w:rsidRPr="001646AF">
        <w:t xml:space="preserve"> </w:t>
      </w:r>
      <w:r>
        <w:t>it is a</w:t>
      </w:r>
      <w:r w:rsidRPr="001646AF">
        <w:t xml:space="preserve"> serious pest of apples in the PNW-</w:t>
      </w:r>
      <w:r w:rsidRPr="00BB3D9C">
        <w:t xml:space="preserve">USA </w:t>
      </w:r>
      <w:r>
        <w:rPr>
          <w:noProof/>
        </w:rPr>
        <w:t>(Wiman &amp; Stoven 2022)</w:t>
      </w:r>
      <w:r w:rsidRPr="00BB3D9C">
        <w:t>, especially in warmer, dr</w:t>
      </w:r>
      <w:r>
        <w:t>i</w:t>
      </w:r>
      <w:r w:rsidRPr="00BB3D9C">
        <w:t>er areas.</w:t>
      </w:r>
      <w:r>
        <w:t xml:space="preserve"> </w:t>
      </w:r>
      <w:r w:rsidRPr="001035E7">
        <w:rPr>
          <w:bCs/>
        </w:rPr>
        <w:t>Sampling and threshold monitoring predict</w:t>
      </w:r>
      <w:r>
        <w:rPr>
          <w:b/>
          <w:bCs/>
        </w:rPr>
        <w:t xml:space="preserve"> </w:t>
      </w:r>
      <w:r w:rsidRPr="001035E7">
        <w:rPr>
          <w:bCs/>
        </w:rPr>
        <w:t>t</w:t>
      </w:r>
      <w:r>
        <w:t>he development of codling moth by the accumulation of heat units, or degree-days using phenology models. By knowing the stage of the insect, management can be targeted to susceptible life stages. Treatments target the eggs or the wandering larvae during the brief period between egg hatch and the time when the larva is able to penetrate the fruit, where it is protected. Phenology model recommendations are generated by the local extension resources, crop consultants, software systems, or by using an online degree-day calculator</w:t>
      </w:r>
      <w:r w:rsidRPr="005B5529">
        <w:t>.</w:t>
      </w:r>
      <w:r w:rsidRPr="00270628">
        <w:rPr>
          <w:highlight w:val="lightGray"/>
        </w:rPr>
        <w:t xml:space="preserve"> </w:t>
      </w:r>
    </w:p>
    <w:p w14:paraId="3D2093A7" w14:textId="77777777" w:rsidR="003438A2" w:rsidRDefault="003438A2" w:rsidP="001D02E4">
      <w:r>
        <w:t xml:space="preserve">Applications of biological insecticides of </w:t>
      </w:r>
      <w:r w:rsidRPr="00B40529">
        <w:t xml:space="preserve">granulosis virus </w:t>
      </w:r>
      <w:r>
        <w:t>are</w:t>
      </w:r>
      <w:r w:rsidRPr="00B40529">
        <w:t xml:space="preserve"> used </w:t>
      </w:r>
      <w:r>
        <w:rPr>
          <w:noProof/>
        </w:rPr>
        <w:t>(Washington State University 2019a)</w:t>
      </w:r>
      <w:r w:rsidRPr="00B40529">
        <w:t xml:space="preserve">, which is a selective biological agent that must be ingested to be effective; therefore, thorough leaf coverage is important. The virus degrades when exposed to UV light, so where a grower relies on granulosis virus for codling moth control, frequent (every 7 to 10 days) applications are necessary, especially when codling moth pressure is high. The virus controls larvae, but some fruit damage may be evident. </w:t>
      </w:r>
    </w:p>
    <w:p w14:paraId="25CD433D" w14:textId="77777777" w:rsidR="003438A2" w:rsidRDefault="003438A2" w:rsidP="001D02E4">
      <w:r>
        <w:t xml:space="preserve">Cultural control of codling moth in small orchards may involve removing and disposing of young, damaged fruit. Throughout the season, fruit are checked for signs of infestation. Removing and destroying infested fruit prior to larval emergence and pupation can help reduce overall pest populations. Removing fallen fruit from the ground can also be an effective sanitation </w:t>
      </w:r>
      <w:r w:rsidRPr="00BB3D9C">
        <w:t xml:space="preserve">measure </w:t>
      </w:r>
      <w:r>
        <w:rPr>
          <w:noProof/>
        </w:rPr>
        <w:t>(Wiman, Stoven &amp; Bush 2019)</w:t>
      </w:r>
      <w:r w:rsidRPr="00B33F03">
        <w:t>.</w:t>
      </w:r>
      <w:r>
        <w:t xml:space="preserve"> </w:t>
      </w:r>
    </w:p>
    <w:p w14:paraId="4E993F45" w14:textId="77777777" w:rsidR="003438A2" w:rsidRDefault="003438A2" w:rsidP="001D02E4">
      <w:r w:rsidRPr="00F05394">
        <w:t xml:space="preserve">Mating disruption is also used to manage codling moth. Pheromone </w:t>
      </w:r>
      <w:r>
        <w:t>dispensers</w:t>
      </w:r>
      <w:r w:rsidRPr="00F05394">
        <w:t xml:space="preserve"> placed in the orchard </w:t>
      </w:r>
      <w:r>
        <w:t xml:space="preserve">slowly release synthetic pheromones that </w:t>
      </w:r>
      <w:r w:rsidRPr="00F05394">
        <w:t>interfere with</w:t>
      </w:r>
      <w:r>
        <w:t xml:space="preserve"> mating </w:t>
      </w:r>
      <w:r w:rsidRPr="00F05394">
        <w:t>communication from</w:t>
      </w:r>
      <w:r>
        <w:t xml:space="preserve"> </w:t>
      </w:r>
      <w:r w:rsidRPr="00F05394">
        <w:t>female to male</w:t>
      </w:r>
      <w:r>
        <w:t xml:space="preserve"> </w:t>
      </w:r>
      <w:r w:rsidRPr="00F05394">
        <w:t>moth</w:t>
      </w:r>
      <w:r>
        <w:t>s</w:t>
      </w:r>
      <w:r w:rsidRPr="00F05394">
        <w:t xml:space="preserve"> and this prevents or delays mating</w:t>
      </w:r>
      <w:r>
        <w:t>,</w:t>
      </w:r>
      <w:r w:rsidRPr="00F05394">
        <w:t xml:space="preserve"> </w:t>
      </w:r>
      <w:r>
        <w:t>thus</w:t>
      </w:r>
      <w:r w:rsidRPr="00F05394">
        <w:t xml:space="preserve"> reducing the number of eggs laid and crop damage. </w:t>
      </w:r>
      <w:r>
        <w:t>Dispensers</w:t>
      </w:r>
      <w:r w:rsidRPr="00F05394">
        <w:t xml:space="preserve"> are typically applied to trees at densities of 200 to 400 </w:t>
      </w:r>
      <w:r>
        <w:t xml:space="preserve">dispensers </w:t>
      </w:r>
      <w:r w:rsidRPr="00F05394">
        <w:t xml:space="preserve">per acre, sometimes with a higher density of dispensers </w:t>
      </w:r>
      <w:r>
        <w:t>at</w:t>
      </w:r>
      <w:r w:rsidRPr="00F05394">
        <w:t xml:space="preserve"> orchard borders.</w:t>
      </w:r>
      <w:r>
        <w:t xml:space="preserve"> </w:t>
      </w:r>
      <w:r w:rsidRPr="00AC4BF2">
        <w:t xml:space="preserve">Pheromone </w:t>
      </w:r>
      <w:r>
        <w:t>dispensers</w:t>
      </w:r>
      <w:r w:rsidRPr="00AC4BF2">
        <w:t xml:space="preserve"> can be applied to dormant trees and must be in place before </w:t>
      </w:r>
      <w:r>
        <w:t xml:space="preserve">the </w:t>
      </w:r>
      <w:r w:rsidRPr="00AC4BF2">
        <w:t xml:space="preserve">first moth flight around the time of full bloom. </w:t>
      </w:r>
      <w:r w:rsidRPr="008C7E88">
        <w:t xml:space="preserve">To apply mating disruption successfully, the orchards </w:t>
      </w:r>
      <w:r w:rsidRPr="00AC4BF2">
        <w:t>must be large, ideally greater than 10 acres, and success increase</w:t>
      </w:r>
      <w:r>
        <w:t>s</w:t>
      </w:r>
      <w:r w:rsidRPr="00AC4BF2">
        <w:t xml:space="preserve"> when neighbo</w:t>
      </w:r>
      <w:r>
        <w:t>u</w:t>
      </w:r>
      <w:r w:rsidRPr="00AC4BF2">
        <w:t>ring orchards also us</w:t>
      </w:r>
      <w:r>
        <w:t>e</w:t>
      </w:r>
      <w:r w:rsidRPr="00AC4BF2">
        <w:t xml:space="preserve"> the </w:t>
      </w:r>
      <w:r>
        <w:t>technique</w:t>
      </w:r>
      <w:r w:rsidRPr="00AC4BF2">
        <w:t xml:space="preserve">. Pheromone </w:t>
      </w:r>
      <w:r>
        <w:t>dispensers</w:t>
      </w:r>
      <w:r w:rsidRPr="00AC4BF2">
        <w:t xml:space="preserve"> are placed within </w:t>
      </w:r>
      <w:r>
        <w:t>0.6 metres</w:t>
      </w:r>
      <w:r w:rsidRPr="00AC4BF2">
        <w:t xml:space="preserve"> of the top of the canopy. If the orchard has a history of codling moth problems, </w:t>
      </w:r>
      <w:r>
        <w:t>one</w:t>
      </w:r>
      <w:r w:rsidRPr="00AC4BF2">
        <w:t xml:space="preserve"> or more insecticide applications are used against the first generation </w:t>
      </w:r>
      <w:r>
        <w:t>of larvae</w:t>
      </w:r>
      <w:r w:rsidRPr="00AC4BF2">
        <w:t>. If a codling moth source exists nearby, border sprays (</w:t>
      </w:r>
      <w:r>
        <w:t>five</w:t>
      </w:r>
      <w:r w:rsidRPr="00AC4BF2">
        <w:t xml:space="preserve"> to </w:t>
      </w:r>
      <w:r>
        <w:t>six</w:t>
      </w:r>
      <w:r w:rsidRPr="00AC4BF2">
        <w:t xml:space="preserve"> </w:t>
      </w:r>
      <w:r>
        <w:t>tree-</w:t>
      </w:r>
      <w:r w:rsidRPr="00AC4BF2">
        <w:t xml:space="preserve">rows) of insecticides </w:t>
      </w:r>
      <w:r>
        <w:t>are</w:t>
      </w:r>
      <w:r w:rsidRPr="00AC4BF2">
        <w:t xml:space="preserve"> used.</w:t>
      </w:r>
    </w:p>
    <w:p w14:paraId="681D182D" w14:textId="77777777" w:rsidR="003438A2" w:rsidRDefault="003438A2" w:rsidP="001D02E4">
      <w:r>
        <w:t>The pheromones used for mating disruption can also be used as a monitoring method through pheromone traps, which are set in the upper third of the orchard canopy. If more than five male moths are captured in a trap over the first generation, the orchard is checked for fruit damage, or a conventional insecticide is applied. If fruit damage exceeds 0.5% at the end of the first generation, conventional insecticides are used to provide supplemental control against the second generation. If more than two male moths are captured in a trap during the second generation, use of a conventional insecticide may also be necessary.</w:t>
      </w:r>
    </w:p>
    <w:bookmarkEnd w:id="108"/>
    <w:p w14:paraId="3F355595" w14:textId="77777777" w:rsidR="003438A2" w:rsidRDefault="003438A2" w:rsidP="001D02E4">
      <w:pPr>
        <w:pStyle w:val="Heading5"/>
      </w:pPr>
      <w:r w:rsidRPr="00D83AC6">
        <w:lastRenderedPageBreak/>
        <w:t>Pathogen management</w:t>
      </w:r>
    </w:p>
    <w:p w14:paraId="7C2109CB" w14:textId="77777777" w:rsidR="003438A2" w:rsidRPr="00D83AC6" w:rsidRDefault="003438A2" w:rsidP="001D02E4">
      <w:pPr>
        <w:pStyle w:val="Heading6"/>
      </w:pPr>
      <w:r w:rsidRPr="00D83AC6">
        <w:t>Fire blight</w:t>
      </w:r>
    </w:p>
    <w:p w14:paraId="1A81BAB1" w14:textId="77777777" w:rsidR="003438A2" w:rsidRDefault="003438A2" w:rsidP="001D02E4">
      <w:pPr>
        <w:rPr>
          <w:lang w:val="en-US"/>
        </w:rPr>
      </w:pPr>
      <w:r w:rsidRPr="00C4393C">
        <w:t>Fire blight</w:t>
      </w:r>
      <w:r>
        <w:t xml:space="preserve"> </w:t>
      </w:r>
      <w:r w:rsidRPr="00C4393C">
        <w:t>is a</w:t>
      </w:r>
      <w:r>
        <w:t>n important</w:t>
      </w:r>
      <w:r w:rsidRPr="00C4393C">
        <w:t xml:space="preserve"> bacterial disease of apple, pear and other rosaceous hosts caused by </w:t>
      </w:r>
      <w:r w:rsidRPr="00C4393C">
        <w:rPr>
          <w:i/>
        </w:rPr>
        <w:t>Erwinia</w:t>
      </w:r>
      <w:r>
        <w:rPr>
          <w:i/>
        </w:rPr>
        <w:t> </w:t>
      </w:r>
      <w:r w:rsidRPr="00C4393C">
        <w:rPr>
          <w:i/>
        </w:rPr>
        <w:t>amylovora</w:t>
      </w:r>
      <w:r>
        <w:rPr>
          <w:iCs/>
        </w:rPr>
        <w:t xml:space="preserve"> </w:t>
      </w:r>
      <w:r>
        <w:rPr>
          <w:noProof/>
        </w:rPr>
        <w:t>(Beer 1990; Stockwell, Johnson &amp; Loper 2002)</w:t>
      </w:r>
      <w:r>
        <w:t xml:space="preserve"> </w:t>
      </w:r>
      <w:r w:rsidRPr="002B497A">
        <w:t>and is reported in the PNW-USA.</w:t>
      </w:r>
      <w:r w:rsidRPr="00B440C9">
        <w:rPr>
          <w:color w:val="00B050"/>
        </w:rPr>
        <w:t xml:space="preserve"> </w:t>
      </w:r>
      <w:r>
        <w:rPr>
          <w:lang w:val="en-US"/>
        </w:rPr>
        <w:t xml:space="preserve">Infections of developing fruit can occur in the PNW-USA during bloom </w:t>
      </w:r>
      <w:r>
        <w:t>and in</w:t>
      </w:r>
      <w:r w:rsidRPr="00682627">
        <w:t xml:space="preserve"> the </w:t>
      </w:r>
      <w:r>
        <w:t>three-</w:t>
      </w:r>
      <w:r w:rsidRPr="00682627">
        <w:t>week</w:t>
      </w:r>
      <w:r>
        <w:t xml:space="preserve"> period</w:t>
      </w:r>
      <w:r w:rsidRPr="00682627">
        <w:t xml:space="preserve"> following petal fall</w:t>
      </w:r>
      <w:r>
        <w:t xml:space="preserve"> </w:t>
      </w:r>
      <w:r>
        <w:rPr>
          <w:noProof/>
        </w:rPr>
        <w:t>(Bonn &amp; Van der Zwet 2000; Dupont 2019c; Smith 1999)</w:t>
      </w:r>
      <w:r>
        <w:t>.</w:t>
      </w:r>
      <w:r w:rsidRPr="00682627">
        <w:t xml:space="preserve"> In Washington there have been minor outbreaks annually since 1991</w:t>
      </w:r>
      <w:r>
        <w:t>,</w:t>
      </w:r>
      <w:r w:rsidRPr="00682627">
        <w:t xml:space="preserve"> and serious damage </w:t>
      </w:r>
      <w:r>
        <w:t xml:space="preserve">to foliage on about 5 to 10% of </w:t>
      </w:r>
      <w:r w:rsidRPr="002B497A">
        <w:t xml:space="preserve">orchards </w:t>
      </w:r>
      <w:r>
        <w:t xml:space="preserve">was reported </w:t>
      </w:r>
      <w:r w:rsidRPr="00682627">
        <w:t xml:space="preserve">in 1993, 1997, 1998, 2005, 2009, 2012, 2015, 2016, 2017 and 2018 </w:t>
      </w:r>
      <w:r>
        <w:rPr>
          <w:noProof/>
        </w:rPr>
        <w:t>(Dupont 2019c)</w:t>
      </w:r>
      <w:r w:rsidRPr="00682627">
        <w:t xml:space="preserve">. Bacterial growth is minimal below </w:t>
      </w:r>
      <w:r>
        <w:t>10</w:t>
      </w:r>
      <w:r w:rsidRPr="00223363">
        <w:t>°</w:t>
      </w:r>
      <w:r>
        <w:t>C</w:t>
      </w:r>
      <w:r w:rsidRPr="00682627">
        <w:t>, and relatively sl</w:t>
      </w:r>
      <w:r>
        <w:t>ow at air temperatures between 1</w:t>
      </w:r>
      <w:r w:rsidRPr="00682627">
        <w:t>0</w:t>
      </w:r>
      <w:r w:rsidRPr="00223363">
        <w:t>°</w:t>
      </w:r>
      <w:r>
        <w:t>C</w:t>
      </w:r>
      <w:r w:rsidRPr="00682627">
        <w:t xml:space="preserve"> to </w:t>
      </w:r>
      <w:r>
        <w:t>21.1</w:t>
      </w:r>
      <w:r w:rsidRPr="00223363">
        <w:t>°</w:t>
      </w:r>
      <w:r>
        <w:t>C</w:t>
      </w:r>
      <w:r w:rsidRPr="00682627">
        <w:t xml:space="preserve">. At air temperatures above </w:t>
      </w:r>
      <w:r>
        <w:t>21.1</w:t>
      </w:r>
      <w:r w:rsidRPr="00223363">
        <w:t>°</w:t>
      </w:r>
      <w:r w:rsidRPr="00256DB0">
        <w:t>C</w:t>
      </w:r>
      <w:r w:rsidRPr="00682627">
        <w:t xml:space="preserve">, the rate of cell division increases </w:t>
      </w:r>
      <w:r w:rsidRPr="00855890">
        <w:t xml:space="preserve">rapidly and is </w:t>
      </w:r>
      <w:r>
        <w:t>highe</w:t>
      </w:r>
      <w:r w:rsidRPr="00855890">
        <w:t xml:space="preserve">st at </w:t>
      </w:r>
      <w:r>
        <w:t>26.7</w:t>
      </w:r>
      <w:r w:rsidRPr="00223363">
        <w:t>°</w:t>
      </w:r>
      <w:r w:rsidRPr="00256DB0">
        <w:t>C</w:t>
      </w:r>
      <w:r>
        <w:t>.</w:t>
      </w:r>
      <w:r w:rsidRPr="00855890">
        <w:t xml:space="preserve"> Above </w:t>
      </w:r>
      <w:r>
        <w:t>35</w:t>
      </w:r>
      <w:r w:rsidRPr="00223363">
        <w:t>°</w:t>
      </w:r>
      <w:r w:rsidRPr="00256DB0">
        <w:t>C</w:t>
      </w:r>
      <w:r>
        <w:t>,</w:t>
      </w:r>
      <w:r w:rsidRPr="00855890">
        <w:t xml:space="preserve"> cell density on and in the plant </w:t>
      </w:r>
      <w:r>
        <w:t>tends to</w:t>
      </w:r>
      <w:r w:rsidRPr="00855890">
        <w:t xml:space="preserve"> </w:t>
      </w:r>
      <w:r w:rsidRPr="00BC5580">
        <w:t xml:space="preserve">decline </w:t>
      </w:r>
      <w:r>
        <w:rPr>
          <w:noProof/>
        </w:rPr>
        <w:t>(Pusey &amp; Curry 2004)</w:t>
      </w:r>
      <w:r w:rsidRPr="00BC5580">
        <w:t xml:space="preserve">. Smith </w:t>
      </w:r>
      <w:r>
        <w:rPr>
          <w:noProof/>
        </w:rPr>
        <w:t>(2001)</w:t>
      </w:r>
      <w:r w:rsidRPr="00763B5A">
        <w:t xml:space="preserve"> reported that the weather during bloom in th</w:t>
      </w:r>
      <w:r>
        <w:t>e PNW-USA is generally too cool (20</w:t>
      </w:r>
      <w:r w:rsidRPr="00223363">
        <w:t>°</w:t>
      </w:r>
      <w:r w:rsidRPr="00256DB0">
        <w:t>C</w:t>
      </w:r>
      <w:r w:rsidRPr="00763B5A">
        <w:t xml:space="preserve"> or less daily maxim</w:t>
      </w:r>
      <w:r>
        <w:t>a</w:t>
      </w:r>
      <w:r w:rsidRPr="00763B5A">
        <w:t>) for primary blossom infections. In addition to warm temperatures</w:t>
      </w:r>
      <w:r>
        <w:t>,</w:t>
      </w:r>
      <w:r w:rsidRPr="00763B5A">
        <w:t xml:space="preserve"> moisture </w:t>
      </w:r>
      <w:r>
        <w:t>is</w:t>
      </w:r>
      <w:r w:rsidRPr="00763B5A">
        <w:t xml:space="preserve"> required</w:t>
      </w:r>
      <w:r>
        <w:t xml:space="preserve">, and as </w:t>
      </w:r>
      <w:r w:rsidRPr="00763B5A">
        <w:t xml:space="preserve">little as </w:t>
      </w:r>
      <w:r>
        <w:t>two</w:t>
      </w:r>
      <w:r w:rsidRPr="00763B5A">
        <w:t xml:space="preserve"> to </w:t>
      </w:r>
      <w:r>
        <w:t>three</w:t>
      </w:r>
      <w:r w:rsidRPr="00763B5A">
        <w:t xml:space="preserve"> hours of w</w:t>
      </w:r>
      <w:r w:rsidRPr="00855890">
        <w:t xml:space="preserve">etting is sufficient to trigger infections </w:t>
      </w:r>
      <w:r>
        <w:rPr>
          <w:noProof/>
        </w:rPr>
        <w:t>(Dupont 2019c)</w:t>
      </w:r>
      <w:r w:rsidRPr="00855890">
        <w:t xml:space="preserve">. </w:t>
      </w:r>
      <w:r>
        <w:rPr>
          <w:lang w:val="en-US"/>
        </w:rPr>
        <w:t>There is a risk of fire blight infection of developing fruit any time there are flowers on the tree, the weather is warm, and wetting occurs.</w:t>
      </w:r>
    </w:p>
    <w:p w14:paraId="7DE3DB35" w14:textId="77777777" w:rsidR="003438A2" w:rsidRPr="000B3609" w:rsidRDefault="003438A2" w:rsidP="001D02E4">
      <w:pPr>
        <w:rPr>
          <w:highlight w:val="cyan"/>
        </w:rPr>
      </w:pPr>
      <w:r w:rsidRPr="00EF0F87">
        <w:rPr>
          <w:rFonts w:eastAsia="Cambria" w:cs="Palatino-Roman"/>
          <w:lang w:eastAsia="en-AU"/>
        </w:rPr>
        <w:t>The</w:t>
      </w:r>
      <w:r w:rsidRPr="002838A4">
        <w:rPr>
          <w:rFonts w:asciiTheme="majorHAnsi" w:eastAsia="Cambria" w:hAnsiTheme="majorHAnsi" w:cs="Palatino-Roman"/>
          <w:lang w:eastAsia="en-AU"/>
        </w:rPr>
        <w:t xml:space="preserve"> </w:t>
      </w:r>
      <w:r w:rsidRPr="002838A4">
        <w:t xml:space="preserve">elements of </w:t>
      </w:r>
      <w:r>
        <w:t xml:space="preserve">fire blight </w:t>
      </w:r>
      <w:r w:rsidRPr="002838A4">
        <w:t>management</w:t>
      </w:r>
      <w:r>
        <w:t xml:space="preserve"> in PNW-USA</w:t>
      </w:r>
      <w:r w:rsidRPr="002838A4">
        <w:t xml:space="preserve"> </w:t>
      </w:r>
      <w:r>
        <w:t>include</w:t>
      </w:r>
      <w:r w:rsidRPr="002838A4">
        <w:t xml:space="preserve"> keeping field inoculum levels low </w:t>
      </w:r>
      <w:r>
        <w:t>by use of</w:t>
      </w:r>
      <w:r w:rsidRPr="002838A4">
        <w:t xml:space="preserve"> wint</w:t>
      </w:r>
      <w:r>
        <w:t xml:space="preserve">er pruning, and </w:t>
      </w:r>
      <w:r w:rsidRPr="002838A4">
        <w:t>application of chemical</w:t>
      </w:r>
      <w:r>
        <w:t xml:space="preserve"> </w:t>
      </w:r>
      <w:r w:rsidRPr="002838A4">
        <w:t>or biological control</w:t>
      </w:r>
      <w:r>
        <w:t>s at high-risk times predicted by modelling.</w:t>
      </w:r>
    </w:p>
    <w:p w14:paraId="295D8853" w14:textId="77777777" w:rsidR="003438A2" w:rsidRDefault="003438A2" w:rsidP="001D02E4">
      <w:r w:rsidRPr="00877008">
        <w:t>Pacific Northwest growers use temperature risk modelling (CougarBlyt/CougarBlight model) for disease event prediction</w:t>
      </w:r>
      <w:r>
        <w:t xml:space="preserve"> </w:t>
      </w:r>
      <w:r>
        <w:rPr>
          <w:noProof/>
        </w:rPr>
        <w:t>(Smith 1999; Smith 2006)</w:t>
      </w:r>
      <w:r>
        <w:t xml:space="preserve">, </w:t>
      </w:r>
      <w:r w:rsidRPr="00877008">
        <w:t xml:space="preserve">and the risk of fire blight infections during bloom is calculated based on the temperature and moisture levels in the area. The model assists growers in determining the timing </w:t>
      </w:r>
      <w:r>
        <w:t>of</w:t>
      </w:r>
      <w:r w:rsidRPr="00877008">
        <w:t xml:space="preserve"> commencement of control measures in susceptible production areas</w:t>
      </w:r>
      <w:r>
        <w:t>, as predicted</w:t>
      </w:r>
      <w:r w:rsidRPr="00877008">
        <w:t xml:space="preserve"> on the basis of </w:t>
      </w:r>
      <w:r>
        <w:t>the number of</w:t>
      </w:r>
      <w:r w:rsidRPr="00877008">
        <w:t xml:space="preserve"> hours of moisture </w:t>
      </w:r>
      <w:r>
        <w:t xml:space="preserve">at temperatures </w:t>
      </w:r>
      <w:r w:rsidRPr="00877008">
        <w:t xml:space="preserve">above 21.1°C </w:t>
      </w:r>
      <w:r>
        <w:t>over</w:t>
      </w:r>
      <w:r w:rsidRPr="00877008">
        <w:t xml:space="preserve"> the previous four days </w:t>
      </w:r>
      <w:r>
        <w:rPr>
          <w:noProof/>
        </w:rPr>
        <w:t>(Pusey &amp; Curry 2004)</w:t>
      </w:r>
      <w:r w:rsidRPr="00877008">
        <w:t>. The model then projects risk for the next three days based on predicted temperatures.</w:t>
      </w:r>
    </w:p>
    <w:p w14:paraId="0443AC9A" w14:textId="77777777" w:rsidR="003438A2" w:rsidRPr="00877008" w:rsidRDefault="003438A2" w:rsidP="001D02E4">
      <w:r w:rsidRPr="00B87DAD">
        <w:t>In the PNW-USA</w:t>
      </w:r>
      <w:r>
        <w:t>,</w:t>
      </w:r>
      <w:r w:rsidRPr="00B87DAD">
        <w:t xml:space="preserve"> in-field management of </w:t>
      </w:r>
      <w:r w:rsidRPr="00B87DAD">
        <w:rPr>
          <w:i/>
          <w:iCs/>
        </w:rPr>
        <w:t>E</w:t>
      </w:r>
      <w:r>
        <w:rPr>
          <w:i/>
          <w:iCs/>
        </w:rPr>
        <w:t xml:space="preserve">. </w:t>
      </w:r>
      <w:r w:rsidRPr="00B87DAD">
        <w:rPr>
          <w:i/>
          <w:iCs/>
        </w:rPr>
        <w:t>amylovora</w:t>
      </w:r>
      <w:r w:rsidRPr="00B87DAD">
        <w:t xml:space="preserve"> is conducted throughout the year during delayed dormant, pre-pink, pink, bloom, petal fall and pre-harvest stages.</w:t>
      </w:r>
    </w:p>
    <w:p w14:paraId="33413842" w14:textId="77777777" w:rsidR="003438A2" w:rsidRDefault="003438A2" w:rsidP="001D02E4">
      <w:r w:rsidRPr="00EF0F87">
        <w:rPr>
          <w:rFonts w:eastAsia="Cambria" w:cs="Palatino-Roman"/>
          <w:lang w:eastAsia="en-AU"/>
        </w:rPr>
        <w:t>I</w:t>
      </w:r>
      <w:r w:rsidRPr="00B8559D">
        <w:t>n-field</w:t>
      </w:r>
      <w:r w:rsidRPr="00412CE6">
        <w:t xml:space="preserve"> controls during blooming include spray program</w:t>
      </w:r>
      <w:r>
        <w:t>s</w:t>
      </w:r>
      <w:r w:rsidRPr="00412CE6">
        <w:t xml:space="preserve"> with antibiotics, biological control program</w:t>
      </w:r>
      <w:r>
        <w:t>s</w:t>
      </w:r>
      <w:r w:rsidRPr="00412CE6">
        <w:t xml:space="preserve"> (for example, Blossom Protect)</w:t>
      </w:r>
      <w:r>
        <w:t>,</w:t>
      </w:r>
      <w:r w:rsidRPr="00412CE6">
        <w:t xml:space="preserve"> and application of fixed copper sanitation prior to and after blooming</w:t>
      </w:r>
      <w:r>
        <w:t>,</w:t>
      </w:r>
      <w:r w:rsidRPr="00412CE6">
        <w:t xml:space="preserve"> to minimise risk </w:t>
      </w:r>
      <w:r>
        <w:t>of</w:t>
      </w:r>
      <w:r w:rsidRPr="00412CE6">
        <w:t xml:space="preserve"> fruit infections </w:t>
      </w:r>
      <w:r>
        <w:rPr>
          <w:noProof/>
        </w:rPr>
        <w:t>(Dupont 2019c)</w:t>
      </w:r>
      <w:r w:rsidRPr="001D41A3">
        <w:t>.</w:t>
      </w:r>
      <w:r w:rsidRPr="004A30D6">
        <w:t xml:space="preserve"> </w:t>
      </w:r>
      <w:r w:rsidRPr="00292381">
        <w:t xml:space="preserve">By protecting the secondary blossom </w:t>
      </w:r>
      <w:r>
        <w:t xml:space="preserve">using spray </w:t>
      </w:r>
      <w:r w:rsidRPr="00292381">
        <w:t xml:space="preserve">during the </w:t>
      </w:r>
      <w:r>
        <w:t xml:space="preserve">three </w:t>
      </w:r>
      <w:r w:rsidRPr="00292381">
        <w:t>weeks after petal fal</w:t>
      </w:r>
      <w:r>
        <w:t>l,</w:t>
      </w:r>
      <w:r w:rsidRPr="00292381">
        <w:t xml:space="preserve"> infection in the most common periods can be avoided </w:t>
      </w:r>
      <w:r>
        <w:rPr>
          <w:noProof/>
        </w:rPr>
        <w:t>(Dupont 2019c)</w:t>
      </w:r>
      <w:r w:rsidRPr="00292381">
        <w:t>.</w:t>
      </w:r>
    </w:p>
    <w:p w14:paraId="68180B2C" w14:textId="77777777" w:rsidR="003438A2" w:rsidRPr="002B497A" w:rsidRDefault="003438A2" w:rsidP="001D02E4">
      <w:pPr>
        <w:rPr>
          <w:lang w:val="en-US"/>
        </w:rPr>
      </w:pPr>
      <w:r w:rsidRPr="00877008">
        <w:t>The use</w:t>
      </w:r>
      <w:r>
        <w:t xml:space="preserve"> of</w:t>
      </w:r>
      <w:r w:rsidRPr="00877008">
        <w:t xml:space="preserve"> lime sulphur as a fruit crop load</w:t>
      </w:r>
      <w:r>
        <w:t>-</w:t>
      </w:r>
      <w:r w:rsidRPr="00877008">
        <w:t xml:space="preserve">thinning agent, </w:t>
      </w:r>
      <w:r>
        <w:t>as</w:t>
      </w:r>
      <w:r w:rsidRPr="00877008">
        <w:t xml:space="preserve"> sprayed in early bloom by growers in the PNW-USA, has </w:t>
      </w:r>
      <w:r>
        <w:t xml:space="preserve">also </w:t>
      </w:r>
      <w:r w:rsidRPr="00877008">
        <w:t>proven to be toxic to the pathogen</w:t>
      </w:r>
      <w:r>
        <w:t>,</w:t>
      </w:r>
      <w:r w:rsidRPr="00877008">
        <w:t xml:space="preserve"> as well as effective in reducing the number of flowers and thus the number of potential infection sites </w:t>
      </w:r>
      <w:r>
        <w:rPr>
          <w:noProof/>
        </w:rPr>
        <w:t>(Johnson 2014)</w:t>
      </w:r>
      <w:r w:rsidRPr="00877008">
        <w:t xml:space="preserve">. Conventional management such as fixed copper sanitation is applied in field at the pre-bloom stage if </w:t>
      </w:r>
      <w:r w:rsidRPr="00867201">
        <w:rPr>
          <w:i/>
          <w:iCs/>
        </w:rPr>
        <w:t>E. amylovora</w:t>
      </w:r>
      <w:r w:rsidRPr="00877008">
        <w:t xml:space="preserve"> was reported the previous year in the orchard. Blossom Protect, which is </w:t>
      </w:r>
      <w:r>
        <w:t xml:space="preserve">a formulation of </w:t>
      </w:r>
      <w:r w:rsidRPr="00877008">
        <w:t xml:space="preserve">the yeast </w:t>
      </w:r>
      <w:r w:rsidRPr="00877008">
        <w:rPr>
          <w:i/>
          <w:iCs/>
        </w:rPr>
        <w:t>Aureobasidium pullulans</w:t>
      </w:r>
      <w:r w:rsidRPr="00877008">
        <w:t xml:space="preserve">, is applied as </w:t>
      </w:r>
      <w:r>
        <w:t xml:space="preserve">a </w:t>
      </w:r>
      <w:r w:rsidRPr="00877008">
        <w:t xml:space="preserve">biological control agent by growers in the PNW-USA at the early bloom stage. </w:t>
      </w:r>
      <w:r>
        <w:t>The yeast</w:t>
      </w:r>
      <w:r w:rsidRPr="00877008">
        <w:t xml:space="preserve"> colonises flowers </w:t>
      </w:r>
      <w:r>
        <w:t>when applied as a spray,</w:t>
      </w:r>
      <w:r w:rsidRPr="00877008">
        <w:t xml:space="preserve"> and provides excellent protection</w:t>
      </w:r>
      <w:r w:rsidRPr="00292381">
        <w:t xml:space="preserve"> of both stigmas and nectaries </w:t>
      </w:r>
      <w:r>
        <w:t xml:space="preserve">from </w:t>
      </w:r>
      <w:r w:rsidRPr="00EF0F87">
        <w:rPr>
          <w:i/>
          <w:iCs/>
        </w:rPr>
        <w:t>E. amylovora</w:t>
      </w:r>
      <w:r>
        <w:rPr>
          <w:i/>
          <w:iCs/>
          <w:u w:val="single"/>
        </w:rPr>
        <w:t xml:space="preserve"> </w:t>
      </w:r>
      <w:r>
        <w:rPr>
          <w:noProof/>
        </w:rPr>
        <w:t>(Johnson 2014)</w:t>
      </w:r>
      <w:r w:rsidRPr="00877008">
        <w:t>. During high infection risk period</w:t>
      </w:r>
      <w:r>
        <w:t>s</w:t>
      </w:r>
      <w:r w:rsidRPr="00877008">
        <w:t xml:space="preserve">, antibiotics </w:t>
      </w:r>
      <w:r w:rsidRPr="002B497A">
        <w:t xml:space="preserve">such as kasugamycin </w:t>
      </w:r>
      <w:r w:rsidRPr="00877008">
        <w:t xml:space="preserve">are applied </w:t>
      </w:r>
      <w:r w:rsidRPr="00877008">
        <w:lastRenderedPageBreak/>
        <w:t>within a 24-hour window before</w:t>
      </w:r>
      <w:r>
        <w:t xml:space="preserve"> predicted</w:t>
      </w:r>
      <w:r w:rsidRPr="00877008">
        <w:t xml:space="preserve"> flower wetting</w:t>
      </w:r>
      <w:r>
        <w:t xml:space="preserve"> </w:t>
      </w:r>
      <w:r w:rsidRPr="002B497A">
        <w:rPr>
          <w:noProof/>
        </w:rPr>
        <w:t>(DuPont 2019a)</w:t>
      </w:r>
      <w:r w:rsidRPr="002B497A">
        <w:t xml:space="preserve">. </w:t>
      </w:r>
      <w:r w:rsidRPr="002B497A">
        <w:rPr>
          <w:lang w:val="en-US"/>
        </w:rPr>
        <w:t>K</w:t>
      </w:r>
      <w:r>
        <w:rPr>
          <w:lang w:val="en-US"/>
        </w:rPr>
        <w:t xml:space="preserve">asugamycin and streptomycin can also be applied up to 12 hours after a moisture event, but with reduced effectiveness. Streptomycin has locally systemic activity. </w:t>
      </w:r>
      <w:r w:rsidRPr="002B497A">
        <w:rPr>
          <w:lang w:val="en-US"/>
        </w:rPr>
        <w:t xml:space="preserve">Kasugamycin is effective on bacteria that have been washed into the floral cup but not yet invaded the flower. However, </w:t>
      </w:r>
      <w:r w:rsidRPr="002B497A">
        <w:rPr>
          <w:rFonts w:cs="Calibri"/>
        </w:rPr>
        <w:t>antibiotic resistance does occur in the USA.</w:t>
      </w:r>
    </w:p>
    <w:p w14:paraId="7D7196F5" w14:textId="77777777" w:rsidR="003438A2" w:rsidRPr="00D72CBA" w:rsidRDefault="003438A2" w:rsidP="001D02E4">
      <w:pPr>
        <w:rPr>
          <w:lang w:val="en-US"/>
        </w:rPr>
      </w:pPr>
      <w:r w:rsidRPr="009A5A62">
        <w:rPr>
          <w:lang w:val="en-US"/>
        </w:rPr>
        <w:t xml:space="preserve">Winter pruning is used to remove infected </w:t>
      </w:r>
      <w:r>
        <w:rPr>
          <w:lang w:val="en-US"/>
        </w:rPr>
        <w:t xml:space="preserve">woody </w:t>
      </w:r>
      <w:r w:rsidRPr="009A5A62">
        <w:rPr>
          <w:lang w:val="en-US"/>
        </w:rPr>
        <w:t>plant material</w:t>
      </w:r>
      <w:r>
        <w:rPr>
          <w:lang w:val="en-US"/>
        </w:rPr>
        <w:t xml:space="preserve"> (‘cankers’)</w:t>
      </w:r>
      <w:r w:rsidRPr="009A5A62">
        <w:rPr>
          <w:lang w:val="en-US"/>
        </w:rPr>
        <w:t xml:space="preserve"> from the </w:t>
      </w:r>
      <w:r>
        <w:rPr>
          <w:lang w:val="en-US"/>
        </w:rPr>
        <w:t>trees</w:t>
      </w:r>
      <w:r w:rsidRPr="009A5A62">
        <w:rPr>
          <w:lang w:val="en-US"/>
        </w:rPr>
        <w:t xml:space="preserve"> while the pathogen is inactive in </w:t>
      </w:r>
      <w:r>
        <w:rPr>
          <w:lang w:val="en-US"/>
        </w:rPr>
        <w:t xml:space="preserve">the </w:t>
      </w:r>
      <w:r w:rsidRPr="009A5A62">
        <w:rPr>
          <w:lang w:val="en-US"/>
        </w:rPr>
        <w:t xml:space="preserve">dormant host. </w:t>
      </w:r>
      <w:r>
        <w:rPr>
          <w:lang w:val="en-US"/>
        </w:rPr>
        <w:t xml:space="preserve">Summer pruning is undertaken at least 30 to 45 cm around the infection area and more aggressively in young, vigorously growing trees or in susceptible varieties </w:t>
      </w:r>
      <w:r>
        <w:rPr>
          <w:noProof/>
        </w:rPr>
        <w:t>(Dupont 2019c)</w:t>
      </w:r>
      <w:r w:rsidRPr="00855890">
        <w:t>.</w:t>
      </w:r>
      <w:r>
        <w:rPr>
          <w:lang w:val="en-US"/>
        </w:rPr>
        <w:t xml:space="preserve"> </w:t>
      </w:r>
      <w:r w:rsidRPr="00B73A6D">
        <w:rPr>
          <w:lang w:val="en-US"/>
        </w:rPr>
        <w:t xml:space="preserve">Elkins </w:t>
      </w:r>
      <w:r>
        <w:rPr>
          <w:noProof/>
          <w:lang w:val="en-US"/>
        </w:rPr>
        <w:t>(2015)</w:t>
      </w:r>
      <w:r>
        <w:rPr>
          <w:lang w:val="en-US"/>
        </w:rPr>
        <w:t xml:space="preserve"> reported that late dormant copper applications may also assist orchard sanitation and reduce inoculum levels into spring. </w:t>
      </w:r>
      <w:r w:rsidRPr="00D72CBA">
        <w:rPr>
          <w:bCs/>
          <w:lang w:val="en-US"/>
        </w:rPr>
        <w:t>In young orchards</w:t>
      </w:r>
      <w:r>
        <w:rPr>
          <w:bCs/>
          <w:lang w:val="en-US"/>
        </w:rPr>
        <w:t xml:space="preserve">, </w:t>
      </w:r>
      <w:r w:rsidRPr="00D72CBA">
        <w:rPr>
          <w:lang w:val="en-US"/>
        </w:rPr>
        <w:t>removal of late blooms limits the number of flowers</w:t>
      </w:r>
      <w:r>
        <w:rPr>
          <w:lang w:val="en-US"/>
        </w:rPr>
        <w:t>,</w:t>
      </w:r>
      <w:r w:rsidRPr="00D72CBA">
        <w:rPr>
          <w:lang w:val="en-US"/>
        </w:rPr>
        <w:t xml:space="preserve"> and thus reduces potential points of infe</w:t>
      </w:r>
      <w:r>
        <w:rPr>
          <w:lang w:val="en-US"/>
        </w:rPr>
        <w:t xml:space="preserve">ction </w:t>
      </w:r>
      <w:r>
        <w:rPr>
          <w:noProof/>
        </w:rPr>
        <w:t>(Dupont 2019c)</w:t>
      </w:r>
      <w:r w:rsidRPr="00855890">
        <w:t>.</w:t>
      </w:r>
    </w:p>
    <w:p w14:paraId="09B93E80" w14:textId="77777777" w:rsidR="003438A2" w:rsidRPr="00C006EB" w:rsidRDefault="003438A2" w:rsidP="001D02E4">
      <w:r>
        <w:t xml:space="preserve">Cultural controls and other in-field management practices to control fire blight include </w:t>
      </w:r>
      <w:r w:rsidRPr="00855890">
        <w:t xml:space="preserve">managing weeds and cover crops to </w:t>
      </w:r>
      <w:r w:rsidRPr="00E41899">
        <w:t xml:space="preserve">limit relative humidity and avoiding irrigation during bloom </w:t>
      </w:r>
      <w:r>
        <w:rPr>
          <w:noProof/>
        </w:rPr>
        <w:t>(Dupont 2019c)</w:t>
      </w:r>
      <w:r w:rsidRPr="00C006EB">
        <w:t>.</w:t>
      </w:r>
    </w:p>
    <w:p w14:paraId="229F73F7" w14:textId="77777777" w:rsidR="003438A2" w:rsidRDefault="003438A2" w:rsidP="001D02E4">
      <w:pPr>
        <w:rPr>
          <w:lang w:eastAsia="en-AU"/>
        </w:rPr>
      </w:pPr>
      <w:bookmarkStart w:id="110" w:name="_Hlk47561171"/>
      <w:r w:rsidRPr="00C006EB">
        <w:t xml:space="preserve">Prior to harvest, fruit maturity is monitored in each variety and orchard block in the PNW-USA using an iodine test </w:t>
      </w:r>
      <w:r>
        <w:t>to determine</w:t>
      </w:r>
      <w:r w:rsidRPr="00C006EB">
        <w:t xml:space="preserve"> the starch pattern index </w:t>
      </w:r>
      <w:r w:rsidRPr="002B497A">
        <w:rPr>
          <w:noProof/>
        </w:rPr>
        <w:t>(Washington State University 2019b)</w:t>
      </w:r>
      <w:r w:rsidRPr="002B497A">
        <w:t>, which is a measure of starch depletion and</w:t>
      </w:r>
      <w:r w:rsidRPr="009C68C2">
        <w:rPr>
          <w:color w:val="00B050"/>
        </w:rPr>
        <w:t xml:space="preserve"> </w:t>
      </w:r>
      <w:r w:rsidRPr="00C006EB">
        <w:t xml:space="preserve">as a standard quality control measure for storage of apples </w:t>
      </w:r>
      <w:r>
        <w:rPr>
          <w:noProof/>
        </w:rPr>
        <w:t>(Washington Apple Commission 2020)</w:t>
      </w:r>
      <w:r w:rsidRPr="00C006EB">
        <w:t xml:space="preserve">. </w:t>
      </w:r>
      <w:r>
        <w:t xml:space="preserve">Other fruit maturity </w:t>
      </w:r>
      <w:r w:rsidRPr="002B497A">
        <w:t xml:space="preserve">tests including </w:t>
      </w:r>
      <w:r w:rsidRPr="002B497A">
        <w:rPr>
          <w:lang w:eastAsia="en-AU"/>
        </w:rPr>
        <w:t xml:space="preserve">fruit firmness and soluble solids concentration (SSC) are also </w:t>
      </w:r>
      <w:r w:rsidRPr="00C006EB">
        <w:rPr>
          <w:lang w:eastAsia="en-AU"/>
        </w:rPr>
        <w:t xml:space="preserve">performed at this time </w:t>
      </w:r>
      <w:r>
        <w:rPr>
          <w:noProof/>
        </w:rPr>
        <w:t>(Washington State University 2019b)</w:t>
      </w:r>
      <w:r w:rsidRPr="00C006EB">
        <w:rPr>
          <w:lang w:eastAsia="en-AU"/>
        </w:rPr>
        <w:t>.</w:t>
      </w:r>
    </w:p>
    <w:p w14:paraId="5A309ECC" w14:textId="77777777" w:rsidR="003438A2" w:rsidRPr="002B497A" w:rsidRDefault="003438A2" w:rsidP="001D02E4">
      <w:pPr>
        <w:rPr>
          <w:lang w:eastAsia="en-AU"/>
        </w:rPr>
      </w:pPr>
      <w:r w:rsidRPr="002B497A">
        <w:t>Current in-field controls to manage fire blight by PNW-USA growers are summarised in</w:t>
      </w:r>
      <w:r>
        <w:t xml:space="preserve"> </w:t>
      </w:r>
      <w:r>
        <w:fldChar w:fldCharType="begin" w:fldLock="1"/>
      </w:r>
      <w:r>
        <w:instrText xml:space="preserve"> REF _Ref108437154 \h </w:instrText>
      </w:r>
      <w:r>
        <w:fldChar w:fldCharType="separate"/>
      </w:r>
      <w:r>
        <w:t xml:space="preserve">Table </w:t>
      </w:r>
      <w:r>
        <w:rPr>
          <w:noProof/>
        </w:rPr>
        <w:t>3</w:t>
      </w:r>
      <w:r>
        <w:t>.</w:t>
      </w:r>
      <w:r>
        <w:rPr>
          <w:noProof/>
        </w:rPr>
        <w:t>1</w:t>
      </w:r>
      <w:r>
        <w:fldChar w:fldCharType="end"/>
      </w:r>
      <w:r>
        <w:t>.</w:t>
      </w:r>
    </w:p>
    <w:p w14:paraId="1648F0AC" w14:textId="77777777" w:rsidR="003438A2" w:rsidRPr="002B497A" w:rsidRDefault="003438A2" w:rsidP="001D02E4">
      <w:pPr>
        <w:rPr>
          <w:lang w:eastAsia="en-AU"/>
        </w:rPr>
      </w:pPr>
      <w:r w:rsidRPr="002B497A">
        <w:t xml:space="preserve">In addition to in-field controls, standard packing house procedures in the PNW-USA, including sorting, grading and packing house sanitation (see </w:t>
      </w:r>
      <w:r>
        <w:t>S</w:t>
      </w:r>
      <w:r w:rsidRPr="002B497A">
        <w:t>ection</w:t>
      </w:r>
      <w:r>
        <w:t xml:space="preserve"> </w:t>
      </w:r>
      <w:r>
        <w:fldChar w:fldCharType="begin" w:fldLock="1"/>
      </w:r>
      <w:r>
        <w:instrText xml:space="preserve"> REF _Ref108437340 \n \h </w:instrText>
      </w:r>
      <w:r>
        <w:fldChar w:fldCharType="separate"/>
      </w:r>
      <w:r>
        <w:t>3.6</w:t>
      </w:r>
      <w:r>
        <w:fldChar w:fldCharType="end"/>
      </w:r>
      <w:r w:rsidRPr="002B497A">
        <w:t xml:space="preserve">) contribute to reducing </w:t>
      </w:r>
      <w:r>
        <w:t xml:space="preserve">association of </w:t>
      </w:r>
      <w:r w:rsidRPr="002B497A">
        <w:t xml:space="preserve">this pest with commercial apple fruit. Commercial production practices in the PNW-USA for apple fruit for export also include phytosanitary inspection prior to export (see </w:t>
      </w:r>
      <w:r>
        <w:t>S</w:t>
      </w:r>
      <w:r w:rsidRPr="002B497A">
        <w:t>ection 3.6).</w:t>
      </w:r>
    </w:p>
    <w:p w14:paraId="0745B3EE" w14:textId="77777777" w:rsidR="003438A2" w:rsidRPr="008C7147" w:rsidRDefault="003438A2" w:rsidP="001D02E4">
      <w:pPr>
        <w:rPr>
          <w:lang w:eastAsia="en-AU"/>
        </w:rPr>
      </w:pPr>
      <w:r w:rsidRPr="009B4CFD">
        <w:t xml:space="preserve">These practices are comparable to those practices required for apples from New Zealand in the existing policy </w:t>
      </w:r>
      <w:bookmarkStart w:id="111" w:name="_Hlk112745016"/>
      <w:r w:rsidRPr="009B4CFD">
        <w:rPr>
          <w:noProof/>
        </w:rPr>
        <w:t>(Biosecurity Australia 2011b)</w:t>
      </w:r>
      <w:bookmarkEnd w:id="111"/>
      <w:r w:rsidRPr="009B4CFD">
        <w:t>.</w:t>
      </w:r>
    </w:p>
    <w:bookmarkEnd w:id="110"/>
    <w:p w14:paraId="181462D7" w14:textId="77777777" w:rsidR="003438A2" w:rsidRPr="00551762" w:rsidRDefault="003438A2" w:rsidP="001D02E4">
      <w:pPr>
        <w:pStyle w:val="Heading6"/>
      </w:pPr>
      <w:r w:rsidRPr="00551762">
        <w:t>Post-harvest rot management</w:t>
      </w:r>
    </w:p>
    <w:p w14:paraId="6120A07B" w14:textId="77777777" w:rsidR="003438A2" w:rsidRDefault="003438A2" w:rsidP="001D02E4">
      <w:pPr>
        <w:rPr>
          <w:rFonts w:eastAsia="Calibri" w:cs="Times New Roman"/>
          <w:iCs/>
        </w:rPr>
      </w:pPr>
      <w:r w:rsidRPr="00867201">
        <w:t>Post-harvest rot fungi, such as Sphaeropsis</w:t>
      </w:r>
      <w:r w:rsidRPr="00551762">
        <w:rPr>
          <w:rFonts w:eastAsia="Calibri" w:cs="Times New Roman"/>
          <w:iCs/>
          <w:szCs w:val="18"/>
        </w:rPr>
        <w:t xml:space="preserve"> rot (</w:t>
      </w:r>
      <w:r w:rsidRPr="00551762">
        <w:rPr>
          <w:rFonts w:eastAsia="Calibri" w:cs="Times New Roman"/>
          <w:bCs/>
          <w:i/>
          <w:iCs/>
        </w:rPr>
        <w:t>Sphaeropsis pyriputrescens</w:t>
      </w:r>
      <w:r w:rsidRPr="00551762">
        <w:t>)</w:t>
      </w:r>
      <w:r w:rsidRPr="00551762">
        <w:rPr>
          <w:rFonts w:eastAsia="Calibri" w:cs="Times New Roman"/>
          <w:bCs/>
          <w:i/>
          <w:iCs/>
        </w:rPr>
        <w:t xml:space="preserve">, </w:t>
      </w:r>
      <w:r>
        <w:rPr>
          <w:rFonts w:eastAsia="Calibri" w:cs="Times New Roman"/>
          <w:bCs/>
          <w:iCs/>
        </w:rPr>
        <w:t>s</w:t>
      </w:r>
      <w:r w:rsidRPr="00551762">
        <w:rPr>
          <w:rFonts w:eastAsia="Calibri" w:cs="Times New Roman"/>
          <w:bCs/>
          <w:iCs/>
        </w:rPr>
        <w:t>peck rot</w:t>
      </w:r>
      <w:r w:rsidRPr="00551762">
        <w:rPr>
          <w:rFonts w:eastAsia="Calibri" w:cs="Times New Roman"/>
          <w:bCs/>
          <w:i/>
          <w:iCs/>
        </w:rPr>
        <w:t xml:space="preserve"> </w:t>
      </w:r>
      <w:r w:rsidRPr="00551762">
        <w:t>(</w:t>
      </w:r>
      <w:r w:rsidRPr="00551762">
        <w:rPr>
          <w:rFonts w:eastAsia="Calibri" w:cs="Times New Roman"/>
          <w:bCs/>
          <w:i/>
          <w:iCs/>
        </w:rPr>
        <w:t>Phacidiopycnis washingtonensis</w:t>
      </w:r>
      <w:r w:rsidRPr="0031373C">
        <w:t xml:space="preserve">) and </w:t>
      </w:r>
      <w:r w:rsidRPr="0031373C">
        <w:rPr>
          <w:rFonts w:eastAsia="Calibri" w:cs="Times New Roman"/>
          <w:bCs/>
          <w:iCs/>
        </w:rPr>
        <w:t>Phacidiopycnis rot (</w:t>
      </w:r>
      <w:r w:rsidRPr="0031373C">
        <w:rPr>
          <w:rFonts w:eastAsia="Calibri" w:cs="Times New Roman"/>
          <w:bCs/>
          <w:i/>
          <w:iCs/>
          <w:lang w:val="en"/>
        </w:rPr>
        <w:t>Discula pyri</w:t>
      </w:r>
      <w:r w:rsidRPr="0031373C">
        <w:t>)</w:t>
      </w:r>
      <w:r w:rsidRPr="0031373C">
        <w:rPr>
          <w:rFonts w:asciiTheme="majorHAnsi" w:eastAsia="Cambria" w:hAnsiTheme="majorHAnsi" w:cs="Times New Roman"/>
          <w:bCs/>
          <w:iCs/>
          <w:lang w:eastAsia="en-AU"/>
        </w:rPr>
        <w:t xml:space="preserve"> </w:t>
      </w:r>
      <w:r w:rsidRPr="0031373C">
        <w:t>are</w:t>
      </w:r>
      <w:r w:rsidRPr="005F57E5">
        <w:t xml:space="preserve"> pathogens</w:t>
      </w:r>
      <w:r w:rsidRPr="00551762">
        <w:rPr>
          <w:rFonts w:eastAsia="Calibri" w:cs="Times New Roman"/>
          <w:iCs/>
        </w:rPr>
        <w:t xml:space="preserve"> of </w:t>
      </w:r>
      <w:r>
        <w:rPr>
          <w:rFonts w:eastAsia="Calibri" w:cs="Times New Roman"/>
          <w:iCs/>
        </w:rPr>
        <w:t xml:space="preserve">post-harvest biosecurity </w:t>
      </w:r>
      <w:r w:rsidRPr="00551762">
        <w:rPr>
          <w:rFonts w:eastAsia="Calibri" w:cs="Times New Roman"/>
          <w:iCs/>
        </w:rPr>
        <w:t>concern in PNW-USA.</w:t>
      </w:r>
    </w:p>
    <w:p w14:paraId="3BB96860" w14:textId="77777777" w:rsidR="003438A2" w:rsidRDefault="003438A2" w:rsidP="001D02E4">
      <w:r w:rsidRPr="00551762">
        <w:rPr>
          <w:rFonts w:eastAsia="Calibri" w:cs="Times New Roman"/>
          <w:iCs/>
        </w:rPr>
        <w:t>PNW-USA has introduced a s</w:t>
      </w:r>
      <w:r w:rsidRPr="00551762">
        <w:t xml:space="preserve">ystems approach in apple production areas </w:t>
      </w:r>
      <w:r>
        <w:t>f</w:t>
      </w:r>
      <w:r w:rsidRPr="00551762">
        <w:rPr>
          <w:rFonts w:eastAsia="Calibri" w:cs="Times New Roman"/>
          <w:iCs/>
        </w:rPr>
        <w:t xml:space="preserve">or control of post-harvest rot fungi </w:t>
      </w:r>
      <w:r>
        <w:rPr>
          <w:noProof/>
        </w:rPr>
        <w:t>(Xiao 2013a, b)</w:t>
      </w:r>
      <w:r w:rsidRPr="00551762">
        <w:t>. The systems approach involves orchard monitoring and in-field controls, pre-harvest and post-harvest application of fungicides</w:t>
      </w:r>
      <w:r>
        <w:t>,</w:t>
      </w:r>
      <w:r w:rsidRPr="00551762">
        <w:t xml:space="preserve"> and pre-export examination of fruit. PNW state authorities have developed guidelines for growers for detecting disease symptoms caused by the rot fungi in </w:t>
      </w:r>
      <w:r>
        <w:t xml:space="preserve">the </w:t>
      </w:r>
      <w:r w:rsidRPr="00551762">
        <w:t>field and on apple f</w:t>
      </w:r>
      <w:r>
        <w:t>ruit. I</w:t>
      </w:r>
      <w:r w:rsidRPr="00551762">
        <w:t xml:space="preserve">n-field controls in the growing season involve monitoring of </w:t>
      </w:r>
      <w:r w:rsidRPr="0031373C">
        <w:t>Manchurian crabapples (</w:t>
      </w:r>
      <w:r w:rsidRPr="0031373C">
        <w:rPr>
          <w:i/>
        </w:rPr>
        <w:t>Malus baccata</w:t>
      </w:r>
      <w:r w:rsidRPr="0031373C">
        <w:t xml:space="preserve">), which are planted in apple orchards as pollinisers, and are known to be highly susceptible to post-harvest </w:t>
      </w:r>
      <w:r w:rsidRPr="0031373C">
        <w:lastRenderedPageBreak/>
        <w:t>rot fungi.</w:t>
      </w:r>
      <w:r w:rsidRPr="00551762">
        <w:t xml:space="preserve"> </w:t>
      </w:r>
      <w:r>
        <w:t>Infected branches of crab</w:t>
      </w:r>
      <w:r w:rsidRPr="00551762">
        <w:t>apple trees are pruned</w:t>
      </w:r>
      <w:r>
        <w:t>,</w:t>
      </w:r>
      <w:r w:rsidRPr="00551762">
        <w:t xml:space="preserve"> and infected tissue </w:t>
      </w:r>
      <w:r>
        <w:t>and</w:t>
      </w:r>
      <w:r w:rsidRPr="00551762">
        <w:t xml:space="preserve"> dead/dying branches are removed to reduce the inoculum levels. In addition, pre-harvest fungicide applications are </w:t>
      </w:r>
      <w:r>
        <w:t>used</w:t>
      </w:r>
      <w:r w:rsidRPr="00551762">
        <w:t xml:space="preserve"> to </w:t>
      </w:r>
      <w:r>
        <w:t>manage inoculum levels</w:t>
      </w:r>
      <w:r w:rsidRPr="00551762">
        <w:t>.</w:t>
      </w:r>
    </w:p>
    <w:p w14:paraId="52E5EE9C" w14:textId="77777777" w:rsidR="003438A2" w:rsidRDefault="003438A2" w:rsidP="001D02E4">
      <w:r>
        <w:t>O</w:t>
      </w:r>
      <w:r w:rsidRPr="00551762">
        <w:t xml:space="preserve">nly mature symptomless fruit </w:t>
      </w:r>
      <w:r>
        <w:t xml:space="preserve">are picked </w:t>
      </w:r>
      <w:r w:rsidRPr="00551762">
        <w:t>for export. During packing house processing, apple packers apply a post-harvest fungicide by drenching the fruit when delivered to the packing house and prior to storage</w:t>
      </w:r>
      <w:r>
        <w:t>,</w:t>
      </w:r>
      <w:r w:rsidRPr="00551762">
        <w:t xml:space="preserve"> or alternatively applying fungicide as a fogging treatment in cool rooms within 14 days of </w:t>
      </w:r>
      <w:r>
        <w:t xml:space="preserve">commencement of </w:t>
      </w:r>
      <w:r w:rsidRPr="00551762">
        <w:t>storage.</w:t>
      </w:r>
    </w:p>
    <w:p w14:paraId="59FFB84D" w14:textId="77777777" w:rsidR="003438A2" w:rsidRPr="00D83AC6" w:rsidRDefault="003438A2" w:rsidP="001D02E4">
      <w:pPr>
        <w:pStyle w:val="Heading6"/>
      </w:pPr>
      <w:r w:rsidRPr="00D83AC6">
        <w:t>European canker management</w:t>
      </w:r>
    </w:p>
    <w:p w14:paraId="424E55D0" w14:textId="77777777" w:rsidR="003438A2" w:rsidRDefault="003438A2" w:rsidP="001D02E4">
      <w:pPr>
        <w:rPr>
          <w:color w:val="00B050"/>
        </w:rPr>
      </w:pPr>
      <w:r>
        <w:rPr>
          <w:lang w:val="en"/>
        </w:rPr>
        <w:t xml:space="preserve">European canker is a disease caused by a fungal pathogen, </w:t>
      </w:r>
      <w:r w:rsidRPr="002B497A">
        <w:rPr>
          <w:i/>
        </w:rPr>
        <w:t>Neonectria ditissima</w:t>
      </w:r>
      <w:r>
        <w:rPr>
          <w:i/>
        </w:rPr>
        <w:t>.</w:t>
      </w:r>
      <w:r w:rsidRPr="002B497A">
        <w:rPr>
          <w:lang w:val="en"/>
        </w:rPr>
        <w:t xml:space="preserve"> </w:t>
      </w:r>
      <w:r>
        <w:rPr>
          <w:lang w:val="en"/>
        </w:rPr>
        <w:t xml:space="preserve">It is found primarily in high rainfall areas along the coast in the Willamette Valley </w:t>
      </w:r>
      <w:r w:rsidRPr="002B497A">
        <w:rPr>
          <w:lang w:val="en"/>
        </w:rPr>
        <w:t xml:space="preserve">in western Oregon and in western Washington </w:t>
      </w:r>
      <w:r>
        <w:rPr>
          <w:noProof/>
        </w:rPr>
        <w:t>(Pscheidt &amp; Ocamb 2021a)</w:t>
      </w:r>
      <w:r w:rsidRPr="002B497A">
        <w:rPr>
          <w:lang w:val="en"/>
        </w:rPr>
        <w:t xml:space="preserve">. </w:t>
      </w:r>
      <w:r w:rsidRPr="002B497A">
        <w:rPr>
          <w:i/>
        </w:rPr>
        <w:t>Neonectria ditissima</w:t>
      </w:r>
      <w:r w:rsidRPr="002B497A">
        <w:rPr>
          <w:lang w:val="en"/>
        </w:rPr>
        <w:t xml:space="preserve"> is rarely found in southern, central or eastern parts of Oregon, and has not been reported in eastern Washington or in Idaho. </w:t>
      </w:r>
      <w:r w:rsidRPr="002B497A">
        <w:t>In</w:t>
      </w:r>
      <w:r w:rsidRPr="0068403C">
        <w:t xml:space="preserve">-field control practices and packing house sanitation </w:t>
      </w:r>
      <w:r>
        <w:t>are used to manage</w:t>
      </w:r>
      <w:r w:rsidRPr="0068403C">
        <w:t xml:space="preserve"> European canker</w:t>
      </w:r>
      <w:r>
        <w:t xml:space="preserve">. </w:t>
      </w:r>
      <w:r>
        <w:rPr>
          <w:lang w:val="en"/>
        </w:rPr>
        <w:t>In-field control includes c</w:t>
      </w:r>
      <w:r w:rsidRPr="00C648E6">
        <w:rPr>
          <w:lang w:val="en"/>
        </w:rPr>
        <w:t>ultural control</w:t>
      </w:r>
      <w:r w:rsidRPr="00C648E6">
        <w:t xml:space="preserve"> </w:t>
      </w:r>
      <w:r>
        <w:t>by</w:t>
      </w:r>
      <w:r w:rsidRPr="00C648E6">
        <w:t xml:space="preserve"> removing and </w:t>
      </w:r>
      <w:r>
        <w:t xml:space="preserve">destroying </w:t>
      </w:r>
      <w:r w:rsidRPr="00C648E6">
        <w:t xml:space="preserve">cankers during dry weather and </w:t>
      </w:r>
      <w:r>
        <w:t>disinfecting</w:t>
      </w:r>
      <w:r w:rsidRPr="00C648E6">
        <w:rPr>
          <w:lang w:val="en" w:eastAsia="en-AU"/>
        </w:rPr>
        <w:t xml:space="preserve"> pruning shears.</w:t>
      </w:r>
      <w:r>
        <w:rPr>
          <w:lang w:val="en" w:eastAsia="en-AU"/>
        </w:rPr>
        <w:t xml:space="preserve"> In-field fungicide applications are conducted </w:t>
      </w:r>
      <w:r w:rsidRPr="00C648E6">
        <w:rPr>
          <w:lang w:val="en"/>
        </w:rPr>
        <w:t xml:space="preserve">before </w:t>
      </w:r>
      <w:r>
        <w:rPr>
          <w:lang w:val="en"/>
        </w:rPr>
        <w:t>autumn</w:t>
      </w:r>
      <w:r w:rsidRPr="00C648E6">
        <w:rPr>
          <w:lang w:val="en"/>
        </w:rPr>
        <w:t xml:space="preserve"> rains for fruit rot </w:t>
      </w:r>
      <w:r>
        <w:rPr>
          <w:lang w:val="en"/>
        </w:rPr>
        <w:t xml:space="preserve">and European canker </w:t>
      </w:r>
      <w:r w:rsidRPr="00C648E6">
        <w:rPr>
          <w:lang w:val="en"/>
        </w:rPr>
        <w:t>control</w:t>
      </w:r>
      <w:r>
        <w:rPr>
          <w:lang w:val="en"/>
        </w:rPr>
        <w:t>,</w:t>
      </w:r>
      <w:r w:rsidRPr="00C648E6">
        <w:rPr>
          <w:lang w:val="en"/>
        </w:rPr>
        <w:t xml:space="preserve"> and during early</w:t>
      </w:r>
      <w:r>
        <w:rPr>
          <w:lang w:val="en"/>
        </w:rPr>
        <w:t xml:space="preserve"> and/or</w:t>
      </w:r>
      <w:r w:rsidRPr="00C648E6">
        <w:rPr>
          <w:lang w:val="en"/>
        </w:rPr>
        <w:t xml:space="preserve"> mid</w:t>
      </w:r>
      <w:r>
        <w:rPr>
          <w:lang w:val="en"/>
        </w:rPr>
        <w:t xml:space="preserve">- </w:t>
      </w:r>
      <w:r w:rsidRPr="00C648E6">
        <w:rPr>
          <w:lang w:val="en"/>
        </w:rPr>
        <w:t>to</w:t>
      </w:r>
      <w:r>
        <w:rPr>
          <w:lang w:val="en"/>
        </w:rPr>
        <w:t xml:space="preserve"> </w:t>
      </w:r>
      <w:r w:rsidRPr="00C648E6">
        <w:rPr>
          <w:lang w:val="en"/>
        </w:rPr>
        <w:t>lat</w:t>
      </w:r>
      <w:r>
        <w:rPr>
          <w:lang w:val="en"/>
        </w:rPr>
        <w:t>e leaf fall for control on branches. The same f</w:t>
      </w:r>
      <w:r w:rsidRPr="00C648E6">
        <w:rPr>
          <w:lang w:val="en"/>
        </w:rPr>
        <w:t>ungicide</w:t>
      </w:r>
      <w:r>
        <w:rPr>
          <w:lang w:val="en"/>
        </w:rPr>
        <w:t xml:space="preserve"> applications also </w:t>
      </w:r>
      <w:r w:rsidRPr="00C648E6">
        <w:rPr>
          <w:lang w:val="en"/>
        </w:rPr>
        <w:t>protect leaf scars</w:t>
      </w:r>
      <w:r>
        <w:rPr>
          <w:lang w:val="en"/>
        </w:rPr>
        <w:t>.</w:t>
      </w:r>
    </w:p>
    <w:p w14:paraId="523EDF5C" w14:textId="77777777" w:rsidR="003438A2" w:rsidRPr="009B4CFD" w:rsidRDefault="003438A2" w:rsidP="001D02E4">
      <w:r w:rsidRPr="002B497A">
        <w:t xml:space="preserve">In addition to in-field controls, standard packing house procedures in the PNW-USA, including sorting, grading and packing house sanitation (see </w:t>
      </w:r>
      <w:r>
        <w:t>S</w:t>
      </w:r>
      <w:r w:rsidRPr="002B497A">
        <w:t>ection</w:t>
      </w:r>
      <w:r>
        <w:t xml:space="preserve"> </w:t>
      </w:r>
      <w:r>
        <w:fldChar w:fldCharType="begin" w:fldLock="1"/>
      </w:r>
      <w:r>
        <w:instrText xml:space="preserve"> REF _Ref108437271 \n \h </w:instrText>
      </w:r>
      <w:r>
        <w:fldChar w:fldCharType="separate"/>
      </w:r>
      <w:r>
        <w:t>3.6</w:t>
      </w:r>
      <w:r>
        <w:fldChar w:fldCharType="end"/>
      </w:r>
      <w:r w:rsidRPr="002B497A">
        <w:t xml:space="preserve">) contribute to reducing </w:t>
      </w:r>
      <w:r>
        <w:t xml:space="preserve">association of </w:t>
      </w:r>
      <w:r w:rsidRPr="002B497A">
        <w:t xml:space="preserve">this pest with commercial apple fruit. Commercial production practices in the PNW-USA for apple fruit for export also include phytosanitary inspection prior to export (see </w:t>
      </w:r>
      <w:r>
        <w:t>S</w:t>
      </w:r>
      <w:r w:rsidRPr="002B497A">
        <w:t>ection</w:t>
      </w:r>
      <w:r>
        <w:t xml:space="preserve"> </w:t>
      </w:r>
      <w:r>
        <w:fldChar w:fldCharType="begin" w:fldLock="1"/>
      </w:r>
      <w:r>
        <w:instrText xml:space="preserve"> REF _Ref108437288 \n \h </w:instrText>
      </w:r>
      <w:r>
        <w:fldChar w:fldCharType="separate"/>
      </w:r>
      <w:r>
        <w:t>3.6</w:t>
      </w:r>
      <w:r>
        <w:fldChar w:fldCharType="end"/>
      </w:r>
      <w:r w:rsidRPr="009B4CFD">
        <w:t>).</w:t>
      </w:r>
    </w:p>
    <w:p w14:paraId="510B9B3F" w14:textId="77777777" w:rsidR="003438A2" w:rsidRPr="008C7147" w:rsidRDefault="003438A2" w:rsidP="001D02E4">
      <w:pPr>
        <w:rPr>
          <w:lang w:eastAsia="en-AU"/>
        </w:rPr>
      </w:pPr>
      <w:r w:rsidRPr="009B4CFD">
        <w:t xml:space="preserve">These practices are comparable to those practices required for apples from New Zealand in the existing policy </w:t>
      </w:r>
      <w:r w:rsidRPr="009B4CFD">
        <w:rPr>
          <w:noProof/>
        </w:rPr>
        <w:t>(Biosecurity Australia 2011b)</w:t>
      </w:r>
      <w:r w:rsidRPr="009B4CFD">
        <w:t>.</w:t>
      </w:r>
    </w:p>
    <w:p w14:paraId="454F9D06" w14:textId="77777777" w:rsidR="003438A2" w:rsidRDefault="003438A2" w:rsidP="001D02E4">
      <w:pPr>
        <w:spacing w:after="0" w:line="240" w:lineRule="auto"/>
        <w:rPr>
          <w:rFonts w:eastAsiaTheme="majorEastAsia" w:cstheme="majorBidi"/>
          <w:b/>
          <w:bCs/>
          <w:color w:val="595959" w:themeColor="text1" w:themeTint="A6"/>
          <w:sz w:val="20"/>
          <w:szCs w:val="18"/>
        </w:rPr>
      </w:pPr>
      <w:bookmarkStart w:id="112" w:name="_Ref45007786"/>
      <w:bookmarkStart w:id="113" w:name="_Ref16520619"/>
      <w:r>
        <w:br w:type="page"/>
      </w:r>
    </w:p>
    <w:p w14:paraId="1A47C08E" w14:textId="77777777" w:rsidR="003438A2" w:rsidRDefault="003438A2" w:rsidP="003624DB">
      <w:pPr>
        <w:pStyle w:val="TableHeading"/>
        <w:rPr>
          <w:noProof/>
        </w:rPr>
      </w:pPr>
      <w:bookmarkStart w:id="114" w:name="_Ref108437154"/>
      <w:bookmarkStart w:id="115" w:name="_Toc112770160"/>
      <w:bookmarkStart w:id="116" w:name="_Toc107944337"/>
      <w:bookmarkEnd w:id="112"/>
      <w:bookmarkEnd w:id="113"/>
      <w:r>
        <w:lastRenderedPageBreak/>
        <w:t xml:space="preserve">Table </w:t>
      </w:r>
      <w:fldSimple w:instr=" STYLEREF 2 \s " w:fldLock="1">
        <w:r>
          <w:rPr>
            <w:noProof/>
          </w:rPr>
          <w:t>3</w:t>
        </w:r>
      </w:fldSimple>
      <w:r>
        <w:t>.</w:t>
      </w:r>
      <w:fldSimple w:instr=" SEQ Table \* ARABIC \s 2 " w:fldLock="1">
        <w:r>
          <w:rPr>
            <w:noProof/>
          </w:rPr>
          <w:t>1</w:t>
        </w:r>
      </w:fldSimple>
      <w:bookmarkEnd w:id="114"/>
      <w:r w:rsidRPr="009003B1">
        <w:t xml:space="preserve"> </w:t>
      </w:r>
      <w:r w:rsidRPr="00B372F3">
        <w:t xml:space="preserve">Pest </w:t>
      </w:r>
      <w:r w:rsidRPr="009B4CFD">
        <w:t xml:space="preserve">control program for commercially produced apples in the PNW-USA as recommended by </w:t>
      </w:r>
      <w:r w:rsidRPr="009B4CFD">
        <w:rPr>
          <w:rFonts w:cstheme="minorHAnsi"/>
          <w:noProof/>
        </w:rPr>
        <w:t>APHIS (2014)</w:t>
      </w:r>
      <w:r w:rsidRPr="009B4CFD">
        <w:rPr>
          <w:rFonts w:cstheme="minorHAnsi"/>
        </w:rPr>
        <w:t>;</w:t>
      </w:r>
      <w:r w:rsidRPr="009B4CFD">
        <w:t xml:space="preserve"> </w:t>
      </w:r>
      <w:r w:rsidRPr="009B4CFD">
        <w:rPr>
          <w:rFonts w:cstheme="minorHAnsi"/>
          <w:noProof/>
        </w:rPr>
        <w:t>Washington State Department of Agriculture (2019)</w:t>
      </w:r>
      <w:r w:rsidRPr="009B4CFD">
        <w:rPr>
          <w:rFonts w:cstheme="minorHAnsi"/>
        </w:rPr>
        <w:t xml:space="preserve">; </w:t>
      </w:r>
      <w:r w:rsidRPr="009B4CFD">
        <w:rPr>
          <w:noProof/>
        </w:rPr>
        <w:t>Washington State Legislature (2019)</w:t>
      </w:r>
      <w:r>
        <w:t xml:space="preserve">; </w:t>
      </w:r>
      <w:r>
        <w:rPr>
          <w:noProof/>
        </w:rPr>
        <w:t>Beers (2017)</w:t>
      </w:r>
      <w:r>
        <w:t xml:space="preserve">; </w:t>
      </w:r>
      <w:r>
        <w:rPr>
          <w:noProof/>
        </w:rPr>
        <w:t>Wiman and Stoven (2022); Yee et al. (2012)</w:t>
      </w:r>
      <w:r>
        <w:t xml:space="preserve">; </w:t>
      </w:r>
      <w:r>
        <w:rPr>
          <w:noProof/>
        </w:rPr>
        <w:t>Wiman and Stoven (2021a); PNW Pest Management Handbooks (2021);</w:t>
      </w:r>
      <w:r w:rsidRPr="00B90F77">
        <w:t xml:space="preserve"> </w:t>
      </w:r>
      <w:r>
        <w:rPr>
          <w:noProof/>
        </w:rPr>
        <w:t>WSU Tree Fruit (2021b)</w:t>
      </w:r>
      <w:r>
        <w:t xml:space="preserve">; </w:t>
      </w:r>
      <w:r>
        <w:rPr>
          <w:noProof/>
        </w:rPr>
        <w:t>WSU (2021)</w:t>
      </w:r>
      <w:r>
        <w:t xml:space="preserve"> and </w:t>
      </w:r>
      <w:r>
        <w:rPr>
          <w:noProof/>
        </w:rPr>
        <w:t>Kaur (2022)</w:t>
      </w:r>
      <w:bookmarkEnd w:id="115"/>
    </w:p>
    <w:tbl>
      <w:tblPr>
        <w:tblStyle w:val="TableGrid"/>
        <w:tblW w:w="10152" w:type="pct"/>
        <w:tblBorders>
          <w:left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2409"/>
        <w:gridCol w:w="2663"/>
        <w:gridCol w:w="4449"/>
        <w:gridCol w:w="4449"/>
        <w:gridCol w:w="4446"/>
      </w:tblGrid>
      <w:tr w:rsidR="003438A2" w:rsidRPr="0058554C" w14:paraId="24F15E16" w14:textId="77777777" w:rsidTr="006A64D6">
        <w:trPr>
          <w:gridAfter w:val="2"/>
          <w:wAfter w:w="2415" w:type="pct"/>
          <w:trHeight w:val="334"/>
          <w:tblHeader/>
        </w:trPr>
        <w:tc>
          <w:tcPr>
            <w:tcW w:w="654" w:type="pct"/>
            <w:tcBorders>
              <w:top w:val="single" w:sz="4" w:space="0" w:color="auto"/>
              <w:bottom w:val="single" w:sz="4" w:space="0" w:color="D9D9D9" w:themeColor="background1" w:themeShade="D9"/>
            </w:tcBorders>
            <w:shd w:val="clear" w:color="auto" w:fill="auto"/>
          </w:tcPr>
          <w:bookmarkEnd w:id="116"/>
          <w:p w14:paraId="4DB2C51A" w14:textId="77777777" w:rsidR="003438A2" w:rsidRPr="0058554C" w:rsidRDefault="003438A2" w:rsidP="0034083F">
            <w:pPr>
              <w:pStyle w:val="TableHeading"/>
              <w:rPr>
                <w:szCs w:val="18"/>
              </w:rPr>
            </w:pPr>
            <w:r w:rsidRPr="0058554C">
              <w:rPr>
                <w:szCs w:val="18"/>
              </w:rPr>
              <w:t>Pest/s to be controlled</w:t>
            </w:r>
          </w:p>
        </w:tc>
        <w:tc>
          <w:tcPr>
            <w:tcW w:w="723" w:type="pct"/>
            <w:tcBorders>
              <w:top w:val="single" w:sz="4" w:space="0" w:color="auto"/>
              <w:bottom w:val="single" w:sz="4" w:space="0" w:color="D9D9D9" w:themeColor="background1" w:themeShade="D9"/>
            </w:tcBorders>
          </w:tcPr>
          <w:p w14:paraId="5E405527" w14:textId="77777777" w:rsidR="003438A2" w:rsidRPr="0058554C" w:rsidRDefault="003438A2" w:rsidP="0034083F">
            <w:pPr>
              <w:pStyle w:val="TableHeading"/>
              <w:rPr>
                <w:szCs w:val="18"/>
              </w:rPr>
            </w:pPr>
            <w:r w:rsidRPr="0058554C">
              <w:rPr>
                <w:szCs w:val="18"/>
              </w:rPr>
              <w:t>Apple stage/period</w:t>
            </w:r>
          </w:p>
        </w:tc>
        <w:tc>
          <w:tcPr>
            <w:tcW w:w="1208" w:type="pct"/>
            <w:tcBorders>
              <w:top w:val="single" w:sz="4" w:space="0" w:color="auto"/>
              <w:bottom w:val="single" w:sz="4" w:space="0" w:color="D9D9D9" w:themeColor="background1" w:themeShade="D9"/>
            </w:tcBorders>
            <w:shd w:val="clear" w:color="auto" w:fill="auto"/>
          </w:tcPr>
          <w:p w14:paraId="650FA9C9" w14:textId="77777777" w:rsidR="003438A2" w:rsidRPr="0058554C" w:rsidRDefault="003438A2" w:rsidP="0034083F">
            <w:pPr>
              <w:pStyle w:val="TableHeading"/>
              <w:rPr>
                <w:szCs w:val="18"/>
              </w:rPr>
            </w:pPr>
            <w:r w:rsidRPr="0058554C">
              <w:rPr>
                <w:szCs w:val="18"/>
              </w:rPr>
              <w:t xml:space="preserve">Control materials </w:t>
            </w:r>
          </w:p>
        </w:tc>
      </w:tr>
      <w:tr w:rsidR="003438A2" w:rsidRPr="00B077EC" w14:paraId="4387F96A" w14:textId="77777777" w:rsidTr="0034083F">
        <w:trPr>
          <w:gridAfter w:val="2"/>
          <w:wAfter w:w="2415" w:type="pct"/>
          <w:trHeight w:val="334"/>
        </w:trPr>
        <w:tc>
          <w:tcPr>
            <w:tcW w:w="654" w:type="pct"/>
            <w:tcBorders>
              <w:top w:val="single" w:sz="4" w:space="0" w:color="D9D9D9" w:themeColor="background1" w:themeShade="D9"/>
              <w:bottom w:val="single" w:sz="4" w:space="0" w:color="D9D9D9" w:themeColor="background1" w:themeShade="D9"/>
            </w:tcBorders>
            <w:shd w:val="clear" w:color="auto" w:fill="auto"/>
          </w:tcPr>
          <w:p w14:paraId="5AB33234" w14:textId="77777777" w:rsidR="003438A2" w:rsidRPr="0058554C" w:rsidRDefault="003438A2" w:rsidP="0034083F">
            <w:pPr>
              <w:pStyle w:val="TableText"/>
              <w:rPr>
                <w:szCs w:val="18"/>
              </w:rPr>
            </w:pPr>
            <w:r w:rsidRPr="0058554C">
              <w:rPr>
                <w:szCs w:val="18"/>
              </w:rPr>
              <w:t>Apple maggot (</w:t>
            </w:r>
            <w:r w:rsidRPr="0058554C">
              <w:rPr>
                <w:i/>
                <w:szCs w:val="18"/>
              </w:rPr>
              <w:t>Rhagoletis pomonella</w:t>
            </w:r>
            <w:r w:rsidRPr="0058554C">
              <w:rPr>
                <w:szCs w:val="18"/>
              </w:rPr>
              <w:t>)</w:t>
            </w:r>
          </w:p>
        </w:tc>
        <w:tc>
          <w:tcPr>
            <w:tcW w:w="723" w:type="pct"/>
            <w:tcBorders>
              <w:top w:val="single" w:sz="4" w:space="0" w:color="D9D9D9" w:themeColor="background1" w:themeShade="D9"/>
              <w:bottom w:val="single" w:sz="4" w:space="0" w:color="D9D9D9" w:themeColor="background1" w:themeShade="D9"/>
            </w:tcBorders>
          </w:tcPr>
          <w:p w14:paraId="2799E848" w14:textId="77777777" w:rsidR="003438A2" w:rsidRPr="0058554C" w:rsidRDefault="003438A2" w:rsidP="0034083F">
            <w:pPr>
              <w:pStyle w:val="TableText"/>
              <w:rPr>
                <w:szCs w:val="18"/>
              </w:rPr>
            </w:pPr>
            <w:r w:rsidRPr="0058554C">
              <w:rPr>
                <w:szCs w:val="18"/>
              </w:rPr>
              <w:t>Pre-harvest</w:t>
            </w:r>
            <w:r>
              <w:rPr>
                <w:szCs w:val="18"/>
              </w:rPr>
              <w:t xml:space="preserve"> /growing season</w:t>
            </w:r>
          </w:p>
        </w:tc>
        <w:tc>
          <w:tcPr>
            <w:tcW w:w="1208" w:type="pct"/>
            <w:tcBorders>
              <w:top w:val="single" w:sz="4" w:space="0" w:color="D9D9D9" w:themeColor="background1" w:themeShade="D9"/>
              <w:bottom w:val="single" w:sz="4" w:space="0" w:color="D9D9D9" w:themeColor="background1" w:themeShade="D9"/>
            </w:tcBorders>
            <w:shd w:val="clear" w:color="auto" w:fill="auto"/>
          </w:tcPr>
          <w:p w14:paraId="5670E181" w14:textId="77777777" w:rsidR="003438A2" w:rsidRPr="00EF0F87" w:rsidRDefault="003438A2" w:rsidP="0034083F">
            <w:pPr>
              <w:pStyle w:val="TableText"/>
              <w:rPr>
                <w:szCs w:val="18"/>
              </w:rPr>
            </w:pPr>
            <w:r w:rsidRPr="0058554C">
              <w:rPr>
                <w:szCs w:val="18"/>
              </w:rPr>
              <w:t xml:space="preserve">Trapping, monitoring and surveillance for area freedom maintenance. Where the pest is established, </w:t>
            </w:r>
            <w:r w:rsidRPr="002B497A">
              <w:rPr>
                <w:szCs w:val="18"/>
              </w:rPr>
              <w:t xml:space="preserve">targeted </w:t>
            </w:r>
            <w:r w:rsidRPr="0058554C">
              <w:rPr>
                <w:szCs w:val="18"/>
              </w:rPr>
              <w:t xml:space="preserve">insecticide sprays (e.g. acetamiprid, </w:t>
            </w:r>
            <w:r>
              <w:rPr>
                <w:szCs w:val="18"/>
              </w:rPr>
              <w:t>beta-cyfluthrin, chlorantraniliprole</w:t>
            </w:r>
            <w:r w:rsidRPr="0058554C">
              <w:rPr>
                <w:szCs w:val="18"/>
              </w:rPr>
              <w:t>).</w:t>
            </w:r>
          </w:p>
        </w:tc>
      </w:tr>
      <w:tr w:rsidR="003438A2" w:rsidRPr="00B077EC" w14:paraId="5F9B1D2D" w14:textId="77777777" w:rsidTr="0034083F">
        <w:trPr>
          <w:gridAfter w:val="2"/>
          <w:wAfter w:w="2415" w:type="pct"/>
          <w:trHeight w:val="334"/>
        </w:trPr>
        <w:tc>
          <w:tcPr>
            <w:tcW w:w="654" w:type="pct"/>
            <w:vMerge w:val="restart"/>
            <w:shd w:val="clear" w:color="auto" w:fill="auto"/>
          </w:tcPr>
          <w:p w14:paraId="52783265" w14:textId="77777777" w:rsidR="003438A2" w:rsidRPr="00EF0F87" w:rsidRDefault="003438A2" w:rsidP="0034083F">
            <w:pPr>
              <w:pStyle w:val="TableText"/>
              <w:rPr>
                <w:szCs w:val="18"/>
              </w:rPr>
            </w:pPr>
            <w:r>
              <w:rPr>
                <w:szCs w:val="18"/>
              </w:rPr>
              <w:t>Fire blight (</w:t>
            </w:r>
            <w:r w:rsidRPr="00B10F26">
              <w:rPr>
                <w:i/>
                <w:iCs/>
                <w:szCs w:val="18"/>
              </w:rPr>
              <w:t>Erwinia amylovora</w:t>
            </w:r>
            <w:r>
              <w:rPr>
                <w:szCs w:val="18"/>
              </w:rPr>
              <w:t>)</w:t>
            </w:r>
          </w:p>
        </w:tc>
        <w:tc>
          <w:tcPr>
            <w:tcW w:w="723" w:type="pct"/>
            <w:tcBorders>
              <w:top w:val="single" w:sz="4" w:space="0" w:color="D9D9D9" w:themeColor="background1" w:themeShade="D9"/>
            </w:tcBorders>
          </w:tcPr>
          <w:p w14:paraId="68323331" w14:textId="77777777" w:rsidR="003438A2" w:rsidRPr="00EF0F87" w:rsidRDefault="003438A2" w:rsidP="0034083F">
            <w:pPr>
              <w:pStyle w:val="TableText"/>
              <w:rPr>
                <w:szCs w:val="18"/>
              </w:rPr>
            </w:pPr>
            <w:r w:rsidRPr="00EF0F87">
              <w:rPr>
                <w:szCs w:val="18"/>
              </w:rPr>
              <w:t>Pre-pink</w:t>
            </w:r>
          </w:p>
        </w:tc>
        <w:tc>
          <w:tcPr>
            <w:tcW w:w="1208" w:type="pct"/>
            <w:tcBorders>
              <w:top w:val="single" w:sz="4" w:space="0" w:color="D9D9D9" w:themeColor="background1" w:themeShade="D9"/>
            </w:tcBorders>
            <w:shd w:val="clear" w:color="auto" w:fill="auto"/>
          </w:tcPr>
          <w:p w14:paraId="68E2CB38" w14:textId="77777777" w:rsidR="003438A2" w:rsidRPr="00EF0F87" w:rsidRDefault="003438A2" w:rsidP="0034083F">
            <w:pPr>
              <w:pStyle w:val="TableText"/>
              <w:rPr>
                <w:szCs w:val="18"/>
              </w:rPr>
            </w:pPr>
            <w:r w:rsidRPr="00EF0F87">
              <w:rPr>
                <w:szCs w:val="18"/>
              </w:rPr>
              <w:t>Temperature risk models (e.g. CougarBlyt/CougarBlight model) for disease event prediction for in-field control; spray program with antibiotics; biological control agents</w:t>
            </w:r>
            <w:r>
              <w:rPr>
                <w:szCs w:val="18"/>
              </w:rPr>
              <w:t xml:space="preserve"> such as Blossom Protect</w:t>
            </w:r>
            <w:r w:rsidRPr="00EF0F87">
              <w:rPr>
                <w:szCs w:val="18"/>
              </w:rPr>
              <w:t>; fixed copper sanitation; lime sulphur.</w:t>
            </w:r>
          </w:p>
        </w:tc>
      </w:tr>
      <w:tr w:rsidR="003438A2" w:rsidRPr="00B077EC" w14:paraId="3D6225A1" w14:textId="77777777" w:rsidTr="0034083F">
        <w:trPr>
          <w:gridAfter w:val="2"/>
          <w:wAfter w:w="2415" w:type="pct"/>
          <w:trHeight w:val="334"/>
        </w:trPr>
        <w:tc>
          <w:tcPr>
            <w:tcW w:w="654" w:type="pct"/>
            <w:vMerge/>
            <w:shd w:val="clear" w:color="auto" w:fill="auto"/>
          </w:tcPr>
          <w:p w14:paraId="5CBB2E86" w14:textId="77777777" w:rsidR="003438A2" w:rsidRPr="00EF0F87" w:rsidRDefault="003438A2" w:rsidP="0034083F">
            <w:pPr>
              <w:pStyle w:val="TableText"/>
              <w:rPr>
                <w:szCs w:val="18"/>
              </w:rPr>
            </w:pPr>
          </w:p>
        </w:tc>
        <w:tc>
          <w:tcPr>
            <w:tcW w:w="723" w:type="pct"/>
            <w:tcBorders>
              <w:top w:val="single" w:sz="4" w:space="0" w:color="D9D9D9" w:themeColor="background1" w:themeShade="D9"/>
            </w:tcBorders>
          </w:tcPr>
          <w:p w14:paraId="13F4A918" w14:textId="77777777" w:rsidR="003438A2" w:rsidRPr="00EF0F87" w:rsidRDefault="003438A2" w:rsidP="0034083F">
            <w:pPr>
              <w:pStyle w:val="TableText"/>
              <w:rPr>
                <w:szCs w:val="18"/>
              </w:rPr>
            </w:pPr>
            <w:r w:rsidRPr="00EF0F87">
              <w:rPr>
                <w:szCs w:val="18"/>
              </w:rPr>
              <w:t>Pink</w:t>
            </w:r>
          </w:p>
        </w:tc>
        <w:tc>
          <w:tcPr>
            <w:tcW w:w="1208" w:type="pct"/>
            <w:tcBorders>
              <w:top w:val="single" w:sz="4" w:space="0" w:color="D9D9D9" w:themeColor="background1" w:themeShade="D9"/>
            </w:tcBorders>
            <w:shd w:val="clear" w:color="auto" w:fill="auto"/>
          </w:tcPr>
          <w:p w14:paraId="2C07AC1A" w14:textId="77777777" w:rsidR="003438A2" w:rsidRPr="00EF0F87" w:rsidRDefault="003438A2" w:rsidP="0034083F">
            <w:pPr>
              <w:pStyle w:val="TableText"/>
              <w:rPr>
                <w:szCs w:val="18"/>
              </w:rPr>
            </w:pPr>
            <w:r w:rsidRPr="00EF0F87">
              <w:rPr>
                <w:szCs w:val="18"/>
              </w:rPr>
              <w:t>Temperature risk models (e.g. CougarBlyt/CougarBlight model) for disease event prediction for in-field control; spray program with antibiotics; biological control agents</w:t>
            </w:r>
            <w:r>
              <w:rPr>
                <w:szCs w:val="18"/>
              </w:rPr>
              <w:t xml:space="preserve"> such as</w:t>
            </w:r>
            <w:r w:rsidRPr="00EF0F87">
              <w:rPr>
                <w:szCs w:val="18"/>
              </w:rPr>
              <w:t xml:space="preserve"> Blossom Protect; fixed copper sanitation.</w:t>
            </w:r>
          </w:p>
        </w:tc>
      </w:tr>
      <w:tr w:rsidR="003438A2" w:rsidRPr="00B077EC" w14:paraId="2D6DF2A8" w14:textId="77777777" w:rsidTr="0034083F">
        <w:trPr>
          <w:gridAfter w:val="2"/>
          <w:wAfter w:w="2415" w:type="pct"/>
          <w:trHeight w:val="334"/>
        </w:trPr>
        <w:tc>
          <w:tcPr>
            <w:tcW w:w="654" w:type="pct"/>
            <w:vMerge/>
            <w:shd w:val="clear" w:color="auto" w:fill="auto"/>
          </w:tcPr>
          <w:p w14:paraId="794A7690" w14:textId="77777777" w:rsidR="003438A2" w:rsidRPr="00EF0F87" w:rsidRDefault="003438A2" w:rsidP="0034083F">
            <w:pPr>
              <w:pStyle w:val="TableText"/>
              <w:rPr>
                <w:szCs w:val="18"/>
              </w:rPr>
            </w:pPr>
          </w:p>
        </w:tc>
        <w:tc>
          <w:tcPr>
            <w:tcW w:w="723" w:type="pct"/>
            <w:tcBorders>
              <w:top w:val="single" w:sz="4" w:space="0" w:color="D9D9D9" w:themeColor="background1" w:themeShade="D9"/>
            </w:tcBorders>
          </w:tcPr>
          <w:p w14:paraId="38B373CA" w14:textId="77777777" w:rsidR="003438A2" w:rsidRPr="00EF0F87" w:rsidRDefault="003438A2" w:rsidP="0034083F">
            <w:pPr>
              <w:pStyle w:val="TableText"/>
              <w:rPr>
                <w:szCs w:val="18"/>
              </w:rPr>
            </w:pPr>
            <w:r w:rsidRPr="00EF0F87">
              <w:rPr>
                <w:szCs w:val="18"/>
              </w:rPr>
              <w:t>Bloom</w:t>
            </w:r>
          </w:p>
        </w:tc>
        <w:tc>
          <w:tcPr>
            <w:tcW w:w="1208" w:type="pct"/>
            <w:tcBorders>
              <w:top w:val="single" w:sz="4" w:space="0" w:color="D9D9D9" w:themeColor="background1" w:themeShade="D9"/>
            </w:tcBorders>
            <w:shd w:val="clear" w:color="auto" w:fill="auto"/>
          </w:tcPr>
          <w:p w14:paraId="576DE16D" w14:textId="77777777" w:rsidR="003438A2" w:rsidRPr="00B077EC" w:rsidRDefault="003438A2" w:rsidP="0034083F">
            <w:pPr>
              <w:pStyle w:val="TableText"/>
              <w:rPr>
                <w:szCs w:val="18"/>
              </w:rPr>
            </w:pPr>
            <w:r w:rsidRPr="00EF0F87">
              <w:rPr>
                <w:szCs w:val="18"/>
              </w:rPr>
              <w:t>Application of antibiotics; biological control agents such as Blossom Protect</w:t>
            </w:r>
            <w:r>
              <w:rPr>
                <w:szCs w:val="18"/>
              </w:rPr>
              <w:t>.</w:t>
            </w:r>
          </w:p>
        </w:tc>
      </w:tr>
      <w:tr w:rsidR="003438A2" w:rsidRPr="00B077EC" w14:paraId="6B4C3837" w14:textId="77777777" w:rsidTr="0034083F">
        <w:trPr>
          <w:trHeight w:val="334"/>
        </w:trPr>
        <w:tc>
          <w:tcPr>
            <w:tcW w:w="654" w:type="pct"/>
            <w:vMerge/>
            <w:shd w:val="clear" w:color="auto" w:fill="auto"/>
          </w:tcPr>
          <w:p w14:paraId="6E02EB9F" w14:textId="77777777" w:rsidR="003438A2" w:rsidRPr="00EF0F87" w:rsidRDefault="003438A2" w:rsidP="0034083F">
            <w:pPr>
              <w:pStyle w:val="TableText"/>
              <w:rPr>
                <w:szCs w:val="18"/>
              </w:rPr>
            </w:pPr>
          </w:p>
        </w:tc>
        <w:tc>
          <w:tcPr>
            <w:tcW w:w="723" w:type="pct"/>
            <w:tcBorders>
              <w:top w:val="single" w:sz="4" w:space="0" w:color="D9D9D9" w:themeColor="background1" w:themeShade="D9"/>
            </w:tcBorders>
          </w:tcPr>
          <w:p w14:paraId="011635BE" w14:textId="77777777" w:rsidR="003438A2" w:rsidRPr="003C6017" w:rsidRDefault="003438A2" w:rsidP="0034083F">
            <w:pPr>
              <w:pStyle w:val="TableText"/>
              <w:rPr>
                <w:rStyle w:val="Emphasis"/>
                <w:szCs w:val="18"/>
                <w:lang w:val="en-US"/>
              </w:rPr>
            </w:pPr>
            <w:r w:rsidRPr="00EF0F87">
              <w:rPr>
                <w:szCs w:val="18"/>
              </w:rPr>
              <w:t>Petal-fall</w:t>
            </w:r>
          </w:p>
        </w:tc>
        <w:tc>
          <w:tcPr>
            <w:tcW w:w="1208" w:type="pct"/>
            <w:tcBorders>
              <w:top w:val="single" w:sz="4" w:space="0" w:color="D9D9D9" w:themeColor="background1" w:themeShade="D9"/>
            </w:tcBorders>
            <w:shd w:val="clear" w:color="auto" w:fill="auto"/>
          </w:tcPr>
          <w:p w14:paraId="4C185A9E" w14:textId="77777777" w:rsidR="003438A2" w:rsidRPr="00EF0F87" w:rsidRDefault="003438A2" w:rsidP="0034083F">
            <w:pPr>
              <w:pStyle w:val="TableText"/>
              <w:rPr>
                <w:szCs w:val="18"/>
              </w:rPr>
            </w:pPr>
            <w:r w:rsidRPr="00A57B93">
              <w:rPr>
                <w:rStyle w:val="Emphasis"/>
                <w:szCs w:val="18"/>
                <w:lang w:val="en-US"/>
              </w:rPr>
              <w:t>Biological control agents;</w:t>
            </w:r>
            <w:r w:rsidRPr="003C6017">
              <w:rPr>
                <w:rStyle w:val="Emphasis"/>
                <w:szCs w:val="18"/>
                <w:lang w:val="en-US"/>
              </w:rPr>
              <w:t xml:space="preserve"> </w:t>
            </w:r>
            <w:r w:rsidRPr="00EF0F87">
              <w:rPr>
                <w:szCs w:val="18"/>
                <w:lang w:val="en-US"/>
              </w:rPr>
              <w:t xml:space="preserve">copper application; </w:t>
            </w:r>
            <w:r w:rsidRPr="00EF0F87">
              <w:rPr>
                <w:szCs w:val="18"/>
              </w:rPr>
              <w:t>lime sulphur oil spray; application of antibiotics</w:t>
            </w:r>
            <w:r w:rsidRPr="00EF0F87">
              <w:rPr>
                <w:szCs w:val="18"/>
                <w:lang w:val="en-US"/>
              </w:rPr>
              <w:t>; continued protective programs one to two weeks post-petal fall.</w:t>
            </w:r>
          </w:p>
        </w:tc>
        <w:tc>
          <w:tcPr>
            <w:tcW w:w="1208" w:type="pct"/>
          </w:tcPr>
          <w:p w14:paraId="5D5939C3" w14:textId="77777777" w:rsidR="003438A2" w:rsidRPr="00B077EC" w:rsidRDefault="003438A2" w:rsidP="0034083F">
            <w:pPr>
              <w:spacing w:after="0" w:line="240" w:lineRule="auto"/>
            </w:pPr>
          </w:p>
        </w:tc>
        <w:tc>
          <w:tcPr>
            <w:tcW w:w="1207" w:type="pct"/>
          </w:tcPr>
          <w:p w14:paraId="4309D564" w14:textId="77777777" w:rsidR="003438A2" w:rsidRPr="00B077EC" w:rsidRDefault="003438A2" w:rsidP="0034083F">
            <w:pPr>
              <w:spacing w:after="0" w:line="240" w:lineRule="auto"/>
            </w:pPr>
          </w:p>
        </w:tc>
      </w:tr>
      <w:tr w:rsidR="003438A2" w:rsidRPr="00B077EC" w14:paraId="436B6CF8" w14:textId="77777777" w:rsidTr="0034083F">
        <w:trPr>
          <w:gridAfter w:val="2"/>
          <w:wAfter w:w="2415" w:type="pct"/>
          <w:trHeight w:val="334"/>
        </w:trPr>
        <w:tc>
          <w:tcPr>
            <w:tcW w:w="654" w:type="pct"/>
            <w:vMerge/>
            <w:shd w:val="clear" w:color="auto" w:fill="auto"/>
          </w:tcPr>
          <w:p w14:paraId="66157C7B" w14:textId="77777777" w:rsidR="003438A2" w:rsidRPr="00EF0F87" w:rsidRDefault="003438A2" w:rsidP="0034083F">
            <w:pPr>
              <w:pStyle w:val="TableText"/>
              <w:rPr>
                <w:szCs w:val="18"/>
              </w:rPr>
            </w:pPr>
          </w:p>
        </w:tc>
        <w:tc>
          <w:tcPr>
            <w:tcW w:w="723" w:type="pct"/>
            <w:tcBorders>
              <w:top w:val="single" w:sz="4" w:space="0" w:color="D9D9D9" w:themeColor="background1" w:themeShade="D9"/>
            </w:tcBorders>
          </w:tcPr>
          <w:p w14:paraId="6155671A" w14:textId="77777777" w:rsidR="003438A2" w:rsidRPr="00EF0F87" w:rsidRDefault="003438A2" w:rsidP="0034083F">
            <w:pPr>
              <w:pStyle w:val="TableText"/>
              <w:rPr>
                <w:szCs w:val="18"/>
              </w:rPr>
            </w:pPr>
            <w:r w:rsidRPr="00EF0F87">
              <w:rPr>
                <w:szCs w:val="18"/>
              </w:rPr>
              <w:t>Pre-harvest</w:t>
            </w:r>
          </w:p>
        </w:tc>
        <w:tc>
          <w:tcPr>
            <w:tcW w:w="1208" w:type="pct"/>
            <w:tcBorders>
              <w:top w:val="single" w:sz="4" w:space="0" w:color="D9D9D9" w:themeColor="background1" w:themeShade="D9"/>
            </w:tcBorders>
            <w:shd w:val="clear" w:color="auto" w:fill="auto"/>
          </w:tcPr>
          <w:p w14:paraId="24614A48" w14:textId="77777777" w:rsidR="003438A2" w:rsidRPr="00EF0F87" w:rsidRDefault="003438A2" w:rsidP="0034083F">
            <w:pPr>
              <w:pStyle w:val="TableText"/>
              <w:rPr>
                <w:szCs w:val="18"/>
              </w:rPr>
            </w:pPr>
            <w:r>
              <w:rPr>
                <w:szCs w:val="18"/>
              </w:rPr>
              <w:t>Fruit m</w:t>
            </w:r>
            <w:r w:rsidRPr="00EF0F87">
              <w:rPr>
                <w:szCs w:val="18"/>
              </w:rPr>
              <w:t>aturity testing for apples in the field</w:t>
            </w:r>
            <w:r>
              <w:rPr>
                <w:szCs w:val="18"/>
              </w:rPr>
              <w:t>.</w:t>
            </w:r>
          </w:p>
        </w:tc>
      </w:tr>
      <w:tr w:rsidR="003438A2" w:rsidRPr="00B077EC" w14:paraId="6F8D4FA2" w14:textId="77777777" w:rsidTr="0034083F">
        <w:trPr>
          <w:gridAfter w:val="2"/>
          <w:wAfter w:w="2415" w:type="pct"/>
          <w:trHeight w:val="334"/>
        </w:trPr>
        <w:tc>
          <w:tcPr>
            <w:tcW w:w="654" w:type="pct"/>
            <w:tcBorders>
              <w:top w:val="single" w:sz="4" w:space="0" w:color="D9D9D9" w:themeColor="background1" w:themeShade="D9"/>
            </w:tcBorders>
            <w:shd w:val="clear" w:color="auto" w:fill="auto"/>
          </w:tcPr>
          <w:p w14:paraId="0B404482" w14:textId="77777777" w:rsidR="003438A2" w:rsidRPr="00B077EC" w:rsidRDefault="003438A2" w:rsidP="0034083F">
            <w:pPr>
              <w:pStyle w:val="TableText"/>
              <w:rPr>
                <w:szCs w:val="18"/>
              </w:rPr>
            </w:pPr>
            <w:r w:rsidRPr="00B077EC">
              <w:rPr>
                <w:szCs w:val="18"/>
              </w:rPr>
              <w:t>European canker</w:t>
            </w:r>
            <w:r>
              <w:rPr>
                <w:szCs w:val="18"/>
              </w:rPr>
              <w:t xml:space="preserve"> (</w:t>
            </w:r>
            <w:r w:rsidRPr="00B10F26">
              <w:rPr>
                <w:i/>
                <w:iCs/>
                <w:szCs w:val="18"/>
              </w:rPr>
              <w:t>Neonectria ditissima</w:t>
            </w:r>
            <w:r>
              <w:rPr>
                <w:szCs w:val="18"/>
              </w:rPr>
              <w:t>)</w:t>
            </w:r>
          </w:p>
        </w:tc>
        <w:tc>
          <w:tcPr>
            <w:tcW w:w="723" w:type="pct"/>
            <w:tcBorders>
              <w:top w:val="single" w:sz="4" w:space="0" w:color="D9D9D9" w:themeColor="background1" w:themeShade="D9"/>
            </w:tcBorders>
          </w:tcPr>
          <w:p w14:paraId="3B90DD9C" w14:textId="77777777" w:rsidR="003438A2" w:rsidRPr="00B077EC" w:rsidRDefault="003438A2" w:rsidP="0034083F">
            <w:pPr>
              <w:pStyle w:val="TableText"/>
              <w:rPr>
                <w:szCs w:val="18"/>
              </w:rPr>
            </w:pPr>
            <w:r>
              <w:rPr>
                <w:szCs w:val="18"/>
              </w:rPr>
              <w:t>All stages</w:t>
            </w:r>
          </w:p>
        </w:tc>
        <w:tc>
          <w:tcPr>
            <w:tcW w:w="1208" w:type="pct"/>
            <w:tcBorders>
              <w:top w:val="single" w:sz="4" w:space="0" w:color="D9D9D9" w:themeColor="background1" w:themeShade="D9"/>
            </w:tcBorders>
            <w:shd w:val="clear" w:color="auto" w:fill="auto"/>
          </w:tcPr>
          <w:p w14:paraId="3F926DDB" w14:textId="77777777" w:rsidR="003438A2" w:rsidRPr="00961BE8" w:rsidRDefault="003438A2" w:rsidP="0034083F">
            <w:pPr>
              <w:pStyle w:val="TableText"/>
              <w:rPr>
                <w:szCs w:val="18"/>
              </w:rPr>
            </w:pPr>
            <w:r>
              <w:rPr>
                <w:szCs w:val="18"/>
              </w:rPr>
              <w:t>In-field monitoring, cultural practices, fungicide applications.</w:t>
            </w:r>
          </w:p>
        </w:tc>
      </w:tr>
      <w:tr w:rsidR="003438A2" w:rsidRPr="00B077EC" w14:paraId="309E637A" w14:textId="77777777" w:rsidTr="0034083F">
        <w:trPr>
          <w:gridAfter w:val="2"/>
          <w:wAfter w:w="2415" w:type="pct"/>
          <w:trHeight w:val="334"/>
        </w:trPr>
        <w:tc>
          <w:tcPr>
            <w:tcW w:w="654" w:type="pct"/>
            <w:vMerge w:val="restart"/>
            <w:tcBorders>
              <w:top w:val="single" w:sz="4" w:space="0" w:color="D9D9D9" w:themeColor="background1" w:themeShade="D9"/>
            </w:tcBorders>
            <w:shd w:val="clear" w:color="auto" w:fill="auto"/>
          </w:tcPr>
          <w:p w14:paraId="1B34FB55" w14:textId="77777777" w:rsidR="003438A2" w:rsidRDefault="003438A2" w:rsidP="0034083F">
            <w:pPr>
              <w:pStyle w:val="TableText"/>
              <w:rPr>
                <w:szCs w:val="18"/>
              </w:rPr>
            </w:pPr>
            <w:r w:rsidRPr="00B077EC">
              <w:rPr>
                <w:szCs w:val="18"/>
              </w:rPr>
              <w:t>Post-harvest rot fungi</w:t>
            </w:r>
          </w:p>
          <w:p w14:paraId="5A9A9A8F" w14:textId="77777777" w:rsidR="003438A2" w:rsidRPr="00961BE8" w:rsidRDefault="003438A2" w:rsidP="0034083F">
            <w:pPr>
              <w:pStyle w:val="TableText"/>
              <w:rPr>
                <w:szCs w:val="18"/>
              </w:rPr>
            </w:pPr>
            <w:r w:rsidRPr="00B077EC">
              <w:rPr>
                <w:szCs w:val="18"/>
              </w:rPr>
              <w:t xml:space="preserve">(e.g. </w:t>
            </w:r>
            <w:r w:rsidRPr="00855731">
              <w:rPr>
                <w:i/>
                <w:szCs w:val="18"/>
              </w:rPr>
              <w:t xml:space="preserve">Phacidiopycnis washingtonensis </w:t>
            </w:r>
            <w:r w:rsidRPr="00855731">
              <w:rPr>
                <w:szCs w:val="18"/>
              </w:rPr>
              <w:t>and</w:t>
            </w:r>
            <w:r w:rsidRPr="00855731">
              <w:rPr>
                <w:i/>
                <w:szCs w:val="18"/>
              </w:rPr>
              <w:t xml:space="preserve"> </w:t>
            </w:r>
            <w:r w:rsidRPr="00961BE8">
              <w:rPr>
                <w:i/>
                <w:szCs w:val="18"/>
              </w:rPr>
              <w:t>Sphaeropsis pyriputrescens</w:t>
            </w:r>
            <w:r w:rsidRPr="00961BE8">
              <w:rPr>
                <w:szCs w:val="18"/>
              </w:rPr>
              <w:t>)</w:t>
            </w:r>
            <w:r w:rsidRPr="00961BE8">
              <w:rPr>
                <w:i/>
                <w:szCs w:val="18"/>
              </w:rPr>
              <w:t xml:space="preserve"> </w:t>
            </w:r>
          </w:p>
        </w:tc>
        <w:tc>
          <w:tcPr>
            <w:tcW w:w="723" w:type="pct"/>
            <w:tcBorders>
              <w:top w:val="single" w:sz="4" w:space="0" w:color="D9D9D9" w:themeColor="background1" w:themeShade="D9"/>
            </w:tcBorders>
          </w:tcPr>
          <w:p w14:paraId="78284001" w14:textId="77777777" w:rsidR="003438A2" w:rsidRPr="00961BE8" w:rsidRDefault="003438A2" w:rsidP="0034083F">
            <w:pPr>
              <w:pStyle w:val="TableText"/>
              <w:rPr>
                <w:szCs w:val="18"/>
              </w:rPr>
            </w:pPr>
            <w:r w:rsidRPr="00961BE8">
              <w:rPr>
                <w:szCs w:val="18"/>
              </w:rPr>
              <w:t>All stages</w:t>
            </w:r>
          </w:p>
        </w:tc>
        <w:tc>
          <w:tcPr>
            <w:tcW w:w="1208" w:type="pct"/>
            <w:tcBorders>
              <w:top w:val="single" w:sz="4" w:space="0" w:color="D9D9D9" w:themeColor="background1" w:themeShade="D9"/>
            </w:tcBorders>
            <w:shd w:val="clear" w:color="auto" w:fill="auto"/>
          </w:tcPr>
          <w:p w14:paraId="3B2C6152" w14:textId="77777777" w:rsidR="003438A2" w:rsidRPr="00EF0F87" w:rsidRDefault="003438A2" w:rsidP="0034083F">
            <w:pPr>
              <w:pStyle w:val="TableText"/>
              <w:rPr>
                <w:szCs w:val="18"/>
              </w:rPr>
            </w:pPr>
            <w:r w:rsidRPr="003C6017">
              <w:rPr>
                <w:szCs w:val="18"/>
              </w:rPr>
              <w:t xml:space="preserve">Systems approach involving in-field monitoring </w:t>
            </w:r>
            <w:r>
              <w:rPr>
                <w:szCs w:val="18"/>
              </w:rPr>
              <w:t xml:space="preserve">and </w:t>
            </w:r>
            <w:r w:rsidRPr="003C6017">
              <w:rPr>
                <w:szCs w:val="18"/>
              </w:rPr>
              <w:t>control</w:t>
            </w:r>
            <w:r>
              <w:rPr>
                <w:szCs w:val="18"/>
              </w:rPr>
              <w:t>;</w:t>
            </w:r>
            <w:r w:rsidRPr="003C6017">
              <w:rPr>
                <w:szCs w:val="18"/>
              </w:rPr>
              <w:t xml:space="preserve"> pruning of Manchurian crabapple pollinisers; p</w:t>
            </w:r>
            <w:r w:rsidRPr="00EF0F87">
              <w:rPr>
                <w:szCs w:val="18"/>
              </w:rPr>
              <w:t xml:space="preserve">re-harvest and post-harvest fungicide applications; sourcing only mature symptomless fruit; pre-export visual inspection post-cold storage. </w:t>
            </w:r>
          </w:p>
        </w:tc>
      </w:tr>
      <w:tr w:rsidR="003438A2" w:rsidRPr="00B077EC" w14:paraId="74938BB1" w14:textId="77777777" w:rsidTr="0034083F">
        <w:trPr>
          <w:gridAfter w:val="2"/>
          <w:wAfter w:w="2415" w:type="pct"/>
          <w:trHeight w:val="334"/>
        </w:trPr>
        <w:tc>
          <w:tcPr>
            <w:tcW w:w="654" w:type="pct"/>
            <w:vMerge/>
            <w:shd w:val="clear" w:color="auto" w:fill="auto"/>
          </w:tcPr>
          <w:p w14:paraId="475B0D3F" w14:textId="77777777" w:rsidR="003438A2" w:rsidRPr="00EF0F87" w:rsidRDefault="003438A2" w:rsidP="0034083F">
            <w:pPr>
              <w:pStyle w:val="TableText"/>
              <w:rPr>
                <w:szCs w:val="18"/>
              </w:rPr>
            </w:pPr>
          </w:p>
        </w:tc>
        <w:tc>
          <w:tcPr>
            <w:tcW w:w="723" w:type="pct"/>
            <w:tcBorders>
              <w:top w:val="single" w:sz="4" w:space="0" w:color="D9D9D9" w:themeColor="background1" w:themeShade="D9"/>
            </w:tcBorders>
          </w:tcPr>
          <w:p w14:paraId="0B180022" w14:textId="77777777" w:rsidR="003438A2" w:rsidRDefault="003438A2" w:rsidP="0034083F">
            <w:pPr>
              <w:pStyle w:val="TableText"/>
              <w:rPr>
                <w:szCs w:val="18"/>
              </w:rPr>
            </w:pPr>
            <w:r w:rsidRPr="00EF0F87">
              <w:rPr>
                <w:szCs w:val="18"/>
              </w:rPr>
              <w:t>Pre-harvest</w:t>
            </w:r>
          </w:p>
          <w:p w14:paraId="32C9CE73" w14:textId="77777777" w:rsidR="003438A2" w:rsidRPr="00EF0F87" w:rsidRDefault="003438A2" w:rsidP="0034083F">
            <w:pPr>
              <w:pStyle w:val="TableText"/>
              <w:rPr>
                <w:szCs w:val="18"/>
              </w:rPr>
            </w:pPr>
          </w:p>
          <w:p w14:paraId="0301F12A" w14:textId="77777777" w:rsidR="003438A2" w:rsidRPr="00EF0F87" w:rsidRDefault="003438A2" w:rsidP="0034083F">
            <w:pPr>
              <w:pStyle w:val="TableText"/>
              <w:rPr>
                <w:szCs w:val="18"/>
              </w:rPr>
            </w:pPr>
            <w:r w:rsidRPr="00EF0F87">
              <w:rPr>
                <w:szCs w:val="18"/>
              </w:rPr>
              <w:t>Post-harvest</w:t>
            </w:r>
          </w:p>
        </w:tc>
        <w:tc>
          <w:tcPr>
            <w:tcW w:w="1208" w:type="pct"/>
            <w:tcBorders>
              <w:top w:val="single" w:sz="4" w:space="0" w:color="D9D9D9" w:themeColor="background1" w:themeShade="D9"/>
            </w:tcBorders>
            <w:shd w:val="clear" w:color="auto" w:fill="auto"/>
          </w:tcPr>
          <w:p w14:paraId="7C8D947F" w14:textId="77777777" w:rsidR="003438A2" w:rsidRPr="00EF0F87" w:rsidRDefault="003438A2" w:rsidP="0034083F">
            <w:pPr>
              <w:pStyle w:val="TableText"/>
              <w:rPr>
                <w:szCs w:val="18"/>
              </w:rPr>
            </w:pPr>
            <w:r w:rsidRPr="00EF0F87">
              <w:rPr>
                <w:szCs w:val="18"/>
              </w:rPr>
              <w:t>Fungicide spray (e.g. captan; pyraclostrobin + boscalid; ziram)</w:t>
            </w:r>
          </w:p>
          <w:p w14:paraId="5E86CDD7" w14:textId="77777777" w:rsidR="003438A2" w:rsidRPr="00EF0F87" w:rsidRDefault="003438A2" w:rsidP="0034083F">
            <w:pPr>
              <w:pStyle w:val="TableText"/>
              <w:rPr>
                <w:szCs w:val="18"/>
              </w:rPr>
            </w:pPr>
            <w:r w:rsidRPr="00EF0F87">
              <w:rPr>
                <w:szCs w:val="18"/>
              </w:rPr>
              <w:t>Fungicide drench or spray in line; alternatively fogging in cool rooms</w:t>
            </w:r>
          </w:p>
        </w:tc>
      </w:tr>
      <w:tr w:rsidR="003438A2" w:rsidRPr="00B077EC" w14:paraId="5A7DABD9" w14:textId="77777777" w:rsidTr="0034083F">
        <w:trPr>
          <w:gridAfter w:val="2"/>
          <w:wAfter w:w="2415" w:type="pct"/>
          <w:trHeight w:val="334"/>
        </w:trPr>
        <w:tc>
          <w:tcPr>
            <w:tcW w:w="654" w:type="pct"/>
            <w:tcBorders>
              <w:top w:val="single" w:sz="4" w:space="0" w:color="D9D9D9" w:themeColor="background1" w:themeShade="D9"/>
            </w:tcBorders>
            <w:shd w:val="clear" w:color="auto" w:fill="auto"/>
          </w:tcPr>
          <w:p w14:paraId="5B62F64B" w14:textId="77777777" w:rsidR="003438A2" w:rsidRPr="001C4148" w:rsidRDefault="003438A2" w:rsidP="0034083F">
            <w:pPr>
              <w:pStyle w:val="TableText"/>
            </w:pPr>
            <w:r w:rsidRPr="001C4148">
              <w:t>Mites</w:t>
            </w:r>
          </w:p>
          <w:p w14:paraId="7E8F71C9" w14:textId="77777777" w:rsidR="003438A2" w:rsidRPr="00302E75" w:rsidRDefault="003438A2" w:rsidP="0034083F">
            <w:pPr>
              <w:pStyle w:val="TableText"/>
              <w:rPr>
                <w:i/>
              </w:rPr>
            </w:pPr>
            <w:r w:rsidRPr="00DF6D6C">
              <w:rPr>
                <w:iCs/>
              </w:rPr>
              <w:t>(</w:t>
            </w:r>
            <w:r w:rsidRPr="001C4148">
              <w:rPr>
                <w:iCs/>
              </w:rPr>
              <w:t>e.g.</w:t>
            </w:r>
            <w:r w:rsidRPr="001C4148">
              <w:rPr>
                <w:i/>
              </w:rPr>
              <w:t xml:space="preserve"> </w:t>
            </w:r>
            <w:r>
              <w:rPr>
                <w:i/>
              </w:rPr>
              <w:t xml:space="preserve">Tetranychus mcdanieli; </w:t>
            </w:r>
            <w:r w:rsidRPr="001C4148">
              <w:rPr>
                <w:i/>
              </w:rPr>
              <w:t>Cenopalpus pulcher</w:t>
            </w:r>
            <w:r w:rsidRPr="001C4148">
              <w:t>)</w:t>
            </w:r>
          </w:p>
        </w:tc>
        <w:tc>
          <w:tcPr>
            <w:tcW w:w="723" w:type="pct"/>
            <w:tcBorders>
              <w:top w:val="single" w:sz="4" w:space="0" w:color="D9D9D9" w:themeColor="background1" w:themeShade="D9"/>
            </w:tcBorders>
          </w:tcPr>
          <w:p w14:paraId="600D245A" w14:textId="77777777" w:rsidR="003438A2" w:rsidRPr="00B077EC" w:rsidRDefault="003438A2" w:rsidP="0034083F">
            <w:pPr>
              <w:pStyle w:val="TableText"/>
              <w:rPr>
                <w:szCs w:val="18"/>
              </w:rPr>
            </w:pPr>
            <w:r w:rsidRPr="00B077EC">
              <w:rPr>
                <w:szCs w:val="18"/>
              </w:rPr>
              <w:t>D</w:t>
            </w:r>
            <w:r>
              <w:rPr>
                <w:szCs w:val="18"/>
              </w:rPr>
              <w:t>ormant and d</w:t>
            </w:r>
            <w:r w:rsidRPr="00B077EC">
              <w:rPr>
                <w:szCs w:val="18"/>
              </w:rPr>
              <w:t>elayed-dormant; Pink; Petal-fall; Late spring and summer</w:t>
            </w:r>
          </w:p>
        </w:tc>
        <w:tc>
          <w:tcPr>
            <w:tcW w:w="1208" w:type="pct"/>
            <w:tcBorders>
              <w:top w:val="single" w:sz="4" w:space="0" w:color="D9D9D9" w:themeColor="background1" w:themeShade="D9"/>
            </w:tcBorders>
            <w:shd w:val="clear" w:color="auto" w:fill="auto"/>
          </w:tcPr>
          <w:p w14:paraId="7338861B" w14:textId="77777777" w:rsidR="003438A2" w:rsidRPr="00EF0F87" w:rsidRDefault="003438A2" w:rsidP="0034083F">
            <w:pPr>
              <w:pStyle w:val="TableText"/>
              <w:rPr>
                <w:szCs w:val="18"/>
              </w:rPr>
            </w:pPr>
            <w:r>
              <w:rPr>
                <w:szCs w:val="18"/>
              </w:rPr>
              <w:t>Hexithiazox; p</w:t>
            </w:r>
            <w:r w:rsidRPr="00855731">
              <w:rPr>
                <w:szCs w:val="18"/>
              </w:rPr>
              <w:t xml:space="preserve">etroleum-based oil application; </w:t>
            </w:r>
            <w:r>
              <w:rPr>
                <w:szCs w:val="18"/>
              </w:rPr>
              <w:t>sulfur; clofentezine</w:t>
            </w:r>
          </w:p>
        </w:tc>
      </w:tr>
      <w:tr w:rsidR="003438A2" w:rsidRPr="00B077EC" w14:paraId="4327A734" w14:textId="77777777" w:rsidTr="0034083F">
        <w:trPr>
          <w:gridAfter w:val="2"/>
          <w:wAfter w:w="2415" w:type="pct"/>
          <w:trHeight w:val="334"/>
        </w:trPr>
        <w:tc>
          <w:tcPr>
            <w:tcW w:w="654" w:type="pct"/>
            <w:vMerge w:val="restart"/>
            <w:tcBorders>
              <w:top w:val="single" w:sz="4" w:space="0" w:color="D9D9D9" w:themeColor="background1" w:themeShade="D9"/>
            </w:tcBorders>
            <w:shd w:val="clear" w:color="auto" w:fill="auto"/>
          </w:tcPr>
          <w:p w14:paraId="22368F5B" w14:textId="77777777" w:rsidR="003438A2" w:rsidRPr="001C4148" w:rsidRDefault="003438A2" w:rsidP="0034083F">
            <w:pPr>
              <w:pStyle w:val="TableText"/>
            </w:pPr>
            <w:r w:rsidRPr="001C4148">
              <w:t>Scales</w:t>
            </w:r>
          </w:p>
          <w:p w14:paraId="222662A3" w14:textId="77777777" w:rsidR="003438A2" w:rsidRPr="001C4148" w:rsidRDefault="003438A2" w:rsidP="0034083F">
            <w:pPr>
              <w:pStyle w:val="TableText"/>
            </w:pPr>
            <w:r w:rsidRPr="001C4148">
              <w:t xml:space="preserve">(e.g. </w:t>
            </w:r>
            <w:r w:rsidRPr="001C4148">
              <w:rPr>
                <w:rFonts w:eastAsia="Calibri"/>
                <w:i/>
              </w:rPr>
              <w:t>Diaspidiotus perniciosus</w:t>
            </w:r>
            <w:r w:rsidRPr="001C4148">
              <w:rPr>
                <w:rFonts w:eastAsia="Calibri"/>
              </w:rPr>
              <w:t>)</w:t>
            </w:r>
          </w:p>
        </w:tc>
        <w:tc>
          <w:tcPr>
            <w:tcW w:w="723" w:type="pct"/>
            <w:tcBorders>
              <w:top w:val="single" w:sz="4" w:space="0" w:color="D9D9D9" w:themeColor="background1" w:themeShade="D9"/>
            </w:tcBorders>
          </w:tcPr>
          <w:p w14:paraId="35A2D31E" w14:textId="77777777" w:rsidR="003438A2" w:rsidRPr="00961BE8" w:rsidRDefault="003438A2" w:rsidP="0034083F">
            <w:pPr>
              <w:pStyle w:val="TableText"/>
              <w:rPr>
                <w:szCs w:val="18"/>
              </w:rPr>
            </w:pPr>
            <w:r w:rsidRPr="00961BE8">
              <w:rPr>
                <w:szCs w:val="18"/>
              </w:rPr>
              <w:t>Dormant</w:t>
            </w:r>
            <w:r>
              <w:rPr>
                <w:szCs w:val="18"/>
              </w:rPr>
              <w:t xml:space="preserve"> and d</w:t>
            </w:r>
            <w:r w:rsidRPr="00B077EC">
              <w:rPr>
                <w:szCs w:val="18"/>
              </w:rPr>
              <w:t>elayed-dormant</w:t>
            </w:r>
          </w:p>
        </w:tc>
        <w:tc>
          <w:tcPr>
            <w:tcW w:w="1208" w:type="pct"/>
            <w:tcBorders>
              <w:top w:val="single" w:sz="4" w:space="0" w:color="D9D9D9" w:themeColor="background1" w:themeShade="D9"/>
            </w:tcBorders>
            <w:shd w:val="clear" w:color="auto" w:fill="auto"/>
          </w:tcPr>
          <w:p w14:paraId="4289FFD0" w14:textId="77777777" w:rsidR="003438A2" w:rsidRPr="00961BE8" w:rsidRDefault="003438A2" w:rsidP="0034083F">
            <w:pPr>
              <w:pStyle w:val="TableText"/>
              <w:rPr>
                <w:szCs w:val="18"/>
              </w:rPr>
            </w:pPr>
            <w:r>
              <w:rPr>
                <w:szCs w:val="18"/>
              </w:rPr>
              <w:t xml:space="preserve">Buprofezin; chlorpyrifos; diazinon; lime sulfur;  </w:t>
            </w:r>
            <w:r w:rsidRPr="00961BE8">
              <w:rPr>
                <w:szCs w:val="18"/>
              </w:rPr>
              <w:t>Petroleum-based oil application</w:t>
            </w:r>
          </w:p>
        </w:tc>
      </w:tr>
      <w:tr w:rsidR="003438A2" w:rsidRPr="00B077EC" w14:paraId="66C8C5E2" w14:textId="77777777" w:rsidTr="0034083F">
        <w:trPr>
          <w:gridAfter w:val="2"/>
          <w:wAfter w:w="2415" w:type="pct"/>
          <w:trHeight w:val="334"/>
        </w:trPr>
        <w:tc>
          <w:tcPr>
            <w:tcW w:w="654" w:type="pct"/>
            <w:vMerge/>
            <w:shd w:val="clear" w:color="auto" w:fill="auto"/>
          </w:tcPr>
          <w:p w14:paraId="63464B28" w14:textId="77777777" w:rsidR="003438A2" w:rsidRPr="00EF0F87" w:rsidRDefault="003438A2" w:rsidP="0034083F">
            <w:pPr>
              <w:pStyle w:val="TableText"/>
            </w:pPr>
          </w:p>
        </w:tc>
        <w:tc>
          <w:tcPr>
            <w:tcW w:w="723" w:type="pct"/>
            <w:tcBorders>
              <w:top w:val="single" w:sz="4" w:space="0" w:color="D9D9D9" w:themeColor="background1" w:themeShade="D9"/>
            </w:tcBorders>
          </w:tcPr>
          <w:p w14:paraId="1ABE327F" w14:textId="77777777" w:rsidR="003438A2" w:rsidRPr="00EF0F87" w:rsidRDefault="003438A2" w:rsidP="0034083F">
            <w:pPr>
              <w:pStyle w:val="TableText"/>
              <w:rPr>
                <w:szCs w:val="18"/>
              </w:rPr>
            </w:pPr>
            <w:r w:rsidRPr="00EF0F87">
              <w:rPr>
                <w:szCs w:val="18"/>
              </w:rPr>
              <w:t>Pre</w:t>
            </w:r>
            <w:r>
              <w:rPr>
                <w:szCs w:val="18"/>
              </w:rPr>
              <w:t>-</w:t>
            </w:r>
            <w:r w:rsidRPr="00EF0F87">
              <w:rPr>
                <w:szCs w:val="18"/>
              </w:rPr>
              <w:t>pink</w:t>
            </w:r>
          </w:p>
        </w:tc>
        <w:tc>
          <w:tcPr>
            <w:tcW w:w="1208" w:type="pct"/>
            <w:tcBorders>
              <w:top w:val="single" w:sz="4" w:space="0" w:color="D9D9D9" w:themeColor="background1" w:themeShade="D9"/>
            </w:tcBorders>
            <w:shd w:val="clear" w:color="auto" w:fill="auto"/>
          </w:tcPr>
          <w:p w14:paraId="0DA3FA5F" w14:textId="77777777" w:rsidR="003438A2" w:rsidRPr="00EF0F87" w:rsidRDefault="003438A2" w:rsidP="0034083F">
            <w:pPr>
              <w:pStyle w:val="TableText"/>
              <w:rPr>
                <w:szCs w:val="18"/>
              </w:rPr>
            </w:pPr>
            <w:r w:rsidRPr="00EF0F87">
              <w:rPr>
                <w:szCs w:val="18"/>
              </w:rPr>
              <w:t>Insecticide and petroleum-based oil application</w:t>
            </w:r>
          </w:p>
        </w:tc>
      </w:tr>
      <w:tr w:rsidR="003438A2" w:rsidRPr="00B077EC" w14:paraId="1F133870" w14:textId="77777777" w:rsidTr="0034083F">
        <w:trPr>
          <w:gridAfter w:val="2"/>
          <w:wAfter w:w="2415" w:type="pct"/>
          <w:trHeight w:val="334"/>
        </w:trPr>
        <w:tc>
          <w:tcPr>
            <w:tcW w:w="654" w:type="pct"/>
            <w:vMerge/>
            <w:shd w:val="clear" w:color="auto" w:fill="auto"/>
          </w:tcPr>
          <w:p w14:paraId="3F5C51DB" w14:textId="77777777" w:rsidR="003438A2" w:rsidRPr="00EF0F87" w:rsidRDefault="003438A2" w:rsidP="0034083F">
            <w:pPr>
              <w:pStyle w:val="TableText"/>
            </w:pPr>
          </w:p>
        </w:tc>
        <w:tc>
          <w:tcPr>
            <w:tcW w:w="723" w:type="pct"/>
            <w:tcBorders>
              <w:top w:val="single" w:sz="4" w:space="0" w:color="D9D9D9" w:themeColor="background1" w:themeShade="D9"/>
            </w:tcBorders>
          </w:tcPr>
          <w:p w14:paraId="53BD27D5" w14:textId="77777777" w:rsidR="003438A2" w:rsidRPr="00EF0F87" w:rsidRDefault="003438A2" w:rsidP="0034083F">
            <w:pPr>
              <w:pStyle w:val="TableText"/>
              <w:rPr>
                <w:szCs w:val="18"/>
              </w:rPr>
            </w:pPr>
            <w:r w:rsidRPr="00EF0F87">
              <w:rPr>
                <w:szCs w:val="18"/>
              </w:rPr>
              <w:t>Late spring and summer</w:t>
            </w:r>
          </w:p>
        </w:tc>
        <w:tc>
          <w:tcPr>
            <w:tcW w:w="1208" w:type="pct"/>
            <w:tcBorders>
              <w:top w:val="single" w:sz="4" w:space="0" w:color="D9D9D9" w:themeColor="background1" w:themeShade="D9"/>
            </w:tcBorders>
            <w:shd w:val="clear" w:color="auto" w:fill="auto"/>
          </w:tcPr>
          <w:p w14:paraId="1AADF817" w14:textId="77777777" w:rsidR="003438A2" w:rsidRPr="00EF0F87" w:rsidRDefault="003438A2" w:rsidP="0034083F">
            <w:pPr>
              <w:pStyle w:val="TableText"/>
              <w:rPr>
                <w:szCs w:val="18"/>
              </w:rPr>
            </w:pPr>
            <w:r w:rsidRPr="00EF0F87">
              <w:rPr>
                <w:szCs w:val="18"/>
              </w:rPr>
              <w:t>Insecticide (e.g. diazinon)</w:t>
            </w:r>
          </w:p>
        </w:tc>
      </w:tr>
      <w:tr w:rsidR="003438A2" w:rsidRPr="00B077EC" w14:paraId="0297CE03" w14:textId="77777777" w:rsidTr="006A64D6">
        <w:trPr>
          <w:gridAfter w:val="2"/>
          <w:wAfter w:w="2415" w:type="pct"/>
          <w:trHeight w:val="334"/>
        </w:trPr>
        <w:tc>
          <w:tcPr>
            <w:tcW w:w="654" w:type="pct"/>
            <w:tcBorders>
              <w:top w:val="single" w:sz="4" w:space="0" w:color="D9D9D9" w:themeColor="background1" w:themeShade="D9"/>
              <w:bottom w:val="single" w:sz="4" w:space="0" w:color="D9D9D9" w:themeColor="background1" w:themeShade="D9"/>
            </w:tcBorders>
            <w:shd w:val="clear" w:color="auto" w:fill="auto"/>
          </w:tcPr>
          <w:p w14:paraId="3F68EF5D" w14:textId="77777777" w:rsidR="003438A2" w:rsidRDefault="003438A2" w:rsidP="0034083F">
            <w:pPr>
              <w:pStyle w:val="TableText"/>
            </w:pPr>
            <w:r w:rsidRPr="00B077EC">
              <w:t>Lygus and stink bugs</w:t>
            </w:r>
          </w:p>
          <w:p w14:paraId="37B391FC" w14:textId="77777777" w:rsidR="003438A2" w:rsidRPr="00855731" w:rsidRDefault="003438A2" w:rsidP="0034083F">
            <w:pPr>
              <w:pStyle w:val="TableText"/>
            </w:pPr>
            <w:r w:rsidRPr="00855731">
              <w:t xml:space="preserve">(e.g. </w:t>
            </w:r>
            <w:r w:rsidRPr="00855731">
              <w:rPr>
                <w:i/>
              </w:rPr>
              <w:t>Lygus elisus, L. hesperus, L. lineolaris</w:t>
            </w:r>
            <w:r w:rsidRPr="00855731">
              <w:t xml:space="preserve">, </w:t>
            </w:r>
            <w:r w:rsidRPr="00855731">
              <w:rPr>
                <w:rFonts w:eastAsia="Calibri"/>
                <w:i/>
              </w:rPr>
              <w:t>Euschistus conspersus</w:t>
            </w:r>
            <w:r w:rsidRPr="00961BE8">
              <w:rPr>
                <w:rFonts w:eastAsia="Calibri"/>
                <w:i/>
              </w:rPr>
              <w:t xml:space="preserve"> </w:t>
            </w:r>
            <w:r w:rsidRPr="00961BE8">
              <w:rPr>
                <w:rFonts w:eastAsia="Calibri"/>
              </w:rPr>
              <w:t xml:space="preserve">and </w:t>
            </w:r>
            <w:r w:rsidRPr="00961BE8">
              <w:rPr>
                <w:rFonts w:eastAsia="Calibri"/>
                <w:i/>
                <w:iCs/>
              </w:rPr>
              <w:t>Halyomorpha halys</w:t>
            </w:r>
            <w:r w:rsidRPr="00961BE8">
              <w:rPr>
                <w:rFonts w:eastAsia="Calibri"/>
                <w:iCs/>
              </w:rPr>
              <w:t>)</w:t>
            </w:r>
          </w:p>
        </w:tc>
        <w:tc>
          <w:tcPr>
            <w:tcW w:w="723" w:type="pct"/>
            <w:tcBorders>
              <w:top w:val="single" w:sz="4" w:space="0" w:color="D9D9D9" w:themeColor="background1" w:themeShade="D9"/>
              <w:bottom w:val="single" w:sz="4" w:space="0" w:color="D9D9D9" w:themeColor="background1" w:themeShade="D9"/>
            </w:tcBorders>
          </w:tcPr>
          <w:p w14:paraId="7EF44A28" w14:textId="77777777" w:rsidR="003438A2" w:rsidRPr="00855731" w:rsidRDefault="003438A2" w:rsidP="0034083F">
            <w:pPr>
              <w:pStyle w:val="TableText"/>
              <w:rPr>
                <w:szCs w:val="18"/>
              </w:rPr>
            </w:pPr>
            <w:r w:rsidRPr="00855731">
              <w:rPr>
                <w:szCs w:val="18"/>
              </w:rPr>
              <w:t>All stages</w:t>
            </w:r>
          </w:p>
        </w:tc>
        <w:tc>
          <w:tcPr>
            <w:tcW w:w="1208" w:type="pct"/>
            <w:tcBorders>
              <w:top w:val="single" w:sz="4" w:space="0" w:color="D9D9D9" w:themeColor="background1" w:themeShade="D9"/>
              <w:bottom w:val="single" w:sz="4" w:space="0" w:color="D9D9D9" w:themeColor="background1" w:themeShade="D9"/>
            </w:tcBorders>
            <w:shd w:val="clear" w:color="auto" w:fill="auto"/>
          </w:tcPr>
          <w:p w14:paraId="7CCDEA05" w14:textId="77777777" w:rsidR="003438A2" w:rsidRPr="00961BE8" w:rsidRDefault="003438A2" w:rsidP="0034083F">
            <w:pPr>
              <w:pStyle w:val="TableText"/>
              <w:rPr>
                <w:szCs w:val="18"/>
              </w:rPr>
            </w:pPr>
            <w:r w:rsidRPr="00961BE8">
              <w:rPr>
                <w:szCs w:val="18"/>
              </w:rPr>
              <w:t xml:space="preserve">Insecticide (e.g. </w:t>
            </w:r>
            <w:r>
              <w:rPr>
                <w:szCs w:val="18"/>
              </w:rPr>
              <w:t>acetamiprid; beta-cyfluthrin)</w:t>
            </w:r>
          </w:p>
        </w:tc>
      </w:tr>
      <w:tr w:rsidR="003438A2" w:rsidRPr="00E41899" w14:paraId="5FB7E477" w14:textId="77777777" w:rsidTr="006A64D6">
        <w:trPr>
          <w:gridAfter w:val="2"/>
          <w:wAfter w:w="2415" w:type="pct"/>
          <w:trHeight w:val="334"/>
        </w:trPr>
        <w:tc>
          <w:tcPr>
            <w:tcW w:w="654" w:type="pct"/>
            <w:vMerge w:val="restart"/>
            <w:tcBorders>
              <w:top w:val="single" w:sz="4" w:space="0" w:color="D9D9D9" w:themeColor="background1" w:themeShade="D9"/>
            </w:tcBorders>
            <w:shd w:val="clear" w:color="auto" w:fill="auto"/>
          </w:tcPr>
          <w:p w14:paraId="14C6F6E0" w14:textId="77777777" w:rsidR="003438A2" w:rsidRDefault="003438A2" w:rsidP="0034083F">
            <w:pPr>
              <w:pStyle w:val="TableText"/>
            </w:pPr>
            <w:r w:rsidRPr="00E41899">
              <w:t>Aphids</w:t>
            </w:r>
          </w:p>
          <w:p w14:paraId="2FF9A22E" w14:textId="77777777" w:rsidR="003438A2" w:rsidRPr="00E41899" w:rsidRDefault="003438A2" w:rsidP="0034083F">
            <w:pPr>
              <w:pStyle w:val="TableText"/>
            </w:pPr>
            <w:r w:rsidRPr="00E41899">
              <w:t xml:space="preserve">(e.g. </w:t>
            </w:r>
            <w:r w:rsidRPr="00E41899">
              <w:rPr>
                <w:rFonts w:eastAsia="Calibri"/>
                <w:i/>
              </w:rPr>
              <w:t>Dysaphis plantaginea</w:t>
            </w:r>
            <w:r w:rsidRPr="00E41899">
              <w:rPr>
                <w:rFonts w:eastAsia="Calibri"/>
              </w:rPr>
              <w:t>)</w:t>
            </w:r>
          </w:p>
        </w:tc>
        <w:tc>
          <w:tcPr>
            <w:tcW w:w="723" w:type="pct"/>
            <w:tcBorders>
              <w:top w:val="single" w:sz="4" w:space="0" w:color="D9D9D9" w:themeColor="background1" w:themeShade="D9"/>
              <w:bottom w:val="nil"/>
            </w:tcBorders>
          </w:tcPr>
          <w:p w14:paraId="16CF8F09" w14:textId="77777777" w:rsidR="003438A2" w:rsidRPr="00E41899" w:rsidRDefault="003438A2" w:rsidP="0034083F">
            <w:pPr>
              <w:pStyle w:val="TableText"/>
              <w:rPr>
                <w:szCs w:val="18"/>
              </w:rPr>
            </w:pPr>
            <w:r w:rsidRPr="00961BE8">
              <w:rPr>
                <w:szCs w:val="18"/>
              </w:rPr>
              <w:t>Dormant</w:t>
            </w:r>
            <w:r>
              <w:rPr>
                <w:szCs w:val="18"/>
              </w:rPr>
              <w:t xml:space="preserve"> and d</w:t>
            </w:r>
            <w:r w:rsidRPr="00E41899">
              <w:rPr>
                <w:szCs w:val="18"/>
              </w:rPr>
              <w:t>elayed-dormant</w:t>
            </w:r>
          </w:p>
        </w:tc>
        <w:tc>
          <w:tcPr>
            <w:tcW w:w="1208" w:type="pct"/>
            <w:tcBorders>
              <w:top w:val="single" w:sz="4" w:space="0" w:color="D9D9D9" w:themeColor="background1" w:themeShade="D9"/>
              <w:bottom w:val="nil"/>
            </w:tcBorders>
            <w:shd w:val="clear" w:color="auto" w:fill="auto"/>
          </w:tcPr>
          <w:p w14:paraId="33AF1B52" w14:textId="77777777" w:rsidR="003438A2" w:rsidRPr="00E41899" w:rsidRDefault="003438A2" w:rsidP="0034083F">
            <w:pPr>
              <w:pStyle w:val="TableText"/>
              <w:rPr>
                <w:szCs w:val="18"/>
              </w:rPr>
            </w:pPr>
            <w:r w:rsidRPr="00E41899">
              <w:rPr>
                <w:szCs w:val="18"/>
              </w:rPr>
              <w:t>Insecticide</w:t>
            </w:r>
            <w:r>
              <w:rPr>
                <w:szCs w:val="18"/>
              </w:rPr>
              <w:t xml:space="preserve"> (eg. chlorpyrifos; diazinon;</w:t>
            </w:r>
            <w:r w:rsidRPr="00E41899">
              <w:rPr>
                <w:szCs w:val="18"/>
              </w:rPr>
              <w:t xml:space="preserve"> and </w:t>
            </w:r>
            <w:r>
              <w:rPr>
                <w:szCs w:val="18"/>
              </w:rPr>
              <w:t>lime sulfur</w:t>
            </w:r>
          </w:p>
        </w:tc>
      </w:tr>
      <w:tr w:rsidR="003438A2" w:rsidRPr="00E41899" w14:paraId="753FC3C7" w14:textId="77777777" w:rsidTr="006A64D6">
        <w:trPr>
          <w:gridAfter w:val="2"/>
          <w:wAfter w:w="2415" w:type="pct"/>
          <w:trHeight w:val="334"/>
        </w:trPr>
        <w:tc>
          <w:tcPr>
            <w:tcW w:w="654" w:type="pct"/>
            <w:vMerge/>
            <w:tcBorders>
              <w:bottom w:val="single" w:sz="4" w:space="0" w:color="auto"/>
            </w:tcBorders>
            <w:shd w:val="clear" w:color="auto" w:fill="auto"/>
          </w:tcPr>
          <w:p w14:paraId="2CC4949B" w14:textId="77777777" w:rsidR="003438A2" w:rsidRPr="00E41899" w:rsidRDefault="003438A2" w:rsidP="0034083F">
            <w:pPr>
              <w:pStyle w:val="TableText"/>
            </w:pPr>
          </w:p>
        </w:tc>
        <w:tc>
          <w:tcPr>
            <w:tcW w:w="723" w:type="pct"/>
            <w:tcBorders>
              <w:top w:val="nil"/>
              <w:bottom w:val="single" w:sz="4" w:space="0" w:color="auto"/>
            </w:tcBorders>
          </w:tcPr>
          <w:p w14:paraId="0C85BCF4" w14:textId="77777777" w:rsidR="003438A2" w:rsidRDefault="003438A2" w:rsidP="0034083F">
            <w:pPr>
              <w:pStyle w:val="TableText"/>
              <w:rPr>
                <w:szCs w:val="18"/>
              </w:rPr>
            </w:pPr>
            <w:r w:rsidRPr="00E41899">
              <w:rPr>
                <w:szCs w:val="18"/>
              </w:rPr>
              <w:t>Pre</w:t>
            </w:r>
            <w:r>
              <w:rPr>
                <w:szCs w:val="18"/>
              </w:rPr>
              <w:t>-</w:t>
            </w:r>
            <w:r w:rsidRPr="00E41899">
              <w:rPr>
                <w:szCs w:val="18"/>
              </w:rPr>
              <w:t>pink; Bloom; Petal-fall; Late spring and summer</w:t>
            </w:r>
          </w:p>
          <w:p w14:paraId="01AE8A6D" w14:textId="77777777" w:rsidR="003438A2" w:rsidRDefault="003438A2" w:rsidP="0034083F">
            <w:pPr>
              <w:pStyle w:val="TableText"/>
              <w:rPr>
                <w:szCs w:val="18"/>
              </w:rPr>
            </w:pPr>
          </w:p>
          <w:p w14:paraId="20012A67" w14:textId="77777777" w:rsidR="003438A2" w:rsidRPr="00E41899" w:rsidRDefault="003438A2" w:rsidP="0034083F">
            <w:pPr>
              <w:pStyle w:val="TableText"/>
              <w:rPr>
                <w:szCs w:val="18"/>
              </w:rPr>
            </w:pPr>
          </w:p>
        </w:tc>
        <w:tc>
          <w:tcPr>
            <w:tcW w:w="1208" w:type="pct"/>
            <w:tcBorders>
              <w:top w:val="nil"/>
              <w:bottom w:val="single" w:sz="4" w:space="0" w:color="auto"/>
            </w:tcBorders>
            <w:shd w:val="clear" w:color="auto" w:fill="auto"/>
          </w:tcPr>
          <w:p w14:paraId="67C46ABD" w14:textId="77777777" w:rsidR="003438A2" w:rsidRPr="00E41899" w:rsidRDefault="003438A2" w:rsidP="0034083F">
            <w:pPr>
              <w:pStyle w:val="TableText"/>
              <w:rPr>
                <w:szCs w:val="18"/>
              </w:rPr>
            </w:pPr>
            <w:r w:rsidRPr="00E41899">
              <w:rPr>
                <w:szCs w:val="18"/>
              </w:rPr>
              <w:t xml:space="preserve">Insecticide (e.g. acetamiprid; </w:t>
            </w:r>
            <w:r>
              <w:rPr>
                <w:szCs w:val="18"/>
              </w:rPr>
              <w:t>diazinon</w:t>
            </w:r>
            <w:r w:rsidRPr="00E41899">
              <w:rPr>
                <w:szCs w:val="18"/>
              </w:rPr>
              <w:t>)</w:t>
            </w:r>
          </w:p>
        </w:tc>
      </w:tr>
      <w:tr w:rsidR="003438A2" w:rsidRPr="00E41899" w14:paraId="3F8305ED" w14:textId="77777777" w:rsidTr="006A64D6">
        <w:trPr>
          <w:gridAfter w:val="2"/>
          <w:wAfter w:w="2415" w:type="pct"/>
          <w:trHeight w:val="334"/>
        </w:trPr>
        <w:tc>
          <w:tcPr>
            <w:tcW w:w="654" w:type="pct"/>
            <w:vMerge/>
            <w:tcBorders>
              <w:top w:val="single" w:sz="4" w:space="0" w:color="auto"/>
            </w:tcBorders>
            <w:shd w:val="clear" w:color="auto" w:fill="auto"/>
          </w:tcPr>
          <w:p w14:paraId="2A469172" w14:textId="77777777" w:rsidR="003438A2" w:rsidRPr="00E41899" w:rsidRDefault="003438A2" w:rsidP="0034083F">
            <w:pPr>
              <w:pStyle w:val="TableText"/>
            </w:pPr>
          </w:p>
        </w:tc>
        <w:tc>
          <w:tcPr>
            <w:tcW w:w="723" w:type="pct"/>
            <w:tcBorders>
              <w:top w:val="single" w:sz="4" w:space="0" w:color="auto"/>
              <w:bottom w:val="single" w:sz="4" w:space="0" w:color="D9D9D9" w:themeColor="background1" w:themeShade="D9"/>
            </w:tcBorders>
          </w:tcPr>
          <w:p w14:paraId="70468878" w14:textId="77777777" w:rsidR="003438A2" w:rsidRPr="00E41899" w:rsidRDefault="003438A2" w:rsidP="0034083F">
            <w:pPr>
              <w:pStyle w:val="TableText"/>
              <w:rPr>
                <w:szCs w:val="18"/>
              </w:rPr>
            </w:pPr>
          </w:p>
        </w:tc>
        <w:tc>
          <w:tcPr>
            <w:tcW w:w="1208" w:type="pct"/>
            <w:tcBorders>
              <w:top w:val="single" w:sz="4" w:space="0" w:color="auto"/>
              <w:bottom w:val="single" w:sz="4" w:space="0" w:color="D9D9D9" w:themeColor="background1" w:themeShade="D9"/>
            </w:tcBorders>
            <w:shd w:val="clear" w:color="auto" w:fill="auto"/>
          </w:tcPr>
          <w:p w14:paraId="5CEE5D6D" w14:textId="77777777" w:rsidR="003438A2" w:rsidRPr="00E41899" w:rsidRDefault="003438A2" w:rsidP="0034083F">
            <w:pPr>
              <w:pStyle w:val="TableText"/>
              <w:rPr>
                <w:szCs w:val="18"/>
              </w:rPr>
            </w:pPr>
          </w:p>
        </w:tc>
      </w:tr>
      <w:tr w:rsidR="003438A2" w:rsidRPr="00E41899" w14:paraId="0C153FDB" w14:textId="77777777" w:rsidTr="0034083F">
        <w:trPr>
          <w:gridAfter w:val="2"/>
          <w:wAfter w:w="2415" w:type="pct"/>
          <w:trHeight w:val="334"/>
        </w:trPr>
        <w:tc>
          <w:tcPr>
            <w:tcW w:w="654" w:type="pct"/>
            <w:vMerge w:val="restart"/>
            <w:tcBorders>
              <w:top w:val="single" w:sz="4" w:space="0" w:color="D9D9D9" w:themeColor="background1" w:themeShade="D9"/>
            </w:tcBorders>
            <w:shd w:val="clear" w:color="auto" w:fill="auto"/>
          </w:tcPr>
          <w:p w14:paraId="20871B15" w14:textId="77777777" w:rsidR="003438A2" w:rsidRPr="00E41899" w:rsidRDefault="003438A2" w:rsidP="0034083F">
            <w:pPr>
              <w:pStyle w:val="TableText"/>
            </w:pPr>
            <w:r w:rsidRPr="00E41899">
              <w:t>Leafhoppers</w:t>
            </w:r>
          </w:p>
          <w:p w14:paraId="7A26C121" w14:textId="77777777" w:rsidR="003438A2" w:rsidRPr="00E41899" w:rsidRDefault="003438A2" w:rsidP="0034083F">
            <w:pPr>
              <w:pStyle w:val="TableText"/>
            </w:pPr>
            <w:r w:rsidRPr="00E41899">
              <w:t xml:space="preserve">(e.g. </w:t>
            </w:r>
            <w:r w:rsidRPr="00E41899">
              <w:rPr>
                <w:rFonts w:eastAsia="Calibri"/>
                <w:i/>
              </w:rPr>
              <w:t>Edwardsiana rosae</w:t>
            </w:r>
            <w:r w:rsidRPr="00E41899">
              <w:rPr>
                <w:rFonts w:eastAsia="Calibri"/>
              </w:rPr>
              <w:t>)</w:t>
            </w:r>
          </w:p>
        </w:tc>
        <w:tc>
          <w:tcPr>
            <w:tcW w:w="723" w:type="pct"/>
            <w:tcBorders>
              <w:top w:val="single" w:sz="4" w:space="0" w:color="D9D9D9" w:themeColor="background1" w:themeShade="D9"/>
              <w:bottom w:val="nil"/>
            </w:tcBorders>
          </w:tcPr>
          <w:p w14:paraId="3BCBFA49" w14:textId="77777777" w:rsidR="003438A2" w:rsidRPr="00E41899" w:rsidRDefault="003438A2" w:rsidP="0034083F">
            <w:pPr>
              <w:pStyle w:val="TableText"/>
              <w:rPr>
                <w:szCs w:val="18"/>
              </w:rPr>
            </w:pPr>
            <w:r w:rsidRPr="00E41899">
              <w:rPr>
                <w:szCs w:val="18"/>
              </w:rPr>
              <w:t>14 – 28 days after full bloom</w:t>
            </w:r>
          </w:p>
        </w:tc>
        <w:tc>
          <w:tcPr>
            <w:tcW w:w="1208" w:type="pct"/>
            <w:tcBorders>
              <w:top w:val="single" w:sz="4" w:space="0" w:color="D9D9D9" w:themeColor="background1" w:themeShade="D9"/>
              <w:bottom w:val="nil"/>
            </w:tcBorders>
            <w:shd w:val="clear" w:color="auto" w:fill="auto"/>
          </w:tcPr>
          <w:p w14:paraId="1B4DA08F" w14:textId="77777777" w:rsidR="003438A2" w:rsidRPr="00E41899" w:rsidRDefault="003438A2" w:rsidP="0034083F">
            <w:pPr>
              <w:pStyle w:val="TableText"/>
              <w:rPr>
                <w:szCs w:val="18"/>
              </w:rPr>
            </w:pPr>
            <w:r w:rsidRPr="00E41899">
              <w:rPr>
                <w:szCs w:val="18"/>
              </w:rPr>
              <w:t xml:space="preserve">Insecticide (e.g. </w:t>
            </w:r>
            <w:r>
              <w:rPr>
                <w:szCs w:val="18"/>
              </w:rPr>
              <w:t>acetamiprid</w:t>
            </w:r>
            <w:r w:rsidRPr="00E41899">
              <w:rPr>
                <w:szCs w:val="18"/>
              </w:rPr>
              <w:t xml:space="preserve">; </w:t>
            </w:r>
            <w:r>
              <w:rPr>
                <w:szCs w:val="18"/>
              </w:rPr>
              <w:t>buprofezin</w:t>
            </w:r>
            <w:r w:rsidRPr="00E41899">
              <w:rPr>
                <w:szCs w:val="18"/>
              </w:rPr>
              <w:t>); kaolin clay</w:t>
            </w:r>
          </w:p>
        </w:tc>
      </w:tr>
      <w:tr w:rsidR="003438A2" w:rsidRPr="00E41899" w14:paraId="1BEFE8F1" w14:textId="77777777" w:rsidTr="0034083F">
        <w:trPr>
          <w:gridAfter w:val="2"/>
          <w:wAfter w:w="2415" w:type="pct"/>
          <w:trHeight w:val="334"/>
        </w:trPr>
        <w:tc>
          <w:tcPr>
            <w:tcW w:w="654" w:type="pct"/>
            <w:vMerge/>
            <w:shd w:val="clear" w:color="auto" w:fill="auto"/>
          </w:tcPr>
          <w:p w14:paraId="263F66FD" w14:textId="77777777" w:rsidR="003438A2" w:rsidRPr="00E41899" w:rsidRDefault="003438A2" w:rsidP="0034083F">
            <w:pPr>
              <w:pStyle w:val="TableText"/>
            </w:pPr>
          </w:p>
        </w:tc>
        <w:tc>
          <w:tcPr>
            <w:tcW w:w="723" w:type="pct"/>
            <w:tcBorders>
              <w:top w:val="nil"/>
              <w:bottom w:val="single" w:sz="4" w:space="0" w:color="D9D9D9" w:themeColor="background1" w:themeShade="D9"/>
            </w:tcBorders>
          </w:tcPr>
          <w:p w14:paraId="695EB4C0" w14:textId="77777777" w:rsidR="003438A2" w:rsidRPr="00E41899" w:rsidRDefault="003438A2" w:rsidP="0034083F">
            <w:pPr>
              <w:pStyle w:val="TableText"/>
              <w:rPr>
                <w:szCs w:val="18"/>
              </w:rPr>
            </w:pPr>
            <w:r w:rsidRPr="00E41899">
              <w:rPr>
                <w:szCs w:val="18"/>
              </w:rPr>
              <w:t>Late spring and summer; Pre-harvest</w:t>
            </w:r>
          </w:p>
        </w:tc>
        <w:tc>
          <w:tcPr>
            <w:tcW w:w="1208" w:type="pct"/>
            <w:tcBorders>
              <w:top w:val="nil"/>
              <w:bottom w:val="single" w:sz="4" w:space="0" w:color="D9D9D9" w:themeColor="background1" w:themeShade="D9"/>
            </w:tcBorders>
            <w:shd w:val="clear" w:color="auto" w:fill="auto"/>
          </w:tcPr>
          <w:p w14:paraId="71491678" w14:textId="77777777" w:rsidR="003438A2" w:rsidRPr="00E41899" w:rsidRDefault="003438A2" w:rsidP="0034083F">
            <w:pPr>
              <w:pStyle w:val="TableText"/>
              <w:rPr>
                <w:szCs w:val="18"/>
              </w:rPr>
            </w:pPr>
            <w:r w:rsidRPr="00E41899">
              <w:rPr>
                <w:szCs w:val="18"/>
              </w:rPr>
              <w:t xml:space="preserve">Insecticide (e.g. imidacloprid; indoxacarb); kaolin clay </w:t>
            </w:r>
          </w:p>
        </w:tc>
      </w:tr>
      <w:tr w:rsidR="003438A2" w:rsidRPr="00B077EC" w14:paraId="7600E7A6" w14:textId="77777777" w:rsidTr="0034083F">
        <w:trPr>
          <w:gridAfter w:val="2"/>
          <w:wAfter w:w="2415" w:type="pct"/>
          <w:trHeight w:val="334"/>
        </w:trPr>
        <w:tc>
          <w:tcPr>
            <w:tcW w:w="654" w:type="pct"/>
            <w:tcBorders>
              <w:top w:val="single" w:sz="4" w:space="0" w:color="D9D9D9" w:themeColor="background1" w:themeShade="D9"/>
            </w:tcBorders>
            <w:shd w:val="clear" w:color="auto" w:fill="auto"/>
          </w:tcPr>
          <w:p w14:paraId="5DC81607" w14:textId="77777777" w:rsidR="003438A2" w:rsidRDefault="003438A2" w:rsidP="0034083F">
            <w:pPr>
              <w:pStyle w:val="TableText"/>
            </w:pPr>
            <w:r w:rsidRPr="00E41899">
              <w:t>Leafrollers</w:t>
            </w:r>
          </w:p>
          <w:p w14:paraId="6001F863" w14:textId="77777777" w:rsidR="003438A2" w:rsidRPr="00E41899" w:rsidRDefault="003438A2" w:rsidP="0034083F">
            <w:pPr>
              <w:pStyle w:val="TableText"/>
            </w:pPr>
            <w:r w:rsidRPr="00E41899">
              <w:t xml:space="preserve">(e.g. </w:t>
            </w:r>
            <w:r w:rsidRPr="00E41899">
              <w:rPr>
                <w:i/>
                <w:iCs/>
              </w:rPr>
              <w:t xml:space="preserve">Archips argyrospila, A. rosana, </w:t>
            </w:r>
            <w:r w:rsidRPr="00E41899">
              <w:rPr>
                <w:rFonts w:eastAsia="Calibri"/>
                <w:i/>
              </w:rPr>
              <w:t>Choristoneura rosaceana</w:t>
            </w:r>
            <w:r w:rsidRPr="00E41899">
              <w:rPr>
                <w:i/>
                <w:iCs/>
              </w:rPr>
              <w:t xml:space="preserve"> </w:t>
            </w:r>
            <w:r w:rsidRPr="00E41899">
              <w:rPr>
                <w:iCs/>
              </w:rPr>
              <w:t xml:space="preserve">and </w:t>
            </w:r>
            <w:r w:rsidRPr="00E41899">
              <w:rPr>
                <w:rFonts w:eastAsia="Calibri" w:cs="Arial"/>
                <w:i/>
              </w:rPr>
              <w:t xml:space="preserve">Pandemis </w:t>
            </w:r>
            <w:r w:rsidRPr="00E41899">
              <w:rPr>
                <w:rFonts w:eastAsia="Calibri"/>
                <w:i/>
              </w:rPr>
              <w:t>pyrusana</w:t>
            </w:r>
            <w:r w:rsidRPr="00E41899">
              <w:rPr>
                <w:rFonts w:eastAsia="Calibri"/>
              </w:rPr>
              <w:t>)</w:t>
            </w:r>
          </w:p>
        </w:tc>
        <w:tc>
          <w:tcPr>
            <w:tcW w:w="723" w:type="pct"/>
            <w:tcBorders>
              <w:top w:val="single" w:sz="4" w:space="0" w:color="D9D9D9" w:themeColor="background1" w:themeShade="D9"/>
            </w:tcBorders>
          </w:tcPr>
          <w:p w14:paraId="46A2D2BE" w14:textId="77777777" w:rsidR="003438A2" w:rsidRPr="00E41899" w:rsidRDefault="003438A2" w:rsidP="0034083F">
            <w:pPr>
              <w:pStyle w:val="TableText"/>
              <w:rPr>
                <w:szCs w:val="18"/>
              </w:rPr>
            </w:pPr>
            <w:r w:rsidRPr="00E41899">
              <w:rPr>
                <w:szCs w:val="18"/>
              </w:rPr>
              <w:t>All stages</w:t>
            </w:r>
          </w:p>
        </w:tc>
        <w:tc>
          <w:tcPr>
            <w:tcW w:w="1208" w:type="pct"/>
            <w:tcBorders>
              <w:top w:val="single" w:sz="4" w:space="0" w:color="D9D9D9" w:themeColor="background1" w:themeShade="D9"/>
            </w:tcBorders>
            <w:shd w:val="clear" w:color="auto" w:fill="auto"/>
          </w:tcPr>
          <w:p w14:paraId="6F7BA8A0" w14:textId="77777777" w:rsidR="003438A2" w:rsidRPr="00EF0F87" w:rsidRDefault="003438A2" w:rsidP="0034083F">
            <w:pPr>
              <w:pStyle w:val="TableText"/>
              <w:rPr>
                <w:szCs w:val="18"/>
              </w:rPr>
            </w:pPr>
            <w:r w:rsidRPr="00E41899">
              <w:rPr>
                <w:szCs w:val="18"/>
              </w:rPr>
              <w:t>In-field controls through insecticide sprays (e.g.</w:t>
            </w:r>
            <w:r>
              <w:rPr>
                <w:szCs w:val="18"/>
              </w:rPr>
              <w:t xml:space="preserve"> </w:t>
            </w:r>
            <w:r w:rsidRPr="00EE146B">
              <w:rPr>
                <w:szCs w:val="18"/>
              </w:rPr>
              <w:t xml:space="preserve">chlorantraniliprole; spinosad; </w:t>
            </w:r>
            <w:r>
              <w:rPr>
                <w:szCs w:val="18"/>
              </w:rPr>
              <w:t>chlorpyrifos; pyriproxyfen; methoxyfenoxide)</w:t>
            </w:r>
          </w:p>
        </w:tc>
      </w:tr>
      <w:tr w:rsidR="003438A2" w:rsidRPr="00B077EC" w14:paraId="6D7E3C01" w14:textId="77777777" w:rsidTr="0034083F">
        <w:trPr>
          <w:gridAfter w:val="2"/>
          <w:wAfter w:w="2415" w:type="pct"/>
          <w:trHeight w:val="334"/>
        </w:trPr>
        <w:tc>
          <w:tcPr>
            <w:tcW w:w="654" w:type="pct"/>
            <w:tcBorders>
              <w:top w:val="single" w:sz="4" w:space="0" w:color="D9D9D9" w:themeColor="background1" w:themeShade="D9"/>
            </w:tcBorders>
            <w:shd w:val="clear" w:color="auto" w:fill="auto"/>
          </w:tcPr>
          <w:p w14:paraId="1BC3D04E" w14:textId="77777777" w:rsidR="003438A2" w:rsidRPr="00B077EC" w:rsidRDefault="003438A2" w:rsidP="0034083F">
            <w:pPr>
              <w:pStyle w:val="TableText"/>
            </w:pPr>
            <w:r w:rsidRPr="00F71323">
              <w:t>Leafminers and apple leafcurling midge (</w:t>
            </w:r>
            <w:r w:rsidRPr="00F71323">
              <w:rPr>
                <w:i/>
              </w:rPr>
              <w:t>Dasineura mali</w:t>
            </w:r>
            <w:r w:rsidRPr="00F71323">
              <w:t>)</w:t>
            </w:r>
          </w:p>
        </w:tc>
        <w:tc>
          <w:tcPr>
            <w:tcW w:w="723" w:type="pct"/>
            <w:tcBorders>
              <w:top w:val="single" w:sz="4" w:space="0" w:color="D9D9D9" w:themeColor="background1" w:themeShade="D9"/>
              <w:bottom w:val="single" w:sz="4" w:space="0" w:color="D9D9D9" w:themeColor="background1" w:themeShade="D9"/>
            </w:tcBorders>
          </w:tcPr>
          <w:p w14:paraId="421B03B2" w14:textId="77777777" w:rsidR="003438A2" w:rsidRPr="00961BE8" w:rsidRDefault="003438A2" w:rsidP="0034083F">
            <w:pPr>
              <w:pStyle w:val="TableText"/>
              <w:rPr>
                <w:szCs w:val="18"/>
              </w:rPr>
            </w:pPr>
            <w:r w:rsidRPr="00855731">
              <w:rPr>
                <w:szCs w:val="18"/>
              </w:rPr>
              <w:t xml:space="preserve">14 – 28 days after full bloom; </w:t>
            </w:r>
            <w:r w:rsidRPr="00961BE8">
              <w:rPr>
                <w:szCs w:val="18"/>
              </w:rPr>
              <w:t>Pre-harvest</w:t>
            </w:r>
          </w:p>
        </w:tc>
        <w:tc>
          <w:tcPr>
            <w:tcW w:w="1208" w:type="pct"/>
            <w:tcBorders>
              <w:top w:val="single" w:sz="4" w:space="0" w:color="D9D9D9" w:themeColor="background1" w:themeShade="D9"/>
              <w:bottom w:val="single" w:sz="4" w:space="0" w:color="D9D9D9" w:themeColor="background1" w:themeShade="D9"/>
            </w:tcBorders>
            <w:shd w:val="clear" w:color="auto" w:fill="auto"/>
          </w:tcPr>
          <w:p w14:paraId="2169A8D2" w14:textId="77777777" w:rsidR="003438A2" w:rsidRPr="00961BE8" w:rsidRDefault="003438A2" w:rsidP="0034083F">
            <w:pPr>
              <w:pStyle w:val="TableText"/>
              <w:rPr>
                <w:szCs w:val="18"/>
              </w:rPr>
            </w:pPr>
            <w:r w:rsidRPr="00961BE8">
              <w:rPr>
                <w:szCs w:val="18"/>
              </w:rPr>
              <w:t>In</w:t>
            </w:r>
            <w:r>
              <w:rPr>
                <w:szCs w:val="18"/>
              </w:rPr>
              <w:t xml:space="preserve">-field </w:t>
            </w:r>
            <w:r w:rsidRPr="002B497A">
              <w:rPr>
                <w:szCs w:val="18"/>
              </w:rPr>
              <w:t xml:space="preserve">monitoring and </w:t>
            </w:r>
            <w:r>
              <w:rPr>
                <w:szCs w:val="18"/>
              </w:rPr>
              <w:t xml:space="preserve">controls including broad spectrum </w:t>
            </w:r>
            <w:r w:rsidRPr="002B497A">
              <w:rPr>
                <w:szCs w:val="18"/>
              </w:rPr>
              <w:t>insecticidal sprays</w:t>
            </w:r>
            <w:r>
              <w:rPr>
                <w:szCs w:val="18"/>
              </w:rPr>
              <w:t>.</w:t>
            </w:r>
          </w:p>
        </w:tc>
      </w:tr>
      <w:tr w:rsidR="003438A2" w:rsidRPr="00B077EC" w14:paraId="785E912A" w14:textId="77777777" w:rsidTr="0034083F">
        <w:trPr>
          <w:gridAfter w:val="2"/>
          <w:wAfter w:w="2415" w:type="pct"/>
          <w:trHeight w:val="334"/>
        </w:trPr>
        <w:tc>
          <w:tcPr>
            <w:tcW w:w="654" w:type="pct"/>
            <w:vMerge w:val="restart"/>
            <w:tcBorders>
              <w:top w:val="single" w:sz="4" w:space="0" w:color="D9D9D9" w:themeColor="background1" w:themeShade="D9"/>
            </w:tcBorders>
            <w:shd w:val="clear" w:color="auto" w:fill="auto"/>
          </w:tcPr>
          <w:p w14:paraId="1ED0E9A7" w14:textId="77777777" w:rsidR="003438A2" w:rsidRDefault="003438A2" w:rsidP="0034083F">
            <w:pPr>
              <w:pStyle w:val="TableText"/>
            </w:pPr>
            <w:r w:rsidRPr="00B077EC">
              <w:t>Mealybugs</w:t>
            </w:r>
          </w:p>
          <w:p w14:paraId="4FA065BD" w14:textId="77777777" w:rsidR="003438A2" w:rsidRPr="00B077EC" w:rsidRDefault="003438A2" w:rsidP="0034083F">
            <w:pPr>
              <w:pStyle w:val="TableText"/>
            </w:pPr>
            <w:r w:rsidRPr="00EF0F87">
              <w:t xml:space="preserve">(e.g. </w:t>
            </w:r>
            <w:r w:rsidRPr="00EF0F87">
              <w:rPr>
                <w:i/>
              </w:rPr>
              <w:t xml:space="preserve">Phenacoccus aceris </w:t>
            </w:r>
            <w:r w:rsidRPr="00EF0F87">
              <w:t>and</w:t>
            </w:r>
            <w:r>
              <w:t xml:space="preserve"> </w:t>
            </w:r>
            <w:r w:rsidRPr="00B077EC">
              <w:rPr>
                <w:i/>
              </w:rPr>
              <w:t>Pseudococcus maritimus</w:t>
            </w:r>
            <w:r w:rsidRPr="00B077EC">
              <w:t>)</w:t>
            </w:r>
          </w:p>
        </w:tc>
        <w:tc>
          <w:tcPr>
            <w:tcW w:w="723" w:type="pct"/>
            <w:tcBorders>
              <w:top w:val="single" w:sz="4" w:space="0" w:color="D9D9D9" w:themeColor="background1" w:themeShade="D9"/>
              <w:bottom w:val="nil"/>
            </w:tcBorders>
          </w:tcPr>
          <w:p w14:paraId="576BD4BB" w14:textId="77777777" w:rsidR="003438A2" w:rsidRPr="00855731" w:rsidRDefault="003438A2" w:rsidP="0034083F">
            <w:pPr>
              <w:pStyle w:val="TableText"/>
              <w:rPr>
                <w:szCs w:val="18"/>
              </w:rPr>
            </w:pPr>
            <w:r w:rsidRPr="00855731">
              <w:rPr>
                <w:szCs w:val="18"/>
              </w:rPr>
              <w:t>Delayed-dormant</w:t>
            </w:r>
          </w:p>
        </w:tc>
        <w:tc>
          <w:tcPr>
            <w:tcW w:w="1208" w:type="pct"/>
            <w:tcBorders>
              <w:top w:val="single" w:sz="4" w:space="0" w:color="D9D9D9" w:themeColor="background1" w:themeShade="D9"/>
              <w:bottom w:val="nil"/>
            </w:tcBorders>
            <w:shd w:val="clear" w:color="auto" w:fill="auto"/>
          </w:tcPr>
          <w:p w14:paraId="5ECCF84D" w14:textId="77777777" w:rsidR="003438A2" w:rsidRPr="00961BE8" w:rsidRDefault="003438A2" w:rsidP="0034083F">
            <w:pPr>
              <w:pStyle w:val="TableText"/>
              <w:rPr>
                <w:szCs w:val="18"/>
              </w:rPr>
            </w:pPr>
            <w:r w:rsidRPr="00855731">
              <w:rPr>
                <w:szCs w:val="18"/>
              </w:rPr>
              <w:t xml:space="preserve">Insecticide </w:t>
            </w:r>
            <w:r>
              <w:rPr>
                <w:szCs w:val="18"/>
              </w:rPr>
              <w:t xml:space="preserve">(eg. buprofezin; diazinon) </w:t>
            </w:r>
          </w:p>
        </w:tc>
      </w:tr>
      <w:tr w:rsidR="003438A2" w:rsidRPr="00B077EC" w14:paraId="1A9E4191" w14:textId="77777777" w:rsidTr="0034083F">
        <w:trPr>
          <w:gridAfter w:val="2"/>
          <w:wAfter w:w="2415" w:type="pct"/>
          <w:trHeight w:val="334"/>
        </w:trPr>
        <w:tc>
          <w:tcPr>
            <w:tcW w:w="654" w:type="pct"/>
            <w:vMerge/>
            <w:tcBorders>
              <w:bottom w:val="single" w:sz="4" w:space="0" w:color="D9D9D9" w:themeColor="background1" w:themeShade="D9"/>
            </w:tcBorders>
            <w:shd w:val="clear" w:color="auto" w:fill="auto"/>
          </w:tcPr>
          <w:p w14:paraId="5EF3E760" w14:textId="77777777" w:rsidR="003438A2" w:rsidRPr="00EF0F87" w:rsidRDefault="003438A2" w:rsidP="0034083F">
            <w:pPr>
              <w:pStyle w:val="TableText"/>
            </w:pPr>
          </w:p>
        </w:tc>
        <w:tc>
          <w:tcPr>
            <w:tcW w:w="723" w:type="pct"/>
            <w:tcBorders>
              <w:top w:val="nil"/>
              <w:bottom w:val="single" w:sz="4" w:space="0" w:color="D9D9D9" w:themeColor="background1" w:themeShade="D9"/>
            </w:tcBorders>
          </w:tcPr>
          <w:p w14:paraId="4E00361A" w14:textId="77777777" w:rsidR="003438A2" w:rsidRPr="00EF0F87" w:rsidRDefault="003438A2" w:rsidP="0034083F">
            <w:pPr>
              <w:pStyle w:val="TableText"/>
              <w:rPr>
                <w:szCs w:val="18"/>
              </w:rPr>
            </w:pPr>
            <w:r w:rsidRPr="00EF0F87">
              <w:rPr>
                <w:szCs w:val="18"/>
              </w:rPr>
              <w:t>Pre</w:t>
            </w:r>
            <w:r>
              <w:rPr>
                <w:szCs w:val="18"/>
              </w:rPr>
              <w:t>-</w:t>
            </w:r>
            <w:r w:rsidRPr="00EF0F87">
              <w:rPr>
                <w:szCs w:val="18"/>
              </w:rPr>
              <w:t>pink; Petal-fall; Late spring and summer</w:t>
            </w:r>
          </w:p>
        </w:tc>
        <w:tc>
          <w:tcPr>
            <w:tcW w:w="1208" w:type="pct"/>
            <w:tcBorders>
              <w:top w:val="nil"/>
              <w:bottom w:val="single" w:sz="4" w:space="0" w:color="D9D9D9" w:themeColor="background1" w:themeShade="D9"/>
            </w:tcBorders>
            <w:shd w:val="clear" w:color="auto" w:fill="auto"/>
          </w:tcPr>
          <w:p w14:paraId="79285052" w14:textId="77777777" w:rsidR="003438A2" w:rsidRPr="00EF0F87" w:rsidRDefault="003438A2" w:rsidP="0034083F">
            <w:pPr>
              <w:pStyle w:val="TableText"/>
              <w:rPr>
                <w:szCs w:val="18"/>
              </w:rPr>
            </w:pPr>
            <w:r w:rsidRPr="00EF0F87">
              <w:rPr>
                <w:szCs w:val="18"/>
              </w:rPr>
              <w:t xml:space="preserve">Insecticide (e.g. acetamiprid; </w:t>
            </w:r>
            <w:r>
              <w:rPr>
                <w:szCs w:val="18"/>
              </w:rPr>
              <w:t>buprofezin; diazinon)</w:t>
            </w:r>
          </w:p>
        </w:tc>
      </w:tr>
      <w:tr w:rsidR="003438A2" w:rsidRPr="00B077EC" w14:paraId="330B06FA" w14:textId="77777777" w:rsidTr="0034083F">
        <w:trPr>
          <w:gridAfter w:val="2"/>
          <w:wAfter w:w="2415" w:type="pct"/>
          <w:trHeight w:val="334"/>
        </w:trPr>
        <w:tc>
          <w:tcPr>
            <w:tcW w:w="654" w:type="pct"/>
            <w:tcBorders>
              <w:top w:val="single" w:sz="4" w:space="0" w:color="D9D9D9" w:themeColor="background1" w:themeShade="D9"/>
            </w:tcBorders>
            <w:shd w:val="clear" w:color="auto" w:fill="auto"/>
          </w:tcPr>
          <w:p w14:paraId="4446212E" w14:textId="77777777" w:rsidR="003438A2" w:rsidRPr="00855731" w:rsidRDefault="003438A2" w:rsidP="0034083F">
            <w:pPr>
              <w:pStyle w:val="TableText"/>
            </w:pPr>
            <w:r w:rsidRPr="00B077EC">
              <w:t xml:space="preserve">Codling moth </w:t>
            </w:r>
            <w:r>
              <w:br/>
            </w:r>
            <w:r w:rsidRPr="00B077EC">
              <w:t>(</w:t>
            </w:r>
            <w:r w:rsidRPr="00B077EC">
              <w:rPr>
                <w:i/>
              </w:rPr>
              <w:t>Cydia pomonella</w:t>
            </w:r>
            <w:r w:rsidRPr="00B077EC">
              <w:t>)</w:t>
            </w:r>
          </w:p>
        </w:tc>
        <w:tc>
          <w:tcPr>
            <w:tcW w:w="723" w:type="pct"/>
            <w:tcBorders>
              <w:top w:val="single" w:sz="4" w:space="0" w:color="D9D9D9" w:themeColor="background1" w:themeShade="D9"/>
              <w:bottom w:val="nil"/>
            </w:tcBorders>
          </w:tcPr>
          <w:p w14:paraId="5173C2D1" w14:textId="77777777" w:rsidR="003438A2" w:rsidRPr="00961BE8" w:rsidRDefault="003438A2" w:rsidP="0034083F">
            <w:pPr>
              <w:pStyle w:val="TableText"/>
              <w:rPr>
                <w:szCs w:val="18"/>
              </w:rPr>
            </w:pPr>
            <w:r w:rsidRPr="00E41899">
              <w:rPr>
                <w:szCs w:val="18"/>
              </w:rPr>
              <w:t>All stages</w:t>
            </w:r>
          </w:p>
        </w:tc>
        <w:tc>
          <w:tcPr>
            <w:tcW w:w="1208" w:type="pct"/>
            <w:tcBorders>
              <w:top w:val="single" w:sz="4" w:space="0" w:color="D9D9D9" w:themeColor="background1" w:themeShade="D9"/>
              <w:bottom w:val="nil"/>
            </w:tcBorders>
            <w:shd w:val="clear" w:color="auto" w:fill="auto"/>
          </w:tcPr>
          <w:p w14:paraId="6105B559" w14:textId="77777777" w:rsidR="003438A2" w:rsidRPr="00EF0F87" w:rsidRDefault="003438A2" w:rsidP="0034083F">
            <w:pPr>
              <w:pStyle w:val="TableText"/>
              <w:rPr>
                <w:szCs w:val="18"/>
              </w:rPr>
            </w:pPr>
            <w:r w:rsidRPr="00EF0F87">
              <w:rPr>
                <w:szCs w:val="18"/>
              </w:rPr>
              <w:t xml:space="preserve">In-field </w:t>
            </w:r>
            <w:r>
              <w:rPr>
                <w:szCs w:val="18"/>
              </w:rPr>
              <w:t>monitoring</w:t>
            </w:r>
            <w:r w:rsidRPr="00EF0F87">
              <w:rPr>
                <w:szCs w:val="18"/>
              </w:rPr>
              <w:t xml:space="preserve">, pheromone trapping and </w:t>
            </w:r>
            <w:r>
              <w:rPr>
                <w:szCs w:val="18"/>
              </w:rPr>
              <w:t xml:space="preserve">controls including </w:t>
            </w:r>
            <w:r w:rsidRPr="00EF0F87">
              <w:rPr>
                <w:szCs w:val="18"/>
              </w:rPr>
              <w:t xml:space="preserve">insecticide sprays (e.g. </w:t>
            </w:r>
            <w:r>
              <w:rPr>
                <w:szCs w:val="18"/>
              </w:rPr>
              <w:t>chlorantraniliprole; pyriproxyfen; acetamiprid)</w:t>
            </w:r>
            <w:r w:rsidRPr="00EF0F87">
              <w:rPr>
                <w:szCs w:val="18"/>
              </w:rPr>
              <w:t>.</w:t>
            </w:r>
          </w:p>
        </w:tc>
      </w:tr>
      <w:tr w:rsidR="003438A2" w:rsidRPr="00B077EC" w14:paraId="3BA0EE6C" w14:textId="77777777" w:rsidTr="0034083F">
        <w:trPr>
          <w:gridAfter w:val="2"/>
          <w:wAfter w:w="2415" w:type="pct"/>
          <w:trHeight w:val="334"/>
        </w:trPr>
        <w:tc>
          <w:tcPr>
            <w:tcW w:w="654" w:type="pct"/>
            <w:tcBorders>
              <w:top w:val="single" w:sz="4" w:space="0" w:color="D9D9D9" w:themeColor="background1" w:themeShade="D9"/>
            </w:tcBorders>
            <w:shd w:val="clear" w:color="auto" w:fill="auto"/>
          </w:tcPr>
          <w:p w14:paraId="49177106" w14:textId="77777777" w:rsidR="003438A2" w:rsidRPr="00CE5DE6" w:rsidRDefault="003438A2" w:rsidP="001F4D09">
            <w:pPr>
              <w:pStyle w:val="TableText"/>
              <w:spacing w:before="0" w:after="0"/>
            </w:pPr>
            <w:r w:rsidRPr="00CE5DE6">
              <w:t>Cutworms and fruit moths</w:t>
            </w:r>
          </w:p>
          <w:p w14:paraId="2357C29B" w14:textId="77777777" w:rsidR="003438A2" w:rsidRPr="00CE5DE6" w:rsidRDefault="003438A2" w:rsidP="001F4D09">
            <w:pPr>
              <w:pStyle w:val="TableText"/>
              <w:spacing w:before="0" w:after="0"/>
            </w:pPr>
            <w:r w:rsidRPr="00CE5DE6">
              <w:t>(e.g. Lacanobia fruitworm)</w:t>
            </w:r>
          </w:p>
          <w:p w14:paraId="78D17C76" w14:textId="77777777" w:rsidR="003438A2" w:rsidRPr="00CE5DE6" w:rsidRDefault="003438A2" w:rsidP="001F4D09">
            <w:pPr>
              <w:pStyle w:val="TableText"/>
              <w:spacing w:before="0" w:after="0"/>
            </w:pPr>
          </w:p>
        </w:tc>
        <w:tc>
          <w:tcPr>
            <w:tcW w:w="723" w:type="pct"/>
            <w:tcBorders>
              <w:top w:val="single" w:sz="4" w:space="0" w:color="D9D9D9" w:themeColor="background1" w:themeShade="D9"/>
            </w:tcBorders>
          </w:tcPr>
          <w:p w14:paraId="17A0B800" w14:textId="77777777" w:rsidR="003438A2" w:rsidRPr="00CE5DE6" w:rsidRDefault="003438A2" w:rsidP="0034083F">
            <w:pPr>
              <w:pStyle w:val="TableText"/>
              <w:rPr>
                <w:szCs w:val="18"/>
              </w:rPr>
            </w:pPr>
            <w:r w:rsidRPr="00CE5DE6">
              <w:rPr>
                <w:szCs w:val="18"/>
              </w:rPr>
              <w:t>All stages</w:t>
            </w:r>
          </w:p>
        </w:tc>
        <w:tc>
          <w:tcPr>
            <w:tcW w:w="1208" w:type="pct"/>
            <w:tcBorders>
              <w:top w:val="single" w:sz="4" w:space="0" w:color="D9D9D9" w:themeColor="background1" w:themeShade="D9"/>
            </w:tcBorders>
            <w:shd w:val="clear" w:color="auto" w:fill="auto"/>
          </w:tcPr>
          <w:p w14:paraId="0BBF98AB" w14:textId="77777777" w:rsidR="003438A2" w:rsidRPr="00EE146B" w:rsidRDefault="003438A2" w:rsidP="0034083F">
            <w:pPr>
              <w:pStyle w:val="TableText"/>
              <w:rPr>
                <w:szCs w:val="18"/>
              </w:rPr>
            </w:pPr>
            <w:r w:rsidRPr="00EE146B">
              <w:rPr>
                <w:szCs w:val="18"/>
              </w:rPr>
              <w:t>Insecticide (e.g. emamectin benzoate; chlorantraniliprole; acetamiprid; phosmet; spinosad)</w:t>
            </w:r>
          </w:p>
          <w:p w14:paraId="5050823B" w14:textId="77777777" w:rsidR="003438A2" w:rsidRPr="00961BE8" w:rsidRDefault="003438A2" w:rsidP="0034083F">
            <w:pPr>
              <w:pStyle w:val="TableText"/>
              <w:rPr>
                <w:szCs w:val="18"/>
              </w:rPr>
            </w:pPr>
          </w:p>
        </w:tc>
      </w:tr>
      <w:tr w:rsidR="003438A2" w:rsidRPr="00B077EC" w14:paraId="3F80E27F" w14:textId="77777777" w:rsidTr="006A64D6">
        <w:trPr>
          <w:gridAfter w:val="2"/>
          <w:wAfter w:w="2415" w:type="pct"/>
          <w:trHeight w:val="334"/>
        </w:trPr>
        <w:tc>
          <w:tcPr>
            <w:tcW w:w="654" w:type="pct"/>
            <w:tcBorders>
              <w:top w:val="single" w:sz="4" w:space="0" w:color="D9D9D9" w:themeColor="background1" w:themeShade="D9"/>
              <w:bottom w:val="single" w:sz="4" w:space="0" w:color="auto"/>
            </w:tcBorders>
            <w:shd w:val="clear" w:color="auto" w:fill="auto"/>
          </w:tcPr>
          <w:p w14:paraId="27E768AC" w14:textId="77777777" w:rsidR="003438A2" w:rsidRPr="00B077EC" w:rsidRDefault="003438A2" w:rsidP="0034083F">
            <w:pPr>
              <w:pStyle w:val="TableText"/>
            </w:pPr>
            <w:r w:rsidRPr="00B077EC">
              <w:t>Western flower thrips (</w:t>
            </w:r>
            <w:r w:rsidRPr="00B077EC">
              <w:rPr>
                <w:i/>
              </w:rPr>
              <w:t>Frankliniella occidentalis</w:t>
            </w:r>
            <w:r w:rsidRPr="00B077EC">
              <w:t>)</w:t>
            </w:r>
          </w:p>
        </w:tc>
        <w:tc>
          <w:tcPr>
            <w:tcW w:w="723" w:type="pct"/>
            <w:tcBorders>
              <w:top w:val="single" w:sz="4" w:space="0" w:color="D9D9D9" w:themeColor="background1" w:themeShade="D9"/>
              <w:bottom w:val="single" w:sz="4" w:space="0" w:color="auto"/>
            </w:tcBorders>
          </w:tcPr>
          <w:p w14:paraId="73A7543D" w14:textId="77777777" w:rsidR="003438A2" w:rsidRPr="00855731" w:rsidRDefault="003438A2" w:rsidP="0034083F">
            <w:pPr>
              <w:pStyle w:val="TableText"/>
              <w:rPr>
                <w:szCs w:val="18"/>
              </w:rPr>
            </w:pPr>
            <w:r w:rsidRPr="00855731">
              <w:rPr>
                <w:szCs w:val="18"/>
              </w:rPr>
              <w:t>14 – 28 days after full bloom</w:t>
            </w:r>
          </w:p>
        </w:tc>
        <w:tc>
          <w:tcPr>
            <w:tcW w:w="1208" w:type="pct"/>
            <w:tcBorders>
              <w:top w:val="single" w:sz="4" w:space="0" w:color="D9D9D9" w:themeColor="background1" w:themeShade="D9"/>
              <w:bottom w:val="single" w:sz="4" w:space="0" w:color="auto"/>
            </w:tcBorders>
            <w:shd w:val="clear" w:color="auto" w:fill="auto"/>
          </w:tcPr>
          <w:p w14:paraId="7557AC7B" w14:textId="77777777" w:rsidR="003438A2" w:rsidRPr="00961BE8" w:rsidRDefault="003438A2" w:rsidP="0034083F">
            <w:pPr>
              <w:pStyle w:val="TableText"/>
              <w:rPr>
                <w:szCs w:val="18"/>
              </w:rPr>
            </w:pPr>
            <w:r w:rsidRPr="00855731">
              <w:rPr>
                <w:szCs w:val="18"/>
              </w:rPr>
              <w:t>Insecticide (e.g. spinosad</w:t>
            </w:r>
            <w:r w:rsidRPr="00961BE8">
              <w:rPr>
                <w:szCs w:val="18"/>
              </w:rPr>
              <w:t>)</w:t>
            </w:r>
          </w:p>
        </w:tc>
      </w:tr>
    </w:tbl>
    <w:p w14:paraId="4E7DE6B2" w14:textId="2A826AB5" w:rsidR="003438A2" w:rsidRPr="008F36B7" w:rsidRDefault="003438A2" w:rsidP="001D02E4">
      <w:pPr>
        <w:pStyle w:val="FigureTableNoteSource"/>
        <w:rPr>
          <w:rFonts w:ascii="Cambria" w:hAnsi="Cambria"/>
          <w:szCs w:val="18"/>
        </w:rPr>
        <w:sectPr w:rsidR="003438A2" w:rsidRPr="008F36B7" w:rsidSect="00874700">
          <w:headerReference w:type="even" r:id="rId63"/>
          <w:headerReference w:type="default" r:id="rId64"/>
          <w:headerReference w:type="first" r:id="rId65"/>
          <w:pgSz w:w="11906" w:h="16838" w:code="9"/>
          <w:pgMar w:top="1418" w:right="1418" w:bottom="1418" w:left="1418" w:header="567" w:footer="284" w:gutter="0"/>
          <w:cols w:space="708"/>
          <w:docGrid w:linePitch="360"/>
        </w:sectPr>
      </w:pPr>
      <w:r w:rsidRPr="008F36B7">
        <w:rPr>
          <w:rFonts w:ascii="Cambria" w:hAnsi="Cambria"/>
          <w:szCs w:val="18"/>
        </w:rPr>
        <w:t xml:space="preserve">Notes: Product replacement may occur over time due to pesticide resistance and availability of chemicals. Except for post-harvest rot fungi, this table only includes information relating to in-field controls. Standard packing house procedures used in the PNW-USA are described in Section </w:t>
      </w:r>
      <w:r w:rsidRPr="008F36B7">
        <w:rPr>
          <w:rFonts w:ascii="Cambria" w:hAnsi="Cambria"/>
          <w:szCs w:val="18"/>
        </w:rPr>
        <w:fldChar w:fldCharType="begin" w:fldLock="1"/>
      </w:r>
      <w:r w:rsidRPr="008F36B7">
        <w:rPr>
          <w:rFonts w:ascii="Cambria" w:hAnsi="Cambria"/>
          <w:szCs w:val="18"/>
        </w:rPr>
        <w:instrText xml:space="preserve"> REF _Ref108437271 \n \h </w:instrText>
      </w:r>
      <w:r w:rsidR="008F36B7" w:rsidRPr="008F36B7">
        <w:rPr>
          <w:rFonts w:ascii="Cambria" w:hAnsi="Cambria"/>
          <w:szCs w:val="18"/>
        </w:rPr>
        <w:instrText xml:space="preserve"> \* MERGEFORMAT </w:instrText>
      </w:r>
      <w:r w:rsidRPr="008F36B7">
        <w:rPr>
          <w:rFonts w:ascii="Cambria" w:hAnsi="Cambria"/>
          <w:szCs w:val="18"/>
        </w:rPr>
      </w:r>
      <w:r w:rsidRPr="008F36B7">
        <w:rPr>
          <w:rFonts w:ascii="Cambria" w:hAnsi="Cambria"/>
          <w:szCs w:val="18"/>
        </w:rPr>
        <w:fldChar w:fldCharType="separate"/>
      </w:r>
      <w:r w:rsidRPr="008F36B7">
        <w:rPr>
          <w:rFonts w:ascii="Cambria" w:hAnsi="Cambria"/>
          <w:szCs w:val="18"/>
        </w:rPr>
        <w:t>3.6</w:t>
      </w:r>
      <w:r w:rsidRPr="008F36B7">
        <w:rPr>
          <w:rFonts w:ascii="Cambria" w:hAnsi="Cambria"/>
          <w:szCs w:val="18"/>
        </w:rPr>
        <w:fldChar w:fldCharType="end"/>
      </w:r>
      <w:r w:rsidRPr="008F36B7">
        <w:rPr>
          <w:rFonts w:ascii="Cambria" w:hAnsi="Cambria"/>
          <w:szCs w:val="18"/>
        </w:rPr>
        <w:t xml:space="preserve">. </w:t>
      </w:r>
    </w:p>
    <w:p w14:paraId="4F081C38" w14:textId="77777777" w:rsidR="003438A2" w:rsidRPr="00C727FC" w:rsidRDefault="003438A2" w:rsidP="00F843A1">
      <w:pPr>
        <w:pStyle w:val="Heading3"/>
        <w:numPr>
          <w:ilvl w:val="1"/>
          <w:numId w:val="31"/>
        </w:numPr>
      </w:pPr>
      <w:bookmarkStart w:id="117" w:name="_Toc112768997"/>
      <w:r w:rsidRPr="00C727FC">
        <w:lastRenderedPageBreak/>
        <w:t>Harvesting and handling procedures</w:t>
      </w:r>
      <w:bookmarkEnd w:id="107"/>
      <w:bookmarkEnd w:id="117"/>
    </w:p>
    <w:p w14:paraId="052F7D38" w14:textId="77777777" w:rsidR="003438A2" w:rsidRDefault="003438A2" w:rsidP="001F5D2A">
      <w:bookmarkStart w:id="118" w:name="_Toc389741450"/>
      <w:r w:rsidRPr="00043C0C">
        <w:t>In the PNW</w:t>
      </w:r>
      <w:r>
        <w:t>-USA</w:t>
      </w:r>
      <w:r w:rsidRPr="00043C0C">
        <w:t xml:space="preserve">, </w:t>
      </w:r>
      <w:r>
        <w:t xml:space="preserve">apple </w:t>
      </w:r>
      <w:r w:rsidRPr="00043C0C">
        <w:t xml:space="preserve">harvest occurs from August until early November, depending on the variety and the environmental conditions in the region </w:t>
      </w:r>
      <w:r>
        <w:rPr>
          <w:noProof/>
        </w:rPr>
        <w:t>(Washington Apple Commission 2019; Washington State University 2019b)</w:t>
      </w:r>
      <w:r w:rsidRPr="00043C0C">
        <w:t xml:space="preserve">. Prior to harvest, fruit maturity is monitored in each variety and orchard block by determining the </w:t>
      </w:r>
      <w:r>
        <w:t>S</w:t>
      </w:r>
      <w:r w:rsidRPr="00043C0C">
        <w:t xml:space="preserve">tarch </w:t>
      </w:r>
      <w:r>
        <w:t>P</w:t>
      </w:r>
      <w:r w:rsidRPr="00043C0C">
        <w:t xml:space="preserve">attern </w:t>
      </w:r>
      <w:r>
        <w:t>I</w:t>
      </w:r>
      <w:r w:rsidRPr="00043C0C">
        <w:t xml:space="preserve">ndex </w:t>
      </w:r>
      <w:r w:rsidRPr="00BB780E">
        <w:t>(SPI) using an iodine test as a standard quality control measure</w:t>
      </w:r>
      <w:r>
        <w:t xml:space="preserve"> </w:t>
      </w:r>
      <w:r>
        <w:rPr>
          <w:noProof/>
        </w:rPr>
        <w:t>(Washington Apple Commission 2019; Washington State University 2019b)</w:t>
      </w:r>
      <w:r>
        <w:t xml:space="preserve">. </w:t>
      </w:r>
      <w:r w:rsidRPr="00BB780E">
        <w:t>In addition to determining SPI, f</w:t>
      </w:r>
      <w:r w:rsidRPr="00BB780E">
        <w:rPr>
          <w:lang w:eastAsia="en-AU"/>
        </w:rPr>
        <w:t xml:space="preserve">ruit firmness and </w:t>
      </w:r>
      <w:r w:rsidRPr="00043C0C">
        <w:rPr>
          <w:lang w:eastAsia="en-AU"/>
        </w:rPr>
        <w:t xml:space="preserve">soluble solids concentration (SSC) are among the primary tests performed at this time </w:t>
      </w:r>
      <w:r>
        <w:rPr>
          <w:noProof/>
        </w:rPr>
        <w:t>(Washington State University 2019b)</w:t>
      </w:r>
      <w:r w:rsidRPr="00043C0C">
        <w:rPr>
          <w:lang w:eastAsia="en-AU"/>
        </w:rPr>
        <w:t xml:space="preserve">. Fruit size, taste, and skin colouration are also considered when making harvest decisions. </w:t>
      </w:r>
      <w:r w:rsidRPr="00043C0C">
        <w:t xml:space="preserve">Apples are picked by hand, </w:t>
      </w:r>
      <w:r w:rsidRPr="00F92002">
        <w:t xml:space="preserve">placed in bags or buckets, and emptied into large plywood or plastic bins, which are then packed on trucks and taken to the packing house </w:t>
      </w:r>
      <w:r w:rsidRPr="00F92002">
        <w:rPr>
          <w:noProof/>
        </w:rPr>
        <w:t>(Kupferman 1999; Washington Apple Commission 2020)</w:t>
      </w:r>
      <w:bookmarkStart w:id="119" w:name="_Hlk112250391"/>
      <w:r w:rsidRPr="00F92002">
        <w:t>.</w:t>
      </w:r>
      <w:bookmarkStart w:id="120" w:name="_Hlk46075673"/>
      <w:bookmarkEnd w:id="119"/>
      <w:r w:rsidRPr="00F92002">
        <w:t xml:space="preserve"> Harvest and packing processes are summarised in </w:t>
      </w:r>
      <w:r w:rsidRPr="00F92002">
        <w:fldChar w:fldCharType="begin" w:fldLock="1"/>
      </w:r>
      <w:r w:rsidRPr="00F92002">
        <w:instrText xml:space="preserve"> REF _Ref15545811 \h </w:instrText>
      </w:r>
      <w:r>
        <w:instrText xml:space="preserve"> \* MERGEFORMAT </w:instrText>
      </w:r>
      <w:r w:rsidRPr="00F92002">
        <w:fldChar w:fldCharType="separate"/>
      </w:r>
      <w:r>
        <w:t xml:space="preserve">Figure </w:t>
      </w:r>
      <w:r>
        <w:rPr>
          <w:noProof/>
        </w:rPr>
        <w:t>3</w:t>
      </w:r>
      <w:r w:rsidRPr="00F92002">
        <w:fldChar w:fldCharType="end"/>
      </w:r>
      <w:r w:rsidRPr="00F92002">
        <w:t>.</w:t>
      </w:r>
    </w:p>
    <w:p w14:paraId="09E37DE7" w14:textId="77777777" w:rsidR="003438A2" w:rsidRPr="00C727FC" w:rsidRDefault="003438A2" w:rsidP="00F843A1">
      <w:pPr>
        <w:pStyle w:val="Heading3"/>
        <w:numPr>
          <w:ilvl w:val="1"/>
          <w:numId w:val="31"/>
        </w:numPr>
      </w:pPr>
      <w:bookmarkStart w:id="121" w:name="_Ref108437271"/>
      <w:bookmarkStart w:id="122" w:name="_Ref108437288"/>
      <w:bookmarkStart w:id="123" w:name="_Ref108437340"/>
      <w:bookmarkStart w:id="124" w:name="_Toc112768998"/>
      <w:bookmarkEnd w:id="118"/>
      <w:bookmarkEnd w:id="120"/>
      <w:r w:rsidRPr="00C727FC">
        <w:t>Post-harvest</w:t>
      </w:r>
      <w:bookmarkEnd w:id="121"/>
      <w:bookmarkEnd w:id="122"/>
      <w:bookmarkEnd w:id="123"/>
      <w:bookmarkEnd w:id="124"/>
    </w:p>
    <w:p w14:paraId="7761AF00" w14:textId="77777777" w:rsidR="003438A2" w:rsidRPr="001A5189" w:rsidRDefault="003438A2" w:rsidP="00F843A1">
      <w:pPr>
        <w:pStyle w:val="Heading4"/>
        <w:numPr>
          <w:ilvl w:val="2"/>
          <w:numId w:val="31"/>
        </w:numPr>
        <w:tabs>
          <w:tab w:val="clear" w:pos="1645"/>
          <w:tab w:val="num" w:pos="794"/>
        </w:tabs>
        <w:ind w:left="1786"/>
      </w:pPr>
      <w:r w:rsidRPr="001A5189">
        <w:t>Packing house</w:t>
      </w:r>
    </w:p>
    <w:p w14:paraId="79839A05" w14:textId="77777777" w:rsidR="003438A2" w:rsidRPr="00FD62BA" w:rsidRDefault="003438A2" w:rsidP="00EB786F">
      <w:pPr>
        <w:rPr>
          <w:rFonts w:cs="Roboto Light"/>
          <w:color w:val="00B050"/>
          <w:lang w:eastAsia="en-AU"/>
        </w:rPr>
      </w:pPr>
      <w:r>
        <w:rPr>
          <w:rFonts w:cs="Roboto Light"/>
          <w:lang w:eastAsia="en-AU"/>
        </w:rPr>
        <w:t>A</w:t>
      </w:r>
      <w:r>
        <w:t xml:space="preserve">pples are packed either using a direct pack system or a pre-size system </w:t>
      </w:r>
      <w:r>
        <w:rPr>
          <w:noProof/>
        </w:rPr>
        <w:t>(Kupferman 1996; Washington State University 2018b)</w:t>
      </w:r>
      <w:r w:rsidRPr="00196970">
        <w:t xml:space="preserve">. </w:t>
      </w:r>
      <w:r>
        <w:t xml:space="preserve">The direct pack system takes apples from the bin and in one operation sorts, sizes and packs the fruit into boxes for shipping. The pre-size system packs apples in two separate steps: apples are sorted and sized, and then placed in separate bins for packing at a later time </w:t>
      </w:r>
      <w:r>
        <w:rPr>
          <w:noProof/>
        </w:rPr>
        <w:t>(Kupferman 1996)</w:t>
      </w:r>
      <w:r>
        <w:t>. While many sizes and grades are packed at the same time in the direct pack system, only one grade and size are packed at any one time in the pre-size system. The pre-size system allows a greater volume of fruit to be processed at one time.</w:t>
      </w:r>
    </w:p>
    <w:p w14:paraId="48B897F2" w14:textId="77777777" w:rsidR="003438A2" w:rsidRDefault="003438A2" w:rsidP="001D02E4">
      <w:r>
        <w:t xml:space="preserve">Packing house operations include the following processes, although the order of operations may vary depending on whether the system is a direct or pre-size pack system </w:t>
      </w:r>
      <w:bookmarkStart w:id="125" w:name="_Hlk109906851"/>
      <w:r>
        <w:rPr>
          <w:noProof/>
        </w:rPr>
        <w:t>(Kupferman 1996; Washington Apple Commission 2020)</w:t>
      </w:r>
      <w:r>
        <w:t>:</w:t>
      </w:r>
    </w:p>
    <w:p w14:paraId="6CA9E891" w14:textId="77777777" w:rsidR="003438A2" w:rsidRPr="00AE4D2B" w:rsidRDefault="003438A2" w:rsidP="003438A2">
      <w:pPr>
        <w:pStyle w:val="ListBullet"/>
        <w:numPr>
          <w:ilvl w:val="0"/>
          <w:numId w:val="15"/>
        </w:numPr>
      </w:pPr>
      <w:r w:rsidRPr="00AE4D2B">
        <w:t xml:space="preserve">Fruit maturity testing - Apples from each variety and orchard block undergo maturity testing </w:t>
      </w:r>
      <w:r>
        <w:t xml:space="preserve">on arrival at the packing house </w:t>
      </w:r>
      <w:r w:rsidRPr="00FD62BA">
        <w:t>(</w:t>
      </w:r>
      <w:hyperlink w:anchor="_ENREF_811" w:tooltip="Washington State University, 2018 #33098" w:history="1">
        <w:r w:rsidRPr="00FD62BA">
          <w:rPr>
            <w:noProof/>
          </w:rPr>
          <w:t>Washington State University 2018b</w:t>
        </w:r>
      </w:hyperlink>
      <w:r w:rsidRPr="00FD62BA">
        <w:rPr>
          <w:noProof/>
        </w:rPr>
        <w:t xml:space="preserve">) </w:t>
      </w:r>
      <w:r w:rsidRPr="00AE4D2B">
        <w:t>to determine if apples are at the right maturity for processing and packing for export.</w:t>
      </w:r>
    </w:p>
    <w:p w14:paraId="4D4BF1B8" w14:textId="77777777" w:rsidR="003438A2" w:rsidRDefault="003438A2" w:rsidP="003438A2">
      <w:pPr>
        <w:pStyle w:val="ListBullet"/>
        <w:numPr>
          <w:ilvl w:val="0"/>
          <w:numId w:val="15"/>
        </w:numPr>
      </w:pPr>
      <w:r>
        <w:t xml:space="preserve">Washing - </w:t>
      </w:r>
      <w:r w:rsidRPr="00241AFF">
        <w:t>Apples are removed from the bin</w:t>
      </w:r>
      <w:r>
        <w:t xml:space="preserve"> by floating,</w:t>
      </w:r>
      <w:r w:rsidRPr="00241AFF">
        <w:t xml:space="preserve"> usually </w:t>
      </w:r>
      <w:r>
        <w:t>b</w:t>
      </w:r>
      <w:r w:rsidRPr="00241AFF">
        <w:t xml:space="preserve">y submersion of the bin </w:t>
      </w:r>
      <w:r>
        <w:t>in dump tanks for washing.</w:t>
      </w:r>
    </w:p>
    <w:p w14:paraId="7585012C" w14:textId="77777777" w:rsidR="003438A2" w:rsidRPr="00EE3FF7" w:rsidRDefault="003438A2" w:rsidP="00127BAA">
      <w:r w:rsidRPr="008E2257">
        <w:t xml:space="preserve">Sanitiser application </w:t>
      </w:r>
      <w:r>
        <w:t>-</w:t>
      </w:r>
      <w:r w:rsidRPr="008E2257">
        <w:t xml:space="preserve"> In the dump tank, sanitisers such as sodium hypochlorite or calcium hypochlorite at 100ppm of chlorine are generally applied to wash apples </w:t>
      </w:r>
      <w:bookmarkStart w:id="126" w:name="_Hlk108111457"/>
      <w:r w:rsidRPr="008E2257">
        <w:rPr>
          <w:noProof/>
        </w:rPr>
        <w:t>(Kupferman 1999)</w:t>
      </w:r>
      <w:bookmarkEnd w:id="126"/>
      <w:r w:rsidRPr="008E2257">
        <w:t xml:space="preserve">. A food grade detergent may also be added to the dump tank. The chlorine concentration is monitored and replenished as necessary and the pH is maintained at 6 to 8 to ensure effectiveness of the chlorine during sanitation </w:t>
      </w:r>
      <w:bookmarkStart w:id="127" w:name="_Hlk112257763"/>
      <w:r w:rsidRPr="008E2257">
        <w:t>(Amiri 2021)</w:t>
      </w:r>
      <w:bookmarkEnd w:id="127"/>
      <w:r w:rsidRPr="008E2257">
        <w:t xml:space="preserve">. When chlorine is used in the dump tank, this is not combined with any fungicide treatment (Washington State University 2018b). Chlorine is commonly used as a surface disinfectant to inactivate or kill pathogenic fungi and other microorganisms during post-harvest handling of many fruit and vegetables </w:t>
      </w:r>
      <w:r w:rsidRPr="008E2257">
        <w:rPr>
          <w:noProof/>
        </w:rPr>
        <w:t>(Brown 2002; Kupferman 1984; Suslow 2004)</w:t>
      </w:r>
      <w:r w:rsidRPr="008E2257">
        <w:t>.</w:t>
      </w:r>
      <w:r>
        <w:t xml:space="preserve"> </w:t>
      </w:r>
      <w:r>
        <w:rPr>
          <w:noProof/>
        </w:rPr>
        <w:t>Roberts and Reymond (1994)</w:t>
      </w:r>
      <w:r>
        <w:t xml:space="preserve"> </w:t>
      </w:r>
      <w:r w:rsidRPr="00127BAA">
        <w:t xml:space="preserve">showed chlorine at 100 ppm caused 99% mortality of spores of post-harvest fungal rots on tree fruit. </w:t>
      </w:r>
      <w:r w:rsidRPr="00127BAA">
        <w:rPr>
          <w:noProof/>
        </w:rPr>
        <w:t xml:space="preserve">Kupferman (1999) </w:t>
      </w:r>
      <w:r w:rsidRPr="00127BAA">
        <w:rPr>
          <w:lang w:eastAsia="en-AU"/>
        </w:rPr>
        <w:t>recorded chlorine drench at 100 ppm as a common practice in Washington</w:t>
      </w:r>
      <w:r w:rsidRPr="00EE3FF7">
        <w:rPr>
          <w:lang w:eastAsia="en-AU"/>
        </w:rPr>
        <w:t xml:space="preserve"> packing houses to prevent post-harvest decays and for removing fungal spores.</w:t>
      </w:r>
    </w:p>
    <w:p w14:paraId="0A8AF351" w14:textId="77777777" w:rsidR="003438A2" w:rsidRPr="00A23385" w:rsidRDefault="003438A2" w:rsidP="003438A2">
      <w:pPr>
        <w:pStyle w:val="ListBullet"/>
        <w:numPr>
          <w:ilvl w:val="0"/>
          <w:numId w:val="15"/>
        </w:numPr>
      </w:pPr>
      <w:r w:rsidRPr="00C218B4">
        <w:rPr>
          <w:rStyle w:val="ListBulletChar"/>
        </w:rPr>
        <w:lastRenderedPageBreak/>
        <w:t xml:space="preserve">High pressure washing, brushing and rinsing - Apples from the dump tank are washed in a high-pressure water stream and are brushed and rinsed. Washing and </w:t>
      </w:r>
      <w:r w:rsidRPr="00A23385">
        <w:rPr>
          <w:rStyle w:val="ListBulletChar"/>
        </w:rPr>
        <w:t xml:space="preserve">brushing are likely to remove most life stages of pests on the surface of the fruit. The use of high pressure and brush-bed apple washing are important components to remove insects and mites in packing houses </w:t>
      </w:r>
      <w:bookmarkStart w:id="128" w:name="_Hlk109226257"/>
      <w:r w:rsidRPr="00A23385">
        <w:rPr>
          <w:rStyle w:val="ListBulletChar"/>
          <w:noProof/>
        </w:rPr>
        <w:t>(Page-Weir et al. 2018; Rogers et al. 2016)</w:t>
      </w:r>
      <w:r w:rsidRPr="00A23385">
        <w:rPr>
          <w:sz w:val="20"/>
          <w:szCs w:val="20"/>
        </w:rPr>
        <w:t>.</w:t>
      </w:r>
      <w:bookmarkEnd w:id="128"/>
    </w:p>
    <w:p w14:paraId="0FA5277F" w14:textId="77777777" w:rsidR="003438A2" w:rsidRPr="00A23385" w:rsidRDefault="003438A2" w:rsidP="003438A2">
      <w:pPr>
        <w:pStyle w:val="ListBullet"/>
        <w:numPr>
          <w:ilvl w:val="0"/>
          <w:numId w:val="15"/>
        </w:numPr>
      </w:pPr>
      <w:r w:rsidRPr="00A23385">
        <w:t xml:space="preserve">Treatment - The apples are treated with a fungicide such as thiabendazole mixed with a wetting agent water, and applied as a line of spray </w:t>
      </w:r>
      <w:r w:rsidRPr="00A23385">
        <w:rPr>
          <w:noProof/>
        </w:rPr>
        <w:t>(Washington State University 2018b)</w:t>
      </w:r>
      <w:r w:rsidRPr="00A23385">
        <w:t xml:space="preserve">. </w:t>
      </w:r>
    </w:p>
    <w:bookmarkEnd w:id="125"/>
    <w:p w14:paraId="4DE8E809" w14:textId="77777777" w:rsidR="003438A2" w:rsidRPr="00A23385" w:rsidRDefault="003438A2" w:rsidP="003438A2">
      <w:pPr>
        <w:pStyle w:val="ListBullet"/>
        <w:numPr>
          <w:ilvl w:val="0"/>
          <w:numId w:val="15"/>
        </w:numPr>
      </w:pPr>
      <w:r w:rsidRPr="00A23385">
        <w:t>Drying - After washing and treatment, excess water is removed by rollers and brushes and apples are air-dried.</w:t>
      </w:r>
    </w:p>
    <w:p w14:paraId="7B1A843F" w14:textId="77777777" w:rsidR="003438A2" w:rsidRPr="00A23385" w:rsidRDefault="003438A2" w:rsidP="003438A2">
      <w:pPr>
        <w:pStyle w:val="ListBullet"/>
        <w:numPr>
          <w:ilvl w:val="0"/>
          <w:numId w:val="15"/>
        </w:numPr>
      </w:pPr>
      <w:r w:rsidRPr="00A23385">
        <w:t xml:space="preserve">Waxing - Wax is then applied and at the same time apples may undergo heat drying. </w:t>
      </w:r>
      <w:r w:rsidRPr="00A23385">
        <w:rPr>
          <w:lang w:eastAsia="en-AU"/>
        </w:rPr>
        <w:t xml:space="preserve">Fungicide treatment may be applied with wax in the packing house </w:t>
      </w:r>
      <w:r w:rsidRPr="00A23385">
        <w:rPr>
          <w:noProof/>
        </w:rPr>
        <w:t>(Washington State University 2018b)</w:t>
      </w:r>
      <w:r w:rsidRPr="00A23385">
        <w:rPr>
          <w:lang w:eastAsia="en-AU"/>
        </w:rPr>
        <w:t xml:space="preserve">, as an alternative to application as a line of spray in the packing line. When used with wax, the fungicide is pre-mixed and the wax is often applied </w:t>
      </w:r>
      <w:r w:rsidRPr="00A23385">
        <w:t xml:space="preserve">using brushes and air dryers to ensure even application. </w:t>
      </w:r>
    </w:p>
    <w:p w14:paraId="43506311" w14:textId="77777777" w:rsidR="003438A2" w:rsidRPr="00A23385" w:rsidRDefault="003438A2" w:rsidP="003438A2">
      <w:pPr>
        <w:pStyle w:val="ListBullet"/>
        <w:numPr>
          <w:ilvl w:val="0"/>
          <w:numId w:val="15"/>
        </w:numPr>
      </w:pPr>
      <w:r w:rsidRPr="00A23385">
        <w:t>Storage - Apples are usually cold-stored in bins before being sorted, graded and packed, especially if fruit are to undergo long periods of storage. F</w:t>
      </w:r>
      <w:r w:rsidRPr="00A23385">
        <w:rPr>
          <w:lang w:eastAsia="en-AU"/>
        </w:rPr>
        <w:t>ungicide treatments may also be undertaken as fogging in the cold room during longer periods of cold storage.</w:t>
      </w:r>
    </w:p>
    <w:p w14:paraId="7DF55884" w14:textId="77777777" w:rsidR="003438A2" w:rsidRPr="00A23385" w:rsidRDefault="003438A2" w:rsidP="003438A2">
      <w:pPr>
        <w:pStyle w:val="ListBullet"/>
        <w:numPr>
          <w:ilvl w:val="0"/>
          <w:numId w:val="15"/>
        </w:numPr>
      </w:pPr>
      <w:r w:rsidRPr="00A23385">
        <w:t xml:space="preserve">Sorting and grading - Sorting occurs based on colour and size, and is done either by machine or hand depending on the packing house. Damaged fruit and fruit with signs or symptoms of pests and diseases will also be removed. </w:t>
      </w:r>
    </w:p>
    <w:p w14:paraId="4851BBE2" w14:textId="77777777" w:rsidR="003438A2" w:rsidRPr="00A23385" w:rsidRDefault="003438A2" w:rsidP="003438A2">
      <w:pPr>
        <w:pStyle w:val="ListBullet"/>
        <w:numPr>
          <w:ilvl w:val="0"/>
          <w:numId w:val="15"/>
        </w:numPr>
      </w:pPr>
      <w:r w:rsidRPr="00A23385">
        <w:t>Inspection - Apples are inspected and defective and unwanted fruit are removed. In-house quality control officers may examine the fruit.</w:t>
      </w:r>
    </w:p>
    <w:p w14:paraId="02A1B7BB" w14:textId="77777777" w:rsidR="003438A2" w:rsidRPr="00634966" w:rsidRDefault="003438A2" w:rsidP="003438A2">
      <w:pPr>
        <w:pStyle w:val="ListBullet"/>
        <w:numPr>
          <w:ilvl w:val="0"/>
          <w:numId w:val="15"/>
        </w:numPr>
      </w:pPr>
      <w:r w:rsidRPr="00A23385">
        <w:t>Packing - Apples are manually or automatically placed onto trays, which are placed into boxes, top pads applied and the box is weighed. The boxes are palletised and placed</w:t>
      </w:r>
      <w:r w:rsidRPr="00634966">
        <w:t xml:space="preserve"> into cold storage prior to shipment. </w:t>
      </w:r>
    </w:p>
    <w:p w14:paraId="11122042" w14:textId="77777777" w:rsidR="003438A2" w:rsidRPr="00634966" w:rsidRDefault="003438A2" w:rsidP="003438A2">
      <w:pPr>
        <w:pStyle w:val="ListBullet"/>
        <w:numPr>
          <w:ilvl w:val="0"/>
          <w:numId w:val="15"/>
        </w:numPr>
      </w:pPr>
      <w:r w:rsidRPr="00634966">
        <w:t>Phytosanitary inspection - Prior to export, apples are inspected by regulatory (state and federal) inspectors.</w:t>
      </w:r>
    </w:p>
    <w:p w14:paraId="7F6C349B" w14:textId="77777777" w:rsidR="003438A2" w:rsidRPr="00634966" w:rsidRDefault="003438A2" w:rsidP="003438A2">
      <w:pPr>
        <w:pStyle w:val="ListBullet"/>
        <w:numPr>
          <w:ilvl w:val="0"/>
          <w:numId w:val="15"/>
        </w:numPr>
      </w:pPr>
      <w:r w:rsidRPr="00634966">
        <w:t xml:space="preserve">Export - Apples are transported at cold temperatures mainly by sea freight </w:t>
      </w:r>
      <w:r w:rsidRPr="00634966">
        <w:rPr>
          <w:noProof/>
        </w:rPr>
        <w:t>(WSU Tree Fruit 2021c)</w:t>
      </w:r>
      <w:r w:rsidRPr="00634966">
        <w:t xml:space="preserve">, and take about five weeks to arrive in Australia. </w:t>
      </w:r>
    </w:p>
    <w:p w14:paraId="752B0ABA" w14:textId="77777777" w:rsidR="003438A2" w:rsidRDefault="003438A2" w:rsidP="001D02E4">
      <w:r w:rsidRPr="00634966">
        <w:t>Apples are usually cold-stored before</w:t>
      </w:r>
      <w:r w:rsidRPr="006C7BE1">
        <w:t xml:space="preserve"> being packed, </w:t>
      </w:r>
      <w:r>
        <w:t>and/</w:t>
      </w:r>
      <w:r w:rsidRPr="006C7BE1">
        <w:t xml:space="preserve">or after being packed. </w:t>
      </w:r>
      <w:r>
        <w:t>A</w:t>
      </w:r>
      <w:r w:rsidRPr="006C7BE1">
        <w:t xml:space="preserve">pples picked at the beginning of harvest ship and store best; those picked at the end of harvest, at peak ripeness, can only be held a few weeks before being shipped </w:t>
      </w:r>
      <w:r>
        <w:rPr>
          <w:noProof/>
        </w:rPr>
        <w:t>(Smith 2001)</w:t>
      </w:r>
      <w:r w:rsidRPr="00976FB2">
        <w:t>.</w:t>
      </w:r>
      <w:r w:rsidRPr="006C7BE1">
        <w:t xml:space="preserve"> Late</w:t>
      </w:r>
      <w:r>
        <w:t>-</w:t>
      </w:r>
      <w:r w:rsidRPr="006C7BE1">
        <w:t>season apple</w:t>
      </w:r>
      <w:r>
        <w:t xml:space="preserve">s contribute </w:t>
      </w:r>
      <w:r w:rsidRPr="006C7BE1">
        <w:t>about 35</w:t>
      </w:r>
      <w:r>
        <w:t>%</w:t>
      </w:r>
      <w:r w:rsidRPr="006C7BE1">
        <w:t xml:space="preserve"> of the fruit sold </w:t>
      </w:r>
      <w:r>
        <w:t xml:space="preserve">domestically </w:t>
      </w:r>
      <w:r w:rsidRPr="006C7BE1">
        <w:t xml:space="preserve">in the </w:t>
      </w:r>
      <w:r>
        <w:t>autumn</w:t>
      </w:r>
      <w:r w:rsidRPr="006C7BE1">
        <w:t xml:space="preserve"> and early winter. The majority of fruit is stored </w:t>
      </w:r>
      <w:r>
        <w:t xml:space="preserve">under cold storage and </w:t>
      </w:r>
      <w:r w:rsidRPr="006C7BE1">
        <w:t>under low</w:t>
      </w:r>
      <w:r>
        <w:t xml:space="preserve"> </w:t>
      </w:r>
      <w:r w:rsidRPr="006C7BE1">
        <w:t>oxygen</w:t>
      </w:r>
      <w:r>
        <w:t>-</w:t>
      </w:r>
      <w:r w:rsidRPr="006C7BE1">
        <w:t>controlled atmosphere (CA)</w:t>
      </w:r>
      <w:r>
        <w:t xml:space="preserve">, </w:t>
      </w:r>
      <w:r w:rsidRPr="006C7BE1">
        <w:t xml:space="preserve">and is shipped from December until September in the following year </w:t>
      </w:r>
      <w:r>
        <w:rPr>
          <w:noProof/>
        </w:rPr>
        <w:t>(Smith 2001)</w:t>
      </w:r>
      <w:r w:rsidRPr="00976FB2">
        <w:t>.</w:t>
      </w:r>
      <w:r w:rsidRPr="006C7BE1">
        <w:t xml:space="preserve"> Storage time may vary from </w:t>
      </w:r>
      <w:r>
        <w:t xml:space="preserve">one </w:t>
      </w:r>
      <w:r w:rsidRPr="006C7BE1">
        <w:t xml:space="preserve">day to more than 11 months, depending on the quality of the fruit and the marketing program </w:t>
      </w:r>
      <w:r>
        <w:rPr>
          <w:noProof/>
        </w:rPr>
        <w:t>(Kupferman 1996)</w:t>
      </w:r>
      <w:r w:rsidRPr="006C7BE1">
        <w:t xml:space="preserve">. This </w:t>
      </w:r>
      <w:r>
        <w:t xml:space="preserve">process will </w:t>
      </w:r>
      <w:r w:rsidRPr="006C7BE1">
        <w:t>allow apple fruit from the PNW-USA to be shipped to Australia all year round</w:t>
      </w:r>
      <w:r>
        <w:t>.</w:t>
      </w:r>
    </w:p>
    <w:p w14:paraId="0F477B7B" w14:textId="77777777" w:rsidR="003438A2" w:rsidRDefault="003438A2" w:rsidP="001D02E4">
      <w:r w:rsidRPr="00712422">
        <w:t xml:space="preserve">The specific atmosphere for CA storage is set according to the </w:t>
      </w:r>
      <w:r>
        <w:t xml:space="preserve">apple </w:t>
      </w:r>
      <w:r w:rsidRPr="00712422">
        <w:t xml:space="preserve">variety and capability of the storage facility </w:t>
      </w:r>
      <w:r>
        <w:rPr>
          <w:noProof/>
        </w:rPr>
        <w:t>(Kupferman 2001)</w:t>
      </w:r>
      <w:r w:rsidRPr="00712422">
        <w:t>. For example, optimum level</w:t>
      </w:r>
      <w:r>
        <w:t xml:space="preserve">s for CA storage in Washington </w:t>
      </w:r>
      <w:r w:rsidRPr="00712422">
        <w:t>were reported to be 1.5</w:t>
      </w:r>
      <w:r>
        <w:t>%</w:t>
      </w:r>
      <w:r w:rsidRPr="00712422">
        <w:t xml:space="preserve"> oxygen, 0.5</w:t>
      </w:r>
      <w:r>
        <w:t>%</w:t>
      </w:r>
      <w:r w:rsidRPr="00712422">
        <w:t xml:space="preserve"> carbo</w:t>
      </w:r>
      <w:r>
        <w:t>n</w:t>
      </w:r>
      <w:r w:rsidRPr="00712422">
        <w:t xml:space="preserve"> dioxide, </w:t>
      </w:r>
      <w:r>
        <w:t xml:space="preserve">and </w:t>
      </w:r>
      <w:r w:rsidRPr="00712422">
        <w:t>0</w:t>
      </w:r>
      <w:r w:rsidRPr="00223363">
        <w:t>°</w:t>
      </w:r>
      <w:r>
        <w:t>C</w:t>
      </w:r>
      <w:r w:rsidRPr="00712422">
        <w:t xml:space="preserve"> </w:t>
      </w:r>
      <w:r>
        <w:t>to 1</w:t>
      </w:r>
      <w:r w:rsidRPr="00223363">
        <w:t>°</w:t>
      </w:r>
      <w:r w:rsidRPr="00256DB0">
        <w:t>C</w:t>
      </w:r>
      <w:r w:rsidRPr="00712422">
        <w:t xml:space="preserve"> for Braeburn and Granny Smith</w:t>
      </w:r>
      <w:r>
        <w:t xml:space="preserve"> varieties</w:t>
      </w:r>
      <w:r w:rsidRPr="00712422">
        <w:t>; 2.0</w:t>
      </w:r>
      <w:r>
        <w:t>%</w:t>
      </w:r>
      <w:r w:rsidRPr="00712422">
        <w:t xml:space="preserve"> oxygen, 0.5</w:t>
      </w:r>
      <w:r>
        <w:t xml:space="preserve">% </w:t>
      </w:r>
      <w:r w:rsidRPr="00712422">
        <w:t>carbon dioxide,</w:t>
      </w:r>
      <w:r>
        <w:t xml:space="preserve"> and</w:t>
      </w:r>
      <w:r w:rsidRPr="00712422">
        <w:t xml:space="preserve"> </w:t>
      </w:r>
      <w:r>
        <w:t>1</w:t>
      </w:r>
      <w:r w:rsidRPr="00223363">
        <w:t>°</w:t>
      </w:r>
      <w:r w:rsidRPr="00256DB0">
        <w:t>C</w:t>
      </w:r>
      <w:r w:rsidRPr="00712422">
        <w:t xml:space="preserve"> for Fuji</w:t>
      </w:r>
      <w:r>
        <w:t xml:space="preserve"> apples</w:t>
      </w:r>
      <w:r w:rsidRPr="00712422">
        <w:t>; and 2</w:t>
      </w:r>
      <w:r>
        <w:t>%</w:t>
      </w:r>
      <w:r w:rsidRPr="00712422">
        <w:t xml:space="preserve"> oxygen, 1.5</w:t>
      </w:r>
      <w:r>
        <w:t>%</w:t>
      </w:r>
      <w:r w:rsidRPr="00712422">
        <w:t xml:space="preserve"> carbon dioxide, </w:t>
      </w:r>
      <w:r>
        <w:t xml:space="preserve">and </w:t>
      </w:r>
      <w:r w:rsidRPr="00712422">
        <w:t>0</w:t>
      </w:r>
      <w:r w:rsidRPr="00223363">
        <w:t>°</w:t>
      </w:r>
      <w:r>
        <w:t xml:space="preserve">C to </w:t>
      </w:r>
      <w:r w:rsidRPr="00712422">
        <w:t>1</w:t>
      </w:r>
      <w:r w:rsidRPr="00223363">
        <w:t>°</w:t>
      </w:r>
      <w:r w:rsidRPr="00256DB0">
        <w:t>C</w:t>
      </w:r>
      <w:r w:rsidRPr="00712422">
        <w:t xml:space="preserve"> for Golden Delicious and Royal Gala </w:t>
      </w:r>
      <w:r>
        <w:t xml:space="preserve">varieties </w:t>
      </w:r>
      <w:r>
        <w:rPr>
          <w:noProof/>
        </w:rPr>
        <w:t>(Kupferman 2001)</w:t>
      </w:r>
      <w:r w:rsidRPr="00712422">
        <w:t>.</w:t>
      </w:r>
    </w:p>
    <w:p w14:paraId="4458E58A" w14:textId="77777777" w:rsidR="003438A2" w:rsidRDefault="003438A2" w:rsidP="001D02E4">
      <w:r w:rsidRPr="00AB6D97">
        <w:lastRenderedPageBreak/>
        <w:t xml:space="preserve">Most packing lines are cleaned and sanitised daily. Storage rooms are cleaned and sanitised annually, when empty of fruit. Hot water delivered through a pressure hose is the most common method used </w:t>
      </w:r>
      <w:r>
        <w:rPr>
          <w:noProof/>
        </w:rPr>
        <w:t>(Kupferman 1999)</w:t>
      </w:r>
      <w:r w:rsidRPr="00AB6D97">
        <w:t>.</w:t>
      </w:r>
    </w:p>
    <w:p w14:paraId="216AC064" w14:textId="77777777" w:rsidR="003438A2" w:rsidRPr="00E02711" w:rsidRDefault="003438A2" w:rsidP="001D02E4">
      <w:pPr>
        <w:pStyle w:val="Heading5"/>
      </w:pPr>
      <w:r w:rsidRPr="00E02711">
        <w:t>Export procedures</w:t>
      </w:r>
    </w:p>
    <w:p w14:paraId="17638D54" w14:textId="77777777" w:rsidR="003438A2" w:rsidRPr="009E2A64" w:rsidRDefault="003438A2" w:rsidP="001D02E4">
      <w:pPr>
        <w:rPr>
          <w:rFonts w:eastAsia="Times New Roman" w:cs="Times New Roman"/>
          <w:sz w:val="24"/>
          <w:szCs w:val="24"/>
        </w:rPr>
      </w:pPr>
      <w:r w:rsidRPr="009E2A64">
        <w:t>Apples</w:t>
      </w:r>
      <w:r>
        <w:t xml:space="preserve"> grown</w:t>
      </w:r>
      <w:r w:rsidRPr="009E2A64">
        <w:t xml:space="preserve"> in </w:t>
      </w:r>
      <w:r>
        <w:t>PNW-</w:t>
      </w:r>
      <w:r w:rsidRPr="009E2A64">
        <w:t>US</w:t>
      </w:r>
      <w:r>
        <w:t>A</w:t>
      </w:r>
      <w:r w:rsidRPr="009E2A64">
        <w:t xml:space="preserve"> require inspection </w:t>
      </w:r>
      <w:r>
        <w:t xml:space="preserve">before export </w:t>
      </w:r>
      <w:r w:rsidRPr="009E2A64">
        <w:t>and have minimum grade and size requirements</w:t>
      </w:r>
      <w:r>
        <w:t xml:space="preserve"> </w:t>
      </w:r>
      <w:r>
        <w:rPr>
          <w:noProof/>
        </w:rPr>
        <w:t>(Schotzko 2005; USDA 2019; Washington State University 2019b)</w:t>
      </w:r>
      <w:r>
        <w:t>.</w:t>
      </w:r>
      <w:r w:rsidRPr="009E2A64">
        <w:t xml:space="preserve"> Apples for export are required to meet the US</w:t>
      </w:r>
      <w:r>
        <w:t>A</w:t>
      </w:r>
      <w:r w:rsidRPr="009E2A64">
        <w:t xml:space="preserve"> Condition Standards for Expor</w:t>
      </w:r>
      <w:r>
        <w:t xml:space="preserve">t </w:t>
      </w:r>
      <w:r>
        <w:rPr>
          <w:noProof/>
        </w:rPr>
        <w:t>(USDA 2019)</w:t>
      </w:r>
      <w:r w:rsidRPr="00040B97">
        <w:t>,</w:t>
      </w:r>
      <w:r w:rsidRPr="009E2A64">
        <w:t xml:space="preserve"> including degrees of maturity, physical injury, injury from pests and disorders, and packing requirements </w:t>
      </w:r>
      <w:bookmarkStart w:id="129" w:name="_Hlk46076511"/>
      <w:r>
        <w:rPr>
          <w:noProof/>
        </w:rPr>
        <w:t>(USDA 2016)</w:t>
      </w:r>
      <w:r>
        <w:t xml:space="preserve">. </w:t>
      </w:r>
      <w:bookmarkEnd w:id="129"/>
      <w:r w:rsidRPr="009E2A64">
        <w:t xml:space="preserve">The Fruit and Vegetable Inspection Program, within the Commodity Inspection Division of Washington State Department of Agriculture, provides verification services </w:t>
      </w:r>
      <w:r>
        <w:t>for</w:t>
      </w:r>
      <w:r w:rsidRPr="009E2A64">
        <w:t xml:space="preserve"> product quality, condition and volume</w:t>
      </w:r>
      <w:r>
        <w:t>,</w:t>
      </w:r>
      <w:r w:rsidRPr="009E2A64">
        <w:t xml:space="preserve"> as well as certification </w:t>
      </w:r>
      <w:r>
        <w:t>of</w:t>
      </w:r>
      <w:r w:rsidRPr="009E2A64">
        <w:t xml:space="preserve"> freedom from quarantine pests and diseases for international export markets. </w:t>
      </w:r>
      <w:r>
        <w:t xml:space="preserve">Similar arrangements are in place for the other PNW states. </w:t>
      </w:r>
      <w:r w:rsidRPr="009E2A64">
        <w:t xml:space="preserve">The program operates on delegated authority from </w:t>
      </w:r>
      <w:r>
        <w:t xml:space="preserve">the </w:t>
      </w:r>
      <w:r w:rsidRPr="009E2A64">
        <w:t>USDA through</w:t>
      </w:r>
      <w:r>
        <w:t xml:space="preserve"> the agencies of the Agricultural Marketing Service and APHIS.</w:t>
      </w:r>
    </w:p>
    <w:p w14:paraId="6131908D" w14:textId="77777777" w:rsidR="003438A2" w:rsidRPr="00C727FC" w:rsidRDefault="003438A2" w:rsidP="00F843A1">
      <w:pPr>
        <w:pStyle w:val="Heading4"/>
        <w:numPr>
          <w:ilvl w:val="2"/>
          <w:numId w:val="31"/>
        </w:numPr>
        <w:tabs>
          <w:tab w:val="clear" w:pos="1645"/>
          <w:tab w:val="num" w:pos="794"/>
        </w:tabs>
        <w:ind w:left="1786"/>
      </w:pPr>
      <w:r w:rsidRPr="00C727FC">
        <w:t>Transport</w:t>
      </w:r>
    </w:p>
    <w:p w14:paraId="4583648A" w14:textId="77777777" w:rsidR="003438A2" w:rsidRDefault="003438A2" w:rsidP="001D02E4">
      <w:r w:rsidRPr="00101AD8">
        <w:t>Apples from the PNW</w:t>
      </w:r>
      <w:r>
        <w:t>-USA</w:t>
      </w:r>
      <w:r w:rsidRPr="00101AD8">
        <w:t xml:space="preserve"> </w:t>
      </w:r>
      <w:r>
        <w:t xml:space="preserve">destined </w:t>
      </w:r>
      <w:r w:rsidRPr="00101AD8">
        <w:t xml:space="preserve">for export are transported in refrigerated trucks to ports such as Seattle, Tacoma and Portland. </w:t>
      </w:r>
      <w:r w:rsidRPr="00D035DB">
        <w:t xml:space="preserve">Apples are kept under refrigeration during transport to the destination country </w:t>
      </w:r>
      <w:r>
        <w:rPr>
          <w:noProof/>
        </w:rPr>
        <w:t>(Washington Apple Commission 2020)</w:t>
      </w:r>
      <w:r w:rsidRPr="00D035DB">
        <w:t xml:space="preserve">. </w:t>
      </w:r>
      <w:r>
        <w:t>S</w:t>
      </w:r>
      <w:r w:rsidRPr="00256DB0">
        <w:t>ea freight</w:t>
      </w:r>
      <w:r>
        <w:t xml:space="preserve"> takes about five weeks and is likely to be </w:t>
      </w:r>
      <w:r w:rsidRPr="00256DB0">
        <w:t>the preferred method of transport</w:t>
      </w:r>
      <w:r>
        <w:t xml:space="preserve"> of apples from the PNW-USA</w:t>
      </w:r>
      <w:bookmarkStart w:id="130" w:name="_Toc384979256"/>
      <w:bookmarkStart w:id="131" w:name="_Toc384979283"/>
      <w:bookmarkStart w:id="132" w:name="_Toc389741470"/>
      <w:r>
        <w:t>.</w:t>
      </w:r>
      <w:r>
        <w:br w:type="page"/>
      </w:r>
    </w:p>
    <w:p w14:paraId="5CB4CA83" w14:textId="77777777" w:rsidR="003438A2" w:rsidRDefault="003438A2" w:rsidP="001D02E4">
      <w:pPr>
        <w:pStyle w:val="Caption"/>
      </w:pPr>
      <w:bookmarkStart w:id="133" w:name="_Ref15545811"/>
      <w:bookmarkStart w:id="134" w:name="_Toc112770153"/>
      <w:r>
        <w:lastRenderedPageBreak/>
        <w:t xml:space="preserve">Figure </w:t>
      </w:r>
      <w:r>
        <w:rPr>
          <w:noProof/>
        </w:rPr>
        <w:fldChar w:fldCharType="begin" w:fldLock="1"/>
      </w:r>
      <w:r>
        <w:rPr>
          <w:noProof/>
        </w:rPr>
        <w:instrText xml:space="preserve"> SEQ Figure \* ARABIC </w:instrText>
      </w:r>
      <w:r>
        <w:rPr>
          <w:noProof/>
        </w:rPr>
        <w:fldChar w:fldCharType="separate"/>
      </w:r>
      <w:r>
        <w:rPr>
          <w:noProof/>
        </w:rPr>
        <w:t>3</w:t>
      </w:r>
      <w:r>
        <w:rPr>
          <w:noProof/>
        </w:rPr>
        <w:fldChar w:fldCharType="end"/>
      </w:r>
      <w:bookmarkEnd w:id="133"/>
      <w:r>
        <w:t xml:space="preserve"> </w:t>
      </w:r>
      <w:r w:rsidRPr="00EB65B8">
        <w:t xml:space="preserve">Summary of </w:t>
      </w:r>
      <w:r>
        <w:t>operational</w:t>
      </w:r>
      <w:r w:rsidRPr="00EB65B8">
        <w:t xml:space="preserve"> steps for apple fruit grown in the PNW</w:t>
      </w:r>
      <w:r>
        <w:t>-USA</w:t>
      </w:r>
      <w:r w:rsidRPr="00EB65B8">
        <w:t xml:space="preserve"> for export</w:t>
      </w:r>
      <w:bookmarkEnd w:id="130"/>
      <w:bookmarkEnd w:id="131"/>
      <w:bookmarkEnd w:id="132"/>
      <w:bookmarkEnd w:id="134"/>
    </w:p>
    <w:tbl>
      <w:tblPr>
        <w:tblStyle w:val="TableGrid10"/>
        <w:tblpPr w:leftFromText="180" w:rightFromText="180" w:vertAnchor="text" w:horzAnchor="margin" w:tblpY="323"/>
        <w:tblOverlap w:val="never"/>
        <w:tblW w:w="11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191"/>
        <w:gridCol w:w="134"/>
        <w:gridCol w:w="7747"/>
        <w:gridCol w:w="135"/>
        <w:gridCol w:w="149"/>
        <w:gridCol w:w="615"/>
        <w:gridCol w:w="1919"/>
      </w:tblGrid>
      <w:tr w:rsidR="003438A2" w:rsidRPr="00047A0E" w14:paraId="4FFFAD88" w14:textId="77777777" w:rsidTr="0034083F">
        <w:trPr>
          <w:gridAfter w:val="1"/>
          <w:wAfter w:w="1919" w:type="dxa"/>
          <w:trHeight w:val="791"/>
        </w:trPr>
        <w:tc>
          <w:tcPr>
            <w:tcW w:w="1191" w:type="dxa"/>
            <w:vAlign w:val="center"/>
          </w:tcPr>
          <w:p w14:paraId="1EC9EF44" w14:textId="77777777" w:rsidR="003438A2" w:rsidRPr="00047A0E" w:rsidRDefault="003438A2" w:rsidP="0034083F">
            <w:pPr>
              <w:spacing w:after="160" w:line="259" w:lineRule="auto"/>
              <w:jc w:val="center"/>
              <w:rPr>
                <w:rFonts w:asciiTheme="majorHAnsi" w:hAnsiTheme="majorHAnsi"/>
                <w:b/>
                <w:sz w:val="19"/>
                <w:szCs w:val="19"/>
              </w:rPr>
            </w:pPr>
            <w:r w:rsidRPr="00047A0E">
              <w:rPr>
                <w:rFonts w:asciiTheme="majorHAnsi" w:hAnsiTheme="majorHAnsi"/>
                <w:b/>
                <w:sz w:val="19"/>
                <w:szCs w:val="19"/>
              </w:rPr>
              <w:t>Orchard</w:t>
            </w:r>
          </w:p>
          <w:p w14:paraId="43ECB7DA" w14:textId="77777777" w:rsidR="003438A2" w:rsidRPr="00047A0E" w:rsidRDefault="003438A2" w:rsidP="0034083F">
            <w:pPr>
              <w:spacing w:after="160" w:line="259" w:lineRule="auto"/>
              <w:jc w:val="center"/>
              <w:rPr>
                <w:rFonts w:asciiTheme="majorHAnsi" w:hAnsiTheme="majorHAnsi"/>
                <w:sz w:val="19"/>
                <w:szCs w:val="19"/>
              </w:rPr>
            </w:pPr>
          </w:p>
        </w:tc>
        <w:tc>
          <w:tcPr>
            <w:tcW w:w="134" w:type="dxa"/>
            <w:tcBorders>
              <w:right w:val="single" w:sz="24" w:space="0" w:color="auto"/>
            </w:tcBorders>
          </w:tcPr>
          <w:p w14:paraId="6B561037" w14:textId="77777777" w:rsidR="003438A2" w:rsidRPr="00047A0E" w:rsidRDefault="003438A2" w:rsidP="0034083F">
            <w:pPr>
              <w:keepNext/>
              <w:spacing w:before="360" w:after="120" w:line="259" w:lineRule="auto"/>
              <w:ind w:left="57" w:right="57"/>
              <w:jc w:val="center"/>
              <w:rPr>
                <w:rFonts w:asciiTheme="minorHAnsi" w:hAnsiTheme="minorHAnsi"/>
                <w:b/>
                <w:bCs/>
                <w:sz w:val="19"/>
                <w:szCs w:val="19"/>
              </w:rPr>
            </w:pPr>
          </w:p>
        </w:tc>
        <w:tc>
          <w:tcPr>
            <w:tcW w:w="7747" w:type="dxa"/>
            <w:tcBorders>
              <w:top w:val="single" w:sz="24" w:space="0" w:color="auto"/>
              <w:left w:val="single" w:sz="24" w:space="0" w:color="auto"/>
              <w:bottom w:val="single" w:sz="24" w:space="0" w:color="auto"/>
              <w:right w:val="single" w:sz="24" w:space="0" w:color="auto"/>
            </w:tcBorders>
            <w:vAlign w:val="center"/>
          </w:tcPr>
          <w:p w14:paraId="5FB90F01" w14:textId="77777777" w:rsidR="003438A2" w:rsidRPr="00047A0E" w:rsidRDefault="003438A2" w:rsidP="0034083F">
            <w:pPr>
              <w:keepNext/>
              <w:spacing w:after="60" w:line="240" w:lineRule="auto"/>
              <w:ind w:left="57" w:right="57"/>
              <w:jc w:val="center"/>
              <w:rPr>
                <w:rFonts w:asciiTheme="minorHAnsi" w:hAnsiTheme="minorHAnsi"/>
                <w:b/>
                <w:bCs/>
                <w:sz w:val="19"/>
                <w:szCs w:val="19"/>
              </w:rPr>
            </w:pPr>
            <w:r w:rsidRPr="00047A0E">
              <w:rPr>
                <w:rFonts w:asciiTheme="minorHAnsi" w:hAnsiTheme="minorHAnsi"/>
                <w:b/>
                <w:bCs/>
                <w:sz w:val="19"/>
                <w:szCs w:val="19"/>
              </w:rPr>
              <w:t>Maturity testing</w:t>
            </w:r>
          </w:p>
          <w:p w14:paraId="59819179" w14:textId="77777777" w:rsidR="003438A2" w:rsidRPr="00047A0E" w:rsidRDefault="003438A2" w:rsidP="0034083F">
            <w:pPr>
              <w:keepNext/>
              <w:spacing w:after="60" w:line="240" w:lineRule="auto"/>
              <w:ind w:left="-106" w:right="-198" w:firstLine="106"/>
              <w:jc w:val="center"/>
              <w:rPr>
                <w:rFonts w:asciiTheme="majorHAnsi" w:hAnsiTheme="majorHAnsi"/>
                <w:b/>
                <w:bCs/>
                <w:sz w:val="19"/>
                <w:szCs w:val="19"/>
              </w:rPr>
            </w:pPr>
            <w:r w:rsidRPr="00047A0E">
              <w:rPr>
                <w:rFonts w:asciiTheme="minorHAnsi" w:hAnsiTheme="minorHAnsi"/>
                <w:bCs/>
                <w:sz w:val="19"/>
                <w:szCs w:val="19"/>
              </w:rPr>
              <w:t>Apples from each variety and orchard block undergo maturity testing to determine the harvest timing.</w:t>
            </w:r>
          </w:p>
        </w:tc>
        <w:tc>
          <w:tcPr>
            <w:tcW w:w="284" w:type="dxa"/>
            <w:gridSpan w:val="2"/>
            <w:tcBorders>
              <w:left w:val="single" w:sz="24" w:space="0" w:color="auto"/>
            </w:tcBorders>
          </w:tcPr>
          <w:p w14:paraId="5AB6AF50" w14:textId="77777777" w:rsidR="003438A2" w:rsidRPr="00047A0E" w:rsidRDefault="003438A2" w:rsidP="0034083F">
            <w:pPr>
              <w:keepNext/>
              <w:spacing w:before="360" w:after="120" w:line="259" w:lineRule="auto"/>
              <w:ind w:right="113"/>
              <w:rPr>
                <w:rFonts w:asciiTheme="minorHAnsi" w:hAnsiTheme="minorHAnsi"/>
                <w:b/>
                <w:bCs/>
                <w:noProof/>
                <w:sz w:val="19"/>
                <w:szCs w:val="19"/>
              </w:rPr>
            </w:pPr>
          </w:p>
        </w:tc>
        <w:tc>
          <w:tcPr>
            <w:tcW w:w="615" w:type="dxa"/>
            <w:vAlign w:val="center"/>
          </w:tcPr>
          <w:p w14:paraId="2D708088" w14:textId="77777777" w:rsidR="003438A2" w:rsidRPr="00047A0E" w:rsidRDefault="003438A2" w:rsidP="0034083F">
            <w:pPr>
              <w:keepNext/>
              <w:spacing w:before="360" w:after="120" w:line="259" w:lineRule="auto"/>
              <w:ind w:right="113"/>
              <w:rPr>
                <w:rFonts w:asciiTheme="minorHAnsi" w:hAnsiTheme="minorHAnsi"/>
                <w:bCs/>
                <w:noProof/>
                <w:sz w:val="19"/>
                <w:szCs w:val="19"/>
              </w:rPr>
            </w:pPr>
          </w:p>
        </w:tc>
      </w:tr>
      <w:tr w:rsidR="003438A2" w:rsidRPr="00047A0E" w14:paraId="43D52522" w14:textId="77777777" w:rsidTr="0034083F">
        <w:trPr>
          <w:gridAfter w:val="1"/>
          <w:wAfter w:w="1919" w:type="dxa"/>
          <w:trHeight w:val="371"/>
        </w:trPr>
        <w:tc>
          <w:tcPr>
            <w:tcW w:w="1191" w:type="dxa"/>
            <w:vAlign w:val="center"/>
          </w:tcPr>
          <w:p w14:paraId="1EB1293A" w14:textId="77777777" w:rsidR="003438A2" w:rsidRPr="00047A0E" w:rsidRDefault="003438A2" w:rsidP="0034083F">
            <w:pPr>
              <w:keepNext/>
              <w:spacing w:after="0" w:line="259" w:lineRule="auto"/>
              <w:contextualSpacing/>
              <w:jc w:val="center"/>
              <w:rPr>
                <w:rFonts w:asciiTheme="minorHAnsi" w:hAnsiTheme="minorHAnsi"/>
                <w:b/>
                <w:bCs/>
                <w:sz w:val="19"/>
                <w:szCs w:val="19"/>
              </w:rPr>
            </w:pPr>
          </w:p>
        </w:tc>
        <w:tc>
          <w:tcPr>
            <w:tcW w:w="134" w:type="dxa"/>
          </w:tcPr>
          <w:p w14:paraId="0D87625A" w14:textId="77777777" w:rsidR="003438A2" w:rsidRPr="00047A0E" w:rsidRDefault="003438A2" w:rsidP="0034083F">
            <w:pPr>
              <w:keepNext/>
              <w:spacing w:before="360" w:after="0" w:line="259" w:lineRule="auto"/>
              <w:ind w:left="57" w:right="57"/>
              <w:contextualSpacing/>
              <w:jc w:val="center"/>
              <w:rPr>
                <w:rFonts w:asciiTheme="minorHAnsi" w:hAnsiTheme="minorHAnsi"/>
                <w:b/>
                <w:bCs/>
                <w:sz w:val="19"/>
                <w:szCs w:val="19"/>
              </w:rPr>
            </w:pPr>
          </w:p>
        </w:tc>
        <w:tc>
          <w:tcPr>
            <w:tcW w:w="7747" w:type="dxa"/>
            <w:tcBorders>
              <w:top w:val="single" w:sz="24" w:space="0" w:color="auto"/>
              <w:bottom w:val="single" w:sz="24" w:space="0" w:color="auto"/>
            </w:tcBorders>
            <w:vAlign w:val="center"/>
          </w:tcPr>
          <w:p w14:paraId="1DD4C6BA" w14:textId="77777777" w:rsidR="003438A2" w:rsidRPr="00047A0E" w:rsidRDefault="003438A2" w:rsidP="0034083F">
            <w:pPr>
              <w:keepNext/>
              <w:spacing w:after="0" w:line="259" w:lineRule="auto"/>
              <w:ind w:left="57" w:right="57"/>
              <w:contextualSpacing/>
              <w:jc w:val="center"/>
              <w:rPr>
                <w:rFonts w:asciiTheme="minorHAnsi" w:hAnsiTheme="minorHAnsi"/>
                <w:b/>
                <w:bCs/>
                <w:sz w:val="19"/>
                <w:szCs w:val="19"/>
              </w:rPr>
            </w:pPr>
            <w:r w:rsidRPr="00047A0E">
              <w:rPr>
                <w:rFonts w:asciiTheme="minorHAnsi" w:hAnsiTheme="minorHAnsi"/>
                <w:b/>
                <w:bCs/>
                <w:noProof/>
                <w:sz w:val="19"/>
                <w:szCs w:val="19"/>
              </w:rPr>
              <mc:AlternateContent>
                <mc:Choice Requires="wps">
                  <w:drawing>
                    <wp:inline distT="0" distB="0" distL="0" distR="0" wp14:anchorId="01F01A9F" wp14:editId="7339FDA8">
                      <wp:extent cx="192505" cy="168442"/>
                      <wp:effectExtent l="19050" t="0" r="17145" b="41275"/>
                      <wp:docPr id="8" name="AutoShape 638" descr="P946C8T8#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505" cy="168442"/>
                              </a:xfrm>
                              <a:prstGeom prst="downArrow">
                                <a:avLst>
                                  <a:gd name="adj1" fmla="val 32944"/>
                                  <a:gd name="adj2" fmla="val 49941"/>
                                </a:avLst>
                              </a:prstGeom>
                              <a:solidFill>
                                <a:srgbClr val="000000"/>
                              </a:solidFill>
                              <a:ln w="1270">
                                <a:solidFill>
                                  <a:srgbClr val="000000"/>
                                </a:solidFill>
                                <a:miter lim="800000"/>
                                <a:headEnd/>
                                <a:tailEnd/>
                              </a:ln>
                            </wps:spPr>
                            <wps:bodyPr rot="0" vert="eaVert" wrap="square" lIns="91440" tIns="45720" rIns="91440" bIns="45720" anchor="t" anchorCtr="0" upright="1">
                              <a:noAutofit/>
                            </wps:bodyPr>
                          </wps:wsp>
                        </a:graphicData>
                      </a:graphic>
                    </wp:inline>
                  </w:drawing>
                </mc:Choice>
                <mc:Fallback>
                  <w:pict>
                    <v:shape w14:anchorId="66495870" id="AutoShape 638" o:spid="_x0000_s1026" type="#_x0000_t67" style="width:15.15pt;height: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" adj="10813,7242" fillcolor="black" strokeweight=".1pt">
                      <v:textbox style="layout-flow:vertical-ideographic"/>
                      <w10:anchorlock/>
                    </v:shape>
                  </w:pict>
                </mc:Fallback>
              </mc:AlternateContent>
            </w:r>
          </w:p>
        </w:tc>
        <w:tc>
          <w:tcPr>
            <w:tcW w:w="284" w:type="dxa"/>
            <w:gridSpan w:val="2"/>
          </w:tcPr>
          <w:p w14:paraId="06D8919C" w14:textId="77777777" w:rsidR="003438A2" w:rsidRPr="00047A0E" w:rsidRDefault="003438A2" w:rsidP="0034083F">
            <w:pPr>
              <w:keepNext/>
              <w:spacing w:before="360" w:after="0" w:line="259" w:lineRule="auto"/>
              <w:contextualSpacing/>
              <w:jc w:val="center"/>
              <w:rPr>
                <w:rFonts w:asciiTheme="minorHAnsi" w:hAnsiTheme="minorHAnsi"/>
                <w:b/>
                <w:bCs/>
                <w:sz w:val="19"/>
                <w:szCs w:val="19"/>
              </w:rPr>
            </w:pPr>
          </w:p>
        </w:tc>
        <w:tc>
          <w:tcPr>
            <w:tcW w:w="615" w:type="dxa"/>
            <w:vAlign w:val="center"/>
          </w:tcPr>
          <w:p w14:paraId="3D56BE73" w14:textId="77777777" w:rsidR="003438A2" w:rsidRPr="00047A0E" w:rsidRDefault="003438A2" w:rsidP="0034083F">
            <w:pPr>
              <w:keepNext/>
              <w:spacing w:before="360" w:after="0" w:line="259" w:lineRule="auto"/>
              <w:contextualSpacing/>
              <w:rPr>
                <w:rFonts w:asciiTheme="minorHAnsi" w:hAnsiTheme="minorHAnsi"/>
                <w:bCs/>
                <w:sz w:val="19"/>
                <w:szCs w:val="19"/>
              </w:rPr>
            </w:pPr>
          </w:p>
        </w:tc>
      </w:tr>
      <w:tr w:rsidR="003438A2" w:rsidRPr="00047A0E" w14:paraId="6444D088" w14:textId="77777777" w:rsidTr="0034083F">
        <w:trPr>
          <w:gridAfter w:val="1"/>
          <w:wAfter w:w="1919" w:type="dxa"/>
          <w:trHeight w:val="620"/>
        </w:trPr>
        <w:tc>
          <w:tcPr>
            <w:tcW w:w="1191" w:type="dxa"/>
            <w:vAlign w:val="center"/>
          </w:tcPr>
          <w:p w14:paraId="62FE5DA5" w14:textId="77777777" w:rsidR="003438A2" w:rsidRPr="00047A0E" w:rsidRDefault="003438A2" w:rsidP="0034083F">
            <w:pPr>
              <w:keepNext/>
              <w:spacing w:after="0" w:line="259" w:lineRule="auto"/>
              <w:jc w:val="center"/>
              <w:rPr>
                <w:rFonts w:asciiTheme="minorHAnsi" w:hAnsiTheme="minorHAnsi"/>
                <w:b/>
                <w:bCs/>
                <w:sz w:val="19"/>
                <w:szCs w:val="19"/>
              </w:rPr>
            </w:pPr>
          </w:p>
        </w:tc>
        <w:tc>
          <w:tcPr>
            <w:tcW w:w="134" w:type="dxa"/>
            <w:tcBorders>
              <w:right w:val="single" w:sz="24" w:space="0" w:color="auto"/>
            </w:tcBorders>
          </w:tcPr>
          <w:p w14:paraId="535B6A0B" w14:textId="77777777" w:rsidR="003438A2" w:rsidRPr="00047A0E" w:rsidRDefault="003438A2" w:rsidP="0034083F">
            <w:pPr>
              <w:keepNext/>
              <w:spacing w:before="360" w:after="120" w:line="259" w:lineRule="auto"/>
              <w:ind w:left="57" w:right="57"/>
              <w:jc w:val="center"/>
              <w:rPr>
                <w:rFonts w:asciiTheme="minorHAnsi" w:hAnsiTheme="minorHAnsi"/>
                <w:b/>
                <w:bCs/>
                <w:sz w:val="19"/>
                <w:szCs w:val="19"/>
              </w:rPr>
            </w:pPr>
          </w:p>
        </w:tc>
        <w:tc>
          <w:tcPr>
            <w:tcW w:w="7747" w:type="dxa"/>
            <w:tcBorders>
              <w:top w:val="single" w:sz="24" w:space="0" w:color="auto"/>
              <w:left w:val="single" w:sz="24" w:space="0" w:color="auto"/>
              <w:bottom w:val="single" w:sz="24" w:space="0" w:color="auto"/>
              <w:right w:val="single" w:sz="24" w:space="0" w:color="auto"/>
            </w:tcBorders>
            <w:shd w:val="clear" w:color="auto" w:fill="FFFFFF" w:themeFill="background1"/>
            <w:vAlign w:val="center"/>
          </w:tcPr>
          <w:p w14:paraId="74FFFF6F" w14:textId="77777777" w:rsidR="003438A2" w:rsidRPr="00896F5D" w:rsidRDefault="003438A2" w:rsidP="0034083F">
            <w:pPr>
              <w:keepNext/>
              <w:spacing w:after="60" w:line="240" w:lineRule="auto"/>
              <w:ind w:left="57" w:right="57"/>
              <w:jc w:val="center"/>
              <w:rPr>
                <w:rFonts w:asciiTheme="minorHAnsi" w:hAnsiTheme="minorHAnsi"/>
                <w:b/>
                <w:sz w:val="19"/>
                <w:szCs w:val="19"/>
              </w:rPr>
            </w:pPr>
            <w:r w:rsidRPr="00896F5D">
              <w:rPr>
                <w:rFonts w:asciiTheme="minorHAnsi" w:hAnsiTheme="minorHAnsi"/>
                <w:b/>
                <w:sz w:val="19"/>
                <w:szCs w:val="19"/>
              </w:rPr>
              <w:t>Harvesting</w:t>
            </w:r>
          </w:p>
          <w:p w14:paraId="1BF7448E" w14:textId="77777777" w:rsidR="003438A2" w:rsidRPr="00047A0E" w:rsidRDefault="003438A2" w:rsidP="0034083F">
            <w:pPr>
              <w:keepNext/>
              <w:spacing w:after="60" w:line="240" w:lineRule="auto"/>
              <w:ind w:left="57" w:right="57"/>
              <w:jc w:val="center"/>
              <w:rPr>
                <w:rFonts w:asciiTheme="minorHAnsi" w:hAnsiTheme="minorHAnsi"/>
                <w:bCs/>
                <w:sz w:val="19"/>
                <w:szCs w:val="19"/>
              </w:rPr>
            </w:pPr>
            <w:r w:rsidRPr="00896F5D">
              <w:rPr>
                <w:rFonts w:asciiTheme="minorHAnsi" w:hAnsiTheme="minorHAnsi"/>
                <w:bCs/>
                <w:sz w:val="19"/>
                <w:szCs w:val="19"/>
              </w:rPr>
              <w:t>Apples are picked by hand, placed in material bags and emptied into large bins.</w:t>
            </w:r>
          </w:p>
        </w:tc>
        <w:tc>
          <w:tcPr>
            <w:tcW w:w="284" w:type="dxa"/>
            <w:gridSpan w:val="2"/>
            <w:tcBorders>
              <w:left w:val="single" w:sz="24" w:space="0" w:color="auto"/>
            </w:tcBorders>
          </w:tcPr>
          <w:p w14:paraId="780DBF8B" w14:textId="77777777" w:rsidR="003438A2" w:rsidRPr="00047A0E" w:rsidRDefault="003438A2" w:rsidP="0034083F">
            <w:pPr>
              <w:spacing w:after="160" w:line="259" w:lineRule="auto"/>
              <w:rPr>
                <w:rFonts w:asciiTheme="majorHAnsi" w:hAnsiTheme="majorHAnsi"/>
                <w:b/>
                <w:sz w:val="19"/>
                <w:szCs w:val="19"/>
              </w:rPr>
            </w:pPr>
          </w:p>
        </w:tc>
        <w:tc>
          <w:tcPr>
            <w:tcW w:w="615" w:type="dxa"/>
            <w:vAlign w:val="center"/>
          </w:tcPr>
          <w:p w14:paraId="427A2E08" w14:textId="77777777" w:rsidR="003438A2" w:rsidRPr="00047A0E" w:rsidRDefault="003438A2" w:rsidP="0034083F">
            <w:pPr>
              <w:spacing w:after="160" w:line="259" w:lineRule="auto"/>
              <w:rPr>
                <w:rFonts w:asciiTheme="majorHAnsi" w:hAnsiTheme="majorHAnsi"/>
                <w:sz w:val="19"/>
                <w:szCs w:val="19"/>
              </w:rPr>
            </w:pPr>
          </w:p>
        </w:tc>
      </w:tr>
      <w:tr w:rsidR="003438A2" w:rsidRPr="00047A0E" w14:paraId="2CEA5952" w14:textId="77777777" w:rsidTr="0034083F">
        <w:trPr>
          <w:gridAfter w:val="1"/>
          <w:wAfter w:w="1919" w:type="dxa"/>
          <w:trHeight w:val="260"/>
        </w:trPr>
        <w:tc>
          <w:tcPr>
            <w:tcW w:w="1191" w:type="dxa"/>
            <w:vAlign w:val="center"/>
          </w:tcPr>
          <w:p w14:paraId="3F00D343" w14:textId="77777777" w:rsidR="003438A2" w:rsidRPr="00047A0E" w:rsidRDefault="003438A2" w:rsidP="0034083F">
            <w:pPr>
              <w:keepNext/>
              <w:spacing w:after="0" w:line="259" w:lineRule="auto"/>
              <w:contextualSpacing/>
              <w:jc w:val="center"/>
              <w:rPr>
                <w:rFonts w:asciiTheme="minorHAnsi" w:hAnsiTheme="minorHAnsi"/>
                <w:b/>
                <w:bCs/>
                <w:sz w:val="19"/>
                <w:szCs w:val="19"/>
              </w:rPr>
            </w:pPr>
          </w:p>
        </w:tc>
        <w:tc>
          <w:tcPr>
            <w:tcW w:w="134" w:type="dxa"/>
          </w:tcPr>
          <w:p w14:paraId="1DB593B9" w14:textId="77777777" w:rsidR="003438A2" w:rsidRPr="00047A0E" w:rsidRDefault="003438A2" w:rsidP="0034083F">
            <w:pPr>
              <w:keepNext/>
              <w:spacing w:before="360" w:after="0" w:line="259" w:lineRule="auto"/>
              <w:ind w:left="57" w:right="57"/>
              <w:contextualSpacing/>
              <w:jc w:val="center"/>
              <w:rPr>
                <w:rFonts w:asciiTheme="minorHAnsi" w:hAnsiTheme="minorHAnsi"/>
                <w:b/>
                <w:bCs/>
                <w:sz w:val="19"/>
                <w:szCs w:val="19"/>
              </w:rPr>
            </w:pPr>
          </w:p>
        </w:tc>
        <w:tc>
          <w:tcPr>
            <w:tcW w:w="7747" w:type="dxa"/>
            <w:tcBorders>
              <w:top w:val="single" w:sz="24" w:space="0" w:color="auto"/>
              <w:bottom w:val="single" w:sz="24" w:space="0" w:color="auto"/>
            </w:tcBorders>
            <w:vAlign w:val="center"/>
          </w:tcPr>
          <w:p w14:paraId="59F0E6A3" w14:textId="77777777" w:rsidR="003438A2" w:rsidRPr="00047A0E" w:rsidRDefault="003438A2" w:rsidP="0034083F">
            <w:pPr>
              <w:keepNext/>
              <w:spacing w:after="0" w:line="259" w:lineRule="auto"/>
              <w:ind w:left="57" w:right="57"/>
              <w:contextualSpacing/>
              <w:jc w:val="center"/>
              <w:rPr>
                <w:rFonts w:asciiTheme="minorHAnsi" w:hAnsiTheme="minorHAnsi"/>
                <w:b/>
                <w:bCs/>
                <w:sz w:val="19"/>
                <w:szCs w:val="19"/>
              </w:rPr>
            </w:pPr>
            <w:r w:rsidRPr="00047A0E">
              <w:rPr>
                <w:rFonts w:asciiTheme="minorHAnsi" w:hAnsiTheme="minorHAnsi"/>
                <w:b/>
                <w:bCs/>
                <w:noProof/>
                <w:sz w:val="19"/>
                <w:szCs w:val="19"/>
              </w:rPr>
              <mc:AlternateContent>
                <mc:Choice Requires="wps">
                  <w:drawing>
                    <wp:inline distT="0" distB="0" distL="0" distR="0" wp14:anchorId="12C50335" wp14:editId="2B18C552">
                      <wp:extent cx="192505" cy="168442"/>
                      <wp:effectExtent l="19050" t="0" r="17145" b="41275"/>
                      <wp:docPr id="16" name="AutoShape 638" descr="P959C18T8#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505" cy="168442"/>
                              </a:xfrm>
                              <a:prstGeom prst="downArrow">
                                <a:avLst>
                                  <a:gd name="adj1" fmla="val 32944"/>
                                  <a:gd name="adj2" fmla="val 49941"/>
                                </a:avLst>
                              </a:prstGeom>
                              <a:solidFill>
                                <a:srgbClr val="000000"/>
                              </a:solidFill>
                              <a:ln w="1270">
                                <a:solidFill>
                                  <a:srgbClr val="000000"/>
                                </a:solidFill>
                                <a:miter lim="800000"/>
                                <a:headEnd/>
                                <a:tailEnd/>
                              </a:ln>
                            </wps:spPr>
                            <wps:bodyPr rot="0" vert="eaVert" wrap="square" lIns="91440" tIns="45720" rIns="91440" bIns="45720" anchor="t" anchorCtr="0" upright="1">
                              <a:noAutofit/>
                            </wps:bodyPr>
                          </wps:wsp>
                        </a:graphicData>
                      </a:graphic>
                    </wp:inline>
                  </w:drawing>
                </mc:Choice>
                <mc:Fallback>
                  <w:pict>
                    <v:shape w14:anchorId="7AB82CF3" id="AutoShape 638" o:spid="_x0000_s1026" type="#_x0000_t67" style="width:15.15pt;height: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" adj="10813,7242" fillcolor="black" strokeweight=".1pt">
                      <v:textbox style="layout-flow:vertical-ideographic"/>
                      <w10:anchorlock/>
                    </v:shape>
                  </w:pict>
                </mc:Fallback>
              </mc:AlternateContent>
            </w:r>
          </w:p>
        </w:tc>
        <w:tc>
          <w:tcPr>
            <w:tcW w:w="284" w:type="dxa"/>
            <w:gridSpan w:val="2"/>
          </w:tcPr>
          <w:p w14:paraId="09CCF188" w14:textId="77777777" w:rsidR="003438A2" w:rsidRPr="00047A0E" w:rsidRDefault="003438A2" w:rsidP="0034083F">
            <w:pPr>
              <w:keepNext/>
              <w:spacing w:before="360" w:after="0" w:line="259" w:lineRule="auto"/>
              <w:contextualSpacing/>
              <w:jc w:val="center"/>
              <w:rPr>
                <w:rFonts w:asciiTheme="minorHAnsi" w:hAnsiTheme="minorHAnsi"/>
                <w:b/>
                <w:bCs/>
                <w:sz w:val="19"/>
                <w:szCs w:val="19"/>
              </w:rPr>
            </w:pPr>
          </w:p>
        </w:tc>
        <w:tc>
          <w:tcPr>
            <w:tcW w:w="615" w:type="dxa"/>
            <w:vAlign w:val="center"/>
          </w:tcPr>
          <w:p w14:paraId="165A9A9E" w14:textId="77777777" w:rsidR="003438A2" w:rsidRPr="00047A0E" w:rsidRDefault="003438A2" w:rsidP="0034083F">
            <w:pPr>
              <w:keepNext/>
              <w:spacing w:before="360" w:after="0" w:line="259" w:lineRule="auto"/>
              <w:contextualSpacing/>
              <w:rPr>
                <w:rFonts w:asciiTheme="minorHAnsi" w:hAnsiTheme="minorHAnsi"/>
                <w:bCs/>
                <w:sz w:val="19"/>
                <w:szCs w:val="19"/>
              </w:rPr>
            </w:pPr>
          </w:p>
        </w:tc>
      </w:tr>
      <w:tr w:rsidR="003438A2" w:rsidRPr="00047A0E" w14:paraId="6000312B" w14:textId="77777777" w:rsidTr="0034083F">
        <w:trPr>
          <w:gridAfter w:val="1"/>
          <w:wAfter w:w="1919" w:type="dxa"/>
          <w:trHeight w:val="465"/>
        </w:trPr>
        <w:tc>
          <w:tcPr>
            <w:tcW w:w="1191" w:type="dxa"/>
            <w:vAlign w:val="center"/>
          </w:tcPr>
          <w:p w14:paraId="357161ED" w14:textId="77777777" w:rsidR="003438A2" w:rsidRPr="00047A0E" w:rsidRDefault="003438A2" w:rsidP="0034083F">
            <w:pPr>
              <w:keepNext/>
              <w:spacing w:before="360" w:after="0" w:line="259" w:lineRule="auto"/>
              <w:jc w:val="center"/>
              <w:rPr>
                <w:rFonts w:asciiTheme="minorHAnsi" w:hAnsiTheme="minorHAnsi"/>
                <w:bCs/>
                <w:sz w:val="19"/>
                <w:szCs w:val="19"/>
              </w:rPr>
            </w:pPr>
          </w:p>
        </w:tc>
        <w:tc>
          <w:tcPr>
            <w:tcW w:w="134" w:type="dxa"/>
            <w:tcBorders>
              <w:right w:val="single" w:sz="24" w:space="0" w:color="auto"/>
            </w:tcBorders>
          </w:tcPr>
          <w:p w14:paraId="59C69158" w14:textId="77777777" w:rsidR="003438A2" w:rsidRPr="00047A0E" w:rsidRDefault="003438A2" w:rsidP="0034083F">
            <w:pPr>
              <w:keepNext/>
              <w:spacing w:before="360" w:after="0" w:line="259" w:lineRule="auto"/>
              <w:ind w:left="57" w:right="57"/>
              <w:jc w:val="center"/>
              <w:rPr>
                <w:rFonts w:asciiTheme="minorHAnsi" w:hAnsiTheme="minorHAnsi"/>
                <w:b/>
                <w:bCs/>
                <w:sz w:val="19"/>
                <w:szCs w:val="19"/>
              </w:rPr>
            </w:pPr>
          </w:p>
        </w:tc>
        <w:tc>
          <w:tcPr>
            <w:tcW w:w="7747" w:type="dxa"/>
            <w:tcBorders>
              <w:top w:val="single" w:sz="24" w:space="0" w:color="auto"/>
              <w:left w:val="single" w:sz="24" w:space="0" w:color="auto"/>
              <w:bottom w:val="single" w:sz="24" w:space="0" w:color="auto"/>
              <w:right w:val="single" w:sz="24" w:space="0" w:color="auto"/>
            </w:tcBorders>
            <w:vAlign w:val="center"/>
          </w:tcPr>
          <w:p w14:paraId="31C2CB6A" w14:textId="77777777" w:rsidR="003438A2" w:rsidRPr="00047A0E" w:rsidRDefault="003438A2" w:rsidP="0034083F">
            <w:pPr>
              <w:keepNext/>
              <w:spacing w:after="60" w:line="240" w:lineRule="auto"/>
              <w:ind w:left="57" w:right="57"/>
              <w:jc w:val="center"/>
              <w:rPr>
                <w:rFonts w:asciiTheme="minorHAnsi" w:hAnsiTheme="minorHAnsi"/>
                <w:b/>
                <w:bCs/>
                <w:sz w:val="19"/>
                <w:szCs w:val="19"/>
              </w:rPr>
            </w:pPr>
            <w:r w:rsidRPr="00047A0E">
              <w:rPr>
                <w:rFonts w:asciiTheme="minorHAnsi" w:hAnsiTheme="minorHAnsi"/>
                <w:b/>
                <w:bCs/>
                <w:sz w:val="19"/>
                <w:szCs w:val="19"/>
              </w:rPr>
              <w:t>Transport to the packing house</w:t>
            </w:r>
          </w:p>
          <w:p w14:paraId="1902714F" w14:textId="77777777" w:rsidR="003438A2" w:rsidRPr="00047A0E" w:rsidRDefault="003438A2" w:rsidP="0034083F">
            <w:pPr>
              <w:keepNext/>
              <w:spacing w:after="60" w:line="240" w:lineRule="auto"/>
              <w:ind w:left="57" w:right="57"/>
              <w:jc w:val="center"/>
              <w:rPr>
                <w:rFonts w:asciiTheme="minorHAnsi" w:hAnsiTheme="minorHAnsi"/>
                <w:bCs/>
                <w:sz w:val="19"/>
                <w:szCs w:val="19"/>
              </w:rPr>
            </w:pPr>
            <w:r w:rsidRPr="00047A0E">
              <w:rPr>
                <w:rFonts w:asciiTheme="minorHAnsi" w:hAnsiTheme="minorHAnsi"/>
                <w:bCs/>
                <w:sz w:val="19"/>
                <w:szCs w:val="19"/>
              </w:rPr>
              <w:t>Apples in bins are loaded into trucks and transported to the packing house.</w:t>
            </w:r>
          </w:p>
        </w:tc>
        <w:tc>
          <w:tcPr>
            <w:tcW w:w="284" w:type="dxa"/>
            <w:gridSpan w:val="2"/>
            <w:tcBorders>
              <w:left w:val="single" w:sz="24" w:space="0" w:color="auto"/>
            </w:tcBorders>
          </w:tcPr>
          <w:p w14:paraId="0DC1A856" w14:textId="77777777" w:rsidR="003438A2" w:rsidRPr="00047A0E" w:rsidRDefault="003438A2" w:rsidP="0034083F">
            <w:pPr>
              <w:spacing w:after="160" w:line="259" w:lineRule="auto"/>
              <w:rPr>
                <w:rFonts w:asciiTheme="majorHAnsi" w:hAnsiTheme="majorHAnsi"/>
                <w:b/>
                <w:sz w:val="19"/>
                <w:szCs w:val="19"/>
              </w:rPr>
            </w:pPr>
          </w:p>
        </w:tc>
        <w:tc>
          <w:tcPr>
            <w:tcW w:w="615" w:type="dxa"/>
            <w:vAlign w:val="center"/>
          </w:tcPr>
          <w:p w14:paraId="5963AD67" w14:textId="77777777" w:rsidR="003438A2" w:rsidRPr="00047A0E" w:rsidRDefault="003438A2" w:rsidP="0034083F">
            <w:pPr>
              <w:spacing w:after="160" w:line="259" w:lineRule="auto"/>
              <w:rPr>
                <w:rFonts w:asciiTheme="majorHAnsi" w:hAnsiTheme="majorHAnsi"/>
                <w:sz w:val="19"/>
                <w:szCs w:val="19"/>
              </w:rPr>
            </w:pPr>
          </w:p>
        </w:tc>
      </w:tr>
      <w:tr w:rsidR="003438A2" w:rsidRPr="00047A0E" w14:paraId="77885BDC" w14:textId="77777777" w:rsidTr="0034083F">
        <w:trPr>
          <w:trHeight w:val="305"/>
        </w:trPr>
        <w:tc>
          <w:tcPr>
            <w:tcW w:w="1191" w:type="dxa"/>
            <w:vAlign w:val="center"/>
          </w:tcPr>
          <w:p w14:paraId="026B15EB" w14:textId="77777777" w:rsidR="003438A2" w:rsidRPr="00047A0E" w:rsidRDefault="003438A2" w:rsidP="0034083F">
            <w:pPr>
              <w:keepNext/>
              <w:spacing w:before="360" w:after="0" w:line="259" w:lineRule="auto"/>
              <w:contextualSpacing/>
              <w:jc w:val="center"/>
              <w:rPr>
                <w:rFonts w:asciiTheme="minorHAnsi" w:hAnsiTheme="minorHAnsi"/>
                <w:b/>
                <w:bCs/>
                <w:sz w:val="19"/>
                <w:szCs w:val="19"/>
              </w:rPr>
            </w:pPr>
          </w:p>
        </w:tc>
        <w:tc>
          <w:tcPr>
            <w:tcW w:w="134" w:type="dxa"/>
          </w:tcPr>
          <w:p w14:paraId="61347CEF" w14:textId="77777777" w:rsidR="003438A2" w:rsidRPr="00047A0E" w:rsidRDefault="003438A2" w:rsidP="0034083F">
            <w:pPr>
              <w:keepNext/>
              <w:spacing w:before="360" w:after="0" w:line="259" w:lineRule="auto"/>
              <w:ind w:left="57" w:right="57"/>
              <w:contextualSpacing/>
              <w:jc w:val="center"/>
              <w:rPr>
                <w:rFonts w:asciiTheme="minorHAnsi" w:hAnsiTheme="minorHAnsi"/>
                <w:b/>
                <w:bCs/>
                <w:sz w:val="19"/>
                <w:szCs w:val="19"/>
              </w:rPr>
            </w:pPr>
          </w:p>
        </w:tc>
        <w:tc>
          <w:tcPr>
            <w:tcW w:w="7747" w:type="dxa"/>
            <w:tcBorders>
              <w:top w:val="single" w:sz="24" w:space="0" w:color="auto"/>
              <w:bottom w:val="single" w:sz="18" w:space="0" w:color="FFC000"/>
            </w:tcBorders>
            <w:vAlign w:val="center"/>
          </w:tcPr>
          <w:p w14:paraId="35A9CF3E" w14:textId="77777777" w:rsidR="003438A2" w:rsidRPr="00047A0E" w:rsidRDefault="003438A2" w:rsidP="0034083F">
            <w:pPr>
              <w:keepNext/>
              <w:spacing w:after="0" w:line="259" w:lineRule="auto"/>
              <w:ind w:left="57" w:right="57"/>
              <w:contextualSpacing/>
              <w:jc w:val="center"/>
              <w:rPr>
                <w:rFonts w:asciiTheme="minorHAnsi" w:hAnsiTheme="minorHAnsi"/>
                <w:b/>
                <w:bCs/>
                <w:sz w:val="19"/>
                <w:szCs w:val="19"/>
              </w:rPr>
            </w:pPr>
            <w:r w:rsidRPr="00047A0E">
              <w:rPr>
                <w:rFonts w:asciiTheme="minorHAnsi" w:hAnsiTheme="minorHAnsi"/>
                <w:b/>
                <w:bCs/>
                <w:noProof/>
                <w:sz w:val="19"/>
                <w:szCs w:val="19"/>
              </w:rPr>
              <mc:AlternateContent>
                <mc:Choice Requires="wps">
                  <w:drawing>
                    <wp:anchor distT="0" distB="0" distL="114300" distR="114300" simplePos="0" relativeHeight="251661312" behindDoc="0" locked="0" layoutInCell="1" allowOverlap="1" wp14:anchorId="7056B60D" wp14:editId="4992F3B4">
                      <wp:simplePos x="0" y="0"/>
                      <wp:positionH relativeFrom="column">
                        <wp:posOffset>-866775</wp:posOffset>
                      </wp:positionH>
                      <wp:positionV relativeFrom="paragraph">
                        <wp:posOffset>43815</wp:posOffset>
                      </wp:positionV>
                      <wp:extent cx="6108065" cy="50800"/>
                      <wp:effectExtent l="0" t="0" r="26035" b="25400"/>
                      <wp:wrapNone/>
                      <wp:docPr id="25" name="AutoShap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8065" cy="508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A228E5" id="_x0000_t32" coordsize="21600,21600" o:spt="32" o:oned="t" path="m,l21600,21600e" filled="f">
                      <v:path arrowok="t" fillok="f" o:connecttype="none"/>
                      <o:lock v:ext="edit" shapetype="t"/>
                    </v:shapetype>
                    <v:shape id="AutoShape 633" o:spid="_x0000_s1026" type="#_x0000_t32" style="position:absolute;margin-left:-68.25pt;margin-top:3.45pt;width:480.95pt;height: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">
                      <v:stroke dashstyle="dash"/>
                    </v:shape>
                  </w:pict>
                </mc:Fallback>
              </mc:AlternateContent>
            </w:r>
            <w:r w:rsidRPr="00047A0E">
              <w:rPr>
                <w:rFonts w:asciiTheme="minorHAnsi" w:hAnsiTheme="minorHAnsi"/>
                <w:b/>
                <w:bCs/>
                <w:noProof/>
                <w:sz w:val="19"/>
                <w:szCs w:val="19"/>
              </w:rPr>
              <mc:AlternateContent>
                <mc:Choice Requires="wps">
                  <w:drawing>
                    <wp:inline distT="0" distB="0" distL="0" distR="0" wp14:anchorId="259C1849" wp14:editId="705C5E77">
                      <wp:extent cx="192505" cy="168442"/>
                      <wp:effectExtent l="19050" t="0" r="17145" b="41275"/>
                      <wp:docPr id="26" name="AutoShape 638" descr="P972C28T8#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505" cy="168442"/>
                              </a:xfrm>
                              <a:prstGeom prst="downArrow">
                                <a:avLst>
                                  <a:gd name="adj1" fmla="val 32944"/>
                                  <a:gd name="adj2" fmla="val 49941"/>
                                </a:avLst>
                              </a:prstGeom>
                              <a:solidFill>
                                <a:srgbClr val="000000"/>
                              </a:solidFill>
                              <a:ln w="1270">
                                <a:solidFill>
                                  <a:srgbClr val="000000"/>
                                </a:solidFill>
                                <a:miter lim="800000"/>
                                <a:headEnd/>
                                <a:tailEnd/>
                              </a:ln>
                            </wps:spPr>
                            <wps:bodyPr rot="0" vert="eaVert" wrap="square" lIns="91440" tIns="45720" rIns="91440" bIns="45720" anchor="t" anchorCtr="0" upright="1">
                              <a:noAutofit/>
                            </wps:bodyPr>
                          </wps:wsp>
                        </a:graphicData>
                      </a:graphic>
                    </wp:inline>
                  </w:drawing>
                </mc:Choice>
                <mc:Fallback>
                  <w:pict>
                    <v:shape w14:anchorId="10D01AAE" id="AutoShape 638" o:spid="_x0000_s1026" type="#_x0000_t67" style="width:15.15pt;height: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" adj="10813,7242" fillcolor="black" strokeweight=".1pt">
                      <v:textbox style="layout-flow:vertical-ideographic"/>
                      <w10:anchorlock/>
                    </v:shape>
                  </w:pict>
                </mc:Fallback>
              </mc:AlternateContent>
            </w:r>
          </w:p>
        </w:tc>
        <w:tc>
          <w:tcPr>
            <w:tcW w:w="135" w:type="dxa"/>
          </w:tcPr>
          <w:p w14:paraId="4E805603" w14:textId="77777777" w:rsidR="003438A2" w:rsidRPr="00047A0E" w:rsidRDefault="003438A2" w:rsidP="0034083F">
            <w:pPr>
              <w:keepNext/>
              <w:tabs>
                <w:tab w:val="left" w:pos="420"/>
              </w:tabs>
              <w:spacing w:before="360" w:after="0" w:line="259" w:lineRule="auto"/>
              <w:contextualSpacing/>
              <w:rPr>
                <w:rFonts w:asciiTheme="minorHAnsi" w:hAnsiTheme="minorHAnsi"/>
                <w:b/>
                <w:bCs/>
                <w:sz w:val="19"/>
                <w:szCs w:val="19"/>
              </w:rPr>
            </w:pPr>
          </w:p>
        </w:tc>
        <w:tc>
          <w:tcPr>
            <w:tcW w:w="2683" w:type="dxa"/>
            <w:gridSpan w:val="3"/>
            <w:vAlign w:val="center"/>
          </w:tcPr>
          <w:p w14:paraId="2C709EC9" w14:textId="77777777" w:rsidR="003438A2" w:rsidRPr="00047A0E" w:rsidRDefault="003438A2" w:rsidP="0034083F">
            <w:pPr>
              <w:keepNext/>
              <w:tabs>
                <w:tab w:val="left" w:pos="420"/>
              </w:tabs>
              <w:spacing w:before="360" w:after="0" w:line="259" w:lineRule="auto"/>
              <w:contextualSpacing/>
              <w:rPr>
                <w:rFonts w:asciiTheme="minorHAnsi" w:hAnsiTheme="minorHAnsi"/>
                <w:bCs/>
                <w:sz w:val="19"/>
                <w:szCs w:val="19"/>
              </w:rPr>
            </w:pPr>
            <w:r w:rsidRPr="00047A0E">
              <w:rPr>
                <w:rFonts w:asciiTheme="minorHAnsi" w:hAnsiTheme="minorHAnsi"/>
                <w:bCs/>
                <w:sz w:val="19"/>
                <w:szCs w:val="19"/>
              </w:rPr>
              <w:tab/>
            </w:r>
          </w:p>
        </w:tc>
      </w:tr>
      <w:tr w:rsidR="003438A2" w:rsidRPr="00047A0E" w14:paraId="3DBF5A58" w14:textId="77777777" w:rsidTr="0034083F">
        <w:trPr>
          <w:trHeight w:val="768"/>
        </w:trPr>
        <w:tc>
          <w:tcPr>
            <w:tcW w:w="1191" w:type="dxa"/>
            <w:vAlign w:val="center"/>
          </w:tcPr>
          <w:p w14:paraId="4538F4C4" w14:textId="77777777" w:rsidR="003438A2" w:rsidRPr="00047A0E" w:rsidRDefault="003438A2" w:rsidP="0034083F">
            <w:pPr>
              <w:keepNext/>
              <w:spacing w:after="0" w:line="259" w:lineRule="auto"/>
              <w:jc w:val="center"/>
              <w:rPr>
                <w:rFonts w:asciiTheme="minorHAnsi" w:hAnsiTheme="minorHAnsi"/>
                <w:b/>
                <w:bCs/>
                <w:sz w:val="19"/>
                <w:szCs w:val="19"/>
              </w:rPr>
            </w:pPr>
            <w:r w:rsidRPr="00047A0E">
              <w:rPr>
                <w:rFonts w:asciiTheme="minorHAnsi" w:hAnsiTheme="minorHAnsi"/>
                <w:b/>
                <w:bCs/>
                <w:sz w:val="19"/>
                <w:szCs w:val="19"/>
              </w:rPr>
              <w:t>Packing house</w:t>
            </w:r>
          </w:p>
        </w:tc>
        <w:tc>
          <w:tcPr>
            <w:tcW w:w="134" w:type="dxa"/>
            <w:tcBorders>
              <w:right w:val="single" w:sz="18" w:space="0" w:color="FFC000"/>
            </w:tcBorders>
          </w:tcPr>
          <w:p w14:paraId="3512E822" w14:textId="77777777" w:rsidR="003438A2" w:rsidRPr="00047A0E" w:rsidRDefault="003438A2" w:rsidP="0034083F">
            <w:pPr>
              <w:keepNext/>
              <w:spacing w:before="360" w:after="120" w:line="259" w:lineRule="auto"/>
              <w:ind w:left="57" w:right="57"/>
              <w:jc w:val="center"/>
              <w:rPr>
                <w:rFonts w:asciiTheme="minorHAnsi" w:hAnsiTheme="minorHAnsi"/>
                <w:b/>
                <w:bCs/>
                <w:sz w:val="19"/>
                <w:szCs w:val="19"/>
              </w:rPr>
            </w:pPr>
          </w:p>
        </w:tc>
        <w:tc>
          <w:tcPr>
            <w:tcW w:w="7747" w:type="dxa"/>
            <w:tcBorders>
              <w:top w:val="single" w:sz="18" w:space="0" w:color="FFC000"/>
              <w:left w:val="single" w:sz="18" w:space="0" w:color="FFC000"/>
              <w:bottom w:val="single" w:sz="18" w:space="0" w:color="FFC000"/>
              <w:right w:val="single" w:sz="18" w:space="0" w:color="FFC000"/>
            </w:tcBorders>
            <w:shd w:val="clear" w:color="auto" w:fill="auto"/>
            <w:vAlign w:val="center"/>
          </w:tcPr>
          <w:p w14:paraId="31602D87" w14:textId="77777777" w:rsidR="003438A2" w:rsidRPr="00047A0E" w:rsidRDefault="003438A2" w:rsidP="0034083F">
            <w:pPr>
              <w:keepNext/>
              <w:spacing w:after="60" w:line="240" w:lineRule="auto"/>
              <w:ind w:left="57" w:right="57"/>
              <w:jc w:val="center"/>
              <w:rPr>
                <w:rFonts w:asciiTheme="minorHAnsi" w:hAnsiTheme="minorHAnsi"/>
                <w:b/>
                <w:bCs/>
                <w:sz w:val="19"/>
                <w:szCs w:val="19"/>
              </w:rPr>
            </w:pPr>
            <w:r w:rsidRPr="00047A0E">
              <w:rPr>
                <w:rFonts w:asciiTheme="minorHAnsi" w:hAnsiTheme="minorHAnsi"/>
                <w:b/>
                <w:bCs/>
                <w:sz w:val="19"/>
                <w:szCs w:val="19"/>
              </w:rPr>
              <w:t>Arrival and maturity testing</w:t>
            </w:r>
          </w:p>
          <w:p w14:paraId="51BF7154" w14:textId="77777777" w:rsidR="003438A2" w:rsidRPr="00047A0E" w:rsidRDefault="003438A2" w:rsidP="0034083F">
            <w:pPr>
              <w:keepNext/>
              <w:spacing w:after="60" w:line="240" w:lineRule="auto"/>
              <w:ind w:left="57" w:right="57"/>
              <w:jc w:val="center"/>
              <w:rPr>
                <w:rFonts w:asciiTheme="minorHAnsi" w:hAnsiTheme="minorHAnsi"/>
                <w:bCs/>
                <w:sz w:val="19"/>
                <w:szCs w:val="19"/>
              </w:rPr>
            </w:pPr>
            <w:r w:rsidRPr="00047A0E">
              <w:rPr>
                <w:rFonts w:asciiTheme="minorHAnsi" w:hAnsiTheme="minorHAnsi"/>
                <w:bCs/>
                <w:sz w:val="19"/>
                <w:szCs w:val="19"/>
              </w:rPr>
              <w:t xml:space="preserve">Apples from each variety and orchard block undergo maturity testing to determine if apples are at the </w:t>
            </w:r>
            <w:r>
              <w:rPr>
                <w:rFonts w:asciiTheme="minorHAnsi" w:hAnsiTheme="minorHAnsi"/>
                <w:bCs/>
                <w:sz w:val="19"/>
                <w:szCs w:val="19"/>
              </w:rPr>
              <w:t>appropriate</w:t>
            </w:r>
            <w:r w:rsidRPr="00047A0E">
              <w:rPr>
                <w:rFonts w:asciiTheme="minorHAnsi" w:hAnsiTheme="minorHAnsi"/>
                <w:bCs/>
                <w:sz w:val="19"/>
                <w:szCs w:val="19"/>
              </w:rPr>
              <w:t xml:space="preserve"> maturity for processing and packing for export.</w:t>
            </w:r>
          </w:p>
        </w:tc>
        <w:tc>
          <w:tcPr>
            <w:tcW w:w="135" w:type="dxa"/>
            <w:tcBorders>
              <w:left w:val="single" w:sz="18" w:space="0" w:color="FFC000"/>
            </w:tcBorders>
          </w:tcPr>
          <w:p w14:paraId="386B82D3" w14:textId="77777777" w:rsidR="003438A2" w:rsidRPr="00047A0E" w:rsidRDefault="003438A2" w:rsidP="0034083F">
            <w:pPr>
              <w:spacing w:after="160" w:line="259" w:lineRule="auto"/>
              <w:rPr>
                <w:rFonts w:asciiTheme="majorHAnsi" w:hAnsiTheme="majorHAnsi"/>
                <w:b/>
                <w:sz w:val="19"/>
                <w:szCs w:val="19"/>
              </w:rPr>
            </w:pPr>
          </w:p>
        </w:tc>
        <w:tc>
          <w:tcPr>
            <w:tcW w:w="2683" w:type="dxa"/>
            <w:gridSpan w:val="3"/>
            <w:vAlign w:val="center"/>
          </w:tcPr>
          <w:p w14:paraId="0F86B44B" w14:textId="77777777" w:rsidR="003438A2" w:rsidRPr="00047A0E" w:rsidRDefault="003438A2" w:rsidP="0034083F">
            <w:pPr>
              <w:spacing w:after="160" w:line="259" w:lineRule="auto"/>
              <w:rPr>
                <w:rFonts w:asciiTheme="majorHAnsi" w:hAnsiTheme="majorHAnsi"/>
                <w:sz w:val="19"/>
                <w:szCs w:val="19"/>
              </w:rPr>
            </w:pPr>
          </w:p>
        </w:tc>
      </w:tr>
      <w:tr w:rsidR="003438A2" w:rsidRPr="00047A0E" w14:paraId="278FA9A4" w14:textId="77777777" w:rsidTr="0034083F">
        <w:trPr>
          <w:trHeight w:val="338"/>
        </w:trPr>
        <w:tc>
          <w:tcPr>
            <w:tcW w:w="1191" w:type="dxa"/>
            <w:vAlign w:val="center"/>
          </w:tcPr>
          <w:p w14:paraId="70F9A52D" w14:textId="77777777" w:rsidR="003438A2" w:rsidRPr="00047A0E" w:rsidRDefault="003438A2" w:rsidP="0034083F">
            <w:pPr>
              <w:keepNext/>
              <w:spacing w:after="0" w:line="259" w:lineRule="auto"/>
              <w:contextualSpacing/>
              <w:jc w:val="center"/>
              <w:rPr>
                <w:rFonts w:asciiTheme="minorHAnsi" w:hAnsiTheme="minorHAnsi"/>
                <w:b/>
                <w:bCs/>
                <w:sz w:val="19"/>
                <w:szCs w:val="19"/>
              </w:rPr>
            </w:pPr>
          </w:p>
        </w:tc>
        <w:tc>
          <w:tcPr>
            <w:tcW w:w="134" w:type="dxa"/>
          </w:tcPr>
          <w:p w14:paraId="3442ACEE" w14:textId="77777777" w:rsidR="003438A2" w:rsidRPr="00047A0E" w:rsidRDefault="003438A2" w:rsidP="0034083F">
            <w:pPr>
              <w:keepNext/>
              <w:spacing w:before="360" w:after="0" w:line="259" w:lineRule="auto"/>
              <w:ind w:left="57" w:right="57"/>
              <w:contextualSpacing/>
              <w:jc w:val="center"/>
              <w:rPr>
                <w:rFonts w:asciiTheme="minorHAnsi" w:hAnsiTheme="minorHAnsi"/>
                <w:b/>
                <w:bCs/>
                <w:sz w:val="19"/>
                <w:szCs w:val="19"/>
              </w:rPr>
            </w:pPr>
          </w:p>
        </w:tc>
        <w:tc>
          <w:tcPr>
            <w:tcW w:w="7747" w:type="dxa"/>
            <w:tcBorders>
              <w:top w:val="single" w:sz="18" w:space="0" w:color="FFC000"/>
              <w:bottom w:val="single" w:sz="18" w:space="0" w:color="FFC000"/>
            </w:tcBorders>
            <w:vAlign w:val="center"/>
          </w:tcPr>
          <w:p w14:paraId="7CF0EA6B" w14:textId="77777777" w:rsidR="003438A2" w:rsidRPr="00047A0E" w:rsidRDefault="003438A2" w:rsidP="0034083F">
            <w:pPr>
              <w:keepNext/>
              <w:spacing w:after="0" w:line="259" w:lineRule="auto"/>
              <w:ind w:left="57" w:right="57"/>
              <w:contextualSpacing/>
              <w:jc w:val="center"/>
              <w:rPr>
                <w:rFonts w:asciiTheme="minorHAnsi" w:hAnsiTheme="minorHAnsi"/>
                <w:b/>
                <w:bCs/>
                <w:sz w:val="19"/>
                <w:szCs w:val="19"/>
              </w:rPr>
            </w:pPr>
            <w:r w:rsidRPr="00047A0E">
              <w:rPr>
                <w:rFonts w:asciiTheme="minorHAnsi" w:hAnsiTheme="minorHAnsi"/>
                <w:b/>
                <w:bCs/>
                <w:noProof/>
                <w:sz w:val="19"/>
                <w:szCs w:val="19"/>
              </w:rPr>
              <mc:AlternateContent>
                <mc:Choice Requires="wps">
                  <w:drawing>
                    <wp:inline distT="0" distB="0" distL="0" distR="0" wp14:anchorId="22A0F30B" wp14:editId="1398B18F">
                      <wp:extent cx="192505" cy="168442"/>
                      <wp:effectExtent l="19050" t="0" r="17145" b="41275"/>
                      <wp:docPr id="11" name="AutoShape 638" descr="P985C38T8#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505" cy="168442"/>
                              </a:xfrm>
                              <a:prstGeom prst="downArrow">
                                <a:avLst>
                                  <a:gd name="adj1" fmla="val 32944"/>
                                  <a:gd name="adj2" fmla="val 49941"/>
                                </a:avLst>
                              </a:prstGeom>
                              <a:solidFill>
                                <a:srgbClr val="000000"/>
                              </a:solidFill>
                              <a:ln w="1270">
                                <a:solidFill>
                                  <a:srgbClr val="000000"/>
                                </a:solidFill>
                                <a:miter lim="800000"/>
                                <a:headEnd/>
                                <a:tailEnd/>
                              </a:ln>
                            </wps:spPr>
                            <wps:bodyPr rot="0" vert="eaVert" wrap="square" lIns="91440" tIns="45720" rIns="91440" bIns="45720" anchor="t" anchorCtr="0" upright="1">
                              <a:noAutofit/>
                            </wps:bodyPr>
                          </wps:wsp>
                        </a:graphicData>
                      </a:graphic>
                    </wp:inline>
                  </w:drawing>
                </mc:Choice>
                <mc:Fallback>
                  <w:pict>
                    <v:shape w14:anchorId="01EEB4E8" id="AutoShape 638" o:spid="_x0000_s1026" type="#_x0000_t67" style="width:15.15pt;height: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" adj="10813,7242" fillcolor="black" strokeweight=".1pt">
                      <v:textbox style="layout-flow:vertical-ideographic"/>
                      <w10:anchorlock/>
                    </v:shape>
                  </w:pict>
                </mc:Fallback>
              </mc:AlternateContent>
            </w:r>
          </w:p>
        </w:tc>
        <w:tc>
          <w:tcPr>
            <w:tcW w:w="135" w:type="dxa"/>
          </w:tcPr>
          <w:p w14:paraId="415E0168" w14:textId="77777777" w:rsidR="003438A2" w:rsidRPr="00047A0E" w:rsidRDefault="003438A2" w:rsidP="0034083F">
            <w:pPr>
              <w:keepNext/>
              <w:tabs>
                <w:tab w:val="left" w:pos="435"/>
              </w:tabs>
              <w:spacing w:before="360" w:after="0" w:line="259" w:lineRule="auto"/>
              <w:contextualSpacing/>
              <w:rPr>
                <w:rFonts w:asciiTheme="minorHAnsi" w:hAnsiTheme="minorHAnsi"/>
                <w:b/>
                <w:bCs/>
                <w:sz w:val="19"/>
                <w:szCs w:val="19"/>
              </w:rPr>
            </w:pPr>
          </w:p>
        </w:tc>
        <w:tc>
          <w:tcPr>
            <w:tcW w:w="2683" w:type="dxa"/>
            <w:gridSpan w:val="3"/>
            <w:vAlign w:val="center"/>
          </w:tcPr>
          <w:p w14:paraId="4E68DA68" w14:textId="77777777" w:rsidR="003438A2" w:rsidRPr="00047A0E" w:rsidRDefault="003438A2" w:rsidP="0034083F">
            <w:pPr>
              <w:keepNext/>
              <w:tabs>
                <w:tab w:val="left" w:pos="435"/>
              </w:tabs>
              <w:spacing w:before="360" w:after="0" w:line="259" w:lineRule="auto"/>
              <w:contextualSpacing/>
              <w:rPr>
                <w:rFonts w:asciiTheme="minorHAnsi" w:hAnsiTheme="minorHAnsi"/>
                <w:bCs/>
                <w:sz w:val="19"/>
                <w:szCs w:val="19"/>
              </w:rPr>
            </w:pPr>
            <w:r w:rsidRPr="00047A0E">
              <w:rPr>
                <w:rFonts w:asciiTheme="minorHAnsi" w:hAnsiTheme="minorHAnsi"/>
                <w:bCs/>
                <w:sz w:val="19"/>
                <w:szCs w:val="19"/>
              </w:rPr>
              <w:tab/>
            </w:r>
          </w:p>
        </w:tc>
      </w:tr>
      <w:tr w:rsidR="003438A2" w:rsidRPr="00047A0E" w14:paraId="11A5C739" w14:textId="77777777" w:rsidTr="0034083F">
        <w:trPr>
          <w:trHeight w:val="1438"/>
        </w:trPr>
        <w:tc>
          <w:tcPr>
            <w:tcW w:w="1191" w:type="dxa"/>
            <w:vAlign w:val="center"/>
          </w:tcPr>
          <w:p w14:paraId="4D6BB498" w14:textId="77777777" w:rsidR="003438A2" w:rsidRPr="00047A0E" w:rsidRDefault="003438A2" w:rsidP="0034083F">
            <w:pPr>
              <w:keepNext/>
              <w:spacing w:after="0" w:line="259" w:lineRule="auto"/>
              <w:jc w:val="center"/>
              <w:rPr>
                <w:rFonts w:asciiTheme="minorHAnsi" w:hAnsiTheme="minorHAnsi"/>
                <w:b/>
                <w:bCs/>
                <w:sz w:val="19"/>
                <w:szCs w:val="19"/>
              </w:rPr>
            </w:pPr>
          </w:p>
        </w:tc>
        <w:tc>
          <w:tcPr>
            <w:tcW w:w="134" w:type="dxa"/>
            <w:tcBorders>
              <w:right w:val="single" w:sz="18" w:space="0" w:color="FFC000"/>
            </w:tcBorders>
          </w:tcPr>
          <w:p w14:paraId="37FC1804" w14:textId="77777777" w:rsidR="003438A2" w:rsidRPr="00047A0E" w:rsidRDefault="003438A2" w:rsidP="0034083F">
            <w:pPr>
              <w:keepNext/>
              <w:spacing w:before="360" w:after="120" w:line="259" w:lineRule="auto"/>
              <w:ind w:left="57" w:right="57"/>
              <w:jc w:val="center"/>
              <w:rPr>
                <w:rFonts w:asciiTheme="minorHAnsi" w:hAnsiTheme="minorHAnsi"/>
                <w:b/>
                <w:bCs/>
                <w:sz w:val="19"/>
                <w:szCs w:val="19"/>
              </w:rPr>
            </w:pPr>
          </w:p>
        </w:tc>
        <w:tc>
          <w:tcPr>
            <w:tcW w:w="7747" w:type="dxa"/>
            <w:tcBorders>
              <w:top w:val="single" w:sz="18" w:space="0" w:color="FFC000"/>
              <w:left w:val="single" w:sz="18" w:space="0" w:color="FFC000"/>
              <w:bottom w:val="single" w:sz="18" w:space="0" w:color="FFC000"/>
              <w:right w:val="single" w:sz="18" w:space="0" w:color="FFC000"/>
            </w:tcBorders>
            <w:vAlign w:val="center"/>
          </w:tcPr>
          <w:p w14:paraId="5D322166" w14:textId="77777777" w:rsidR="003438A2" w:rsidRPr="00104B80" w:rsidRDefault="003438A2" w:rsidP="0034083F">
            <w:pPr>
              <w:keepNext/>
              <w:spacing w:after="60" w:line="240" w:lineRule="auto"/>
              <w:ind w:left="57" w:right="57"/>
              <w:jc w:val="center"/>
              <w:rPr>
                <w:rFonts w:asciiTheme="minorHAnsi" w:hAnsiTheme="minorHAnsi"/>
                <w:b/>
                <w:bCs/>
                <w:sz w:val="19"/>
                <w:szCs w:val="19"/>
              </w:rPr>
            </w:pPr>
            <w:r w:rsidRPr="00104B80">
              <w:rPr>
                <w:rFonts w:asciiTheme="minorHAnsi" w:hAnsiTheme="minorHAnsi"/>
                <w:b/>
                <w:bCs/>
                <w:sz w:val="19"/>
                <w:szCs w:val="19"/>
              </w:rPr>
              <w:t xml:space="preserve">Washing, </w:t>
            </w:r>
            <w:r>
              <w:rPr>
                <w:rFonts w:asciiTheme="minorHAnsi" w:hAnsiTheme="minorHAnsi"/>
                <w:b/>
                <w:bCs/>
                <w:sz w:val="19"/>
                <w:szCs w:val="19"/>
              </w:rPr>
              <w:t>sanitiser application</w:t>
            </w:r>
            <w:r w:rsidRPr="00104B80">
              <w:rPr>
                <w:rFonts w:asciiTheme="minorHAnsi" w:hAnsiTheme="minorHAnsi"/>
                <w:b/>
                <w:bCs/>
                <w:sz w:val="19"/>
                <w:szCs w:val="19"/>
              </w:rPr>
              <w:t>, brushing and waxing</w:t>
            </w:r>
          </w:p>
          <w:p w14:paraId="67383EFD" w14:textId="77777777" w:rsidR="003438A2" w:rsidRPr="00104B80" w:rsidRDefault="003438A2" w:rsidP="0034083F">
            <w:pPr>
              <w:keepNext/>
              <w:spacing w:after="60" w:line="240" w:lineRule="auto"/>
              <w:ind w:left="57" w:right="57"/>
              <w:jc w:val="center"/>
              <w:rPr>
                <w:rFonts w:asciiTheme="minorHAnsi" w:hAnsiTheme="minorHAnsi"/>
                <w:b/>
                <w:bCs/>
                <w:sz w:val="24"/>
                <w:szCs w:val="18"/>
              </w:rPr>
            </w:pPr>
            <w:r w:rsidRPr="00104B80">
              <w:rPr>
                <w:rFonts w:asciiTheme="minorHAnsi" w:hAnsiTheme="minorHAnsi"/>
                <w:bCs/>
                <w:sz w:val="19"/>
                <w:szCs w:val="19"/>
              </w:rPr>
              <w:t xml:space="preserve">Apples are floated out of bins by submersion in dump tanks containing sanitiser (chlorine). Apples are washed using high pressure water, brushed and rinsed as they come out of the dump tank. Fungicide may be applied as a line spray mixed with water in the packing line for post-harvest treatment. Excess water is removed by rollers and brushes. Wax is then applied and the apples are dried with heat. Fungicides may also be applied at the time of wax application. Apples </w:t>
            </w:r>
            <w:r>
              <w:rPr>
                <w:rFonts w:asciiTheme="minorHAnsi" w:hAnsiTheme="minorHAnsi"/>
                <w:bCs/>
                <w:sz w:val="19"/>
                <w:szCs w:val="19"/>
              </w:rPr>
              <w:t>may be</w:t>
            </w:r>
            <w:r w:rsidRPr="00104B80">
              <w:rPr>
                <w:rFonts w:asciiTheme="minorHAnsi" w:hAnsiTheme="minorHAnsi"/>
                <w:bCs/>
                <w:sz w:val="19"/>
                <w:szCs w:val="19"/>
              </w:rPr>
              <w:t xml:space="preserve"> cold-stored in bins in refrigerated or controlled atmosphere facilities for sorting and packing at a later time.</w:t>
            </w:r>
          </w:p>
        </w:tc>
        <w:tc>
          <w:tcPr>
            <w:tcW w:w="135" w:type="dxa"/>
            <w:tcBorders>
              <w:left w:val="single" w:sz="18" w:space="0" w:color="FFC000"/>
            </w:tcBorders>
          </w:tcPr>
          <w:p w14:paraId="73D55031" w14:textId="77777777" w:rsidR="003438A2" w:rsidRPr="00047A0E" w:rsidRDefault="003438A2" w:rsidP="0034083F">
            <w:pPr>
              <w:keepNext/>
              <w:spacing w:before="360" w:after="120" w:line="259" w:lineRule="auto"/>
              <w:ind w:left="113" w:right="113"/>
              <w:jc w:val="center"/>
              <w:rPr>
                <w:rFonts w:asciiTheme="minorHAnsi" w:hAnsiTheme="minorHAnsi"/>
                <w:b/>
                <w:bCs/>
                <w:sz w:val="19"/>
                <w:szCs w:val="19"/>
              </w:rPr>
            </w:pPr>
          </w:p>
        </w:tc>
        <w:tc>
          <w:tcPr>
            <w:tcW w:w="2683" w:type="dxa"/>
            <w:gridSpan w:val="3"/>
            <w:vAlign w:val="center"/>
          </w:tcPr>
          <w:p w14:paraId="5972514C" w14:textId="77777777" w:rsidR="003438A2" w:rsidRPr="00047A0E" w:rsidRDefault="003438A2" w:rsidP="0034083F">
            <w:pPr>
              <w:keepNext/>
              <w:spacing w:before="360" w:after="120" w:line="259" w:lineRule="auto"/>
              <w:ind w:right="113"/>
              <w:rPr>
                <w:rFonts w:asciiTheme="minorHAnsi" w:hAnsiTheme="minorHAnsi"/>
                <w:b/>
                <w:bCs/>
                <w:sz w:val="19"/>
                <w:szCs w:val="19"/>
              </w:rPr>
            </w:pPr>
          </w:p>
        </w:tc>
      </w:tr>
      <w:tr w:rsidR="003438A2" w:rsidRPr="00047A0E" w14:paraId="506038BC" w14:textId="77777777" w:rsidTr="0034083F">
        <w:trPr>
          <w:trHeight w:val="270"/>
        </w:trPr>
        <w:tc>
          <w:tcPr>
            <w:tcW w:w="1191" w:type="dxa"/>
            <w:vAlign w:val="center"/>
          </w:tcPr>
          <w:p w14:paraId="1FD89DCA" w14:textId="77777777" w:rsidR="003438A2" w:rsidRPr="00047A0E" w:rsidRDefault="003438A2" w:rsidP="0034083F">
            <w:pPr>
              <w:keepNext/>
              <w:spacing w:after="0" w:line="259" w:lineRule="auto"/>
              <w:contextualSpacing/>
              <w:jc w:val="center"/>
              <w:rPr>
                <w:rFonts w:asciiTheme="minorHAnsi" w:hAnsiTheme="minorHAnsi"/>
                <w:b/>
                <w:bCs/>
                <w:sz w:val="19"/>
                <w:szCs w:val="19"/>
              </w:rPr>
            </w:pPr>
          </w:p>
        </w:tc>
        <w:tc>
          <w:tcPr>
            <w:tcW w:w="134" w:type="dxa"/>
          </w:tcPr>
          <w:p w14:paraId="542A1E2E" w14:textId="77777777" w:rsidR="003438A2" w:rsidRPr="00047A0E" w:rsidRDefault="003438A2" w:rsidP="0034083F">
            <w:pPr>
              <w:keepNext/>
              <w:spacing w:before="360" w:after="120" w:line="259" w:lineRule="auto"/>
              <w:ind w:left="57" w:right="57"/>
              <w:contextualSpacing/>
              <w:jc w:val="center"/>
              <w:rPr>
                <w:rFonts w:asciiTheme="minorHAnsi" w:hAnsiTheme="minorHAnsi"/>
                <w:b/>
                <w:bCs/>
                <w:sz w:val="19"/>
                <w:szCs w:val="19"/>
              </w:rPr>
            </w:pPr>
          </w:p>
        </w:tc>
        <w:tc>
          <w:tcPr>
            <w:tcW w:w="7747" w:type="dxa"/>
            <w:tcBorders>
              <w:top w:val="single" w:sz="18" w:space="0" w:color="FFC000"/>
              <w:bottom w:val="single" w:sz="18" w:space="0" w:color="FFC000"/>
            </w:tcBorders>
            <w:vAlign w:val="center"/>
          </w:tcPr>
          <w:p w14:paraId="6ED4B5B5" w14:textId="77777777" w:rsidR="003438A2" w:rsidRPr="00047A0E" w:rsidRDefault="003438A2" w:rsidP="0034083F">
            <w:pPr>
              <w:keepNext/>
              <w:spacing w:after="60" w:line="259" w:lineRule="auto"/>
              <w:ind w:left="57" w:right="57"/>
              <w:contextualSpacing/>
              <w:jc w:val="center"/>
              <w:rPr>
                <w:rFonts w:asciiTheme="minorHAnsi" w:hAnsiTheme="minorHAnsi"/>
                <w:b/>
                <w:bCs/>
                <w:sz w:val="24"/>
                <w:szCs w:val="18"/>
              </w:rPr>
            </w:pPr>
            <w:r w:rsidRPr="00047A0E">
              <w:rPr>
                <w:rFonts w:asciiTheme="minorHAnsi" w:hAnsiTheme="minorHAnsi"/>
                <w:b/>
                <w:bCs/>
                <w:noProof/>
                <w:sz w:val="19"/>
                <w:szCs w:val="19"/>
              </w:rPr>
              <mc:AlternateContent>
                <mc:Choice Requires="wps">
                  <w:drawing>
                    <wp:inline distT="0" distB="0" distL="0" distR="0" wp14:anchorId="63E07624" wp14:editId="35212FF3">
                      <wp:extent cx="192505" cy="168442"/>
                      <wp:effectExtent l="19050" t="0" r="17145" b="41275"/>
                      <wp:docPr id="19" name="AutoShape 638" descr="P998C48T8#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505" cy="168442"/>
                              </a:xfrm>
                              <a:prstGeom prst="downArrow">
                                <a:avLst>
                                  <a:gd name="adj1" fmla="val 32944"/>
                                  <a:gd name="adj2" fmla="val 49941"/>
                                </a:avLst>
                              </a:prstGeom>
                              <a:solidFill>
                                <a:srgbClr val="000000"/>
                              </a:solidFill>
                              <a:ln w="1270">
                                <a:solidFill>
                                  <a:srgbClr val="000000"/>
                                </a:solidFill>
                                <a:miter lim="800000"/>
                                <a:headEnd/>
                                <a:tailEnd/>
                              </a:ln>
                            </wps:spPr>
                            <wps:bodyPr rot="0" vert="eaVert" wrap="square" lIns="91440" tIns="45720" rIns="91440" bIns="45720" anchor="t" anchorCtr="0" upright="1">
                              <a:noAutofit/>
                            </wps:bodyPr>
                          </wps:wsp>
                        </a:graphicData>
                      </a:graphic>
                    </wp:inline>
                  </w:drawing>
                </mc:Choice>
                <mc:Fallback>
                  <w:pict>
                    <v:shape w14:anchorId="641DC6F4" id="AutoShape 638" o:spid="_x0000_s1026" type="#_x0000_t67" style="width:15.15pt;height: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" adj="10813,7242" fillcolor="black" strokeweight=".1pt">
                      <v:textbox style="layout-flow:vertical-ideographic"/>
                      <w10:anchorlock/>
                    </v:shape>
                  </w:pict>
                </mc:Fallback>
              </mc:AlternateContent>
            </w:r>
          </w:p>
        </w:tc>
        <w:tc>
          <w:tcPr>
            <w:tcW w:w="135" w:type="dxa"/>
            <w:tcBorders>
              <w:left w:val="nil"/>
            </w:tcBorders>
          </w:tcPr>
          <w:p w14:paraId="714BC947" w14:textId="77777777" w:rsidR="003438A2" w:rsidRPr="00047A0E" w:rsidRDefault="003438A2" w:rsidP="0034083F">
            <w:pPr>
              <w:keepNext/>
              <w:spacing w:before="360" w:after="120" w:line="259" w:lineRule="auto"/>
              <w:ind w:left="113" w:right="113"/>
              <w:contextualSpacing/>
              <w:jc w:val="center"/>
              <w:rPr>
                <w:rFonts w:asciiTheme="minorHAnsi" w:hAnsiTheme="minorHAnsi"/>
                <w:b/>
                <w:bCs/>
                <w:sz w:val="19"/>
                <w:szCs w:val="19"/>
              </w:rPr>
            </w:pPr>
          </w:p>
        </w:tc>
        <w:tc>
          <w:tcPr>
            <w:tcW w:w="2683" w:type="dxa"/>
            <w:gridSpan w:val="3"/>
            <w:vAlign w:val="center"/>
          </w:tcPr>
          <w:p w14:paraId="0375919F" w14:textId="77777777" w:rsidR="003438A2" w:rsidRPr="00047A0E" w:rsidRDefault="003438A2" w:rsidP="0034083F">
            <w:pPr>
              <w:keepNext/>
              <w:spacing w:before="360" w:after="120" w:line="259" w:lineRule="auto"/>
              <w:ind w:right="113"/>
              <w:contextualSpacing/>
              <w:rPr>
                <w:rFonts w:asciiTheme="minorHAnsi" w:hAnsiTheme="minorHAnsi"/>
                <w:b/>
                <w:bCs/>
                <w:sz w:val="19"/>
                <w:szCs w:val="19"/>
              </w:rPr>
            </w:pPr>
          </w:p>
        </w:tc>
      </w:tr>
      <w:tr w:rsidR="003438A2" w:rsidRPr="00047A0E" w14:paraId="1D1FD0CC" w14:textId="77777777" w:rsidTr="0034083F">
        <w:trPr>
          <w:trHeight w:val="678"/>
        </w:trPr>
        <w:tc>
          <w:tcPr>
            <w:tcW w:w="1191" w:type="dxa"/>
            <w:vAlign w:val="center"/>
          </w:tcPr>
          <w:p w14:paraId="166D5213" w14:textId="77777777" w:rsidR="003438A2" w:rsidRPr="00047A0E" w:rsidRDefault="003438A2" w:rsidP="0034083F">
            <w:pPr>
              <w:keepNext/>
              <w:spacing w:after="0" w:line="259" w:lineRule="auto"/>
              <w:jc w:val="center"/>
              <w:rPr>
                <w:rFonts w:asciiTheme="minorHAnsi" w:hAnsiTheme="minorHAnsi"/>
                <w:b/>
                <w:bCs/>
                <w:sz w:val="19"/>
                <w:szCs w:val="19"/>
              </w:rPr>
            </w:pPr>
          </w:p>
        </w:tc>
        <w:tc>
          <w:tcPr>
            <w:tcW w:w="134" w:type="dxa"/>
            <w:tcBorders>
              <w:right w:val="single" w:sz="18" w:space="0" w:color="FFC000"/>
            </w:tcBorders>
          </w:tcPr>
          <w:p w14:paraId="7AF26B34" w14:textId="77777777" w:rsidR="003438A2" w:rsidRPr="00047A0E" w:rsidRDefault="003438A2" w:rsidP="0034083F">
            <w:pPr>
              <w:keepNext/>
              <w:spacing w:before="360" w:after="120" w:line="259" w:lineRule="auto"/>
              <w:ind w:left="57" w:right="57"/>
              <w:jc w:val="center"/>
              <w:rPr>
                <w:rFonts w:asciiTheme="minorHAnsi" w:hAnsiTheme="minorHAnsi"/>
                <w:b/>
                <w:bCs/>
                <w:sz w:val="19"/>
                <w:szCs w:val="19"/>
              </w:rPr>
            </w:pPr>
          </w:p>
        </w:tc>
        <w:tc>
          <w:tcPr>
            <w:tcW w:w="7747" w:type="dxa"/>
            <w:tcBorders>
              <w:top w:val="single" w:sz="18" w:space="0" w:color="FFC000"/>
              <w:left w:val="single" w:sz="18" w:space="0" w:color="FFC000"/>
              <w:bottom w:val="single" w:sz="18" w:space="0" w:color="FFC000"/>
              <w:right w:val="single" w:sz="18" w:space="0" w:color="FFC000"/>
            </w:tcBorders>
            <w:vAlign w:val="center"/>
          </w:tcPr>
          <w:p w14:paraId="4107B4F5" w14:textId="77777777" w:rsidR="003438A2" w:rsidRPr="00047A0E" w:rsidRDefault="003438A2" w:rsidP="0034083F">
            <w:pPr>
              <w:keepNext/>
              <w:spacing w:after="60" w:line="240" w:lineRule="auto"/>
              <w:ind w:left="57" w:right="57"/>
              <w:jc w:val="center"/>
              <w:rPr>
                <w:rFonts w:asciiTheme="minorHAnsi" w:hAnsiTheme="minorHAnsi"/>
                <w:b/>
                <w:bCs/>
                <w:sz w:val="19"/>
                <w:szCs w:val="19"/>
              </w:rPr>
            </w:pPr>
            <w:r w:rsidRPr="00047A0E">
              <w:rPr>
                <w:rFonts w:asciiTheme="minorHAnsi" w:hAnsiTheme="minorHAnsi"/>
                <w:b/>
                <w:bCs/>
                <w:sz w:val="19"/>
                <w:szCs w:val="19"/>
              </w:rPr>
              <w:t>Sorting</w:t>
            </w:r>
          </w:p>
          <w:p w14:paraId="5FB5F9A3" w14:textId="77777777" w:rsidR="003438A2" w:rsidRPr="00047A0E" w:rsidRDefault="003438A2" w:rsidP="0034083F">
            <w:pPr>
              <w:keepNext/>
              <w:spacing w:after="60" w:line="240" w:lineRule="auto"/>
              <w:ind w:left="57" w:right="57"/>
              <w:jc w:val="center"/>
              <w:rPr>
                <w:rFonts w:asciiTheme="minorHAnsi" w:hAnsiTheme="minorHAnsi"/>
                <w:b/>
                <w:bCs/>
                <w:sz w:val="19"/>
                <w:szCs w:val="19"/>
              </w:rPr>
            </w:pPr>
            <w:r w:rsidRPr="00047A0E">
              <w:rPr>
                <w:rFonts w:asciiTheme="minorHAnsi" w:hAnsiTheme="minorHAnsi"/>
                <w:bCs/>
                <w:sz w:val="19"/>
                <w:szCs w:val="19"/>
              </w:rPr>
              <w:t>Apples are inspected for defects then sorted based on colour and size by machine or hand, depending on the packing house.</w:t>
            </w:r>
          </w:p>
        </w:tc>
        <w:tc>
          <w:tcPr>
            <w:tcW w:w="135" w:type="dxa"/>
            <w:tcBorders>
              <w:left w:val="single" w:sz="18" w:space="0" w:color="FFC000"/>
            </w:tcBorders>
          </w:tcPr>
          <w:p w14:paraId="6336CBDD" w14:textId="77777777" w:rsidR="003438A2" w:rsidRPr="00047A0E" w:rsidRDefault="003438A2" w:rsidP="0034083F">
            <w:pPr>
              <w:keepNext/>
              <w:spacing w:before="360" w:after="120" w:line="259" w:lineRule="auto"/>
              <w:ind w:left="113" w:right="113"/>
              <w:jc w:val="center"/>
              <w:rPr>
                <w:rFonts w:asciiTheme="minorHAnsi" w:hAnsiTheme="minorHAnsi"/>
                <w:b/>
                <w:bCs/>
                <w:sz w:val="19"/>
                <w:szCs w:val="19"/>
              </w:rPr>
            </w:pPr>
          </w:p>
        </w:tc>
        <w:tc>
          <w:tcPr>
            <w:tcW w:w="2683" w:type="dxa"/>
            <w:gridSpan w:val="3"/>
            <w:vAlign w:val="center"/>
          </w:tcPr>
          <w:p w14:paraId="4837BB78" w14:textId="77777777" w:rsidR="003438A2" w:rsidRPr="00047A0E" w:rsidRDefault="003438A2" w:rsidP="0034083F">
            <w:pPr>
              <w:keepNext/>
              <w:spacing w:before="360" w:after="120" w:line="259" w:lineRule="auto"/>
              <w:ind w:right="113"/>
              <w:rPr>
                <w:rFonts w:asciiTheme="minorHAnsi" w:hAnsiTheme="minorHAnsi"/>
                <w:b/>
                <w:bCs/>
                <w:sz w:val="19"/>
                <w:szCs w:val="19"/>
              </w:rPr>
            </w:pPr>
          </w:p>
        </w:tc>
      </w:tr>
      <w:tr w:rsidR="003438A2" w:rsidRPr="00047A0E" w14:paraId="17DB8A56" w14:textId="77777777" w:rsidTr="0034083F">
        <w:trPr>
          <w:trHeight w:val="288"/>
        </w:trPr>
        <w:tc>
          <w:tcPr>
            <w:tcW w:w="1191" w:type="dxa"/>
            <w:vAlign w:val="center"/>
          </w:tcPr>
          <w:p w14:paraId="6899F2A8" w14:textId="77777777" w:rsidR="003438A2" w:rsidRPr="00047A0E" w:rsidRDefault="003438A2" w:rsidP="0034083F">
            <w:pPr>
              <w:keepNext/>
              <w:spacing w:after="0" w:line="259" w:lineRule="auto"/>
              <w:contextualSpacing/>
              <w:jc w:val="center"/>
              <w:rPr>
                <w:rFonts w:asciiTheme="minorHAnsi" w:hAnsiTheme="minorHAnsi"/>
                <w:b/>
                <w:bCs/>
                <w:sz w:val="19"/>
                <w:szCs w:val="19"/>
              </w:rPr>
            </w:pPr>
          </w:p>
        </w:tc>
        <w:tc>
          <w:tcPr>
            <w:tcW w:w="134" w:type="dxa"/>
          </w:tcPr>
          <w:p w14:paraId="74FEFAFC" w14:textId="77777777" w:rsidR="003438A2" w:rsidRPr="00047A0E" w:rsidRDefault="003438A2" w:rsidP="0034083F">
            <w:pPr>
              <w:keepNext/>
              <w:spacing w:before="360" w:after="0" w:line="259" w:lineRule="auto"/>
              <w:ind w:left="57" w:right="57"/>
              <w:contextualSpacing/>
              <w:jc w:val="center"/>
              <w:rPr>
                <w:rFonts w:asciiTheme="minorHAnsi" w:hAnsiTheme="minorHAnsi"/>
                <w:b/>
                <w:bCs/>
                <w:sz w:val="19"/>
                <w:szCs w:val="19"/>
              </w:rPr>
            </w:pPr>
          </w:p>
        </w:tc>
        <w:tc>
          <w:tcPr>
            <w:tcW w:w="7747" w:type="dxa"/>
            <w:tcBorders>
              <w:top w:val="single" w:sz="18" w:space="0" w:color="FFC000"/>
              <w:bottom w:val="single" w:sz="18" w:space="0" w:color="FFC000"/>
            </w:tcBorders>
            <w:vAlign w:val="center"/>
          </w:tcPr>
          <w:p w14:paraId="74EF7B39" w14:textId="77777777" w:rsidR="003438A2" w:rsidRPr="00047A0E" w:rsidRDefault="003438A2" w:rsidP="0034083F">
            <w:pPr>
              <w:keepNext/>
              <w:spacing w:after="0" w:line="259" w:lineRule="auto"/>
              <w:ind w:left="57" w:right="57"/>
              <w:contextualSpacing/>
              <w:jc w:val="center"/>
              <w:rPr>
                <w:rFonts w:asciiTheme="minorHAnsi" w:hAnsiTheme="minorHAnsi"/>
                <w:b/>
                <w:bCs/>
                <w:sz w:val="19"/>
                <w:szCs w:val="19"/>
              </w:rPr>
            </w:pPr>
            <w:r w:rsidRPr="00047A0E">
              <w:rPr>
                <w:rFonts w:asciiTheme="minorHAnsi" w:hAnsiTheme="minorHAnsi"/>
                <w:b/>
                <w:bCs/>
                <w:noProof/>
                <w:sz w:val="19"/>
                <w:szCs w:val="19"/>
              </w:rPr>
              <mc:AlternateContent>
                <mc:Choice Requires="wps">
                  <w:drawing>
                    <wp:inline distT="0" distB="0" distL="0" distR="0" wp14:anchorId="55395431" wp14:editId="135FD09E">
                      <wp:extent cx="192505" cy="168442"/>
                      <wp:effectExtent l="19050" t="0" r="17145" b="41275"/>
                      <wp:docPr id="20" name="AutoShape 638" descr="P1011C58T8#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505" cy="168442"/>
                              </a:xfrm>
                              <a:prstGeom prst="downArrow">
                                <a:avLst>
                                  <a:gd name="adj1" fmla="val 32944"/>
                                  <a:gd name="adj2" fmla="val 49941"/>
                                </a:avLst>
                              </a:prstGeom>
                              <a:solidFill>
                                <a:srgbClr val="000000"/>
                              </a:solidFill>
                              <a:ln w="1270">
                                <a:solidFill>
                                  <a:srgbClr val="000000"/>
                                </a:solidFill>
                                <a:miter lim="800000"/>
                                <a:headEnd/>
                                <a:tailEnd/>
                              </a:ln>
                            </wps:spPr>
                            <wps:bodyPr rot="0" vert="eaVert" wrap="square" lIns="91440" tIns="45720" rIns="91440" bIns="45720" anchor="t" anchorCtr="0" upright="1">
                              <a:noAutofit/>
                            </wps:bodyPr>
                          </wps:wsp>
                        </a:graphicData>
                      </a:graphic>
                    </wp:inline>
                  </w:drawing>
                </mc:Choice>
                <mc:Fallback>
                  <w:pict>
                    <v:shape w14:anchorId="78268F54" id="AutoShape 638" o:spid="_x0000_s1026" type="#_x0000_t67" style="width:15.15pt;height: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" adj="10813,7242" fillcolor="black" strokeweight=".1pt">
                      <v:textbox style="layout-flow:vertical-ideographic"/>
                      <w10:anchorlock/>
                    </v:shape>
                  </w:pict>
                </mc:Fallback>
              </mc:AlternateContent>
            </w:r>
          </w:p>
        </w:tc>
        <w:tc>
          <w:tcPr>
            <w:tcW w:w="135" w:type="dxa"/>
          </w:tcPr>
          <w:p w14:paraId="22572648" w14:textId="77777777" w:rsidR="003438A2" w:rsidRPr="00047A0E" w:rsidRDefault="003438A2" w:rsidP="0034083F">
            <w:pPr>
              <w:keepNext/>
              <w:spacing w:before="360" w:after="0" w:line="259" w:lineRule="auto"/>
              <w:contextualSpacing/>
              <w:jc w:val="center"/>
              <w:rPr>
                <w:rFonts w:asciiTheme="minorHAnsi" w:hAnsiTheme="minorHAnsi"/>
                <w:b/>
                <w:bCs/>
                <w:sz w:val="19"/>
                <w:szCs w:val="19"/>
              </w:rPr>
            </w:pPr>
          </w:p>
        </w:tc>
        <w:tc>
          <w:tcPr>
            <w:tcW w:w="2683" w:type="dxa"/>
            <w:gridSpan w:val="3"/>
            <w:vAlign w:val="center"/>
          </w:tcPr>
          <w:p w14:paraId="04645347" w14:textId="77777777" w:rsidR="003438A2" w:rsidRPr="00047A0E" w:rsidRDefault="003438A2" w:rsidP="0034083F">
            <w:pPr>
              <w:keepNext/>
              <w:spacing w:before="360" w:after="0" w:line="259" w:lineRule="auto"/>
              <w:contextualSpacing/>
              <w:rPr>
                <w:rFonts w:asciiTheme="minorHAnsi" w:hAnsiTheme="minorHAnsi"/>
                <w:bCs/>
                <w:sz w:val="19"/>
                <w:szCs w:val="19"/>
              </w:rPr>
            </w:pPr>
          </w:p>
        </w:tc>
      </w:tr>
      <w:tr w:rsidR="003438A2" w:rsidRPr="00047A0E" w14:paraId="6F47748E" w14:textId="77777777" w:rsidTr="0034083F">
        <w:trPr>
          <w:trHeight w:val="768"/>
        </w:trPr>
        <w:tc>
          <w:tcPr>
            <w:tcW w:w="1191" w:type="dxa"/>
            <w:vAlign w:val="center"/>
          </w:tcPr>
          <w:p w14:paraId="5C56B9EA" w14:textId="77777777" w:rsidR="003438A2" w:rsidRPr="00047A0E" w:rsidRDefault="003438A2" w:rsidP="0034083F">
            <w:pPr>
              <w:keepNext/>
              <w:spacing w:after="0" w:line="259" w:lineRule="auto"/>
              <w:jc w:val="center"/>
              <w:rPr>
                <w:rFonts w:asciiTheme="minorHAnsi" w:hAnsiTheme="minorHAnsi"/>
                <w:b/>
                <w:bCs/>
                <w:sz w:val="19"/>
                <w:szCs w:val="19"/>
              </w:rPr>
            </w:pPr>
          </w:p>
        </w:tc>
        <w:tc>
          <w:tcPr>
            <w:tcW w:w="134" w:type="dxa"/>
            <w:tcBorders>
              <w:right w:val="single" w:sz="18" w:space="0" w:color="FFC000"/>
            </w:tcBorders>
          </w:tcPr>
          <w:p w14:paraId="06273A73" w14:textId="77777777" w:rsidR="003438A2" w:rsidRPr="00047A0E" w:rsidRDefault="003438A2" w:rsidP="0034083F">
            <w:pPr>
              <w:keepNext/>
              <w:spacing w:before="360" w:after="120" w:line="259" w:lineRule="auto"/>
              <w:ind w:left="57" w:right="57"/>
              <w:jc w:val="center"/>
              <w:rPr>
                <w:rFonts w:asciiTheme="minorHAnsi" w:hAnsiTheme="minorHAnsi"/>
                <w:b/>
                <w:bCs/>
                <w:sz w:val="19"/>
                <w:szCs w:val="19"/>
              </w:rPr>
            </w:pPr>
          </w:p>
        </w:tc>
        <w:tc>
          <w:tcPr>
            <w:tcW w:w="7747" w:type="dxa"/>
            <w:tcBorders>
              <w:top w:val="single" w:sz="18" w:space="0" w:color="FFC000"/>
              <w:left w:val="single" w:sz="18" w:space="0" w:color="FFC000"/>
              <w:bottom w:val="single" w:sz="18" w:space="0" w:color="FFC000"/>
              <w:right w:val="single" w:sz="18" w:space="0" w:color="FFC000"/>
            </w:tcBorders>
            <w:vAlign w:val="center"/>
          </w:tcPr>
          <w:p w14:paraId="29FA0B98" w14:textId="77777777" w:rsidR="003438A2" w:rsidRPr="00047A0E" w:rsidRDefault="003438A2" w:rsidP="0034083F">
            <w:pPr>
              <w:keepNext/>
              <w:spacing w:after="60" w:line="240" w:lineRule="auto"/>
              <w:ind w:left="57" w:right="57"/>
              <w:jc w:val="center"/>
              <w:rPr>
                <w:rFonts w:asciiTheme="minorHAnsi" w:hAnsiTheme="minorHAnsi"/>
                <w:b/>
                <w:bCs/>
                <w:sz w:val="19"/>
                <w:szCs w:val="19"/>
              </w:rPr>
            </w:pPr>
            <w:r w:rsidRPr="00047A0E">
              <w:rPr>
                <w:rFonts w:asciiTheme="minorHAnsi" w:hAnsiTheme="minorHAnsi"/>
                <w:b/>
                <w:bCs/>
                <w:sz w:val="19"/>
                <w:szCs w:val="19"/>
              </w:rPr>
              <w:t>Packing and inspection</w:t>
            </w:r>
          </w:p>
          <w:p w14:paraId="789B9A6F" w14:textId="77777777" w:rsidR="003438A2" w:rsidRPr="00047A0E" w:rsidRDefault="003438A2" w:rsidP="0034083F">
            <w:pPr>
              <w:keepNext/>
              <w:spacing w:after="60" w:line="240" w:lineRule="auto"/>
              <w:ind w:left="57" w:right="57"/>
              <w:jc w:val="center"/>
              <w:rPr>
                <w:rFonts w:asciiTheme="minorHAnsi" w:hAnsiTheme="minorHAnsi"/>
                <w:bCs/>
                <w:sz w:val="19"/>
                <w:szCs w:val="19"/>
              </w:rPr>
            </w:pPr>
            <w:r>
              <w:rPr>
                <w:rFonts w:asciiTheme="minorHAnsi" w:hAnsiTheme="minorHAnsi"/>
                <w:bCs/>
                <w:sz w:val="19"/>
                <w:szCs w:val="19"/>
              </w:rPr>
              <w:t>Apples</w:t>
            </w:r>
            <w:r w:rsidRPr="00047A0E">
              <w:rPr>
                <w:rFonts w:asciiTheme="minorHAnsi" w:hAnsiTheme="minorHAnsi"/>
                <w:bCs/>
                <w:sz w:val="19"/>
                <w:szCs w:val="19"/>
              </w:rPr>
              <w:t xml:space="preserve"> are </w:t>
            </w:r>
            <w:r>
              <w:rPr>
                <w:rFonts w:asciiTheme="minorHAnsi" w:hAnsiTheme="minorHAnsi"/>
                <w:bCs/>
                <w:sz w:val="19"/>
                <w:szCs w:val="19"/>
              </w:rPr>
              <w:t>packed</w:t>
            </w:r>
            <w:r w:rsidRPr="00047A0E">
              <w:rPr>
                <w:rFonts w:asciiTheme="minorHAnsi" w:hAnsiTheme="minorHAnsi"/>
                <w:bCs/>
                <w:sz w:val="19"/>
                <w:szCs w:val="19"/>
              </w:rPr>
              <w:t xml:space="preserve"> into trays and boxes. Fruit may be inspected by in-house quality control officers.</w:t>
            </w:r>
            <w:r>
              <w:rPr>
                <w:rFonts w:asciiTheme="minorHAnsi" w:hAnsiTheme="minorHAnsi"/>
                <w:bCs/>
                <w:sz w:val="19"/>
                <w:szCs w:val="19"/>
              </w:rPr>
              <w:t xml:space="preserve"> </w:t>
            </w:r>
          </w:p>
        </w:tc>
        <w:tc>
          <w:tcPr>
            <w:tcW w:w="135" w:type="dxa"/>
            <w:tcBorders>
              <w:left w:val="single" w:sz="18" w:space="0" w:color="FFC000"/>
            </w:tcBorders>
          </w:tcPr>
          <w:p w14:paraId="04809AD3" w14:textId="77777777" w:rsidR="003438A2" w:rsidRPr="00047A0E" w:rsidRDefault="003438A2" w:rsidP="0034083F">
            <w:pPr>
              <w:spacing w:after="160" w:line="259" w:lineRule="auto"/>
              <w:rPr>
                <w:rFonts w:asciiTheme="majorHAnsi" w:hAnsiTheme="majorHAnsi"/>
                <w:sz w:val="19"/>
                <w:szCs w:val="19"/>
              </w:rPr>
            </w:pPr>
          </w:p>
        </w:tc>
        <w:tc>
          <w:tcPr>
            <w:tcW w:w="2683" w:type="dxa"/>
            <w:gridSpan w:val="3"/>
            <w:vAlign w:val="center"/>
          </w:tcPr>
          <w:p w14:paraId="54C045ED" w14:textId="77777777" w:rsidR="003438A2" w:rsidRPr="00047A0E" w:rsidRDefault="003438A2" w:rsidP="0034083F">
            <w:pPr>
              <w:spacing w:after="160" w:line="259" w:lineRule="auto"/>
              <w:rPr>
                <w:rFonts w:asciiTheme="majorHAnsi" w:hAnsiTheme="majorHAnsi"/>
                <w:sz w:val="19"/>
                <w:szCs w:val="19"/>
              </w:rPr>
            </w:pPr>
          </w:p>
        </w:tc>
      </w:tr>
      <w:tr w:rsidR="003438A2" w:rsidRPr="00047A0E" w14:paraId="0C57E096" w14:textId="77777777" w:rsidTr="0034083F">
        <w:trPr>
          <w:trHeight w:val="397"/>
        </w:trPr>
        <w:tc>
          <w:tcPr>
            <w:tcW w:w="1191" w:type="dxa"/>
            <w:vAlign w:val="center"/>
          </w:tcPr>
          <w:p w14:paraId="234F5529" w14:textId="77777777" w:rsidR="003438A2" w:rsidRPr="00047A0E" w:rsidRDefault="003438A2" w:rsidP="0034083F">
            <w:pPr>
              <w:keepNext/>
              <w:spacing w:after="0" w:line="259" w:lineRule="auto"/>
              <w:contextualSpacing/>
              <w:jc w:val="center"/>
              <w:rPr>
                <w:rFonts w:asciiTheme="minorHAnsi" w:hAnsiTheme="minorHAnsi"/>
                <w:b/>
                <w:bCs/>
                <w:sz w:val="19"/>
                <w:szCs w:val="19"/>
              </w:rPr>
            </w:pPr>
            <w:r w:rsidRPr="00047A0E">
              <w:rPr>
                <w:rFonts w:asciiTheme="minorHAnsi" w:hAnsiTheme="minorHAnsi"/>
                <w:b/>
                <w:bCs/>
                <w:noProof/>
                <w:sz w:val="19"/>
                <w:szCs w:val="19"/>
              </w:rPr>
              <mc:AlternateContent>
                <mc:Choice Requires="wps">
                  <w:drawing>
                    <wp:anchor distT="0" distB="0" distL="114300" distR="114300" simplePos="0" relativeHeight="251660288" behindDoc="0" locked="0" layoutInCell="1" allowOverlap="1" wp14:anchorId="5DD2F7B1" wp14:editId="01752748">
                      <wp:simplePos x="0" y="0"/>
                      <wp:positionH relativeFrom="column">
                        <wp:posOffset>-35560</wp:posOffset>
                      </wp:positionH>
                      <wp:positionV relativeFrom="paragraph">
                        <wp:posOffset>55880</wp:posOffset>
                      </wp:positionV>
                      <wp:extent cx="6120130" cy="0"/>
                      <wp:effectExtent l="7620" t="6350" r="6350" b="12700"/>
                      <wp:wrapNone/>
                      <wp:docPr id="13" name="AutoShap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77C604" id="AutoShape 633" o:spid="_x0000_s1026" type="#_x0000_t32" style="position:absolute;margin-left:-2.8pt;margin-top:4.4pt;width:481.9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">
                      <v:stroke dashstyle="dash"/>
                    </v:shape>
                  </w:pict>
                </mc:Fallback>
              </mc:AlternateContent>
            </w:r>
          </w:p>
        </w:tc>
        <w:tc>
          <w:tcPr>
            <w:tcW w:w="134" w:type="dxa"/>
          </w:tcPr>
          <w:p w14:paraId="3582DD30" w14:textId="77777777" w:rsidR="003438A2" w:rsidRPr="00047A0E" w:rsidRDefault="003438A2" w:rsidP="0034083F">
            <w:pPr>
              <w:keepNext/>
              <w:spacing w:before="360" w:after="0" w:line="259" w:lineRule="auto"/>
              <w:ind w:left="57" w:right="57"/>
              <w:contextualSpacing/>
              <w:jc w:val="center"/>
              <w:rPr>
                <w:rFonts w:asciiTheme="minorHAnsi" w:hAnsiTheme="minorHAnsi"/>
                <w:b/>
                <w:bCs/>
                <w:sz w:val="19"/>
                <w:szCs w:val="19"/>
              </w:rPr>
            </w:pPr>
          </w:p>
        </w:tc>
        <w:tc>
          <w:tcPr>
            <w:tcW w:w="7747" w:type="dxa"/>
            <w:tcBorders>
              <w:top w:val="single" w:sz="18" w:space="0" w:color="FFC000"/>
              <w:bottom w:val="single" w:sz="18" w:space="0" w:color="C00000"/>
            </w:tcBorders>
            <w:vAlign w:val="center"/>
          </w:tcPr>
          <w:p w14:paraId="786C455D" w14:textId="77777777" w:rsidR="003438A2" w:rsidRPr="00047A0E" w:rsidRDefault="003438A2" w:rsidP="0034083F">
            <w:pPr>
              <w:keepNext/>
              <w:spacing w:after="0" w:line="259" w:lineRule="auto"/>
              <w:ind w:left="57" w:right="57"/>
              <w:contextualSpacing/>
              <w:jc w:val="center"/>
              <w:rPr>
                <w:rFonts w:asciiTheme="minorHAnsi" w:hAnsiTheme="minorHAnsi"/>
                <w:b/>
                <w:bCs/>
                <w:sz w:val="19"/>
                <w:szCs w:val="19"/>
              </w:rPr>
            </w:pPr>
            <w:r w:rsidRPr="00047A0E">
              <w:rPr>
                <w:rFonts w:asciiTheme="minorHAnsi" w:hAnsiTheme="minorHAnsi"/>
                <w:b/>
                <w:bCs/>
                <w:noProof/>
                <w:sz w:val="19"/>
                <w:szCs w:val="19"/>
              </w:rPr>
              <mc:AlternateContent>
                <mc:Choice Requires="wps">
                  <w:drawing>
                    <wp:inline distT="0" distB="0" distL="0" distR="0" wp14:anchorId="0670B0CE" wp14:editId="2C3B726E">
                      <wp:extent cx="192505" cy="168442"/>
                      <wp:effectExtent l="19050" t="0" r="17145" b="41275"/>
                      <wp:docPr id="21" name="AutoShape 638" descr="P1024C68T8#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505" cy="168442"/>
                              </a:xfrm>
                              <a:prstGeom prst="downArrow">
                                <a:avLst>
                                  <a:gd name="adj1" fmla="val 32944"/>
                                  <a:gd name="adj2" fmla="val 49941"/>
                                </a:avLst>
                              </a:prstGeom>
                              <a:solidFill>
                                <a:srgbClr val="000000"/>
                              </a:solidFill>
                              <a:ln w="1270">
                                <a:solidFill>
                                  <a:srgbClr val="000000"/>
                                </a:solidFill>
                                <a:miter lim="800000"/>
                                <a:headEnd/>
                                <a:tailEnd/>
                              </a:ln>
                            </wps:spPr>
                            <wps:bodyPr rot="0" vert="eaVert" wrap="square" lIns="91440" tIns="45720" rIns="91440" bIns="45720" anchor="t" anchorCtr="0" upright="1">
                              <a:noAutofit/>
                            </wps:bodyPr>
                          </wps:wsp>
                        </a:graphicData>
                      </a:graphic>
                    </wp:inline>
                  </w:drawing>
                </mc:Choice>
                <mc:Fallback>
                  <w:pict>
                    <v:shape w14:anchorId="1DAD0654" id="AutoShape 638" o:spid="_x0000_s1026" type="#_x0000_t67" style="width:15.15pt;height: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" adj="10813,7242" fillcolor="black" strokeweight=".1pt">
                      <v:textbox style="layout-flow:vertical-ideographic"/>
                      <w10:anchorlock/>
                    </v:shape>
                  </w:pict>
                </mc:Fallback>
              </mc:AlternateContent>
            </w:r>
          </w:p>
        </w:tc>
        <w:tc>
          <w:tcPr>
            <w:tcW w:w="135" w:type="dxa"/>
          </w:tcPr>
          <w:p w14:paraId="6CADF333" w14:textId="77777777" w:rsidR="003438A2" w:rsidRPr="00047A0E" w:rsidRDefault="003438A2" w:rsidP="0034083F">
            <w:pPr>
              <w:keepNext/>
              <w:spacing w:before="360" w:after="0" w:line="259" w:lineRule="auto"/>
              <w:contextualSpacing/>
              <w:jc w:val="center"/>
              <w:rPr>
                <w:rFonts w:asciiTheme="minorHAnsi" w:hAnsiTheme="minorHAnsi"/>
                <w:b/>
                <w:bCs/>
                <w:sz w:val="19"/>
                <w:szCs w:val="19"/>
              </w:rPr>
            </w:pPr>
          </w:p>
        </w:tc>
        <w:tc>
          <w:tcPr>
            <w:tcW w:w="2683" w:type="dxa"/>
            <w:gridSpan w:val="3"/>
            <w:vAlign w:val="center"/>
          </w:tcPr>
          <w:p w14:paraId="6857D373" w14:textId="77777777" w:rsidR="003438A2" w:rsidRPr="00047A0E" w:rsidRDefault="003438A2" w:rsidP="0034083F">
            <w:pPr>
              <w:keepNext/>
              <w:spacing w:before="360" w:after="0" w:line="259" w:lineRule="auto"/>
              <w:contextualSpacing/>
              <w:rPr>
                <w:rFonts w:asciiTheme="minorHAnsi" w:hAnsiTheme="minorHAnsi"/>
                <w:bCs/>
                <w:sz w:val="19"/>
                <w:szCs w:val="19"/>
              </w:rPr>
            </w:pPr>
          </w:p>
        </w:tc>
      </w:tr>
      <w:tr w:rsidR="003438A2" w:rsidRPr="00047A0E" w14:paraId="4ABBA375" w14:textId="77777777" w:rsidTr="0034083F">
        <w:trPr>
          <w:trHeight w:val="717"/>
        </w:trPr>
        <w:tc>
          <w:tcPr>
            <w:tcW w:w="1191" w:type="dxa"/>
            <w:vAlign w:val="center"/>
          </w:tcPr>
          <w:p w14:paraId="224F8CFF" w14:textId="77777777" w:rsidR="003438A2" w:rsidRPr="00047A0E" w:rsidRDefault="003438A2" w:rsidP="0034083F">
            <w:pPr>
              <w:keepNext/>
              <w:spacing w:after="0" w:line="259" w:lineRule="auto"/>
              <w:jc w:val="center"/>
              <w:rPr>
                <w:rFonts w:asciiTheme="majorHAnsi" w:hAnsiTheme="majorHAnsi"/>
                <w:b/>
                <w:bCs/>
                <w:sz w:val="19"/>
                <w:szCs w:val="19"/>
              </w:rPr>
            </w:pPr>
            <w:r w:rsidRPr="00047A0E">
              <w:rPr>
                <w:rFonts w:asciiTheme="minorHAnsi" w:hAnsiTheme="minorHAnsi"/>
                <w:b/>
                <w:bCs/>
                <w:sz w:val="19"/>
                <w:szCs w:val="19"/>
              </w:rPr>
              <w:t>Storage and distribution</w:t>
            </w:r>
          </w:p>
        </w:tc>
        <w:tc>
          <w:tcPr>
            <w:tcW w:w="134" w:type="dxa"/>
            <w:tcBorders>
              <w:right w:val="single" w:sz="18" w:space="0" w:color="C00000"/>
            </w:tcBorders>
          </w:tcPr>
          <w:p w14:paraId="60E0D672" w14:textId="77777777" w:rsidR="003438A2" w:rsidRPr="00047A0E" w:rsidRDefault="003438A2" w:rsidP="0034083F">
            <w:pPr>
              <w:keepNext/>
              <w:spacing w:before="360" w:after="120" w:line="259" w:lineRule="auto"/>
              <w:ind w:left="57" w:right="57"/>
              <w:jc w:val="center"/>
              <w:rPr>
                <w:rFonts w:asciiTheme="minorHAnsi" w:hAnsiTheme="minorHAnsi"/>
                <w:b/>
                <w:bCs/>
                <w:sz w:val="19"/>
                <w:szCs w:val="19"/>
              </w:rPr>
            </w:pPr>
          </w:p>
        </w:tc>
        <w:tc>
          <w:tcPr>
            <w:tcW w:w="7747" w:type="dxa"/>
            <w:tcBorders>
              <w:top w:val="single" w:sz="18" w:space="0" w:color="C00000"/>
              <w:left w:val="single" w:sz="18" w:space="0" w:color="C00000"/>
              <w:bottom w:val="single" w:sz="18" w:space="0" w:color="C00000"/>
              <w:right w:val="single" w:sz="18" w:space="0" w:color="C00000"/>
            </w:tcBorders>
            <w:vAlign w:val="center"/>
          </w:tcPr>
          <w:p w14:paraId="2C8FBC04" w14:textId="77777777" w:rsidR="003438A2" w:rsidRPr="00047A0E" w:rsidRDefault="003438A2" w:rsidP="0034083F">
            <w:pPr>
              <w:keepNext/>
              <w:spacing w:after="60" w:line="240" w:lineRule="auto"/>
              <w:ind w:left="57" w:right="57"/>
              <w:jc w:val="center"/>
              <w:rPr>
                <w:rFonts w:asciiTheme="minorHAnsi" w:hAnsiTheme="minorHAnsi"/>
                <w:b/>
                <w:bCs/>
                <w:sz w:val="19"/>
                <w:szCs w:val="19"/>
              </w:rPr>
            </w:pPr>
            <w:r w:rsidRPr="00047A0E">
              <w:rPr>
                <w:rFonts w:asciiTheme="minorHAnsi" w:hAnsiTheme="minorHAnsi"/>
                <w:b/>
                <w:bCs/>
                <w:sz w:val="19"/>
                <w:szCs w:val="19"/>
              </w:rPr>
              <w:t>Storage</w:t>
            </w:r>
          </w:p>
          <w:p w14:paraId="212CAECF" w14:textId="77777777" w:rsidR="003438A2" w:rsidRPr="00047A0E" w:rsidRDefault="003438A2" w:rsidP="0034083F">
            <w:pPr>
              <w:keepNext/>
              <w:spacing w:after="60" w:line="240" w:lineRule="auto"/>
              <w:ind w:left="57" w:right="57"/>
              <w:jc w:val="center"/>
              <w:rPr>
                <w:rFonts w:asciiTheme="minorHAnsi" w:hAnsiTheme="minorHAnsi"/>
                <w:bCs/>
                <w:sz w:val="19"/>
                <w:szCs w:val="19"/>
              </w:rPr>
            </w:pPr>
            <w:r w:rsidRPr="00047A0E">
              <w:rPr>
                <w:rFonts w:asciiTheme="minorHAnsi" w:hAnsiTheme="minorHAnsi"/>
                <w:bCs/>
                <w:sz w:val="19"/>
                <w:szCs w:val="19"/>
              </w:rPr>
              <w:t xml:space="preserve">Apples are </w:t>
            </w:r>
            <w:r>
              <w:rPr>
                <w:rFonts w:asciiTheme="minorHAnsi" w:hAnsiTheme="minorHAnsi"/>
                <w:bCs/>
                <w:sz w:val="19"/>
                <w:szCs w:val="19"/>
              </w:rPr>
              <w:t>stored</w:t>
            </w:r>
            <w:r w:rsidRPr="00047A0E">
              <w:rPr>
                <w:rFonts w:asciiTheme="minorHAnsi" w:hAnsiTheme="minorHAnsi"/>
                <w:bCs/>
                <w:sz w:val="19"/>
                <w:szCs w:val="19"/>
              </w:rPr>
              <w:t xml:space="preserve"> </w:t>
            </w:r>
            <w:r>
              <w:rPr>
                <w:rFonts w:asciiTheme="minorHAnsi" w:hAnsiTheme="minorHAnsi"/>
                <w:bCs/>
                <w:sz w:val="19"/>
                <w:szCs w:val="19"/>
              </w:rPr>
              <w:t>at cold temperatures prior to export</w:t>
            </w:r>
            <w:r w:rsidRPr="00047A0E">
              <w:rPr>
                <w:rFonts w:asciiTheme="minorHAnsi" w:hAnsiTheme="minorHAnsi"/>
                <w:bCs/>
                <w:sz w:val="19"/>
                <w:szCs w:val="19"/>
              </w:rPr>
              <w:t>.</w:t>
            </w:r>
          </w:p>
        </w:tc>
        <w:tc>
          <w:tcPr>
            <w:tcW w:w="135" w:type="dxa"/>
            <w:tcBorders>
              <w:left w:val="single" w:sz="18" w:space="0" w:color="C00000"/>
            </w:tcBorders>
          </w:tcPr>
          <w:p w14:paraId="4A3B0E5F" w14:textId="77777777" w:rsidR="003438A2" w:rsidRPr="00047A0E" w:rsidRDefault="003438A2" w:rsidP="0034083F">
            <w:pPr>
              <w:spacing w:after="160" w:line="259" w:lineRule="auto"/>
              <w:rPr>
                <w:rFonts w:asciiTheme="majorHAnsi" w:hAnsiTheme="majorHAnsi"/>
                <w:sz w:val="19"/>
                <w:szCs w:val="19"/>
              </w:rPr>
            </w:pPr>
          </w:p>
        </w:tc>
        <w:tc>
          <w:tcPr>
            <w:tcW w:w="2683" w:type="dxa"/>
            <w:gridSpan w:val="3"/>
            <w:vAlign w:val="center"/>
          </w:tcPr>
          <w:p w14:paraId="56A31DD0" w14:textId="77777777" w:rsidR="003438A2" w:rsidRPr="00047A0E" w:rsidRDefault="003438A2" w:rsidP="0034083F">
            <w:pPr>
              <w:spacing w:after="160" w:line="259" w:lineRule="auto"/>
              <w:rPr>
                <w:rFonts w:asciiTheme="majorHAnsi" w:hAnsiTheme="majorHAnsi"/>
                <w:sz w:val="19"/>
                <w:szCs w:val="19"/>
              </w:rPr>
            </w:pPr>
          </w:p>
        </w:tc>
      </w:tr>
      <w:tr w:rsidR="003438A2" w:rsidRPr="00047A0E" w14:paraId="05218BB6" w14:textId="77777777" w:rsidTr="0034083F">
        <w:trPr>
          <w:trHeight w:val="340"/>
        </w:trPr>
        <w:tc>
          <w:tcPr>
            <w:tcW w:w="1191" w:type="dxa"/>
            <w:vAlign w:val="center"/>
          </w:tcPr>
          <w:p w14:paraId="1B7A92C0" w14:textId="77777777" w:rsidR="003438A2" w:rsidRPr="00047A0E" w:rsidRDefault="003438A2" w:rsidP="0034083F">
            <w:pPr>
              <w:keepNext/>
              <w:spacing w:after="0" w:line="259" w:lineRule="auto"/>
              <w:jc w:val="center"/>
              <w:rPr>
                <w:rFonts w:asciiTheme="minorHAnsi" w:hAnsiTheme="minorHAnsi"/>
                <w:b/>
                <w:bCs/>
                <w:sz w:val="19"/>
                <w:szCs w:val="19"/>
              </w:rPr>
            </w:pPr>
          </w:p>
        </w:tc>
        <w:tc>
          <w:tcPr>
            <w:tcW w:w="134" w:type="dxa"/>
          </w:tcPr>
          <w:p w14:paraId="485CA205" w14:textId="77777777" w:rsidR="003438A2" w:rsidRPr="00047A0E" w:rsidRDefault="003438A2" w:rsidP="0034083F">
            <w:pPr>
              <w:keepNext/>
              <w:spacing w:after="0" w:line="259" w:lineRule="auto"/>
              <w:ind w:left="57" w:right="57"/>
              <w:jc w:val="center"/>
              <w:rPr>
                <w:rFonts w:asciiTheme="minorHAnsi" w:hAnsiTheme="minorHAnsi"/>
                <w:b/>
                <w:bCs/>
                <w:sz w:val="19"/>
                <w:szCs w:val="19"/>
              </w:rPr>
            </w:pPr>
          </w:p>
        </w:tc>
        <w:tc>
          <w:tcPr>
            <w:tcW w:w="7747" w:type="dxa"/>
            <w:tcBorders>
              <w:top w:val="single" w:sz="18" w:space="0" w:color="C00000"/>
              <w:bottom w:val="single" w:sz="18" w:space="0" w:color="C00000"/>
            </w:tcBorders>
            <w:vAlign w:val="center"/>
          </w:tcPr>
          <w:p w14:paraId="24C08497" w14:textId="77777777" w:rsidR="003438A2" w:rsidRPr="00047A0E" w:rsidRDefault="003438A2" w:rsidP="0034083F">
            <w:pPr>
              <w:keepNext/>
              <w:spacing w:after="0" w:line="259" w:lineRule="auto"/>
              <w:ind w:left="57" w:right="57"/>
              <w:jc w:val="center"/>
              <w:rPr>
                <w:rFonts w:asciiTheme="minorHAnsi" w:hAnsiTheme="minorHAnsi"/>
                <w:b/>
                <w:bCs/>
                <w:sz w:val="19"/>
                <w:szCs w:val="19"/>
              </w:rPr>
            </w:pPr>
            <w:r w:rsidRPr="00047A0E">
              <w:rPr>
                <w:rFonts w:asciiTheme="minorHAnsi" w:hAnsiTheme="minorHAnsi"/>
                <w:b/>
                <w:bCs/>
                <w:noProof/>
                <w:sz w:val="19"/>
                <w:szCs w:val="19"/>
              </w:rPr>
              <mc:AlternateContent>
                <mc:Choice Requires="wps">
                  <w:drawing>
                    <wp:inline distT="0" distB="0" distL="0" distR="0" wp14:anchorId="7FA1AFA5" wp14:editId="78DC4B01">
                      <wp:extent cx="192505" cy="168442"/>
                      <wp:effectExtent l="19050" t="0" r="17145" b="41275"/>
                      <wp:docPr id="22" name="AutoShape 638" descr="P1037C78T8#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505" cy="168442"/>
                              </a:xfrm>
                              <a:prstGeom prst="downArrow">
                                <a:avLst>
                                  <a:gd name="adj1" fmla="val 32944"/>
                                  <a:gd name="adj2" fmla="val 49941"/>
                                </a:avLst>
                              </a:prstGeom>
                              <a:solidFill>
                                <a:srgbClr val="000000"/>
                              </a:solidFill>
                              <a:ln w="1270">
                                <a:solidFill>
                                  <a:srgbClr val="000000"/>
                                </a:solidFill>
                                <a:miter lim="800000"/>
                                <a:headEnd/>
                                <a:tailEnd/>
                              </a:ln>
                            </wps:spPr>
                            <wps:bodyPr rot="0" vert="eaVert" wrap="square" lIns="91440" tIns="45720" rIns="91440" bIns="45720" anchor="t" anchorCtr="0" upright="1">
                              <a:noAutofit/>
                            </wps:bodyPr>
                          </wps:wsp>
                        </a:graphicData>
                      </a:graphic>
                    </wp:inline>
                  </w:drawing>
                </mc:Choice>
                <mc:Fallback>
                  <w:pict>
                    <v:shape w14:anchorId="1A4DFB7F" id="AutoShape 638" o:spid="_x0000_s1026" type="#_x0000_t67" style="width:15.15pt;height: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" adj="10813,7242" fillcolor="black" strokeweight=".1pt">
                      <v:textbox style="layout-flow:vertical-ideographic"/>
                      <w10:anchorlock/>
                    </v:shape>
                  </w:pict>
                </mc:Fallback>
              </mc:AlternateContent>
            </w:r>
          </w:p>
        </w:tc>
        <w:tc>
          <w:tcPr>
            <w:tcW w:w="135" w:type="dxa"/>
            <w:tcBorders>
              <w:left w:val="nil"/>
            </w:tcBorders>
          </w:tcPr>
          <w:p w14:paraId="08AB687B" w14:textId="77777777" w:rsidR="003438A2" w:rsidRPr="00047A0E" w:rsidRDefault="003438A2" w:rsidP="0034083F">
            <w:pPr>
              <w:spacing w:after="160" w:line="259" w:lineRule="auto"/>
              <w:rPr>
                <w:rFonts w:asciiTheme="majorHAnsi" w:hAnsiTheme="majorHAnsi"/>
                <w:sz w:val="19"/>
                <w:szCs w:val="19"/>
              </w:rPr>
            </w:pPr>
          </w:p>
        </w:tc>
        <w:tc>
          <w:tcPr>
            <w:tcW w:w="2683" w:type="dxa"/>
            <w:gridSpan w:val="3"/>
            <w:vAlign w:val="center"/>
          </w:tcPr>
          <w:p w14:paraId="32D3DF12" w14:textId="77777777" w:rsidR="003438A2" w:rsidRPr="00047A0E" w:rsidRDefault="003438A2" w:rsidP="0034083F">
            <w:pPr>
              <w:spacing w:after="160" w:line="259" w:lineRule="auto"/>
              <w:rPr>
                <w:rFonts w:asciiTheme="majorHAnsi" w:hAnsiTheme="majorHAnsi"/>
                <w:b/>
                <w:sz w:val="19"/>
                <w:szCs w:val="19"/>
              </w:rPr>
            </w:pPr>
          </w:p>
        </w:tc>
      </w:tr>
      <w:tr w:rsidR="003438A2" w:rsidRPr="00047A0E" w14:paraId="7C6FC621" w14:textId="77777777" w:rsidTr="0034083F">
        <w:trPr>
          <w:trHeight w:val="340"/>
        </w:trPr>
        <w:tc>
          <w:tcPr>
            <w:tcW w:w="1191" w:type="dxa"/>
            <w:vAlign w:val="center"/>
          </w:tcPr>
          <w:p w14:paraId="72F9743F" w14:textId="77777777" w:rsidR="003438A2" w:rsidRPr="00047A0E" w:rsidRDefault="003438A2" w:rsidP="0034083F">
            <w:pPr>
              <w:keepNext/>
              <w:spacing w:after="0" w:line="259" w:lineRule="auto"/>
              <w:jc w:val="center"/>
              <w:rPr>
                <w:rFonts w:asciiTheme="minorHAnsi" w:hAnsiTheme="minorHAnsi"/>
                <w:b/>
                <w:bCs/>
                <w:sz w:val="19"/>
                <w:szCs w:val="19"/>
              </w:rPr>
            </w:pPr>
          </w:p>
        </w:tc>
        <w:tc>
          <w:tcPr>
            <w:tcW w:w="134" w:type="dxa"/>
            <w:tcBorders>
              <w:right w:val="single" w:sz="18" w:space="0" w:color="C00000"/>
            </w:tcBorders>
          </w:tcPr>
          <w:p w14:paraId="66ED7864" w14:textId="77777777" w:rsidR="003438A2" w:rsidRPr="00047A0E" w:rsidRDefault="003438A2" w:rsidP="0034083F">
            <w:pPr>
              <w:keepNext/>
              <w:spacing w:after="0" w:line="259" w:lineRule="auto"/>
              <w:ind w:left="57" w:right="57"/>
              <w:jc w:val="center"/>
              <w:rPr>
                <w:rFonts w:asciiTheme="minorHAnsi" w:hAnsiTheme="minorHAnsi"/>
                <w:b/>
                <w:bCs/>
                <w:sz w:val="19"/>
                <w:szCs w:val="19"/>
              </w:rPr>
            </w:pPr>
          </w:p>
        </w:tc>
        <w:tc>
          <w:tcPr>
            <w:tcW w:w="7747" w:type="dxa"/>
            <w:tcBorders>
              <w:top w:val="single" w:sz="18" w:space="0" w:color="C00000"/>
              <w:left w:val="single" w:sz="18" w:space="0" w:color="C00000"/>
              <w:bottom w:val="single" w:sz="18" w:space="0" w:color="C00000"/>
              <w:right w:val="single" w:sz="18" w:space="0" w:color="C00000"/>
            </w:tcBorders>
            <w:vAlign w:val="center"/>
          </w:tcPr>
          <w:p w14:paraId="3F30768F" w14:textId="77777777" w:rsidR="003438A2" w:rsidRPr="00047A0E" w:rsidRDefault="003438A2" w:rsidP="0034083F">
            <w:pPr>
              <w:keepNext/>
              <w:spacing w:after="60" w:line="240" w:lineRule="auto"/>
              <w:ind w:left="57" w:right="57"/>
              <w:jc w:val="center"/>
              <w:rPr>
                <w:rFonts w:asciiTheme="minorHAnsi" w:hAnsiTheme="minorHAnsi"/>
                <w:b/>
                <w:bCs/>
                <w:sz w:val="19"/>
                <w:szCs w:val="19"/>
              </w:rPr>
            </w:pPr>
            <w:r>
              <w:rPr>
                <w:rFonts w:asciiTheme="minorHAnsi" w:hAnsiTheme="minorHAnsi"/>
                <w:b/>
                <w:bCs/>
                <w:sz w:val="19"/>
                <w:szCs w:val="19"/>
              </w:rPr>
              <w:t>Export phytosanitary i</w:t>
            </w:r>
            <w:r w:rsidRPr="00047A0E">
              <w:rPr>
                <w:rFonts w:asciiTheme="minorHAnsi" w:hAnsiTheme="minorHAnsi"/>
                <w:b/>
                <w:bCs/>
                <w:sz w:val="19"/>
                <w:szCs w:val="19"/>
              </w:rPr>
              <w:t>nspection</w:t>
            </w:r>
          </w:p>
          <w:p w14:paraId="41412ACF" w14:textId="77777777" w:rsidR="003438A2" w:rsidRPr="00047A0E" w:rsidRDefault="003438A2" w:rsidP="0034083F">
            <w:pPr>
              <w:keepNext/>
              <w:spacing w:after="60" w:line="240" w:lineRule="auto"/>
              <w:ind w:left="57" w:right="57"/>
              <w:jc w:val="center"/>
              <w:rPr>
                <w:rFonts w:asciiTheme="minorHAnsi" w:hAnsiTheme="minorHAnsi"/>
                <w:bCs/>
                <w:sz w:val="24"/>
                <w:szCs w:val="18"/>
              </w:rPr>
            </w:pPr>
            <w:r w:rsidRPr="00047A0E">
              <w:rPr>
                <w:rFonts w:asciiTheme="minorHAnsi" w:hAnsiTheme="minorHAnsi"/>
                <w:bCs/>
                <w:sz w:val="19"/>
                <w:szCs w:val="19"/>
              </w:rPr>
              <w:t xml:space="preserve">Apples are inspected by </w:t>
            </w:r>
            <w:r>
              <w:rPr>
                <w:rFonts w:asciiTheme="minorHAnsi" w:hAnsiTheme="minorHAnsi"/>
                <w:bCs/>
                <w:sz w:val="19"/>
                <w:szCs w:val="19"/>
              </w:rPr>
              <w:t xml:space="preserve">US </w:t>
            </w:r>
            <w:r w:rsidRPr="00047A0E">
              <w:rPr>
                <w:rFonts w:asciiTheme="minorHAnsi" w:hAnsiTheme="minorHAnsi"/>
                <w:bCs/>
                <w:sz w:val="19"/>
                <w:szCs w:val="19"/>
              </w:rPr>
              <w:t xml:space="preserve">regulatory </w:t>
            </w:r>
            <w:r>
              <w:rPr>
                <w:rFonts w:asciiTheme="minorHAnsi" w:hAnsiTheme="minorHAnsi"/>
                <w:bCs/>
                <w:sz w:val="19"/>
                <w:szCs w:val="19"/>
              </w:rPr>
              <w:t>officers</w:t>
            </w:r>
            <w:r w:rsidRPr="00047A0E">
              <w:rPr>
                <w:rFonts w:asciiTheme="minorHAnsi" w:hAnsiTheme="minorHAnsi"/>
                <w:bCs/>
                <w:sz w:val="19"/>
                <w:szCs w:val="19"/>
              </w:rPr>
              <w:t>.</w:t>
            </w:r>
          </w:p>
        </w:tc>
        <w:tc>
          <w:tcPr>
            <w:tcW w:w="135" w:type="dxa"/>
            <w:tcBorders>
              <w:left w:val="single" w:sz="18" w:space="0" w:color="C00000"/>
            </w:tcBorders>
          </w:tcPr>
          <w:p w14:paraId="7C141F63" w14:textId="77777777" w:rsidR="003438A2" w:rsidRPr="00047A0E" w:rsidRDefault="003438A2" w:rsidP="0034083F">
            <w:pPr>
              <w:spacing w:after="160" w:line="259" w:lineRule="auto"/>
              <w:rPr>
                <w:rFonts w:asciiTheme="majorHAnsi" w:hAnsiTheme="majorHAnsi"/>
                <w:sz w:val="19"/>
                <w:szCs w:val="19"/>
              </w:rPr>
            </w:pPr>
          </w:p>
        </w:tc>
        <w:tc>
          <w:tcPr>
            <w:tcW w:w="2683" w:type="dxa"/>
            <w:gridSpan w:val="3"/>
            <w:vAlign w:val="center"/>
          </w:tcPr>
          <w:p w14:paraId="2B051127" w14:textId="77777777" w:rsidR="003438A2" w:rsidRPr="00047A0E" w:rsidRDefault="003438A2" w:rsidP="0034083F">
            <w:pPr>
              <w:spacing w:after="160" w:line="259" w:lineRule="auto"/>
              <w:rPr>
                <w:rFonts w:asciiTheme="majorHAnsi" w:hAnsiTheme="majorHAnsi"/>
                <w:b/>
                <w:sz w:val="19"/>
                <w:szCs w:val="19"/>
              </w:rPr>
            </w:pPr>
          </w:p>
        </w:tc>
      </w:tr>
      <w:tr w:rsidR="003438A2" w:rsidRPr="00047A0E" w14:paraId="1A53EAE7" w14:textId="77777777" w:rsidTr="0034083F">
        <w:trPr>
          <w:trHeight w:val="340"/>
        </w:trPr>
        <w:tc>
          <w:tcPr>
            <w:tcW w:w="1191" w:type="dxa"/>
            <w:vAlign w:val="center"/>
          </w:tcPr>
          <w:p w14:paraId="6710CC55" w14:textId="77777777" w:rsidR="003438A2" w:rsidRPr="00047A0E" w:rsidRDefault="003438A2" w:rsidP="0034083F">
            <w:pPr>
              <w:keepNext/>
              <w:spacing w:after="0" w:line="259" w:lineRule="auto"/>
              <w:jc w:val="center"/>
              <w:rPr>
                <w:rFonts w:asciiTheme="minorHAnsi" w:hAnsiTheme="minorHAnsi"/>
                <w:b/>
                <w:bCs/>
                <w:sz w:val="19"/>
                <w:szCs w:val="19"/>
              </w:rPr>
            </w:pPr>
            <w:r w:rsidRPr="00047A0E">
              <w:rPr>
                <w:rFonts w:asciiTheme="minorHAnsi" w:hAnsiTheme="minorHAnsi"/>
                <w:b/>
                <w:bCs/>
                <w:noProof/>
                <w:sz w:val="19"/>
                <w:szCs w:val="19"/>
              </w:rPr>
              <mc:AlternateContent>
                <mc:Choice Requires="wps">
                  <w:drawing>
                    <wp:anchor distT="0" distB="0" distL="114300" distR="114300" simplePos="0" relativeHeight="251662336" behindDoc="0" locked="0" layoutInCell="1" allowOverlap="1" wp14:anchorId="363669EA" wp14:editId="6089F5EC">
                      <wp:simplePos x="0" y="0"/>
                      <wp:positionH relativeFrom="column">
                        <wp:posOffset>-35560</wp:posOffset>
                      </wp:positionH>
                      <wp:positionV relativeFrom="paragraph">
                        <wp:posOffset>55880</wp:posOffset>
                      </wp:positionV>
                      <wp:extent cx="6120130" cy="0"/>
                      <wp:effectExtent l="7620" t="6350" r="6350" b="12700"/>
                      <wp:wrapNone/>
                      <wp:docPr id="15" name="AutoShap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87D9C4" id="AutoShape 633" o:spid="_x0000_s1026" type="#_x0000_t32" style="position:absolute;margin-left:-2.8pt;margin-top:4.4pt;width:481.9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">
                      <v:stroke dashstyle="dash"/>
                    </v:shape>
                  </w:pict>
                </mc:Fallback>
              </mc:AlternateContent>
            </w:r>
          </w:p>
        </w:tc>
        <w:tc>
          <w:tcPr>
            <w:tcW w:w="134" w:type="dxa"/>
          </w:tcPr>
          <w:p w14:paraId="0A7BCBE6" w14:textId="77777777" w:rsidR="003438A2" w:rsidRPr="00047A0E" w:rsidRDefault="003438A2" w:rsidP="0034083F">
            <w:pPr>
              <w:keepNext/>
              <w:spacing w:after="0" w:line="259" w:lineRule="auto"/>
              <w:ind w:left="57" w:right="57"/>
              <w:jc w:val="center"/>
              <w:rPr>
                <w:rFonts w:asciiTheme="minorHAnsi" w:hAnsiTheme="minorHAnsi"/>
                <w:b/>
                <w:bCs/>
                <w:sz w:val="19"/>
                <w:szCs w:val="19"/>
              </w:rPr>
            </w:pPr>
          </w:p>
        </w:tc>
        <w:tc>
          <w:tcPr>
            <w:tcW w:w="7747" w:type="dxa"/>
            <w:tcBorders>
              <w:top w:val="single" w:sz="18" w:space="0" w:color="C00000"/>
              <w:bottom w:val="single" w:sz="18" w:space="0" w:color="C00000"/>
            </w:tcBorders>
            <w:vAlign w:val="center"/>
          </w:tcPr>
          <w:p w14:paraId="4A49E310" w14:textId="77777777" w:rsidR="003438A2" w:rsidRPr="00047A0E" w:rsidRDefault="003438A2" w:rsidP="0034083F">
            <w:pPr>
              <w:keepNext/>
              <w:spacing w:after="0" w:line="259" w:lineRule="auto"/>
              <w:ind w:left="57" w:right="57"/>
              <w:jc w:val="center"/>
              <w:rPr>
                <w:rFonts w:asciiTheme="minorHAnsi" w:hAnsiTheme="minorHAnsi"/>
                <w:b/>
                <w:bCs/>
                <w:noProof/>
                <w:sz w:val="19"/>
                <w:szCs w:val="19"/>
              </w:rPr>
            </w:pPr>
            <w:r w:rsidRPr="00047A0E">
              <w:rPr>
                <w:rFonts w:asciiTheme="minorHAnsi" w:hAnsiTheme="minorHAnsi"/>
                <w:b/>
                <w:bCs/>
                <w:noProof/>
                <w:sz w:val="19"/>
                <w:szCs w:val="19"/>
              </w:rPr>
              <mc:AlternateContent>
                <mc:Choice Requires="wps">
                  <w:drawing>
                    <wp:inline distT="0" distB="0" distL="0" distR="0" wp14:anchorId="27AC3641" wp14:editId="14AA1516">
                      <wp:extent cx="192505" cy="168442"/>
                      <wp:effectExtent l="19050" t="0" r="17145" b="41275"/>
                      <wp:docPr id="28" name="AutoShape 638" descr="P1050C88T8#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505" cy="168442"/>
                              </a:xfrm>
                              <a:prstGeom prst="downArrow">
                                <a:avLst>
                                  <a:gd name="adj1" fmla="val 32944"/>
                                  <a:gd name="adj2" fmla="val 49941"/>
                                </a:avLst>
                              </a:prstGeom>
                              <a:solidFill>
                                <a:srgbClr val="000000"/>
                              </a:solidFill>
                              <a:ln w="1270">
                                <a:solidFill>
                                  <a:srgbClr val="000000"/>
                                </a:solidFill>
                                <a:miter lim="800000"/>
                                <a:headEnd/>
                                <a:tailEnd/>
                              </a:ln>
                            </wps:spPr>
                            <wps:bodyPr rot="0" vert="eaVert" wrap="square" lIns="91440" tIns="45720" rIns="91440" bIns="45720" anchor="t" anchorCtr="0" upright="1">
                              <a:noAutofit/>
                            </wps:bodyPr>
                          </wps:wsp>
                        </a:graphicData>
                      </a:graphic>
                    </wp:inline>
                  </w:drawing>
                </mc:Choice>
                <mc:Fallback>
                  <w:pict>
                    <v:shape w14:anchorId="06A74619" id="AutoShape 638" o:spid="_x0000_s1026" type="#_x0000_t67" style="width:15.15pt;height: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" adj="10813,7242" fillcolor="black" strokeweight=".1pt">
                      <v:textbox style="layout-flow:vertical-ideographic"/>
                      <w10:anchorlock/>
                    </v:shape>
                  </w:pict>
                </mc:Fallback>
              </mc:AlternateContent>
            </w:r>
          </w:p>
        </w:tc>
        <w:tc>
          <w:tcPr>
            <w:tcW w:w="135" w:type="dxa"/>
            <w:tcBorders>
              <w:left w:val="nil"/>
            </w:tcBorders>
          </w:tcPr>
          <w:p w14:paraId="0F98B29C" w14:textId="77777777" w:rsidR="003438A2" w:rsidRPr="00047A0E" w:rsidRDefault="003438A2" w:rsidP="0034083F">
            <w:pPr>
              <w:spacing w:after="160" w:line="259" w:lineRule="auto"/>
              <w:rPr>
                <w:rFonts w:asciiTheme="majorHAnsi" w:hAnsiTheme="majorHAnsi"/>
                <w:sz w:val="19"/>
                <w:szCs w:val="19"/>
              </w:rPr>
            </w:pPr>
          </w:p>
        </w:tc>
        <w:tc>
          <w:tcPr>
            <w:tcW w:w="2683" w:type="dxa"/>
            <w:gridSpan w:val="3"/>
            <w:vAlign w:val="center"/>
          </w:tcPr>
          <w:p w14:paraId="7008BD52" w14:textId="77777777" w:rsidR="003438A2" w:rsidRPr="00047A0E" w:rsidRDefault="003438A2" w:rsidP="0034083F">
            <w:pPr>
              <w:spacing w:after="160" w:line="259" w:lineRule="auto"/>
              <w:rPr>
                <w:rFonts w:asciiTheme="majorHAnsi" w:hAnsiTheme="majorHAnsi"/>
                <w:b/>
                <w:sz w:val="19"/>
                <w:szCs w:val="19"/>
              </w:rPr>
            </w:pPr>
          </w:p>
        </w:tc>
      </w:tr>
      <w:tr w:rsidR="003438A2" w:rsidRPr="00047A0E" w14:paraId="68474AB3" w14:textId="77777777" w:rsidTr="0034083F">
        <w:trPr>
          <w:trHeight w:val="840"/>
        </w:trPr>
        <w:tc>
          <w:tcPr>
            <w:tcW w:w="1191" w:type="dxa"/>
            <w:vAlign w:val="center"/>
          </w:tcPr>
          <w:p w14:paraId="206759FD" w14:textId="77777777" w:rsidR="003438A2" w:rsidRPr="00047A0E" w:rsidRDefault="003438A2" w:rsidP="0034083F">
            <w:pPr>
              <w:keepNext/>
              <w:spacing w:after="0" w:line="259" w:lineRule="auto"/>
              <w:jc w:val="center"/>
              <w:rPr>
                <w:rFonts w:asciiTheme="minorHAnsi" w:hAnsiTheme="minorHAnsi"/>
                <w:b/>
                <w:bCs/>
                <w:sz w:val="19"/>
                <w:szCs w:val="19"/>
              </w:rPr>
            </w:pPr>
          </w:p>
        </w:tc>
        <w:tc>
          <w:tcPr>
            <w:tcW w:w="134" w:type="dxa"/>
            <w:tcBorders>
              <w:right w:val="single" w:sz="18" w:space="0" w:color="C00000"/>
            </w:tcBorders>
          </w:tcPr>
          <w:p w14:paraId="37F40FFC" w14:textId="77777777" w:rsidR="003438A2" w:rsidRPr="00047A0E" w:rsidRDefault="003438A2" w:rsidP="0034083F">
            <w:pPr>
              <w:keepNext/>
              <w:spacing w:before="360" w:after="120" w:line="259" w:lineRule="auto"/>
              <w:ind w:left="57" w:right="57"/>
              <w:jc w:val="center"/>
              <w:rPr>
                <w:rFonts w:asciiTheme="minorHAnsi" w:hAnsiTheme="minorHAnsi"/>
                <w:b/>
                <w:bCs/>
                <w:sz w:val="19"/>
                <w:szCs w:val="19"/>
              </w:rPr>
            </w:pPr>
          </w:p>
        </w:tc>
        <w:tc>
          <w:tcPr>
            <w:tcW w:w="7747" w:type="dxa"/>
            <w:tcBorders>
              <w:top w:val="single" w:sz="18" w:space="0" w:color="C00000"/>
              <w:left w:val="single" w:sz="18" w:space="0" w:color="C00000"/>
              <w:bottom w:val="single" w:sz="18" w:space="0" w:color="C00000"/>
              <w:right w:val="single" w:sz="18" w:space="0" w:color="C00000"/>
            </w:tcBorders>
            <w:vAlign w:val="center"/>
          </w:tcPr>
          <w:p w14:paraId="2915FE8E" w14:textId="77777777" w:rsidR="003438A2" w:rsidRPr="00047A0E" w:rsidRDefault="003438A2" w:rsidP="0034083F">
            <w:pPr>
              <w:keepNext/>
              <w:spacing w:after="60" w:line="240" w:lineRule="auto"/>
              <w:ind w:left="57" w:right="57"/>
              <w:jc w:val="center"/>
              <w:rPr>
                <w:rFonts w:asciiTheme="minorHAnsi" w:hAnsiTheme="minorHAnsi"/>
                <w:b/>
                <w:bCs/>
                <w:sz w:val="19"/>
                <w:szCs w:val="19"/>
              </w:rPr>
            </w:pPr>
            <w:r w:rsidRPr="00047A0E">
              <w:rPr>
                <w:rFonts w:asciiTheme="minorHAnsi" w:hAnsiTheme="minorHAnsi"/>
                <w:b/>
                <w:bCs/>
                <w:sz w:val="19"/>
                <w:szCs w:val="19"/>
              </w:rPr>
              <w:t>Freight</w:t>
            </w:r>
          </w:p>
          <w:p w14:paraId="4BD3566A" w14:textId="77777777" w:rsidR="003438A2" w:rsidRPr="00047A0E" w:rsidRDefault="003438A2" w:rsidP="0034083F">
            <w:pPr>
              <w:keepNext/>
              <w:spacing w:after="60" w:line="240" w:lineRule="auto"/>
              <w:ind w:left="57" w:right="57"/>
              <w:jc w:val="center"/>
              <w:rPr>
                <w:rFonts w:asciiTheme="minorHAnsi" w:hAnsiTheme="minorHAnsi"/>
                <w:b/>
                <w:bCs/>
                <w:sz w:val="19"/>
                <w:szCs w:val="19"/>
              </w:rPr>
            </w:pPr>
            <w:r w:rsidRPr="00047A0E">
              <w:rPr>
                <w:rFonts w:asciiTheme="minorHAnsi" w:hAnsiTheme="minorHAnsi"/>
                <w:bCs/>
                <w:sz w:val="19"/>
                <w:szCs w:val="19"/>
              </w:rPr>
              <w:t xml:space="preserve">Apples </w:t>
            </w:r>
            <w:r>
              <w:rPr>
                <w:rFonts w:asciiTheme="minorHAnsi" w:hAnsiTheme="minorHAnsi"/>
                <w:bCs/>
                <w:sz w:val="19"/>
                <w:szCs w:val="19"/>
              </w:rPr>
              <w:t>are</w:t>
            </w:r>
            <w:r w:rsidRPr="00047A0E">
              <w:rPr>
                <w:rFonts w:asciiTheme="minorHAnsi" w:hAnsiTheme="minorHAnsi"/>
                <w:bCs/>
                <w:sz w:val="19"/>
                <w:szCs w:val="19"/>
              </w:rPr>
              <w:t xml:space="preserve"> </w:t>
            </w:r>
            <w:r>
              <w:rPr>
                <w:rFonts w:asciiTheme="minorHAnsi" w:hAnsiTheme="minorHAnsi"/>
                <w:bCs/>
                <w:sz w:val="19"/>
                <w:szCs w:val="19"/>
              </w:rPr>
              <w:t xml:space="preserve">mainly </w:t>
            </w:r>
            <w:r w:rsidRPr="00047A0E">
              <w:rPr>
                <w:rFonts w:asciiTheme="minorHAnsi" w:hAnsiTheme="minorHAnsi"/>
                <w:bCs/>
                <w:sz w:val="19"/>
                <w:szCs w:val="19"/>
              </w:rPr>
              <w:t xml:space="preserve">transported </w:t>
            </w:r>
            <w:r>
              <w:rPr>
                <w:rFonts w:asciiTheme="minorHAnsi" w:hAnsiTheme="minorHAnsi"/>
                <w:bCs/>
                <w:sz w:val="19"/>
                <w:szCs w:val="19"/>
              </w:rPr>
              <w:t xml:space="preserve">at </w:t>
            </w:r>
            <w:r w:rsidRPr="00FD62BA">
              <w:rPr>
                <w:rFonts w:asciiTheme="minorHAnsi" w:hAnsiTheme="minorHAnsi"/>
                <w:bCs/>
                <w:sz w:val="19"/>
                <w:szCs w:val="19"/>
              </w:rPr>
              <w:t xml:space="preserve">cold temperatures </w:t>
            </w:r>
            <w:r>
              <w:rPr>
                <w:rFonts w:asciiTheme="minorHAnsi" w:hAnsiTheme="minorHAnsi"/>
                <w:bCs/>
                <w:sz w:val="19"/>
                <w:szCs w:val="19"/>
              </w:rPr>
              <w:t>by</w:t>
            </w:r>
            <w:r w:rsidRPr="00047A0E">
              <w:rPr>
                <w:rFonts w:asciiTheme="minorHAnsi" w:hAnsiTheme="minorHAnsi"/>
                <w:bCs/>
                <w:sz w:val="19"/>
                <w:szCs w:val="19"/>
              </w:rPr>
              <w:t xml:space="preserve"> sea freight</w:t>
            </w:r>
            <w:r>
              <w:rPr>
                <w:rFonts w:asciiTheme="minorHAnsi" w:hAnsiTheme="minorHAnsi"/>
                <w:bCs/>
                <w:sz w:val="19"/>
                <w:szCs w:val="19"/>
              </w:rPr>
              <w:t>, which takes about 5</w:t>
            </w:r>
            <w:r w:rsidRPr="00047A0E">
              <w:rPr>
                <w:rFonts w:asciiTheme="minorHAnsi" w:hAnsiTheme="minorHAnsi"/>
                <w:bCs/>
                <w:sz w:val="19"/>
                <w:szCs w:val="19"/>
              </w:rPr>
              <w:t xml:space="preserve"> weeks to arrive in Australia.</w:t>
            </w:r>
          </w:p>
        </w:tc>
        <w:tc>
          <w:tcPr>
            <w:tcW w:w="135" w:type="dxa"/>
            <w:tcBorders>
              <w:left w:val="single" w:sz="18" w:space="0" w:color="C00000"/>
            </w:tcBorders>
          </w:tcPr>
          <w:p w14:paraId="05A70FA1" w14:textId="77777777" w:rsidR="003438A2" w:rsidRPr="00047A0E" w:rsidRDefault="003438A2" w:rsidP="0034083F">
            <w:pPr>
              <w:spacing w:after="160" w:line="259" w:lineRule="auto"/>
              <w:rPr>
                <w:rFonts w:asciiTheme="majorHAnsi" w:hAnsiTheme="majorHAnsi"/>
                <w:sz w:val="19"/>
                <w:szCs w:val="19"/>
              </w:rPr>
            </w:pPr>
          </w:p>
        </w:tc>
        <w:tc>
          <w:tcPr>
            <w:tcW w:w="2683" w:type="dxa"/>
            <w:gridSpan w:val="3"/>
            <w:vAlign w:val="center"/>
          </w:tcPr>
          <w:p w14:paraId="750F5546" w14:textId="77777777" w:rsidR="003438A2" w:rsidRPr="00047A0E" w:rsidRDefault="003438A2" w:rsidP="0034083F">
            <w:pPr>
              <w:spacing w:after="160" w:line="259" w:lineRule="auto"/>
              <w:rPr>
                <w:rFonts w:asciiTheme="majorHAnsi" w:hAnsiTheme="majorHAnsi"/>
                <w:b/>
                <w:sz w:val="19"/>
                <w:szCs w:val="19"/>
              </w:rPr>
            </w:pPr>
          </w:p>
        </w:tc>
      </w:tr>
    </w:tbl>
    <w:p w14:paraId="1209A101" w14:textId="77777777" w:rsidR="003438A2" w:rsidRPr="006E671F" w:rsidRDefault="003438A2" w:rsidP="00F843A1">
      <w:pPr>
        <w:pStyle w:val="Heading3"/>
        <w:numPr>
          <w:ilvl w:val="1"/>
          <w:numId w:val="31"/>
        </w:numPr>
      </w:pPr>
      <w:r>
        <w:br w:type="page"/>
      </w:r>
      <w:bookmarkStart w:id="135" w:name="_Toc389741451"/>
      <w:bookmarkStart w:id="136" w:name="_Toc112768999"/>
      <w:r w:rsidRPr="006E671F">
        <w:lastRenderedPageBreak/>
        <w:t>Export capability</w:t>
      </w:r>
      <w:bookmarkEnd w:id="135"/>
      <w:bookmarkEnd w:id="136"/>
    </w:p>
    <w:p w14:paraId="16724D07" w14:textId="77777777" w:rsidR="003438A2" w:rsidRPr="005B7433" w:rsidRDefault="003438A2" w:rsidP="00F843A1">
      <w:pPr>
        <w:pStyle w:val="Heading4"/>
        <w:numPr>
          <w:ilvl w:val="2"/>
          <w:numId w:val="31"/>
        </w:numPr>
        <w:tabs>
          <w:tab w:val="clear" w:pos="1645"/>
          <w:tab w:val="num" w:pos="794"/>
        </w:tabs>
        <w:ind w:left="1786"/>
      </w:pPr>
      <w:r w:rsidRPr="005B7433">
        <w:t>Production statistics</w:t>
      </w:r>
    </w:p>
    <w:p w14:paraId="3A01B8B8" w14:textId="77777777" w:rsidR="003438A2" w:rsidRDefault="003438A2" w:rsidP="001D02E4">
      <w:r w:rsidRPr="0080605D">
        <w:t>Apples are one of the most valuable horticultural crops in the US</w:t>
      </w:r>
      <w:r>
        <w:t>A</w:t>
      </w:r>
      <w:r w:rsidRPr="0080605D">
        <w:t xml:space="preserve">, valued at </w:t>
      </w:r>
      <w:r>
        <w:t>close to</w:t>
      </w:r>
      <w:r w:rsidRPr="0080605D">
        <w:t xml:space="preserve"> US$4</w:t>
      </w:r>
      <w:r>
        <w:t> </w:t>
      </w:r>
      <w:r w:rsidRPr="0080605D">
        <w:t xml:space="preserve">billion per </w:t>
      </w:r>
      <w:r w:rsidRPr="00B17F0B">
        <w:t xml:space="preserve">year according to </w:t>
      </w:r>
      <w:r>
        <w:t>a</w:t>
      </w:r>
      <w:r w:rsidRPr="00B17F0B">
        <w:t>nnual US</w:t>
      </w:r>
      <w:r>
        <w:t>A</w:t>
      </w:r>
      <w:r w:rsidRPr="00B17F0B">
        <w:t xml:space="preserve"> apple crop stat</w:t>
      </w:r>
      <w:r>
        <w:t>istic</w:t>
      </w:r>
      <w:r w:rsidRPr="00B17F0B">
        <w:t xml:space="preserve">s </w:t>
      </w:r>
      <w:r>
        <w:t xml:space="preserve">for </w:t>
      </w:r>
      <w:r w:rsidRPr="00B17F0B">
        <w:t xml:space="preserve">2017 </w:t>
      </w:r>
      <w:r>
        <w:rPr>
          <w:noProof/>
        </w:rPr>
        <w:t>(USDA-NASS 2017a)</w:t>
      </w:r>
      <w:r w:rsidRPr="00B17F0B">
        <w:t>. In the PNW</w:t>
      </w:r>
      <w:r>
        <w:t>-USA</w:t>
      </w:r>
      <w:r w:rsidRPr="00B17F0B">
        <w:t>, total apple production in 201</w:t>
      </w:r>
      <w:r>
        <w:t>9</w:t>
      </w:r>
      <w:r w:rsidRPr="00B17F0B">
        <w:t xml:space="preserve"> was 3.</w:t>
      </w:r>
      <w:r>
        <w:t>52</w:t>
      </w:r>
      <w:r w:rsidRPr="00B17F0B">
        <w:t> million tonnes</w:t>
      </w:r>
      <w:r>
        <w:t xml:space="preserve"> </w:t>
      </w:r>
      <w:r>
        <w:rPr>
          <w:rFonts w:asciiTheme="majorHAnsi" w:hAnsiTheme="majorHAnsi"/>
          <w:noProof/>
        </w:rPr>
        <w:t>(USDA-NASS 2020)</w:t>
      </w:r>
      <w:r w:rsidRPr="00B17F0B">
        <w:t>, of which Washington accounted for approximately 96</w:t>
      </w:r>
      <w:r>
        <w:t>%</w:t>
      </w:r>
      <w:r w:rsidRPr="00B17F0B">
        <w:t xml:space="preserve">. Apple production </w:t>
      </w:r>
      <w:r>
        <w:t xml:space="preserve">data </w:t>
      </w:r>
      <w:r w:rsidRPr="00B17F0B">
        <w:t>for 201</w:t>
      </w:r>
      <w:r>
        <w:t>7</w:t>
      </w:r>
      <w:r w:rsidRPr="00B17F0B">
        <w:t>–201</w:t>
      </w:r>
      <w:r>
        <w:t>9</w:t>
      </w:r>
      <w:r w:rsidRPr="00B17F0B">
        <w:t xml:space="preserve"> in the PNW</w:t>
      </w:r>
      <w:r>
        <w:t>-USA</w:t>
      </w:r>
      <w:r w:rsidRPr="00B17F0B">
        <w:t xml:space="preserve"> </w:t>
      </w:r>
      <w:r>
        <w:t>are</w:t>
      </w:r>
      <w:r w:rsidRPr="00B17F0B">
        <w:t xml:space="preserve"> listed </w:t>
      </w:r>
      <w:r>
        <w:t xml:space="preserve">in </w:t>
      </w:r>
      <w:r>
        <w:fldChar w:fldCharType="begin" w:fldLock="1"/>
      </w:r>
      <w:r>
        <w:instrText xml:space="preserve"> REF _Ref108439683 \h </w:instrText>
      </w:r>
      <w:r>
        <w:fldChar w:fldCharType="separate"/>
      </w:r>
      <w:r>
        <w:t xml:space="preserve">Table </w:t>
      </w:r>
      <w:r>
        <w:rPr>
          <w:noProof/>
        </w:rPr>
        <w:t>3</w:t>
      </w:r>
      <w:r>
        <w:t>.</w:t>
      </w:r>
      <w:r>
        <w:rPr>
          <w:noProof/>
        </w:rPr>
        <w:t>2</w:t>
      </w:r>
      <w:r>
        <w:fldChar w:fldCharType="end"/>
      </w:r>
      <w:r>
        <w:t>. The v</w:t>
      </w:r>
      <w:r w:rsidRPr="00B17F0B">
        <w:t xml:space="preserve">alue of Washington </w:t>
      </w:r>
      <w:r>
        <w:t xml:space="preserve">State </w:t>
      </w:r>
      <w:r w:rsidRPr="00B17F0B">
        <w:t xml:space="preserve">apples sold as fresh or processed product is estimated at about </w:t>
      </w:r>
      <w:r>
        <w:t>US</w:t>
      </w:r>
      <w:r w:rsidRPr="00B17F0B">
        <w:t xml:space="preserve">$2.5 billion </w:t>
      </w:r>
      <w:r>
        <w:t>annually</w:t>
      </w:r>
      <w:r w:rsidRPr="00B17F0B">
        <w:t>.</w:t>
      </w:r>
    </w:p>
    <w:p w14:paraId="6F184701" w14:textId="77777777" w:rsidR="003438A2" w:rsidRPr="00935028" w:rsidRDefault="003438A2" w:rsidP="00DE4A15">
      <w:pPr>
        <w:pStyle w:val="Caption"/>
      </w:pPr>
      <w:bookmarkStart w:id="137" w:name="_Ref108439683"/>
      <w:bookmarkStart w:id="138" w:name="_Toc112770161"/>
      <w:r>
        <w:t xml:space="preserve">Table </w:t>
      </w:r>
      <w:fldSimple w:instr=" STYLEREF 2 \s " w:fldLock="1">
        <w:r>
          <w:rPr>
            <w:noProof/>
          </w:rPr>
          <w:t>3</w:t>
        </w:r>
      </w:fldSimple>
      <w:r>
        <w:t>.</w:t>
      </w:r>
      <w:fldSimple w:instr=" SEQ Table \* ARABIC \s 2 " w:fldLock="1">
        <w:r>
          <w:rPr>
            <w:noProof/>
          </w:rPr>
          <w:t>2</w:t>
        </w:r>
      </w:fldSimple>
      <w:bookmarkEnd w:id="137"/>
      <w:r>
        <w:t xml:space="preserve"> </w:t>
      </w:r>
      <w:r w:rsidRPr="00935028">
        <w:t>PNW Apple production from 201</w:t>
      </w:r>
      <w:r>
        <w:t>7</w:t>
      </w:r>
      <w:r w:rsidRPr="00935028">
        <w:t>–201</w:t>
      </w:r>
      <w:r>
        <w:t>9</w:t>
      </w:r>
      <w:bookmarkEnd w:id="138"/>
    </w:p>
    <w:tbl>
      <w:tblPr>
        <w:tblStyle w:val="TableGrid"/>
        <w:tblW w:w="0" w:type="auto"/>
        <w:tblBorders>
          <w:left w:val="none" w:sz="0" w:space="0" w:color="auto"/>
          <w:right w:val="none" w:sz="0" w:space="0" w:color="auto"/>
          <w:insideH w:val="single" w:sz="4" w:space="0" w:color="BFBFBF"/>
          <w:insideV w:val="none" w:sz="0" w:space="0" w:color="auto"/>
        </w:tblBorders>
        <w:tblLook w:val="04A0" w:firstRow="1" w:lastRow="0" w:firstColumn="1" w:lastColumn="0" w:noHBand="0" w:noVBand="1"/>
      </w:tblPr>
      <w:tblGrid>
        <w:gridCol w:w="2552"/>
        <w:gridCol w:w="1964"/>
        <w:gridCol w:w="2255"/>
        <w:gridCol w:w="2255"/>
      </w:tblGrid>
      <w:tr w:rsidR="003438A2" w14:paraId="2DCCE12D" w14:textId="77777777" w:rsidTr="0034083F">
        <w:trPr>
          <w:cantSplit/>
        </w:trPr>
        <w:tc>
          <w:tcPr>
            <w:tcW w:w="2552" w:type="dxa"/>
            <w:vMerge w:val="restart"/>
          </w:tcPr>
          <w:p w14:paraId="1168DB3D" w14:textId="77777777" w:rsidR="003438A2" w:rsidRDefault="003438A2" w:rsidP="0034083F">
            <w:pPr>
              <w:pStyle w:val="TableHeading"/>
              <w:keepNext w:val="0"/>
            </w:pPr>
            <w:r>
              <w:t>PNW State</w:t>
            </w:r>
          </w:p>
        </w:tc>
        <w:tc>
          <w:tcPr>
            <w:tcW w:w="6474" w:type="dxa"/>
            <w:gridSpan w:val="3"/>
          </w:tcPr>
          <w:p w14:paraId="7EAF7FF5" w14:textId="77777777" w:rsidR="003438A2" w:rsidRDefault="003438A2" w:rsidP="0034083F">
            <w:pPr>
              <w:pStyle w:val="TableHeading"/>
              <w:keepNext w:val="0"/>
              <w:jc w:val="center"/>
            </w:pPr>
            <w:r>
              <w:t>Volume in tonnes per year</w:t>
            </w:r>
          </w:p>
        </w:tc>
      </w:tr>
      <w:tr w:rsidR="003438A2" w14:paraId="4670123E" w14:textId="77777777" w:rsidTr="0034083F">
        <w:trPr>
          <w:cantSplit/>
        </w:trPr>
        <w:tc>
          <w:tcPr>
            <w:tcW w:w="2552" w:type="dxa"/>
            <w:vMerge/>
          </w:tcPr>
          <w:p w14:paraId="27E748E6" w14:textId="77777777" w:rsidR="003438A2" w:rsidRDefault="003438A2" w:rsidP="0034083F">
            <w:pPr>
              <w:pStyle w:val="TableHeading"/>
              <w:keepNext w:val="0"/>
            </w:pPr>
          </w:p>
        </w:tc>
        <w:tc>
          <w:tcPr>
            <w:tcW w:w="1964" w:type="dxa"/>
          </w:tcPr>
          <w:p w14:paraId="6EE47951" w14:textId="77777777" w:rsidR="003438A2" w:rsidRPr="00EF0F87" w:rsidRDefault="003438A2" w:rsidP="0034083F">
            <w:pPr>
              <w:pStyle w:val="TableText"/>
              <w:jc w:val="right"/>
              <w:rPr>
                <w:b/>
                <w:bCs/>
              </w:rPr>
            </w:pPr>
            <w:r w:rsidRPr="00EF0F87">
              <w:rPr>
                <w:b/>
                <w:bCs/>
              </w:rPr>
              <w:t>201</w:t>
            </w:r>
            <w:r>
              <w:rPr>
                <w:b/>
                <w:bCs/>
              </w:rPr>
              <w:t>7</w:t>
            </w:r>
          </w:p>
        </w:tc>
        <w:tc>
          <w:tcPr>
            <w:tcW w:w="2255" w:type="dxa"/>
          </w:tcPr>
          <w:p w14:paraId="4E0F097E" w14:textId="77777777" w:rsidR="003438A2" w:rsidRPr="00EF0F87" w:rsidRDefault="003438A2" w:rsidP="0034083F">
            <w:pPr>
              <w:pStyle w:val="TableText"/>
              <w:jc w:val="right"/>
              <w:rPr>
                <w:b/>
                <w:bCs/>
              </w:rPr>
            </w:pPr>
            <w:r w:rsidRPr="00EF0F87">
              <w:rPr>
                <w:b/>
                <w:bCs/>
              </w:rPr>
              <w:t>201</w:t>
            </w:r>
            <w:r>
              <w:rPr>
                <w:b/>
                <w:bCs/>
              </w:rPr>
              <w:t>8</w:t>
            </w:r>
          </w:p>
        </w:tc>
        <w:tc>
          <w:tcPr>
            <w:tcW w:w="2255" w:type="dxa"/>
          </w:tcPr>
          <w:p w14:paraId="31EC045C" w14:textId="77777777" w:rsidR="003438A2" w:rsidRPr="00EF0F87" w:rsidRDefault="003438A2" w:rsidP="0034083F">
            <w:pPr>
              <w:pStyle w:val="TableText"/>
              <w:jc w:val="right"/>
              <w:rPr>
                <w:b/>
                <w:bCs/>
              </w:rPr>
            </w:pPr>
            <w:r w:rsidRPr="00EF0F87">
              <w:rPr>
                <w:b/>
                <w:bCs/>
              </w:rPr>
              <w:t>20</w:t>
            </w:r>
            <w:r>
              <w:rPr>
                <w:b/>
                <w:bCs/>
              </w:rPr>
              <w:t>19</w:t>
            </w:r>
          </w:p>
        </w:tc>
      </w:tr>
      <w:tr w:rsidR="003438A2" w14:paraId="43FD2F4D" w14:textId="77777777" w:rsidTr="0034083F">
        <w:trPr>
          <w:cantSplit/>
        </w:trPr>
        <w:tc>
          <w:tcPr>
            <w:tcW w:w="2552" w:type="dxa"/>
          </w:tcPr>
          <w:p w14:paraId="54789FAD" w14:textId="77777777" w:rsidR="003438A2" w:rsidRPr="006D2BAB" w:rsidRDefault="003438A2" w:rsidP="0034083F">
            <w:pPr>
              <w:pStyle w:val="TableBullet"/>
              <w:numPr>
                <w:ilvl w:val="0"/>
                <w:numId w:val="0"/>
              </w:numPr>
              <w:ind w:left="284" w:hanging="284"/>
            </w:pPr>
            <w:r w:rsidRPr="006D2BAB">
              <w:t>Idaho</w:t>
            </w:r>
          </w:p>
        </w:tc>
        <w:tc>
          <w:tcPr>
            <w:tcW w:w="1964" w:type="dxa"/>
          </w:tcPr>
          <w:p w14:paraId="329290CE" w14:textId="77777777" w:rsidR="003438A2" w:rsidRPr="00CF0544" w:rsidRDefault="003438A2" w:rsidP="0034083F">
            <w:pPr>
              <w:pStyle w:val="TableText"/>
              <w:jc w:val="right"/>
            </w:pPr>
            <w:r>
              <w:t>21 5</w:t>
            </w:r>
            <w:r w:rsidRPr="00CF0544">
              <w:t>00</w:t>
            </w:r>
          </w:p>
        </w:tc>
        <w:tc>
          <w:tcPr>
            <w:tcW w:w="2255" w:type="dxa"/>
          </w:tcPr>
          <w:p w14:paraId="3BCA0A53" w14:textId="77777777" w:rsidR="003438A2" w:rsidRPr="00CF0544" w:rsidRDefault="003438A2" w:rsidP="0034083F">
            <w:pPr>
              <w:pStyle w:val="TableText"/>
              <w:jc w:val="right"/>
            </w:pPr>
            <w:r w:rsidRPr="00CF0544">
              <w:t>2</w:t>
            </w:r>
            <w:r>
              <w:t>4 494</w:t>
            </w:r>
          </w:p>
        </w:tc>
        <w:tc>
          <w:tcPr>
            <w:tcW w:w="2255" w:type="dxa"/>
          </w:tcPr>
          <w:p w14:paraId="50FAE3AC" w14:textId="77777777" w:rsidR="003438A2" w:rsidRPr="00CF0544" w:rsidRDefault="003438A2" w:rsidP="0034083F">
            <w:pPr>
              <w:pStyle w:val="TableText"/>
              <w:jc w:val="right"/>
            </w:pPr>
            <w:r>
              <w:t>Not recorded</w:t>
            </w:r>
          </w:p>
        </w:tc>
      </w:tr>
      <w:tr w:rsidR="003438A2" w14:paraId="190922E9" w14:textId="77777777" w:rsidTr="0034083F">
        <w:trPr>
          <w:cantSplit/>
        </w:trPr>
        <w:tc>
          <w:tcPr>
            <w:tcW w:w="2552" w:type="dxa"/>
          </w:tcPr>
          <w:p w14:paraId="630C7370" w14:textId="77777777" w:rsidR="003438A2" w:rsidRPr="006D2BAB" w:rsidRDefault="003438A2" w:rsidP="0034083F">
            <w:pPr>
              <w:pStyle w:val="TableBullet"/>
              <w:numPr>
                <w:ilvl w:val="0"/>
                <w:numId w:val="0"/>
              </w:numPr>
              <w:ind w:left="284" w:hanging="284"/>
            </w:pPr>
            <w:r w:rsidRPr="006D2BAB">
              <w:t>Oregon</w:t>
            </w:r>
          </w:p>
        </w:tc>
        <w:tc>
          <w:tcPr>
            <w:tcW w:w="1964" w:type="dxa"/>
          </w:tcPr>
          <w:p w14:paraId="6FB5810D" w14:textId="77777777" w:rsidR="003438A2" w:rsidRPr="00CF0544" w:rsidRDefault="003438A2" w:rsidP="0034083F">
            <w:pPr>
              <w:pStyle w:val="TableText"/>
              <w:jc w:val="right"/>
            </w:pPr>
            <w:r w:rsidRPr="00CF0544">
              <w:t>7</w:t>
            </w:r>
            <w:r>
              <w:t>9 469</w:t>
            </w:r>
          </w:p>
        </w:tc>
        <w:tc>
          <w:tcPr>
            <w:tcW w:w="2255" w:type="dxa"/>
          </w:tcPr>
          <w:p w14:paraId="2124C91C" w14:textId="77777777" w:rsidR="003438A2" w:rsidRPr="00CF0544" w:rsidRDefault="003438A2" w:rsidP="0034083F">
            <w:pPr>
              <w:pStyle w:val="TableText"/>
              <w:jc w:val="right"/>
            </w:pPr>
            <w:r>
              <w:t>77 11</w:t>
            </w:r>
            <w:r w:rsidRPr="00CF0544">
              <w:t>0</w:t>
            </w:r>
          </w:p>
        </w:tc>
        <w:tc>
          <w:tcPr>
            <w:tcW w:w="2255" w:type="dxa"/>
          </w:tcPr>
          <w:p w14:paraId="1B43F48A" w14:textId="77777777" w:rsidR="003438A2" w:rsidRPr="00CF0544" w:rsidRDefault="003438A2" w:rsidP="0034083F">
            <w:pPr>
              <w:pStyle w:val="TableText"/>
              <w:jc w:val="right"/>
            </w:pPr>
            <w:r>
              <w:t>68 40</w:t>
            </w:r>
            <w:r w:rsidRPr="00CF0544">
              <w:t>0</w:t>
            </w:r>
          </w:p>
        </w:tc>
      </w:tr>
      <w:tr w:rsidR="003438A2" w14:paraId="2B0CE6D9" w14:textId="77777777" w:rsidTr="0034083F">
        <w:trPr>
          <w:cantSplit/>
        </w:trPr>
        <w:tc>
          <w:tcPr>
            <w:tcW w:w="2552" w:type="dxa"/>
          </w:tcPr>
          <w:p w14:paraId="0E8CF0C8" w14:textId="77777777" w:rsidR="003438A2" w:rsidRPr="006D2BAB" w:rsidRDefault="003438A2" w:rsidP="0034083F">
            <w:pPr>
              <w:pStyle w:val="TableBullet"/>
              <w:numPr>
                <w:ilvl w:val="0"/>
                <w:numId w:val="0"/>
              </w:numPr>
              <w:ind w:left="284" w:hanging="284"/>
            </w:pPr>
            <w:r w:rsidRPr="006D2BAB">
              <w:t>Washington</w:t>
            </w:r>
          </w:p>
        </w:tc>
        <w:tc>
          <w:tcPr>
            <w:tcW w:w="1964" w:type="dxa"/>
          </w:tcPr>
          <w:p w14:paraId="4FFDDB9B" w14:textId="77777777" w:rsidR="003438A2" w:rsidRPr="00CF0544" w:rsidRDefault="003438A2" w:rsidP="0034083F">
            <w:pPr>
              <w:pStyle w:val="TableText"/>
              <w:jc w:val="right"/>
            </w:pPr>
            <w:r w:rsidRPr="00CF0544">
              <w:t>3</w:t>
            </w:r>
            <w:r>
              <w:t xml:space="preserve"> </w:t>
            </w:r>
            <w:r w:rsidRPr="00CF0544">
              <w:t>4</w:t>
            </w:r>
            <w:r>
              <w:t>01 943</w:t>
            </w:r>
          </w:p>
        </w:tc>
        <w:tc>
          <w:tcPr>
            <w:tcW w:w="2255" w:type="dxa"/>
          </w:tcPr>
          <w:p w14:paraId="58DEB6ED" w14:textId="77777777" w:rsidR="003438A2" w:rsidRPr="00CF0544" w:rsidRDefault="003438A2" w:rsidP="0034083F">
            <w:pPr>
              <w:pStyle w:val="TableText"/>
              <w:jc w:val="right"/>
            </w:pPr>
            <w:r>
              <w:t xml:space="preserve">3 265 </w:t>
            </w:r>
            <w:r w:rsidRPr="00CF0544">
              <w:t>8</w:t>
            </w:r>
            <w:r>
              <w:t>65</w:t>
            </w:r>
          </w:p>
        </w:tc>
        <w:tc>
          <w:tcPr>
            <w:tcW w:w="2255" w:type="dxa"/>
          </w:tcPr>
          <w:p w14:paraId="731C9855" w14:textId="77777777" w:rsidR="003438A2" w:rsidRPr="00CF0544" w:rsidRDefault="003438A2" w:rsidP="0034083F">
            <w:pPr>
              <w:pStyle w:val="TableText"/>
              <w:jc w:val="right"/>
            </w:pPr>
            <w:r w:rsidRPr="00CF0544">
              <w:t>3</w:t>
            </w:r>
            <w:r>
              <w:t xml:space="preserve"> 447 3</w:t>
            </w:r>
            <w:r w:rsidRPr="00CF0544">
              <w:t>00</w:t>
            </w:r>
          </w:p>
        </w:tc>
      </w:tr>
      <w:tr w:rsidR="003438A2" w14:paraId="70577497" w14:textId="77777777" w:rsidTr="0034083F">
        <w:trPr>
          <w:cantSplit/>
        </w:trPr>
        <w:tc>
          <w:tcPr>
            <w:tcW w:w="2552" w:type="dxa"/>
          </w:tcPr>
          <w:p w14:paraId="2900D0F3" w14:textId="77777777" w:rsidR="003438A2" w:rsidRPr="006D2BAB" w:rsidRDefault="003438A2" w:rsidP="0034083F">
            <w:pPr>
              <w:pStyle w:val="TableBullet"/>
              <w:numPr>
                <w:ilvl w:val="0"/>
                <w:numId w:val="0"/>
              </w:numPr>
              <w:ind w:left="284" w:hanging="284"/>
              <w:rPr>
                <w:b/>
              </w:rPr>
            </w:pPr>
            <w:r>
              <w:rPr>
                <w:b/>
              </w:rPr>
              <w:t xml:space="preserve">PNW </w:t>
            </w:r>
            <w:r w:rsidRPr="006D2BAB">
              <w:rPr>
                <w:b/>
              </w:rPr>
              <w:t>Total</w:t>
            </w:r>
          </w:p>
        </w:tc>
        <w:tc>
          <w:tcPr>
            <w:tcW w:w="1964" w:type="dxa"/>
          </w:tcPr>
          <w:p w14:paraId="1F5CC402" w14:textId="77777777" w:rsidR="003438A2" w:rsidRPr="00CF0544" w:rsidRDefault="003438A2" w:rsidP="0034083F">
            <w:pPr>
              <w:pStyle w:val="TableText"/>
              <w:jc w:val="right"/>
              <w:rPr>
                <w:b/>
              </w:rPr>
            </w:pPr>
            <w:r w:rsidRPr="00CF0544">
              <w:rPr>
                <w:b/>
              </w:rPr>
              <w:t>3</w:t>
            </w:r>
            <w:r>
              <w:rPr>
                <w:b/>
              </w:rPr>
              <w:t xml:space="preserve"> </w:t>
            </w:r>
            <w:r w:rsidRPr="00CF0544">
              <w:rPr>
                <w:b/>
              </w:rPr>
              <w:t>5</w:t>
            </w:r>
            <w:r>
              <w:rPr>
                <w:b/>
              </w:rPr>
              <w:t>02 912</w:t>
            </w:r>
          </w:p>
        </w:tc>
        <w:tc>
          <w:tcPr>
            <w:tcW w:w="2255" w:type="dxa"/>
          </w:tcPr>
          <w:p w14:paraId="44D85060" w14:textId="77777777" w:rsidR="003438A2" w:rsidRPr="00CF0544" w:rsidRDefault="003438A2" w:rsidP="0034083F">
            <w:pPr>
              <w:pStyle w:val="TableText"/>
              <w:jc w:val="right"/>
              <w:rPr>
                <w:b/>
              </w:rPr>
            </w:pPr>
            <w:r>
              <w:rPr>
                <w:b/>
              </w:rPr>
              <w:t>3 3</w:t>
            </w:r>
            <w:r w:rsidRPr="00CF0544">
              <w:rPr>
                <w:b/>
              </w:rPr>
              <w:t>67</w:t>
            </w:r>
            <w:r>
              <w:rPr>
                <w:b/>
              </w:rPr>
              <w:t xml:space="preserve"> 469</w:t>
            </w:r>
          </w:p>
        </w:tc>
        <w:tc>
          <w:tcPr>
            <w:tcW w:w="2255" w:type="dxa"/>
          </w:tcPr>
          <w:p w14:paraId="39904FF0" w14:textId="77777777" w:rsidR="003438A2" w:rsidRPr="00CF0544" w:rsidRDefault="003438A2" w:rsidP="0034083F">
            <w:pPr>
              <w:pStyle w:val="TableText"/>
              <w:jc w:val="right"/>
              <w:rPr>
                <w:b/>
              </w:rPr>
            </w:pPr>
            <w:r>
              <w:rPr>
                <w:b/>
              </w:rPr>
              <w:t>3 515 70</w:t>
            </w:r>
            <w:r w:rsidRPr="00CF0544">
              <w:rPr>
                <w:b/>
              </w:rPr>
              <w:t>0</w:t>
            </w:r>
          </w:p>
        </w:tc>
      </w:tr>
    </w:tbl>
    <w:p w14:paraId="6620ACDB" w14:textId="77777777" w:rsidR="003438A2" w:rsidRDefault="003438A2" w:rsidP="001D02E4">
      <w:pPr>
        <w:pStyle w:val="FigureTableNoteSource"/>
        <w:rPr>
          <w:rFonts w:asciiTheme="majorHAnsi" w:hAnsiTheme="majorHAnsi"/>
        </w:rPr>
      </w:pPr>
    </w:p>
    <w:p w14:paraId="0E942BE6" w14:textId="77777777" w:rsidR="003438A2" w:rsidRPr="003D0695" w:rsidRDefault="003438A2" w:rsidP="001D02E4">
      <w:pPr>
        <w:pStyle w:val="FigureTableNoteSource"/>
        <w:rPr>
          <w:rFonts w:asciiTheme="majorHAnsi" w:hAnsiTheme="majorHAnsi"/>
        </w:rPr>
      </w:pPr>
      <w:r w:rsidRPr="00822912">
        <w:rPr>
          <w:rFonts w:asciiTheme="majorHAnsi" w:hAnsiTheme="majorHAnsi"/>
        </w:rPr>
        <w:t xml:space="preserve">Source: USDA National Agricultural Statistics Service 2020 </w:t>
      </w:r>
      <w:r>
        <w:rPr>
          <w:rFonts w:asciiTheme="majorHAnsi" w:hAnsiTheme="majorHAnsi"/>
          <w:noProof/>
        </w:rPr>
        <w:t>(USDA-NASS 2020)</w:t>
      </w:r>
    </w:p>
    <w:p w14:paraId="6564BDF7" w14:textId="77777777" w:rsidR="003438A2" w:rsidRPr="005B7433" w:rsidRDefault="003438A2" w:rsidP="00F843A1">
      <w:pPr>
        <w:pStyle w:val="Heading4"/>
        <w:numPr>
          <w:ilvl w:val="2"/>
          <w:numId w:val="31"/>
        </w:numPr>
        <w:tabs>
          <w:tab w:val="clear" w:pos="1645"/>
          <w:tab w:val="num" w:pos="794"/>
        </w:tabs>
        <w:ind w:left="1786"/>
      </w:pPr>
      <w:r w:rsidRPr="005B7433">
        <w:t>Export statistics</w:t>
      </w:r>
    </w:p>
    <w:p w14:paraId="64D89B66" w14:textId="77777777" w:rsidR="003438A2" w:rsidRPr="00E614C9" w:rsidRDefault="003438A2" w:rsidP="001D02E4">
      <w:r w:rsidRPr="00E614C9">
        <w:t xml:space="preserve">The USA is the world’s third largest apple exporter behind China and the European Union </w:t>
      </w:r>
      <w:bookmarkStart w:id="139" w:name="_Hlk46076903"/>
      <w:r>
        <w:rPr>
          <w:noProof/>
        </w:rPr>
        <w:t>(FAO 2020)</w:t>
      </w:r>
      <w:r w:rsidRPr="00E614C9">
        <w:t xml:space="preserve">. In 2019/20, the USA exported approximately 860,000 tonnes of fresh apple fruit </w:t>
      </w:r>
      <w:r>
        <w:rPr>
          <w:noProof/>
        </w:rPr>
        <w:t>(USDA 2020)</w:t>
      </w:r>
      <w:r w:rsidRPr="00E614C9">
        <w:t xml:space="preserve">. The </w:t>
      </w:r>
      <w:bookmarkEnd w:id="139"/>
      <w:r w:rsidRPr="00E614C9">
        <w:t xml:space="preserve">main export markets were Mexico, Canada, India, the Republic of China (Taiwan) and Hong Kong Special Administrative Region of the People's Republic of China </w:t>
      </w:r>
      <w:r>
        <w:rPr>
          <w:noProof/>
        </w:rPr>
        <w:t>(FAO 2020)</w:t>
      </w:r>
      <w:r w:rsidRPr="00E614C9">
        <w:t xml:space="preserve">. Washington State exports the largest volume of USA apples. In 2017, total apple exports from the USA to various overseas markets were 909,920 tonnes </w:t>
      </w:r>
      <w:r>
        <w:rPr>
          <w:noProof/>
        </w:rPr>
        <w:t>(FAO 2020)</w:t>
      </w:r>
      <w:r w:rsidRPr="00E614C9">
        <w:t>, of which the PNW-USA states contributed 591,448 tonnes.</w:t>
      </w:r>
    </w:p>
    <w:p w14:paraId="64CE7CC2" w14:textId="77777777" w:rsidR="003438A2" w:rsidRPr="00E614C9" w:rsidRDefault="003438A2" w:rsidP="00F843A1">
      <w:pPr>
        <w:pStyle w:val="Heading4"/>
        <w:numPr>
          <w:ilvl w:val="2"/>
          <w:numId w:val="31"/>
        </w:numPr>
        <w:tabs>
          <w:tab w:val="clear" w:pos="1645"/>
          <w:tab w:val="num" w:pos="794"/>
        </w:tabs>
        <w:ind w:left="1786"/>
      </w:pPr>
      <w:r w:rsidRPr="00E614C9">
        <w:t>Export season</w:t>
      </w:r>
    </w:p>
    <w:p w14:paraId="6094FD1C" w14:textId="77777777" w:rsidR="003438A2" w:rsidRPr="00B81F41" w:rsidRDefault="003438A2" w:rsidP="001D02E4">
      <w:r w:rsidRPr="00E614C9">
        <w:t>In the PNW-USA, apples are harvested from August until early November</w:t>
      </w:r>
      <w:r>
        <w:t xml:space="preserve"> </w:t>
      </w:r>
      <w:r>
        <w:rPr>
          <w:noProof/>
        </w:rPr>
        <w:t>(Washington Apple Commission 2019)</w:t>
      </w:r>
      <w:r w:rsidRPr="00B81F41">
        <w:t xml:space="preserve">, depending on cultivar and climate. Because apples can be stored at cold temperatures for long periods, exports may occur throughout the year. </w:t>
      </w:r>
    </w:p>
    <w:bookmarkEnd w:id="72"/>
    <w:bookmarkEnd w:id="73"/>
    <w:bookmarkEnd w:id="74"/>
    <w:bookmarkEnd w:id="75"/>
    <w:bookmarkEnd w:id="76"/>
    <w:bookmarkEnd w:id="77"/>
    <w:p w14:paraId="4EBF04D2" w14:textId="77777777" w:rsidR="003438A2" w:rsidRDefault="003438A2" w:rsidP="00C25EA7">
      <w:pPr>
        <w:pStyle w:val="Heading2"/>
        <w:sectPr w:rsidR="003438A2" w:rsidSect="00E310DC">
          <w:headerReference w:type="even" r:id="rId66"/>
          <w:headerReference w:type="default" r:id="rId67"/>
          <w:headerReference w:type="first" r:id="rId68"/>
          <w:pgSz w:w="11906" w:h="16838"/>
          <w:pgMar w:top="1418" w:right="1418" w:bottom="1418" w:left="1418" w:header="567" w:footer="283" w:gutter="0"/>
          <w:cols w:space="708"/>
          <w:docGrid w:linePitch="360"/>
        </w:sectPr>
      </w:pPr>
    </w:p>
    <w:p w14:paraId="1128CA7A" w14:textId="77777777" w:rsidR="003438A2" w:rsidRPr="00AB2B60" w:rsidRDefault="003438A2" w:rsidP="00C25EA7">
      <w:pPr>
        <w:pStyle w:val="Heading2"/>
      </w:pPr>
      <w:bookmarkStart w:id="140" w:name="_Toc112769000"/>
      <w:r w:rsidRPr="00AB2B60">
        <w:lastRenderedPageBreak/>
        <w:t>Pest risk assessments for quarantine pests</w:t>
      </w:r>
      <w:bookmarkEnd w:id="140"/>
    </w:p>
    <w:p w14:paraId="64EC6A28" w14:textId="77777777" w:rsidR="003438A2" w:rsidRPr="001B17DF" w:rsidRDefault="003438A2" w:rsidP="00C25EA7">
      <w:r w:rsidRPr="001B17DF">
        <w:t>Forty-two potential pests of biosecurity concern for Australia (</w:t>
      </w:r>
      <w:r w:rsidRPr="001B17DF">
        <w:fldChar w:fldCharType="begin" w:fldLock="1"/>
      </w:r>
      <w:r w:rsidRPr="001B17DF">
        <w:instrText xml:space="preserve"> REF _Ref45009151 \h </w:instrText>
      </w:r>
      <w:r>
        <w:instrText xml:space="preserve"> \* MERGEFORMAT </w:instrText>
      </w:r>
      <w:r w:rsidRPr="001B17DF">
        <w:fldChar w:fldCharType="separate"/>
      </w:r>
      <w:r w:rsidRPr="008B06E0">
        <w:t xml:space="preserve">Table </w:t>
      </w:r>
      <w:r>
        <w:rPr>
          <w:noProof/>
        </w:rPr>
        <w:t>4</w:t>
      </w:r>
      <w:r w:rsidRPr="008B06E0">
        <w:rPr>
          <w:noProof/>
        </w:rPr>
        <w:t>.</w:t>
      </w:r>
      <w:r>
        <w:rPr>
          <w:noProof/>
        </w:rPr>
        <w:t>1</w:t>
      </w:r>
      <w:r w:rsidRPr="001B17DF">
        <w:fldChar w:fldCharType="end"/>
      </w:r>
      <w:r w:rsidRPr="001B17DF">
        <w:t xml:space="preserve">) associated with fresh export-quality apple fruit produced in the Pacific Northwest states of the United States of America (PNW-USA) were identified in the pest categorisation process (Appendix A) as requiring further pest risk assessment. This chapter assesses the likelihood of the entry (importation and distribution), establishment and spread of these pests and the economic, including environmental, consequences these pests may cause if they were to enter, establish and spread in Australia. </w:t>
      </w:r>
    </w:p>
    <w:p w14:paraId="5CB17771" w14:textId="77777777" w:rsidR="003438A2" w:rsidRPr="001B17DF" w:rsidRDefault="003438A2" w:rsidP="00C25EA7">
      <w:r w:rsidRPr="001B17DF">
        <w:t>Four pests identified in this assessment have been recorded in some regions of Australia but, due to interstate quarantine regulations and their enforcement, are considered regional quarantine pests. The acronym for the state or territory for which the regional quarantine pest status is considered, such as ‘WA’ (Western Australia), is used to identify these pests. One of these regional quarantine pests is also a regulated article for all Australia and is identified with the acronym RA.</w:t>
      </w:r>
    </w:p>
    <w:p w14:paraId="1F400E02" w14:textId="77777777" w:rsidR="003438A2" w:rsidRDefault="003438A2" w:rsidP="00C25EA7">
      <w:r w:rsidRPr="001B17DF">
        <w:t>All the pest groups considered here have been assessed previously by the department and of the 42 pest species, 33 have been assessed previously. Where appropriate, the outcomes of previous assessments for these pests have been</w:t>
      </w:r>
      <w:r w:rsidRPr="000D095C">
        <w:t xml:space="preserve"> </w:t>
      </w:r>
      <w:r>
        <w:t>adopted for this risk analysis</w:t>
      </w:r>
      <w:r w:rsidRPr="000D095C">
        <w:t>,</w:t>
      </w:r>
      <w:r w:rsidRPr="003A5B91">
        <w:t xml:space="preserve"> unless new information is available that suggests the risk would be different.</w:t>
      </w:r>
      <w:r w:rsidRPr="00E646F4">
        <w:t xml:space="preserve"> </w:t>
      </w:r>
      <w:r w:rsidRPr="0048463D">
        <w:t>The</w:t>
      </w:r>
      <w:r>
        <w:t xml:space="preserve"> acronym ‘</w:t>
      </w:r>
      <w:r w:rsidRPr="0048463D">
        <w:t xml:space="preserve">EP’ is used to identify species assessed previously and for which </w:t>
      </w:r>
      <w:r w:rsidRPr="008B5BD7">
        <w:t xml:space="preserve">import policy already exists. The adoption of outcomes from previous assessments is outlined in Section </w:t>
      </w:r>
      <w:r w:rsidRPr="008B5BD7">
        <w:fldChar w:fldCharType="begin" w:fldLock="1"/>
      </w:r>
      <w:r w:rsidRPr="008B5BD7">
        <w:instrText xml:space="preserve"> REF _Ref523924726 \r \h  \* MERGEFORMAT </w:instrText>
      </w:r>
      <w:r w:rsidRPr="008B5BD7">
        <w:fldChar w:fldCharType="separate"/>
      </w:r>
      <w:r>
        <w:t>2.2.6</w:t>
      </w:r>
      <w:r w:rsidRPr="008B5BD7">
        <w:fldChar w:fldCharType="end"/>
      </w:r>
      <w:r w:rsidRPr="008B5BD7">
        <w:t>.</w:t>
      </w:r>
    </w:p>
    <w:p w14:paraId="7766220A" w14:textId="77777777" w:rsidR="003438A2" w:rsidRDefault="003438A2" w:rsidP="00C25EA7">
      <w:r>
        <w:t xml:space="preserve">The </w:t>
      </w:r>
      <w:r w:rsidRPr="001B17DF">
        <w:t>likelihoods of establishment and of spread of a pest in the pest risk analysis (PRA) area are comparable between assessments regardless of the commodity/country pathway on which the pest is imported into Australia</w:t>
      </w:r>
      <w:r>
        <w:t>, as these likelihoods relate specifically to events that occur in the PRA area. The consequences of a pest are also independent of the importation pathway. For pests that have been assessed previously, the department has also reviewed the latest literature. If there is no new information available that would significantly change the likelihood risk ratings for establishment and for spread, and the consequences the pests may cause, the risk ratings assigned in the previous assessments for these components have been adopted.</w:t>
      </w:r>
    </w:p>
    <w:p w14:paraId="2434C622" w14:textId="77777777" w:rsidR="003438A2" w:rsidRDefault="003438A2" w:rsidP="00C25EA7">
      <w:r>
        <w:t xml:space="preserve">The adoption of the likelihood of distribution of pests that have been assessed previously </w:t>
      </w:r>
      <w:r w:rsidRPr="008754DE">
        <w:t>is considered on a case-by-case basis by comparing factors relevant to the distribution of fresh apple fruit from the PNW-USA with those</w:t>
      </w:r>
      <w:r>
        <w:t xml:space="preserve"> of commodity/country pathways</w:t>
      </w:r>
      <w:r w:rsidRPr="008754DE">
        <w:t xml:space="preserve"> </w:t>
      </w:r>
      <w:r>
        <w:t xml:space="preserve">assessed previously. These factors include the commodity type, </w:t>
      </w:r>
      <w:r w:rsidRPr="00945121">
        <w:rPr>
          <w:color w:val="000000" w:themeColor="text1"/>
        </w:rPr>
        <w:t>the ways the imported produce will be distributed within Australia as a result of the processing, sale or disposal of the imported produce,</w:t>
      </w:r>
      <w:r w:rsidRPr="00945121">
        <w:rPr>
          <w:color w:val="538135" w:themeColor="accent6" w:themeShade="BF"/>
        </w:rPr>
        <w:t xml:space="preserve"> </w:t>
      </w:r>
      <w:r w:rsidRPr="009003B1">
        <w:t xml:space="preserve">and </w:t>
      </w:r>
      <w:r>
        <w:t xml:space="preserve">time of year at which import is anticipated to take place and availability and susceptibility of hosts at that time. After comparing these factors and reviewing the latest literature, </w:t>
      </w:r>
      <w:r w:rsidRPr="008754DE">
        <w:t>previous</w:t>
      </w:r>
      <w:r>
        <w:t>ly determined ratings</w:t>
      </w:r>
      <w:r w:rsidRPr="008754DE">
        <w:t xml:space="preserve"> </w:t>
      </w:r>
      <w:r>
        <w:t>may be</w:t>
      </w:r>
      <w:r w:rsidRPr="008754DE">
        <w:t xml:space="preserve"> adopted </w:t>
      </w:r>
      <w:r>
        <w:t>if</w:t>
      </w:r>
      <w:r w:rsidRPr="008754DE">
        <w:t xml:space="preserve"> the department considers the likelihood of distribution </w:t>
      </w:r>
      <w:r>
        <w:t>for</w:t>
      </w:r>
      <w:r w:rsidRPr="008754DE">
        <w:t xml:space="preserve"> fresh apple fruit from the PNW-USA </w:t>
      </w:r>
      <w:r>
        <w:t>to be comparable to those in previous assessments and there is no new information to suggest that the ratings assigned in the previous assessments have changed.</w:t>
      </w:r>
    </w:p>
    <w:p w14:paraId="17A1BA6E" w14:textId="77777777" w:rsidR="003438A2" w:rsidRDefault="003438A2" w:rsidP="00C25EA7">
      <w:r>
        <w:t xml:space="preserve">The adoption of the likelihood of importation of pests that have been assessed previously is also considered on a case-by-case basis by comparing factors relevant to the importation of </w:t>
      </w:r>
      <w:r w:rsidRPr="008754DE">
        <w:t xml:space="preserve">fresh apple fruit from the PNW-USA </w:t>
      </w:r>
      <w:r>
        <w:t xml:space="preserve">with those of commodity/country pathways assessed previously. These factors include the commodity type, prevalence of the pest, and commercial production </w:t>
      </w:r>
      <w:r>
        <w:lastRenderedPageBreak/>
        <w:t xml:space="preserve">practices in the exporting country/region. After comparing these factors and reviewing the latest literature, </w:t>
      </w:r>
      <w:r w:rsidRPr="008754DE">
        <w:t>previous</w:t>
      </w:r>
      <w:r>
        <w:t>ly determined ratings</w:t>
      </w:r>
      <w:r w:rsidRPr="008754DE">
        <w:t xml:space="preserve"> </w:t>
      </w:r>
      <w:r>
        <w:t>may be</w:t>
      </w:r>
      <w:r w:rsidRPr="008754DE">
        <w:t xml:space="preserve"> adopted </w:t>
      </w:r>
      <w:r>
        <w:t>if</w:t>
      </w:r>
      <w:r w:rsidRPr="008754DE">
        <w:t xml:space="preserve"> the department considers the likelihood </w:t>
      </w:r>
      <w:r w:rsidRPr="001B17DF">
        <w:t>of importation for fresh apple fruit from the PNW-USA to be comparable to those in previous assessments and there is no new</w:t>
      </w:r>
      <w:r>
        <w:t xml:space="preserve"> information to suggest that the ratings assigned in the previous assessments have changed. </w:t>
      </w:r>
    </w:p>
    <w:p w14:paraId="3279CAA7" w14:textId="77777777" w:rsidR="003438A2" w:rsidRPr="009003B1" w:rsidRDefault="003438A2" w:rsidP="00C25EA7">
      <w:r w:rsidRPr="009003B1">
        <w:t xml:space="preserve">The biosecurity risk posed by thrips and the orthotospoviruses they transmit from all countries was previously assessed in the </w:t>
      </w:r>
      <w:r w:rsidRPr="009003B1">
        <w:rPr>
          <w:i/>
        </w:rPr>
        <w:t xml:space="preserve">Final group pest risk analysis for thrips and orthotospoviruses on fresh fruit, vegetable, cut-flower and foliage imports </w:t>
      </w:r>
      <w:r w:rsidRPr="009003B1">
        <w:rPr>
          <w:noProof/>
        </w:rPr>
        <w:t>(DAWR 2017)</w:t>
      </w:r>
      <w:r w:rsidRPr="009003B1">
        <w:t xml:space="preserve">. Similarly, the biosecurity risk posed by mealybugs, and the viruses they transmit, from all countries was previously assessed in the </w:t>
      </w:r>
      <w:r w:rsidRPr="009003B1">
        <w:rPr>
          <w:i/>
          <w:iCs/>
        </w:rPr>
        <w:t>Final group pest risk analysis for mealybugs, and the viruses they transmit</w:t>
      </w:r>
      <w:r w:rsidRPr="009003B1">
        <w:t xml:space="preserve"> </w:t>
      </w:r>
      <w:r w:rsidRPr="009003B1">
        <w:rPr>
          <w:i/>
          <w:iCs/>
        </w:rPr>
        <w:t>on fresh fruit, vegetable, cut-flower and foliage imports</w:t>
      </w:r>
      <w:r w:rsidRPr="009003B1">
        <w:t xml:space="preserve"> </w:t>
      </w:r>
      <w:r w:rsidRPr="009003B1">
        <w:rPr>
          <w:noProof/>
        </w:rPr>
        <w:t>(DAWR 2019)</w:t>
      </w:r>
      <w:r w:rsidRPr="009003B1">
        <w:t xml:space="preserve">. Likewise, the biosecurity risk posed by scale insects, from all countries was previously assessed in the </w:t>
      </w:r>
      <w:r w:rsidRPr="009003B1">
        <w:rPr>
          <w:i/>
        </w:rPr>
        <w:t>Final group pest risk analysis for soft and hard scale insects on fresh fruit, vegetable, cut-flower and foliage imports</w:t>
      </w:r>
      <w:r w:rsidRPr="009003B1">
        <w:t xml:space="preserve"> </w:t>
      </w:r>
      <w:r w:rsidRPr="009003B1">
        <w:rPr>
          <w:iCs/>
        </w:rPr>
        <w:t xml:space="preserve">(scales Group PRA) </w:t>
      </w:r>
      <w:r w:rsidRPr="009003B1">
        <w:rPr>
          <w:noProof/>
        </w:rPr>
        <w:t>(DAWE 2021)</w:t>
      </w:r>
      <w:r w:rsidRPr="009003B1">
        <w:t xml:space="preserve">. These Group PRAs have been applied to this risk analysis for fresh apples from the PNW-USA. </w:t>
      </w:r>
    </w:p>
    <w:p w14:paraId="05604775" w14:textId="77777777" w:rsidR="003438A2" w:rsidRDefault="003438A2" w:rsidP="00C25EA7">
      <w:r w:rsidRPr="009003B1">
        <w:t xml:space="preserve">The acronym ‘GP’ is used to identify species assessed previously in a Group PRA and for which the Group PRA was applied. The application of the Group PRAs to this risk analysis is outlined in Section </w:t>
      </w:r>
      <w:r w:rsidRPr="009003B1">
        <w:fldChar w:fldCharType="begin" w:fldLock="1"/>
      </w:r>
      <w:r w:rsidRPr="009003B1">
        <w:instrText xml:space="preserve"> REF _Ref523924658 \r \h </w:instrText>
      </w:r>
      <w:r>
        <w:instrText xml:space="preserve"> \* MERGEFORMAT </w:instrText>
      </w:r>
      <w:r w:rsidRPr="009003B1">
        <w:fldChar w:fldCharType="separate"/>
      </w:r>
      <w:r>
        <w:t>2.2.7</w:t>
      </w:r>
      <w:r w:rsidRPr="009003B1">
        <w:fldChar w:fldCharType="end"/>
      </w:r>
      <w:r w:rsidRPr="009003B1">
        <w:t>. A summary of assessment from the Group PRA is presented for the relevant quarantine pests and regulated articles in this chapter for convenience.</w:t>
      </w:r>
    </w:p>
    <w:p w14:paraId="59A1FE5D" w14:textId="77777777" w:rsidR="003438A2" w:rsidRDefault="003438A2" w:rsidP="00C25EA7">
      <w:r>
        <w:t xml:space="preserve">A summary of the likelihood, consequence and URE ratings obtained in each pest risk assessment is provided in </w:t>
      </w:r>
      <w:r>
        <w:fldChar w:fldCharType="begin" w:fldLock="1"/>
      </w:r>
      <w:r>
        <w:instrText xml:space="preserve"> REF _Ref45009512 \h </w:instrText>
      </w:r>
      <w:r>
        <w:fldChar w:fldCharType="separate"/>
      </w:r>
      <w:r>
        <w:t xml:space="preserve">Table </w:t>
      </w:r>
      <w:r>
        <w:rPr>
          <w:noProof/>
        </w:rPr>
        <w:t>4</w:t>
      </w:r>
      <w:r>
        <w:t>.</w:t>
      </w:r>
      <w:r>
        <w:rPr>
          <w:noProof/>
        </w:rPr>
        <w:t>8</w:t>
      </w:r>
      <w:r>
        <w:fldChar w:fldCharType="end"/>
      </w:r>
      <w:r>
        <w:t>.</w:t>
      </w:r>
      <w:r>
        <w:br w:type="page"/>
      </w:r>
    </w:p>
    <w:p w14:paraId="36A80BBB" w14:textId="77777777" w:rsidR="003438A2" w:rsidRPr="00FB25EA" w:rsidRDefault="003438A2" w:rsidP="00C25EA7">
      <w:pPr>
        <w:pStyle w:val="Caption"/>
        <w:rPr>
          <w:color w:val="auto"/>
        </w:rPr>
      </w:pPr>
      <w:bookmarkStart w:id="141" w:name="_Ref45009151"/>
      <w:bookmarkStart w:id="142" w:name="_Toc384979284"/>
      <w:bookmarkStart w:id="143" w:name="_Toc389741476"/>
      <w:bookmarkStart w:id="144" w:name="_Toc112770162"/>
      <w:bookmarkStart w:id="145" w:name="_Toc467052039"/>
      <w:r w:rsidRPr="008B06E0">
        <w:rPr>
          <w:color w:val="auto"/>
        </w:rPr>
        <w:lastRenderedPageBreak/>
        <w:t xml:space="preserve">Table </w:t>
      </w:r>
      <w:r w:rsidRPr="008B06E0">
        <w:rPr>
          <w:color w:val="auto"/>
        </w:rPr>
        <w:fldChar w:fldCharType="begin" w:fldLock="1"/>
      </w:r>
      <w:r w:rsidRPr="008B06E0">
        <w:rPr>
          <w:color w:val="auto"/>
        </w:rPr>
        <w:instrText xml:space="preserve"> STYLEREF 2 \s </w:instrText>
      </w:r>
      <w:r w:rsidRPr="008B06E0">
        <w:rPr>
          <w:color w:val="auto"/>
        </w:rPr>
        <w:fldChar w:fldCharType="separate"/>
      </w:r>
      <w:r>
        <w:rPr>
          <w:noProof/>
          <w:color w:val="auto"/>
        </w:rPr>
        <w:t>4</w:t>
      </w:r>
      <w:r w:rsidRPr="008B06E0">
        <w:rPr>
          <w:color w:val="auto"/>
        </w:rPr>
        <w:fldChar w:fldCharType="end"/>
      </w:r>
      <w:r w:rsidRPr="008B06E0">
        <w:rPr>
          <w:color w:val="auto"/>
        </w:rPr>
        <w:t>.</w:t>
      </w:r>
      <w:r w:rsidRPr="008B06E0">
        <w:rPr>
          <w:color w:val="auto"/>
        </w:rPr>
        <w:fldChar w:fldCharType="begin" w:fldLock="1"/>
      </w:r>
      <w:r w:rsidRPr="008B06E0">
        <w:rPr>
          <w:color w:val="auto"/>
        </w:rPr>
        <w:instrText xml:space="preserve"> SEQ Table \* ARABIC \s 2 </w:instrText>
      </w:r>
      <w:r w:rsidRPr="008B06E0">
        <w:rPr>
          <w:color w:val="auto"/>
        </w:rPr>
        <w:fldChar w:fldCharType="separate"/>
      </w:r>
      <w:r>
        <w:rPr>
          <w:noProof/>
          <w:color w:val="auto"/>
        </w:rPr>
        <w:t>1</w:t>
      </w:r>
      <w:r w:rsidRPr="008B06E0">
        <w:rPr>
          <w:color w:val="auto"/>
        </w:rPr>
        <w:fldChar w:fldCharType="end"/>
      </w:r>
      <w:bookmarkEnd w:id="141"/>
      <w:r w:rsidRPr="008B06E0">
        <w:rPr>
          <w:color w:val="auto"/>
        </w:rPr>
        <w:t xml:space="preserve"> Quarantine pests and a regulated </w:t>
      </w:r>
      <w:r w:rsidRPr="00090F56">
        <w:rPr>
          <w:color w:val="auto"/>
        </w:rPr>
        <w:t>article potentially associated with fresh apple fruit from</w:t>
      </w:r>
      <w:bookmarkEnd w:id="142"/>
      <w:bookmarkEnd w:id="143"/>
      <w:r w:rsidRPr="00090F56">
        <w:rPr>
          <w:color w:val="auto"/>
        </w:rPr>
        <w:t xml:space="preserve"> the Pacific Northwest states, USA, and requiring further pest risk assessment</w:t>
      </w:r>
      <w:bookmarkEnd w:id="144"/>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3438A2" w14:paraId="690A3F2E" w14:textId="77777777" w:rsidTr="005F2743">
        <w:tc>
          <w:tcPr>
            <w:tcW w:w="2500" w:type="pct"/>
            <w:tcBorders>
              <w:top w:val="single" w:sz="4" w:space="0" w:color="auto"/>
              <w:bottom w:val="single" w:sz="4" w:space="0" w:color="D9D9D9" w:themeColor="background1" w:themeShade="D9"/>
            </w:tcBorders>
          </w:tcPr>
          <w:p w14:paraId="67D6C585" w14:textId="77777777" w:rsidR="003438A2" w:rsidRPr="008B06E0" w:rsidRDefault="003438A2" w:rsidP="005F2743">
            <w:pPr>
              <w:pStyle w:val="TableHeading"/>
            </w:pPr>
            <w:r w:rsidRPr="008B06E0">
              <w:t>Pest</w:t>
            </w:r>
          </w:p>
        </w:tc>
        <w:tc>
          <w:tcPr>
            <w:tcW w:w="2500" w:type="pct"/>
            <w:tcBorders>
              <w:top w:val="single" w:sz="4" w:space="0" w:color="auto"/>
              <w:bottom w:val="single" w:sz="4" w:space="0" w:color="D9D9D9" w:themeColor="background1" w:themeShade="D9"/>
            </w:tcBorders>
          </w:tcPr>
          <w:p w14:paraId="35646F2F" w14:textId="77777777" w:rsidR="003438A2" w:rsidRDefault="003438A2" w:rsidP="005F2743">
            <w:pPr>
              <w:pStyle w:val="TableHeading"/>
            </w:pPr>
            <w:r w:rsidRPr="008B06E0">
              <w:t>Common name</w:t>
            </w:r>
          </w:p>
        </w:tc>
      </w:tr>
      <w:tr w:rsidR="003438A2" w14:paraId="6C6654FE" w14:textId="77777777" w:rsidTr="005F2743">
        <w:tc>
          <w:tcPr>
            <w:tcW w:w="5000" w:type="pct"/>
            <w:gridSpan w:val="2"/>
            <w:tcBorders>
              <w:top w:val="single" w:sz="4" w:space="0" w:color="D9D9D9" w:themeColor="background1" w:themeShade="D9"/>
              <w:bottom w:val="nil"/>
            </w:tcBorders>
          </w:tcPr>
          <w:p w14:paraId="4926B123" w14:textId="77777777" w:rsidR="003438A2" w:rsidRDefault="003438A2" w:rsidP="005F2743">
            <w:pPr>
              <w:pStyle w:val="TableText"/>
              <w:rPr>
                <w:b/>
                <w:highlight w:val="yellow"/>
              </w:rPr>
            </w:pPr>
            <w:r>
              <w:rPr>
                <w:b/>
              </w:rPr>
              <w:t>Flat mite</w:t>
            </w:r>
            <w:r w:rsidRPr="00820404">
              <w:rPr>
                <w:b/>
              </w:rPr>
              <w:t xml:space="preserve"> [</w:t>
            </w:r>
            <w:r>
              <w:rPr>
                <w:b/>
              </w:rPr>
              <w:t xml:space="preserve">Trombidiformes: </w:t>
            </w:r>
            <w:r w:rsidRPr="00DD7457">
              <w:rPr>
                <w:b/>
              </w:rPr>
              <w:t>Tenuipalpidae</w:t>
            </w:r>
            <w:r w:rsidRPr="00820404">
              <w:rPr>
                <w:b/>
              </w:rPr>
              <w:t>]</w:t>
            </w:r>
          </w:p>
        </w:tc>
      </w:tr>
      <w:tr w:rsidR="003438A2" w14:paraId="76AFCA6E" w14:textId="77777777" w:rsidTr="005F2743">
        <w:tc>
          <w:tcPr>
            <w:tcW w:w="2500" w:type="pct"/>
            <w:tcBorders>
              <w:top w:val="single" w:sz="4" w:space="0" w:color="D9D9D9" w:themeColor="background1" w:themeShade="D9"/>
              <w:bottom w:val="nil"/>
            </w:tcBorders>
          </w:tcPr>
          <w:p w14:paraId="2CD786D7" w14:textId="77777777" w:rsidR="003438A2" w:rsidRPr="006E3DD3" w:rsidRDefault="003438A2" w:rsidP="005F2743">
            <w:pPr>
              <w:pStyle w:val="TableText"/>
            </w:pPr>
            <w:r w:rsidRPr="00820404">
              <w:rPr>
                <w:i/>
                <w:lang w:eastAsia="en-AU"/>
              </w:rPr>
              <w:t xml:space="preserve">Cenopalpus pulcher </w:t>
            </w:r>
            <w:r w:rsidRPr="002776C1">
              <w:rPr>
                <w:lang w:eastAsia="en-AU"/>
              </w:rPr>
              <w:t>(EP)</w:t>
            </w:r>
          </w:p>
        </w:tc>
        <w:tc>
          <w:tcPr>
            <w:tcW w:w="2500" w:type="pct"/>
            <w:tcBorders>
              <w:top w:val="single" w:sz="4" w:space="0" w:color="D9D9D9" w:themeColor="background1" w:themeShade="D9"/>
              <w:bottom w:val="nil"/>
            </w:tcBorders>
          </w:tcPr>
          <w:p w14:paraId="635CB59A" w14:textId="77777777" w:rsidR="003438A2" w:rsidRPr="006E3DD3" w:rsidRDefault="003438A2" w:rsidP="005F2743">
            <w:pPr>
              <w:pStyle w:val="TableText"/>
            </w:pPr>
            <w:r>
              <w:t>flat scarlet mite</w:t>
            </w:r>
          </w:p>
        </w:tc>
      </w:tr>
      <w:tr w:rsidR="003438A2" w14:paraId="0244CF6D" w14:textId="77777777" w:rsidTr="005F2743">
        <w:tc>
          <w:tcPr>
            <w:tcW w:w="5000" w:type="pct"/>
            <w:gridSpan w:val="2"/>
            <w:tcBorders>
              <w:top w:val="single" w:sz="4" w:space="0" w:color="D9D9D9" w:themeColor="background1" w:themeShade="D9"/>
              <w:bottom w:val="nil"/>
            </w:tcBorders>
          </w:tcPr>
          <w:p w14:paraId="50F5D6F8" w14:textId="77777777" w:rsidR="003438A2" w:rsidRPr="006E3DD3" w:rsidRDefault="003438A2" w:rsidP="005F2743">
            <w:pPr>
              <w:pStyle w:val="TableText"/>
            </w:pPr>
            <w:r w:rsidRPr="006E3DD3">
              <w:rPr>
                <w:b/>
              </w:rPr>
              <w:t xml:space="preserve">Spider </w:t>
            </w:r>
            <w:r>
              <w:rPr>
                <w:b/>
              </w:rPr>
              <w:t>m</w:t>
            </w:r>
            <w:r w:rsidRPr="006E3DD3">
              <w:rPr>
                <w:b/>
              </w:rPr>
              <w:t>ites [Trombidiformes: Tetranychidae]</w:t>
            </w:r>
          </w:p>
        </w:tc>
      </w:tr>
      <w:tr w:rsidR="003438A2" w14:paraId="76AD38C4" w14:textId="77777777" w:rsidTr="005F2743">
        <w:tc>
          <w:tcPr>
            <w:tcW w:w="2500" w:type="pct"/>
            <w:tcBorders>
              <w:top w:val="nil"/>
              <w:bottom w:val="nil"/>
            </w:tcBorders>
          </w:tcPr>
          <w:p w14:paraId="24D62838" w14:textId="77777777" w:rsidR="003438A2" w:rsidRPr="006E3DD3" w:rsidRDefault="003438A2" w:rsidP="005F2743">
            <w:pPr>
              <w:pStyle w:val="TableText"/>
            </w:pPr>
            <w:r w:rsidRPr="006E3DD3">
              <w:rPr>
                <w:i/>
              </w:rPr>
              <w:t>Tetranychus mcdanieli</w:t>
            </w:r>
            <w:r w:rsidRPr="006E3DD3">
              <w:t xml:space="preserve"> (EP)</w:t>
            </w:r>
          </w:p>
        </w:tc>
        <w:tc>
          <w:tcPr>
            <w:tcW w:w="2500" w:type="pct"/>
            <w:tcBorders>
              <w:top w:val="nil"/>
              <w:bottom w:val="nil"/>
            </w:tcBorders>
          </w:tcPr>
          <w:p w14:paraId="46D1B8D9" w14:textId="77777777" w:rsidR="003438A2" w:rsidRPr="006E3DD3" w:rsidRDefault="003438A2" w:rsidP="005F2743">
            <w:pPr>
              <w:pStyle w:val="TableText"/>
            </w:pPr>
            <w:r w:rsidRPr="006E3DD3">
              <w:t>McDaniel spider mite</w:t>
            </w:r>
          </w:p>
        </w:tc>
      </w:tr>
      <w:tr w:rsidR="003438A2" w14:paraId="76683273" w14:textId="77777777" w:rsidTr="005F2743">
        <w:tc>
          <w:tcPr>
            <w:tcW w:w="2500" w:type="pct"/>
            <w:tcBorders>
              <w:top w:val="nil"/>
              <w:bottom w:val="nil"/>
            </w:tcBorders>
          </w:tcPr>
          <w:p w14:paraId="6E67B288" w14:textId="77777777" w:rsidR="003438A2" w:rsidRPr="006E3DD3" w:rsidRDefault="003438A2" w:rsidP="005F2743">
            <w:pPr>
              <w:pStyle w:val="TableText"/>
              <w:rPr>
                <w:i/>
              </w:rPr>
            </w:pPr>
            <w:r w:rsidRPr="006E3DD3">
              <w:rPr>
                <w:i/>
              </w:rPr>
              <w:t>Tetranychus pacificus</w:t>
            </w:r>
            <w:r w:rsidRPr="006E3DD3">
              <w:t xml:space="preserve"> (EP)</w:t>
            </w:r>
          </w:p>
        </w:tc>
        <w:tc>
          <w:tcPr>
            <w:tcW w:w="2500" w:type="pct"/>
            <w:tcBorders>
              <w:top w:val="nil"/>
              <w:bottom w:val="nil"/>
            </w:tcBorders>
          </w:tcPr>
          <w:p w14:paraId="1B390B03" w14:textId="77777777" w:rsidR="003438A2" w:rsidRPr="006E3DD3" w:rsidRDefault="003438A2" w:rsidP="005F2743">
            <w:pPr>
              <w:pStyle w:val="TableText"/>
            </w:pPr>
            <w:r w:rsidRPr="006E3DD3">
              <w:t>Pacific spider mite</w:t>
            </w:r>
          </w:p>
        </w:tc>
      </w:tr>
      <w:tr w:rsidR="003438A2" w14:paraId="7D5DE20C" w14:textId="77777777" w:rsidTr="005F2743">
        <w:tc>
          <w:tcPr>
            <w:tcW w:w="2500" w:type="pct"/>
            <w:tcBorders>
              <w:top w:val="nil"/>
              <w:bottom w:val="single" w:sz="4" w:space="0" w:color="D9D9D9" w:themeColor="background1" w:themeShade="D9"/>
            </w:tcBorders>
          </w:tcPr>
          <w:p w14:paraId="1664671B" w14:textId="77777777" w:rsidR="003438A2" w:rsidRPr="006E3DD3" w:rsidRDefault="003438A2" w:rsidP="005F2743">
            <w:pPr>
              <w:pStyle w:val="TableText"/>
              <w:rPr>
                <w:i/>
              </w:rPr>
            </w:pPr>
            <w:r w:rsidRPr="006E3DD3">
              <w:rPr>
                <w:i/>
              </w:rPr>
              <w:t>Tetranychus turkestani</w:t>
            </w:r>
            <w:r w:rsidRPr="006E3DD3">
              <w:t xml:space="preserve"> (EP)</w:t>
            </w:r>
          </w:p>
        </w:tc>
        <w:tc>
          <w:tcPr>
            <w:tcW w:w="2500" w:type="pct"/>
            <w:tcBorders>
              <w:top w:val="nil"/>
              <w:bottom w:val="single" w:sz="4" w:space="0" w:color="D9D9D9" w:themeColor="background1" w:themeShade="D9"/>
            </w:tcBorders>
          </w:tcPr>
          <w:p w14:paraId="24D43E11" w14:textId="77777777" w:rsidR="003438A2" w:rsidRPr="006E3DD3" w:rsidRDefault="003438A2" w:rsidP="005F2743">
            <w:pPr>
              <w:pStyle w:val="TableText"/>
            </w:pPr>
            <w:r>
              <w:t>s</w:t>
            </w:r>
            <w:r w:rsidRPr="006E3DD3">
              <w:t>trawberry spider mite</w:t>
            </w:r>
          </w:p>
        </w:tc>
      </w:tr>
      <w:tr w:rsidR="003438A2" w14:paraId="7C38CCA1" w14:textId="77777777" w:rsidTr="005F2743">
        <w:tc>
          <w:tcPr>
            <w:tcW w:w="5000" w:type="pct"/>
            <w:gridSpan w:val="2"/>
            <w:tcBorders>
              <w:top w:val="single" w:sz="4" w:space="0" w:color="D9D9D9" w:themeColor="background1" w:themeShade="D9"/>
              <w:bottom w:val="nil"/>
            </w:tcBorders>
          </w:tcPr>
          <w:p w14:paraId="15B5D854" w14:textId="77777777" w:rsidR="003438A2" w:rsidRPr="006E3DD3" w:rsidRDefault="003438A2" w:rsidP="005F2743">
            <w:pPr>
              <w:pStyle w:val="TableText"/>
            </w:pPr>
            <w:r w:rsidRPr="006E3DD3">
              <w:rPr>
                <w:b/>
              </w:rPr>
              <w:t>Weevil [Coleoptera: Curculionidae]</w:t>
            </w:r>
          </w:p>
        </w:tc>
      </w:tr>
      <w:tr w:rsidR="003438A2" w14:paraId="3B85F25B" w14:textId="77777777" w:rsidTr="005F2743">
        <w:tc>
          <w:tcPr>
            <w:tcW w:w="2500" w:type="pct"/>
            <w:tcBorders>
              <w:top w:val="nil"/>
              <w:bottom w:val="single" w:sz="4" w:space="0" w:color="D9D9D9" w:themeColor="background1" w:themeShade="D9"/>
            </w:tcBorders>
          </w:tcPr>
          <w:p w14:paraId="2A0F2C95" w14:textId="77777777" w:rsidR="003438A2" w:rsidRPr="006E3DD3" w:rsidRDefault="003438A2" w:rsidP="005F2743">
            <w:pPr>
              <w:pStyle w:val="TableText"/>
            </w:pPr>
            <w:r w:rsidRPr="006E3DD3">
              <w:rPr>
                <w:i/>
              </w:rPr>
              <w:t>Anthonomus quadrigibbus</w:t>
            </w:r>
          </w:p>
        </w:tc>
        <w:tc>
          <w:tcPr>
            <w:tcW w:w="2500" w:type="pct"/>
            <w:tcBorders>
              <w:top w:val="nil"/>
              <w:bottom w:val="single" w:sz="4" w:space="0" w:color="D9D9D9" w:themeColor="background1" w:themeShade="D9"/>
            </w:tcBorders>
          </w:tcPr>
          <w:p w14:paraId="232E1FC8" w14:textId="77777777" w:rsidR="003438A2" w:rsidRPr="006E3DD3" w:rsidRDefault="003438A2" w:rsidP="005F2743">
            <w:pPr>
              <w:pStyle w:val="TableText"/>
            </w:pPr>
            <w:r>
              <w:t>a</w:t>
            </w:r>
            <w:r w:rsidRPr="006E3DD3">
              <w:t>pple curculio</w:t>
            </w:r>
          </w:p>
        </w:tc>
      </w:tr>
      <w:tr w:rsidR="003438A2" w14:paraId="0DBB31DF" w14:textId="77777777" w:rsidTr="005F2743">
        <w:tc>
          <w:tcPr>
            <w:tcW w:w="5000" w:type="pct"/>
            <w:gridSpan w:val="2"/>
            <w:tcBorders>
              <w:top w:val="single" w:sz="4" w:space="0" w:color="D9D9D9" w:themeColor="background1" w:themeShade="D9"/>
              <w:bottom w:val="nil"/>
            </w:tcBorders>
          </w:tcPr>
          <w:p w14:paraId="1CAF5777" w14:textId="77777777" w:rsidR="003438A2" w:rsidRPr="006E3DD3" w:rsidRDefault="003438A2" w:rsidP="005F2743">
            <w:pPr>
              <w:pStyle w:val="TableText"/>
            </w:pPr>
            <w:r>
              <w:rPr>
                <w:b/>
              </w:rPr>
              <w:t xml:space="preserve">Gall midge [Diptera: </w:t>
            </w:r>
            <w:r>
              <w:rPr>
                <w:b/>
                <w:bCs/>
                <w:color w:val="000000"/>
              </w:rPr>
              <w:t>Cecidomyiidae</w:t>
            </w:r>
            <w:r w:rsidRPr="00740077">
              <w:rPr>
                <w:b/>
              </w:rPr>
              <w:t>]</w:t>
            </w:r>
          </w:p>
        </w:tc>
      </w:tr>
      <w:tr w:rsidR="003438A2" w14:paraId="28408C76" w14:textId="77777777" w:rsidTr="005F2743">
        <w:tc>
          <w:tcPr>
            <w:tcW w:w="2500" w:type="pct"/>
            <w:tcBorders>
              <w:top w:val="nil"/>
              <w:bottom w:val="single" w:sz="4" w:space="0" w:color="D9D9D9" w:themeColor="background1" w:themeShade="D9"/>
            </w:tcBorders>
          </w:tcPr>
          <w:p w14:paraId="6174EFFB" w14:textId="77777777" w:rsidR="003438A2" w:rsidRPr="006E3DD3" w:rsidRDefault="003438A2" w:rsidP="005F2743">
            <w:pPr>
              <w:pStyle w:val="TableText"/>
              <w:rPr>
                <w:i/>
              </w:rPr>
            </w:pPr>
            <w:r w:rsidRPr="00614107">
              <w:rPr>
                <w:bCs/>
                <w:i/>
                <w:iCs/>
                <w:lang w:eastAsia="en-AU"/>
              </w:rPr>
              <w:t xml:space="preserve">Dasineura mali </w:t>
            </w:r>
            <w:r w:rsidRPr="002776C1">
              <w:rPr>
                <w:bCs/>
                <w:iCs/>
                <w:lang w:eastAsia="en-AU"/>
              </w:rPr>
              <w:t>(EP)</w:t>
            </w:r>
          </w:p>
        </w:tc>
        <w:tc>
          <w:tcPr>
            <w:tcW w:w="2500" w:type="pct"/>
            <w:tcBorders>
              <w:top w:val="nil"/>
              <w:bottom w:val="single" w:sz="4" w:space="0" w:color="D9D9D9" w:themeColor="background1" w:themeShade="D9"/>
            </w:tcBorders>
          </w:tcPr>
          <w:p w14:paraId="5E276452" w14:textId="77777777" w:rsidR="003438A2" w:rsidRPr="006E3DD3" w:rsidRDefault="003438A2" w:rsidP="005F2743">
            <w:pPr>
              <w:pStyle w:val="TableText"/>
            </w:pPr>
            <w:r>
              <w:t>apple leafcurling midge</w:t>
            </w:r>
          </w:p>
        </w:tc>
      </w:tr>
      <w:tr w:rsidR="003438A2" w14:paraId="2F5A54E4" w14:textId="77777777" w:rsidTr="005F2743">
        <w:tc>
          <w:tcPr>
            <w:tcW w:w="5000" w:type="pct"/>
            <w:gridSpan w:val="2"/>
            <w:tcBorders>
              <w:top w:val="single" w:sz="4" w:space="0" w:color="D9D9D9" w:themeColor="background1" w:themeShade="D9"/>
              <w:bottom w:val="nil"/>
            </w:tcBorders>
          </w:tcPr>
          <w:p w14:paraId="4F594935" w14:textId="77777777" w:rsidR="003438A2" w:rsidRPr="006E3DD3" w:rsidRDefault="003438A2" w:rsidP="005F2743">
            <w:pPr>
              <w:pStyle w:val="TableText"/>
            </w:pPr>
            <w:r w:rsidRPr="006E3DD3">
              <w:rPr>
                <w:b/>
              </w:rPr>
              <w:t>Fruit fl</w:t>
            </w:r>
            <w:r>
              <w:rPr>
                <w:b/>
              </w:rPr>
              <w:t>y</w:t>
            </w:r>
            <w:r w:rsidRPr="006E3DD3">
              <w:rPr>
                <w:b/>
              </w:rPr>
              <w:t xml:space="preserve"> [Diptera: Tephritidae]</w:t>
            </w:r>
          </w:p>
        </w:tc>
      </w:tr>
      <w:tr w:rsidR="003438A2" w14:paraId="485F990C" w14:textId="77777777" w:rsidTr="005F2743">
        <w:tc>
          <w:tcPr>
            <w:tcW w:w="2500" w:type="pct"/>
            <w:tcBorders>
              <w:top w:val="nil"/>
              <w:bottom w:val="single" w:sz="4" w:space="0" w:color="D9D9D9" w:themeColor="background1" w:themeShade="D9"/>
            </w:tcBorders>
          </w:tcPr>
          <w:p w14:paraId="3777721D" w14:textId="77777777" w:rsidR="003438A2" w:rsidRPr="003D49AD" w:rsidRDefault="003438A2" w:rsidP="005F2743">
            <w:pPr>
              <w:pStyle w:val="TableText"/>
              <w:rPr>
                <w:i/>
                <w:vertAlign w:val="superscript"/>
              </w:rPr>
            </w:pPr>
            <w:r w:rsidRPr="003D49AD">
              <w:rPr>
                <w:i/>
              </w:rPr>
              <w:t xml:space="preserve">Rhagoletis pomonella </w:t>
            </w:r>
            <w:r w:rsidRPr="003D49AD">
              <w:t>(EP)</w:t>
            </w:r>
          </w:p>
        </w:tc>
        <w:tc>
          <w:tcPr>
            <w:tcW w:w="2500" w:type="pct"/>
            <w:tcBorders>
              <w:top w:val="nil"/>
              <w:bottom w:val="single" w:sz="4" w:space="0" w:color="D9D9D9" w:themeColor="background1" w:themeShade="D9"/>
            </w:tcBorders>
          </w:tcPr>
          <w:p w14:paraId="7C61A0B7" w14:textId="77777777" w:rsidR="003438A2" w:rsidRPr="003D49AD" w:rsidRDefault="003438A2" w:rsidP="005F2743">
            <w:pPr>
              <w:pStyle w:val="TableText"/>
            </w:pPr>
            <w:r>
              <w:t>a</w:t>
            </w:r>
            <w:r w:rsidRPr="003D49AD">
              <w:t>pple maggot</w:t>
            </w:r>
          </w:p>
        </w:tc>
      </w:tr>
      <w:tr w:rsidR="003438A2" w14:paraId="28AA753D" w14:textId="77777777" w:rsidTr="005F2743">
        <w:tc>
          <w:tcPr>
            <w:tcW w:w="5000" w:type="pct"/>
            <w:gridSpan w:val="2"/>
            <w:tcBorders>
              <w:top w:val="single" w:sz="4" w:space="0" w:color="D9D9D9" w:themeColor="background1" w:themeShade="D9"/>
              <w:bottom w:val="nil"/>
            </w:tcBorders>
          </w:tcPr>
          <w:p w14:paraId="167F31E9" w14:textId="77777777" w:rsidR="003438A2" w:rsidRPr="003D49AD" w:rsidRDefault="003438A2" w:rsidP="005F2743">
            <w:pPr>
              <w:pStyle w:val="TableText"/>
              <w:rPr>
                <w:b/>
              </w:rPr>
            </w:pPr>
            <w:r w:rsidRPr="003D49AD">
              <w:rPr>
                <w:b/>
              </w:rPr>
              <w:t xml:space="preserve">Scale </w:t>
            </w:r>
            <w:r>
              <w:rPr>
                <w:b/>
              </w:rPr>
              <w:t>insect</w:t>
            </w:r>
            <w:r w:rsidRPr="003D49AD">
              <w:rPr>
                <w:b/>
              </w:rPr>
              <w:t xml:space="preserve"> [Hemiptera: Diaspididae]</w:t>
            </w:r>
          </w:p>
        </w:tc>
      </w:tr>
      <w:tr w:rsidR="003438A2" w14:paraId="40FCD694" w14:textId="77777777" w:rsidTr="005F2743">
        <w:tc>
          <w:tcPr>
            <w:tcW w:w="2500" w:type="pct"/>
            <w:tcBorders>
              <w:top w:val="nil"/>
              <w:bottom w:val="single" w:sz="4" w:space="0" w:color="D9D9D9" w:themeColor="background1" w:themeShade="D9"/>
            </w:tcBorders>
          </w:tcPr>
          <w:p w14:paraId="2E60647A" w14:textId="77777777" w:rsidR="003438A2" w:rsidRPr="003D49AD" w:rsidRDefault="003438A2" w:rsidP="005F2743">
            <w:pPr>
              <w:pStyle w:val="TableText"/>
            </w:pPr>
            <w:r w:rsidRPr="003D49AD">
              <w:rPr>
                <w:bCs/>
                <w:i/>
                <w:iCs/>
              </w:rPr>
              <w:t xml:space="preserve">Parlatoria pergandii </w:t>
            </w:r>
            <w:r w:rsidRPr="009003B1">
              <w:rPr>
                <w:bCs/>
                <w:iCs/>
              </w:rPr>
              <w:t>(GP, WA)</w:t>
            </w:r>
          </w:p>
        </w:tc>
        <w:tc>
          <w:tcPr>
            <w:tcW w:w="2500" w:type="pct"/>
            <w:tcBorders>
              <w:top w:val="nil"/>
              <w:bottom w:val="single" w:sz="4" w:space="0" w:color="D9D9D9" w:themeColor="background1" w:themeShade="D9"/>
            </w:tcBorders>
          </w:tcPr>
          <w:p w14:paraId="42FB6274" w14:textId="77777777" w:rsidR="003438A2" w:rsidRPr="003D49AD" w:rsidRDefault="003438A2" w:rsidP="005F2743">
            <w:pPr>
              <w:pStyle w:val="TableText"/>
            </w:pPr>
            <w:r>
              <w:t>c</w:t>
            </w:r>
            <w:r w:rsidRPr="003D49AD">
              <w:t>haff scale</w:t>
            </w:r>
          </w:p>
        </w:tc>
      </w:tr>
      <w:tr w:rsidR="003438A2" w14:paraId="05CB2D14" w14:textId="77777777" w:rsidTr="005F2743">
        <w:tc>
          <w:tcPr>
            <w:tcW w:w="5000" w:type="pct"/>
            <w:gridSpan w:val="2"/>
            <w:tcBorders>
              <w:top w:val="single" w:sz="4" w:space="0" w:color="D9D9D9" w:themeColor="background1" w:themeShade="D9"/>
              <w:bottom w:val="nil"/>
            </w:tcBorders>
          </w:tcPr>
          <w:p w14:paraId="3EC0CED2" w14:textId="77777777" w:rsidR="003438A2" w:rsidRDefault="003438A2" w:rsidP="005F2743">
            <w:pPr>
              <w:pStyle w:val="TableText"/>
              <w:rPr>
                <w:b/>
                <w:highlight w:val="yellow"/>
              </w:rPr>
            </w:pPr>
            <w:r>
              <w:rPr>
                <w:b/>
              </w:rPr>
              <w:t>Lygus bugs</w:t>
            </w:r>
            <w:r w:rsidRPr="007F27A1">
              <w:rPr>
                <w:b/>
              </w:rPr>
              <w:t xml:space="preserve"> [Hemiptera: </w:t>
            </w:r>
            <w:r>
              <w:rPr>
                <w:b/>
              </w:rPr>
              <w:t>Miridae</w:t>
            </w:r>
            <w:r w:rsidRPr="007F27A1">
              <w:rPr>
                <w:b/>
              </w:rPr>
              <w:t>]</w:t>
            </w:r>
          </w:p>
        </w:tc>
      </w:tr>
      <w:tr w:rsidR="003438A2" w14:paraId="235E79A1" w14:textId="77777777" w:rsidTr="005F2743">
        <w:tc>
          <w:tcPr>
            <w:tcW w:w="2500" w:type="pct"/>
            <w:tcBorders>
              <w:top w:val="nil"/>
              <w:bottom w:val="nil"/>
            </w:tcBorders>
          </w:tcPr>
          <w:p w14:paraId="5E8D0320" w14:textId="77777777" w:rsidR="003438A2" w:rsidRDefault="003438A2" w:rsidP="005F2743">
            <w:pPr>
              <w:pStyle w:val="TableText"/>
              <w:rPr>
                <w:b/>
                <w:highlight w:val="yellow"/>
              </w:rPr>
            </w:pPr>
            <w:r w:rsidRPr="00D92EBA">
              <w:rPr>
                <w:i/>
              </w:rPr>
              <w:t>Lygus elisus</w:t>
            </w:r>
            <w:r w:rsidRPr="00D92EBA">
              <w:t xml:space="preserve"> (EP)</w:t>
            </w:r>
          </w:p>
        </w:tc>
        <w:tc>
          <w:tcPr>
            <w:tcW w:w="2500" w:type="pct"/>
            <w:tcBorders>
              <w:top w:val="nil"/>
              <w:bottom w:val="nil"/>
            </w:tcBorders>
          </w:tcPr>
          <w:p w14:paraId="62BDB891" w14:textId="77777777" w:rsidR="003438A2" w:rsidRPr="00946725" w:rsidRDefault="003438A2" w:rsidP="005F2743">
            <w:pPr>
              <w:pStyle w:val="TableText"/>
              <w:rPr>
                <w:szCs w:val="18"/>
              </w:rPr>
            </w:pPr>
            <w:r>
              <w:rPr>
                <w:szCs w:val="18"/>
              </w:rPr>
              <w:t>p</w:t>
            </w:r>
            <w:r w:rsidRPr="00946725">
              <w:rPr>
                <w:szCs w:val="18"/>
              </w:rPr>
              <w:t>ale legume bug</w:t>
            </w:r>
          </w:p>
        </w:tc>
      </w:tr>
      <w:tr w:rsidR="003438A2" w14:paraId="2DC34DAA" w14:textId="77777777" w:rsidTr="005F2743">
        <w:tc>
          <w:tcPr>
            <w:tcW w:w="2500" w:type="pct"/>
            <w:tcBorders>
              <w:top w:val="nil"/>
              <w:bottom w:val="nil"/>
            </w:tcBorders>
          </w:tcPr>
          <w:p w14:paraId="7A6CDEFD" w14:textId="77777777" w:rsidR="003438A2" w:rsidRDefault="003438A2" w:rsidP="005F2743">
            <w:pPr>
              <w:pStyle w:val="TableText"/>
              <w:rPr>
                <w:b/>
                <w:highlight w:val="yellow"/>
              </w:rPr>
            </w:pPr>
            <w:r w:rsidRPr="00D92EBA">
              <w:rPr>
                <w:i/>
              </w:rPr>
              <w:t>Lygus hesperus</w:t>
            </w:r>
            <w:r w:rsidRPr="00D92EBA">
              <w:t xml:space="preserve"> (EP)</w:t>
            </w:r>
          </w:p>
        </w:tc>
        <w:tc>
          <w:tcPr>
            <w:tcW w:w="2500" w:type="pct"/>
            <w:tcBorders>
              <w:top w:val="nil"/>
              <w:bottom w:val="nil"/>
            </w:tcBorders>
          </w:tcPr>
          <w:p w14:paraId="3DB39762" w14:textId="77777777" w:rsidR="003438A2" w:rsidRPr="00946725" w:rsidRDefault="003438A2" w:rsidP="005F2743">
            <w:pPr>
              <w:pStyle w:val="TableText"/>
              <w:rPr>
                <w:szCs w:val="18"/>
              </w:rPr>
            </w:pPr>
            <w:r>
              <w:rPr>
                <w:szCs w:val="18"/>
              </w:rPr>
              <w:t>w</w:t>
            </w:r>
            <w:r w:rsidRPr="00946725">
              <w:rPr>
                <w:szCs w:val="18"/>
              </w:rPr>
              <w:t>estern tarnished plant bug</w:t>
            </w:r>
          </w:p>
        </w:tc>
      </w:tr>
      <w:tr w:rsidR="003438A2" w14:paraId="0BFA3C2B" w14:textId="77777777" w:rsidTr="005F2743">
        <w:tc>
          <w:tcPr>
            <w:tcW w:w="2500" w:type="pct"/>
            <w:tcBorders>
              <w:top w:val="nil"/>
              <w:bottom w:val="single" w:sz="4" w:space="0" w:color="D9D9D9" w:themeColor="background1" w:themeShade="D9"/>
            </w:tcBorders>
          </w:tcPr>
          <w:p w14:paraId="38873C0A" w14:textId="77777777" w:rsidR="003438A2" w:rsidRDefault="003438A2" w:rsidP="005F2743">
            <w:pPr>
              <w:pStyle w:val="TableText"/>
              <w:rPr>
                <w:b/>
                <w:highlight w:val="yellow"/>
              </w:rPr>
            </w:pPr>
            <w:r w:rsidRPr="00D92EBA">
              <w:rPr>
                <w:i/>
              </w:rPr>
              <w:t>Lygus lineolaris</w:t>
            </w:r>
            <w:r w:rsidRPr="00D92EBA">
              <w:t xml:space="preserve"> (EP)</w:t>
            </w:r>
          </w:p>
        </w:tc>
        <w:tc>
          <w:tcPr>
            <w:tcW w:w="2500" w:type="pct"/>
            <w:tcBorders>
              <w:top w:val="nil"/>
              <w:bottom w:val="single" w:sz="4" w:space="0" w:color="D9D9D9" w:themeColor="background1" w:themeShade="D9"/>
            </w:tcBorders>
          </w:tcPr>
          <w:p w14:paraId="371717D6" w14:textId="77777777" w:rsidR="003438A2" w:rsidRPr="00946725" w:rsidRDefault="003438A2" w:rsidP="005F2743">
            <w:pPr>
              <w:pStyle w:val="TableText"/>
              <w:rPr>
                <w:szCs w:val="18"/>
              </w:rPr>
            </w:pPr>
            <w:r>
              <w:rPr>
                <w:szCs w:val="18"/>
              </w:rPr>
              <w:t>t</w:t>
            </w:r>
            <w:r w:rsidRPr="00946725">
              <w:rPr>
                <w:szCs w:val="18"/>
              </w:rPr>
              <w:t>arnished plant bug</w:t>
            </w:r>
          </w:p>
        </w:tc>
      </w:tr>
      <w:tr w:rsidR="003438A2" w14:paraId="35617A10" w14:textId="77777777" w:rsidTr="005F2743">
        <w:tc>
          <w:tcPr>
            <w:tcW w:w="5000" w:type="pct"/>
            <w:gridSpan w:val="2"/>
            <w:tcBorders>
              <w:top w:val="single" w:sz="4" w:space="0" w:color="D9D9D9" w:themeColor="background1" w:themeShade="D9"/>
              <w:bottom w:val="nil"/>
            </w:tcBorders>
          </w:tcPr>
          <w:p w14:paraId="19E305C8" w14:textId="77777777" w:rsidR="003438A2" w:rsidRPr="00E32DC9" w:rsidRDefault="003438A2" w:rsidP="005F2743">
            <w:pPr>
              <w:pStyle w:val="TableText"/>
            </w:pPr>
            <w:r w:rsidRPr="00E32DC9">
              <w:rPr>
                <w:b/>
              </w:rPr>
              <w:t>Mealybugs [Hemiptera: Pseudococcidae]</w:t>
            </w:r>
          </w:p>
        </w:tc>
      </w:tr>
      <w:tr w:rsidR="003438A2" w14:paraId="3EA464F4" w14:textId="77777777" w:rsidTr="005F2743">
        <w:tc>
          <w:tcPr>
            <w:tcW w:w="2500" w:type="pct"/>
            <w:tcBorders>
              <w:top w:val="nil"/>
            </w:tcBorders>
          </w:tcPr>
          <w:p w14:paraId="77947853" w14:textId="77777777" w:rsidR="003438A2" w:rsidRPr="00E32DC9" w:rsidRDefault="003438A2" w:rsidP="005F2743">
            <w:pPr>
              <w:pStyle w:val="TableText"/>
              <w:rPr>
                <w:i/>
              </w:rPr>
            </w:pPr>
            <w:r w:rsidRPr="00E32DC9">
              <w:rPr>
                <w:i/>
              </w:rPr>
              <w:t>Phenacoccus aceris</w:t>
            </w:r>
            <w:r>
              <w:t xml:space="preserve"> (G</w:t>
            </w:r>
            <w:r w:rsidRPr="00E32DC9">
              <w:t>P)</w:t>
            </w:r>
          </w:p>
        </w:tc>
        <w:tc>
          <w:tcPr>
            <w:tcW w:w="2500" w:type="pct"/>
            <w:tcBorders>
              <w:top w:val="nil"/>
            </w:tcBorders>
          </w:tcPr>
          <w:p w14:paraId="15D8F10E" w14:textId="77777777" w:rsidR="003438A2" w:rsidRPr="00E32DC9" w:rsidRDefault="003438A2" w:rsidP="005F2743">
            <w:pPr>
              <w:pStyle w:val="TableText"/>
            </w:pPr>
            <w:r>
              <w:t>a</w:t>
            </w:r>
            <w:r w:rsidRPr="00E32DC9">
              <w:t>pple mealybug</w:t>
            </w:r>
          </w:p>
        </w:tc>
      </w:tr>
      <w:tr w:rsidR="003438A2" w14:paraId="7C5B1A3B" w14:textId="77777777" w:rsidTr="005F2743">
        <w:tc>
          <w:tcPr>
            <w:tcW w:w="2500" w:type="pct"/>
          </w:tcPr>
          <w:p w14:paraId="43C1A754" w14:textId="77777777" w:rsidR="003438A2" w:rsidRPr="00E32DC9" w:rsidRDefault="003438A2" w:rsidP="005F2743">
            <w:pPr>
              <w:pStyle w:val="TableText"/>
              <w:rPr>
                <w:i/>
              </w:rPr>
            </w:pPr>
            <w:r w:rsidRPr="00E32DC9">
              <w:rPr>
                <w:i/>
              </w:rPr>
              <w:t>Pseudococcus maritimus</w:t>
            </w:r>
            <w:r>
              <w:t xml:space="preserve"> (G</w:t>
            </w:r>
            <w:r w:rsidRPr="00E32DC9">
              <w:t>P)</w:t>
            </w:r>
          </w:p>
        </w:tc>
        <w:tc>
          <w:tcPr>
            <w:tcW w:w="2500" w:type="pct"/>
          </w:tcPr>
          <w:p w14:paraId="773D0E50" w14:textId="77777777" w:rsidR="003438A2" w:rsidRPr="00E32DC9" w:rsidRDefault="003438A2" w:rsidP="005F2743">
            <w:pPr>
              <w:pStyle w:val="TableText"/>
            </w:pPr>
            <w:r>
              <w:t>g</w:t>
            </w:r>
            <w:r w:rsidRPr="00E32DC9">
              <w:t>rape mealybug</w:t>
            </w:r>
          </w:p>
        </w:tc>
      </w:tr>
      <w:tr w:rsidR="003438A2" w14:paraId="79E0592B" w14:textId="77777777" w:rsidTr="005F2743">
        <w:tc>
          <w:tcPr>
            <w:tcW w:w="5000" w:type="pct"/>
            <w:gridSpan w:val="2"/>
            <w:tcBorders>
              <w:top w:val="single" w:sz="4" w:space="0" w:color="D9D9D9" w:themeColor="background1" w:themeShade="D9"/>
              <w:bottom w:val="nil"/>
            </w:tcBorders>
          </w:tcPr>
          <w:p w14:paraId="4E0A3D59" w14:textId="77777777" w:rsidR="003438A2" w:rsidRDefault="003438A2" w:rsidP="005F2743">
            <w:pPr>
              <w:pStyle w:val="TableText"/>
              <w:rPr>
                <w:b/>
                <w:highlight w:val="yellow"/>
              </w:rPr>
            </w:pPr>
            <w:r>
              <w:rPr>
                <w:b/>
              </w:rPr>
              <w:t xml:space="preserve">Cutworm [Lepidoptera: </w:t>
            </w:r>
            <w:r w:rsidRPr="002A2B13">
              <w:rPr>
                <w:b/>
              </w:rPr>
              <w:t>Noctuidae]</w:t>
            </w:r>
          </w:p>
        </w:tc>
      </w:tr>
      <w:tr w:rsidR="003438A2" w14:paraId="0C831934" w14:textId="77777777" w:rsidTr="005F2743">
        <w:tc>
          <w:tcPr>
            <w:tcW w:w="2500" w:type="pct"/>
            <w:tcBorders>
              <w:top w:val="nil"/>
              <w:bottom w:val="nil"/>
            </w:tcBorders>
          </w:tcPr>
          <w:p w14:paraId="2EC9BEA8" w14:textId="77777777" w:rsidR="003438A2" w:rsidRPr="00974F65" w:rsidRDefault="003438A2" w:rsidP="005F2743">
            <w:pPr>
              <w:pStyle w:val="TableText"/>
              <w:rPr>
                <w:b/>
              </w:rPr>
            </w:pPr>
            <w:r w:rsidRPr="00974F65">
              <w:rPr>
                <w:i/>
              </w:rPr>
              <w:t>Lacanobia subjuncta</w:t>
            </w:r>
          </w:p>
        </w:tc>
        <w:tc>
          <w:tcPr>
            <w:tcW w:w="2500" w:type="pct"/>
            <w:tcBorders>
              <w:top w:val="nil"/>
              <w:bottom w:val="nil"/>
            </w:tcBorders>
          </w:tcPr>
          <w:p w14:paraId="0CA40C93" w14:textId="77777777" w:rsidR="003438A2" w:rsidRPr="00974F65" w:rsidRDefault="003438A2" w:rsidP="005F2743">
            <w:pPr>
              <w:pStyle w:val="TableText"/>
            </w:pPr>
            <w:r w:rsidRPr="00525843">
              <w:t>Lacanobia</w:t>
            </w:r>
            <w:r>
              <w:t xml:space="preserve"> fruitworm</w:t>
            </w:r>
          </w:p>
        </w:tc>
      </w:tr>
      <w:tr w:rsidR="003438A2" w14:paraId="420B7325" w14:textId="77777777" w:rsidTr="005F2743">
        <w:tc>
          <w:tcPr>
            <w:tcW w:w="5000" w:type="pct"/>
            <w:gridSpan w:val="2"/>
            <w:tcBorders>
              <w:top w:val="single" w:sz="4" w:space="0" w:color="D9D9D9" w:themeColor="background1" w:themeShade="D9"/>
              <w:bottom w:val="nil"/>
            </w:tcBorders>
          </w:tcPr>
          <w:p w14:paraId="1C6AA367" w14:textId="77777777" w:rsidR="003438A2" w:rsidRDefault="003438A2" w:rsidP="005F2743">
            <w:pPr>
              <w:pStyle w:val="TableText"/>
              <w:rPr>
                <w:highlight w:val="yellow"/>
              </w:rPr>
            </w:pPr>
            <w:r>
              <w:rPr>
                <w:b/>
              </w:rPr>
              <w:t>Leafroller and fruit m</w:t>
            </w:r>
            <w:r w:rsidRPr="006A4507">
              <w:rPr>
                <w:b/>
              </w:rPr>
              <w:t>oths [Lepidoptera</w:t>
            </w:r>
            <w:r>
              <w:rPr>
                <w:b/>
              </w:rPr>
              <w:t>: Tortricidae</w:t>
            </w:r>
            <w:r w:rsidRPr="006A4507">
              <w:rPr>
                <w:b/>
              </w:rPr>
              <w:t>]</w:t>
            </w:r>
          </w:p>
        </w:tc>
      </w:tr>
      <w:tr w:rsidR="003438A2" w14:paraId="29D57968" w14:textId="77777777" w:rsidTr="005F2743">
        <w:tc>
          <w:tcPr>
            <w:tcW w:w="2500" w:type="pct"/>
            <w:tcBorders>
              <w:top w:val="nil"/>
              <w:bottom w:val="nil"/>
            </w:tcBorders>
          </w:tcPr>
          <w:p w14:paraId="4C4D2C48" w14:textId="77777777" w:rsidR="003438A2" w:rsidRDefault="003438A2" w:rsidP="005F2743">
            <w:pPr>
              <w:pStyle w:val="TableText"/>
              <w:rPr>
                <w:i/>
                <w:highlight w:val="yellow"/>
              </w:rPr>
            </w:pPr>
            <w:r w:rsidRPr="00114C68">
              <w:rPr>
                <w:i/>
                <w:iCs/>
              </w:rPr>
              <w:t>Archips argyrospila</w:t>
            </w:r>
            <w:r>
              <w:rPr>
                <w:i/>
                <w:iCs/>
              </w:rPr>
              <w:t xml:space="preserve"> </w:t>
            </w:r>
            <w:r>
              <w:t>(EP)</w:t>
            </w:r>
          </w:p>
        </w:tc>
        <w:tc>
          <w:tcPr>
            <w:tcW w:w="2500" w:type="pct"/>
            <w:tcBorders>
              <w:top w:val="nil"/>
              <w:bottom w:val="nil"/>
            </w:tcBorders>
          </w:tcPr>
          <w:p w14:paraId="47A897D4" w14:textId="77777777" w:rsidR="003438A2" w:rsidRPr="00270A60" w:rsidRDefault="003438A2" w:rsidP="005F2743">
            <w:pPr>
              <w:pStyle w:val="TableText"/>
            </w:pPr>
            <w:r>
              <w:t>f</w:t>
            </w:r>
            <w:r w:rsidRPr="00270A60">
              <w:t>ruit tree leafroller moth</w:t>
            </w:r>
          </w:p>
        </w:tc>
      </w:tr>
      <w:tr w:rsidR="003438A2" w14:paraId="0E42D3BD" w14:textId="77777777" w:rsidTr="005F2743">
        <w:tc>
          <w:tcPr>
            <w:tcW w:w="2500" w:type="pct"/>
            <w:tcBorders>
              <w:top w:val="nil"/>
              <w:bottom w:val="nil"/>
            </w:tcBorders>
          </w:tcPr>
          <w:p w14:paraId="7D9F5901" w14:textId="77777777" w:rsidR="003438A2" w:rsidRDefault="003438A2" w:rsidP="005F2743">
            <w:pPr>
              <w:pStyle w:val="TableText"/>
              <w:rPr>
                <w:i/>
                <w:highlight w:val="yellow"/>
                <w:vertAlign w:val="superscript"/>
              </w:rPr>
            </w:pPr>
            <w:r w:rsidRPr="00114C68">
              <w:rPr>
                <w:i/>
                <w:iCs/>
              </w:rPr>
              <w:t>Archips podana</w:t>
            </w:r>
            <w:r>
              <w:rPr>
                <w:i/>
                <w:iCs/>
              </w:rPr>
              <w:t xml:space="preserve"> </w:t>
            </w:r>
            <w:r>
              <w:t>(EP)</w:t>
            </w:r>
          </w:p>
        </w:tc>
        <w:tc>
          <w:tcPr>
            <w:tcW w:w="2500" w:type="pct"/>
            <w:tcBorders>
              <w:top w:val="nil"/>
              <w:bottom w:val="nil"/>
            </w:tcBorders>
          </w:tcPr>
          <w:p w14:paraId="65266D7A" w14:textId="77777777" w:rsidR="003438A2" w:rsidRPr="00270A60" w:rsidRDefault="003438A2" w:rsidP="005F2743">
            <w:pPr>
              <w:pStyle w:val="TableText"/>
            </w:pPr>
            <w:r>
              <w:t>l</w:t>
            </w:r>
            <w:r w:rsidRPr="00270A60">
              <w:t>arge fruit tree tort</w:t>
            </w:r>
            <w:r>
              <w:t>r</w:t>
            </w:r>
            <w:r w:rsidRPr="00270A60">
              <w:t>ix</w:t>
            </w:r>
          </w:p>
        </w:tc>
      </w:tr>
      <w:tr w:rsidR="003438A2" w14:paraId="2844ADE9" w14:textId="77777777" w:rsidTr="005F2743">
        <w:tc>
          <w:tcPr>
            <w:tcW w:w="2500" w:type="pct"/>
            <w:tcBorders>
              <w:top w:val="nil"/>
              <w:bottom w:val="nil"/>
            </w:tcBorders>
          </w:tcPr>
          <w:p w14:paraId="34C1BB26" w14:textId="77777777" w:rsidR="003438A2" w:rsidRDefault="003438A2" w:rsidP="005F2743">
            <w:pPr>
              <w:pStyle w:val="TableText"/>
              <w:rPr>
                <w:i/>
                <w:highlight w:val="yellow"/>
              </w:rPr>
            </w:pPr>
            <w:r w:rsidRPr="00114C68">
              <w:rPr>
                <w:i/>
                <w:iCs/>
              </w:rPr>
              <w:t>Archips rosana</w:t>
            </w:r>
            <w:r>
              <w:rPr>
                <w:i/>
                <w:iCs/>
              </w:rPr>
              <w:t xml:space="preserve"> </w:t>
            </w:r>
            <w:r>
              <w:t>(EP)</w:t>
            </w:r>
          </w:p>
        </w:tc>
        <w:tc>
          <w:tcPr>
            <w:tcW w:w="2500" w:type="pct"/>
            <w:tcBorders>
              <w:top w:val="nil"/>
              <w:bottom w:val="nil"/>
            </w:tcBorders>
          </w:tcPr>
          <w:p w14:paraId="07357135" w14:textId="77777777" w:rsidR="003438A2" w:rsidRPr="00270A60" w:rsidRDefault="003438A2" w:rsidP="005F2743">
            <w:pPr>
              <w:pStyle w:val="TableText"/>
            </w:pPr>
            <w:r>
              <w:t>r</w:t>
            </w:r>
            <w:r w:rsidRPr="00270A60">
              <w:t>ose tort</w:t>
            </w:r>
            <w:r>
              <w:t>r</w:t>
            </w:r>
            <w:r w:rsidRPr="00270A60">
              <w:t>ix</w:t>
            </w:r>
          </w:p>
        </w:tc>
      </w:tr>
      <w:tr w:rsidR="003438A2" w14:paraId="634BD20F" w14:textId="77777777" w:rsidTr="005F2743">
        <w:tc>
          <w:tcPr>
            <w:tcW w:w="2500" w:type="pct"/>
            <w:tcBorders>
              <w:top w:val="nil"/>
              <w:bottom w:val="nil"/>
            </w:tcBorders>
          </w:tcPr>
          <w:p w14:paraId="6DD08B33" w14:textId="77777777" w:rsidR="003438A2" w:rsidRDefault="003438A2" w:rsidP="005F2743">
            <w:pPr>
              <w:pStyle w:val="TableText"/>
              <w:rPr>
                <w:i/>
                <w:highlight w:val="yellow"/>
              </w:rPr>
            </w:pPr>
            <w:r w:rsidRPr="006A4507">
              <w:rPr>
                <w:i/>
              </w:rPr>
              <w:t xml:space="preserve">Argyrotaenia </w:t>
            </w:r>
            <w:r w:rsidRPr="00313193">
              <w:rPr>
                <w:i/>
              </w:rPr>
              <w:t xml:space="preserve">franciscana </w:t>
            </w:r>
            <w:r w:rsidRPr="00313193">
              <w:t>(EP)</w:t>
            </w:r>
          </w:p>
        </w:tc>
        <w:tc>
          <w:tcPr>
            <w:tcW w:w="2500" w:type="pct"/>
            <w:tcBorders>
              <w:top w:val="nil"/>
              <w:bottom w:val="nil"/>
            </w:tcBorders>
          </w:tcPr>
          <w:p w14:paraId="74790F45" w14:textId="77777777" w:rsidR="003438A2" w:rsidRPr="00270A60" w:rsidRDefault="003438A2" w:rsidP="005F2743">
            <w:pPr>
              <w:pStyle w:val="TableText"/>
            </w:pPr>
            <w:r>
              <w:t>o</w:t>
            </w:r>
            <w:r w:rsidRPr="00270A60">
              <w:t>range tort</w:t>
            </w:r>
            <w:r>
              <w:t>r</w:t>
            </w:r>
            <w:r w:rsidRPr="00270A60">
              <w:t>ix</w:t>
            </w:r>
          </w:p>
        </w:tc>
      </w:tr>
      <w:tr w:rsidR="003438A2" w14:paraId="34D41614" w14:textId="77777777" w:rsidTr="005F2743">
        <w:tc>
          <w:tcPr>
            <w:tcW w:w="2500" w:type="pct"/>
            <w:tcBorders>
              <w:top w:val="nil"/>
              <w:bottom w:val="nil"/>
            </w:tcBorders>
          </w:tcPr>
          <w:p w14:paraId="6EC67D5C" w14:textId="77777777" w:rsidR="003438A2" w:rsidRDefault="003438A2" w:rsidP="005F2743">
            <w:pPr>
              <w:pStyle w:val="TableText"/>
              <w:rPr>
                <w:i/>
                <w:highlight w:val="yellow"/>
              </w:rPr>
            </w:pPr>
            <w:r w:rsidRPr="00A6361D">
              <w:rPr>
                <w:i/>
                <w:iCs/>
              </w:rPr>
              <w:t>Choristoneura rosaceana</w:t>
            </w:r>
            <w:r>
              <w:rPr>
                <w:i/>
                <w:iCs/>
              </w:rPr>
              <w:t xml:space="preserve"> </w:t>
            </w:r>
            <w:r>
              <w:t>(EP)</w:t>
            </w:r>
          </w:p>
        </w:tc>
        <w:tc>
          <w:tcPr>
            <w:tcW w:w="2500" w:type="pct"/>
            <w:tcBorders>
              <w:top w:val="nil"/>
              <w:bottom w:val="nil"/>
            </w:tcBorders>
          </w:tcPr>
          <w:p w14:paraId="4FC4328C" w14:textId="77777777" w:rsidR="003438A2" w:rsidRPr="00270A60" w:rsidRDefault="003438A2" w:rsidP="005F2743">
            <w:pPr>
              <w:pStyle w:val="TableText"/>
            </w:pPr>
            <w:r>
              <w:t>o</w:t>
            </w:r>
            <w:r w:rsidRPr="00270A60">
              <w:t>blique banded leafroller</w:t>
            </w:r>
          </w:p>
        </w:tc>
      </w:tr>
      <w:tr w:rsidR="003438A2" w14:paraId="53D7CC5C" w14:textId="77777777" w:rsidTr="005F2743">
        <w:tc>
          <w:tcPr>
            <w:tcW w:w="2500" w:type="pct"/>
            <w:tcBorders>
              <w:top w:val="nil"/>
              <w:bottom w:val="nil"/>
            </w:tcBorders>
          </w:tcPr>
          <w:p w14:paraId="475FC259" w14:textId="77777777" w:rsidR="003438A2" w:rsidRDefault="003438A2" w:rsidP="005F2743">
            <w:pPr>
              <w:pStyle w:val="TableText"/>
              <w:rPr>
                <w:i/>
                <w:highlight w:val="yellow"/>
              </w:rPr>
            </w:pPr>
            <w:r w:rsidRPr="00343F71">
              <w:rPr>
                <w:i/>
              </w:rPr>
              <w:t>Pandemis pyrusana</w:t>
            </w:r>
            <w:r w:rsidRPr="00375B73">
              <w:t xml:space="preserve"> (EP)</w:t>
            </w:r>
          </w:p>
        </w:tc>
        <w:tc>
          <w:tcPr>
            <w:tcW w:w="2500" w:type="pct"/>
            <w:tcBorders>
              <w:top w:val="nil"/>
              <w:bottom w:val="nil"/>
            </w:tcBorders>
          </w:tcPr>
          <w:p w14:paraId="3FAFBC4E" w14:textId="77777777" w:rsidR="003438A2" w:rsidRPr="00270A60" w:rsidRDefault="003438A2" w:rsidP="005F2743">
            <w:pPr>
              <w:pStyle w:val="TableText"/>
            </w:pPr>
            <w:r>
              <w:t>a</w:t>
            </w:r>
            <w:r w:rsidRPr="00270A60">
              <w:t xml:space="preserve">pple leafroller </w:t>
            </w:r>
          </w:p>
        </w:tc>
      </w:tr>
      <w:tr w:rsidR="003438A2" w14:paraId="0BC187EC" w14:textId="77777777" w:rsidTr="005F2743">
        <w:tc>
          <w:tcPr>
            <w:tcW w:w="2500" w:type="pct"/>
            <w:tcBorders>
              <w:top w:val="nil"/>
              <w:bottom w:val="nil"/>
            </w:tcBorders>
          </w:tcPr>
          <w:p w14:paraId="18C7BEF7" w14:textId="77777777" w:rsidR="003438A2" w:rsidRDefault="003438A2" w:rsidP="005F2743">
            <w:pPr>
              <w:pStyle w:val="TableText"/>
              <w:rPr>
                <w:i/>
                <w:highlight w:val="yellow"/>
              </w:rPr>
            </w:pPr>
            <w:r w:rsidRPr="00780FC8">
              <w:rPr>
                <w:i/>
                <w:iCs/>
              </w:rPr>
              <w:t>Cydia pomonella</w:t>
            </w:r>
            <w:r>
              <w:rPr>
                <w:i/>
                <w:iCs/>
              </w:rPr>
              <w:t xml:space="preserve"> </w:t>
            </w:r>
            <w:r>
              <w:t>(EP, WA)</w:t>
            </w:r>
          </w:p>
        </w:tc>
        <w:tc>
          <w:tcPr>
            <w:tcW w:w="2500" w:type="pct"/>
            <w:tcBorders>
              <w:top w:val="nil"/>
              <w:bottom w:val="nil"/>
            </w:tcBorders>
          </w:tcPr>
          <w:p w14:paraId="41F5BF87" w14:textId="77777777" w:rsidR="003438A2" w:rsidRPr="00270A60" w:rsidRDefault="003438A2" w:rsidP="005F2743">
            <w:pPr>
              <w:pStyle w:val="TableText"/>
            </w:pPr>
            <w:r>
              <w:t>c</w:t>
            </w:r>
            <w:r w:rsidRPr="00270A60">
              <w:t>odling moth</w:t>
            </w:r>
          </w:p>
        </w:tc>
      </w:tr>
      <w:tr w:rsidR="003438A2" w14:paraId="5FAE2E68" w14:textId="77777777" w:rsidTr="005F2743">
        <w:tc>
          <w:tcPr>
            <w:tcW w:w="2500" w:type="pct"/>
            <w:tcBorders>
              <w:top w:val="nil"/>
              <w:bottom w:val="nil"/>
            </w:tcBorders>
          </w:tcPr>
          <w:p w14:paraId="1A880F1A" w14:textId="77777777" w:rsidR="003438A2" w:rsidRPr="00CB7AB3" w:rsidRDefault="003438A2" w:rsidP="005F2743">
            <w:pPr>
              <w:pStyle w:val="TableText"/>
              <w:rPr>
                <w:i/>
              </w:rPr>
            </w:pPr>
            <w:r w:rsidRPr="00CB7AB3">
              <w:rPr>
                <w:bCs/>
                <w:i/>
                <w:iCs/>
              </w:rPr>
              <w:t>Grapholita molesta</w:t>
            </w:r>
            <w:r w:rsidRPr="00CB7AB3">
              <w:rPr>
                <w:i/>
              </w:rPr>
              <w:t xml:space="preserve"> </w:t>
            </w:r>
            <w:r w:rsidRPr="00CB7AB3">
              <w:t>(EP, WA)</w:t>
            </w:r>
          </w:p>
        </w:tc>
        <w:tc>
          <w:tcPr>
            <w:tcW w:w="2500" w:type="pct"/>
            <w:tcBorders>
              <w:top w:val="nil"/>
              <w:bottom w:val="nil"/>
            </w:tcBorders>
          </w:tcPr>
          <w:p w14:paraId="70B80BEB" w14:textId="77777777" w:rsidR="003438A2" w:rsidRPr="00CB7AB3" w:rsidRDefault="003438A2" w:rsidP="005F2743">
            <w:pPr>
              <w:pStyle w:val="TableText"/>
            </w:pPr>
            <w:r w:rsidRPr="00CB7AB3">
              <w:t>oriental fruit moth</w:t>
            </w:r>
          </w:p>
        </w:tc>
      </w:tr>
      <w:tr w:rsidR="003438A2" w14:paraId="236ED227" w14:textId="77777777" w:rsidTr="005F2743">
        <w:tc>
          <w:tcPr>
            <w:tcW w:w="2500" w:type="pct"/>
            <w:tcBorders>
              <w:top w:val="nil"/>
              <w:bottom w:val="nil"/>
            </w:tcBorders>
          </w:tcPr>
          <w:p w14:paraId="38372552" w14:textId="77777777" w:rsidR="003438A2" w:rsidRDefault="003438A2" w:rsidP="005F2743">
            <w:pPr>
              <w:pStyle w:val="TableText"/>
              <w:rPr>
                <w:i/>
                <w:highlight w:val="yellow"/>
              </w:rPr>
            </w:pPr>
            <w:r>
              <w:rPr>
                <w:i/>
              </w:rPr>
              <w:t xml:space="preserve">Grapholita packardi </w:t>
            </w:r>
            <w:r>
              <w:t>(EP)</w:t>
            </w:r>
          </w:p>
        </w:tc>
        <w:tc>
          <w:tcPr>
            <w:tcW w:w="2500" w:type="pct"/>
            <w:tcBorders>
              <w:top w:val="nil"/>
              <w:bottom w:val="nil"/>
            </w:tcBorders>
          </w:tcPr>
          <w:p w14:paraId="369F96F4" w14:textId="77777777" w:rsidR="003438A2" w:rsidRPr="00270A60" w:rsidRDefault="003438A2" w:rsidP="005F2743">
            <w:pPr>
              <w:pStyle w:val="TableText"/>
            </w:pPr>
            <w:r>
              <w:t>c</w:t>
            </w:r>
            <w:r w:rsidRPr="00270A60">
              <w:t>herry fruit worm</w:t>
            </w:r>
          </w:p>
        </w:tc>
      </w:tr>
      <w:tr w:rsidR="003438A2" w14:paraId="378381A7" w14:textId="77777777" w:rsidTr="005F2743">
        <w:tc>
          <w:tcPr>
            <w:tcW w:w="2500" w:type="pct"/>
            <w:tcBorders>
              <w:top w:val="nil"/>
              <w:bottom w:val="nil"/>
            </w:tcBorders>
          </w:tcPr>
          <w:p w14:paraId="6D80EEE4" w14:textId="77777777" w:rsidR="003438A2" w:rsidRDefault="003438A2" w:rsidP="005F2743">
            <w:pPr>
              <w:pStyle w:val="TableText"/>
              <w:rPr>
                <w:i/>
                <w:highlight w:val="yellow"/>
              </w:rPr>
            </w:pPr>
            <w:r w:rsidRPr="00AE0305">
              <w:rPr>
                <w:i/>
              </w:rPr>
              <w:t>Grapholita prunivora</w:t>
            </w:r>
            <w:r>
              <w:rPr>
                <w:i/>
              </w:rPr>
              <w:t xml:space="preserve"> </w:t>
            </w:r>
            <w:r>
              <w:t>(EP)</w:t>
            </w:r>
          </w:p>
        </w:tc>
        <w:tc>
          <w:tcPr>
            <w:tcW w:w="2500" w:type="pct"/>
            <w:tcBorders>
              <w:top w:val="nil"/>
              <w:bottom w:val="nil"/>
            </w:tcBorders>
          </w:tcPr>
          <w:p w14:paraId="0659A109" w14:textId="77777777" w:rsidR="003438A2" w:rsidRPr="00270A60" w:rsidRDefault="003438A2" w:rsidP="005F2743">
            <w:pPr>
              <w:pStyle w:val="TableText"/>
            </w:pPr>
            <w:r>
              <w:t>l</w:t>
            </w:r>
            <w:r w:rsidRPr="00270A60">
              <w:t xml:space="preserve">esser appleworm </w:t>
            </w:r>
          </w:p>
        </w:tc>
      </w:tr>
      <w:tr w:rsidR="003438A2" w14:paraId="039A0AA7" w14:textId="77777777" w:rsidTr="005F2743">
        <w:tc>
          <w:tcPr>
            <w:tcW w:w="5000" w:type="pct"/>
            <w:gridSpan w:val="2"/>
            <w:tcBorders>
              <w:top w:val="single" w:sz="4" w:space="0" w:color="D9D9D9" w:themeColor="background1" w:themeShade="D9"/>
              <w:bottom w:val="nil"/>
            </w:tcBorders>
          </w:tcPr>
          <w:p w14:paraId="4B11C407" w14:textId="77777777" w:rsidR="003438A2" w:rsidRDefault="003438A2" w:rsidP="005F2743">
            <w:pPr>
              <w:pStyle w:val="TableText"/>
              <w:rPr>
                <w:b/>
                <w:highlight w:val="yellow"/>
              </w:rPr>
            </w:pPr>
            <w:r>
              <w:rPr>
                <w:b/>
              </w:rPr>
              <w:t>Ermine moth [Lepidoptera: Yponomeutidae]</w:t>
            </w:r>
          </w:p>
        </w:tc>
      </w:tr>
      <w:tr w:rsidR="003438A2" w14:paraId="6EF884EE" w14:textId="77777777" w:rsidTr="005F2743">
        <w:tc>
          <w:tcPr>
            <w:tcW w:w="2500" w:type="pct"/>
            <w:tcBorders>
              <w:top w:val="nil"/>
              <w:bottom w:val="single" w:sz="4" w:space="0" w:color="D9D9D9" w:themeColor="background1" w:themeShade="D9"/>
            </w:tcBorders>
          </w:tcPr>
          <w:p w14:paraId="47974E6F" w14:textId="77777777" w:rsidR="003438A2" w:rsidRDefault="003438A2" w:rsidP="005F2743">
            <w:pPr>
              <w:pStyle w:val="TableText"/>
              <w:rPr>
                <w:b/>
                <w:highlight w:val="yellow"/>
              </w:rPr>
            </w:pPr>
            <w:r w:rsidRPr="006D5234">
              <w:rPr>
                <w:i/>
                <w:iCs/>
              </w:rPr>
              <w:t>Argyresthia conjugella</w:t>
            </w:r>
            <w:r>
              <w:rPr>
                <w:i/>
                <w:iCs/>
              </w:rPr>
              <w:t xml:space="preserve"> </w:t>
            </w:r>
            <w:r w:rsidRPr="00B96522">
              <w:t>(EP)</w:t>
            </w:r>
          </w:p>
        </w:tc>
        <w:tc>
          <w:tcPr>
            <w:tcW w:w="2500" w:type="pct"/>
            <w:tcBorders>
              <w:top w:val="nil"/>
              <w:bottom w:val="single" w:sz="4" w:space="0" w:color="D9D9D9" w:themeColor="background1" w:themeShade="D9"/>
            </w:tcBorders>
          </w:tcPr>
          <w:p w14:paraId="12A8C0C8" w14:textId="77777777" w:rsidR="003438A2" w:rsidRPr="00974F65" w:rsidRDefault="003438A2" w:rsidP="005F2743">
            <w:pPr>
              <w:pStyle w:val="TableText"/>
              <w:rPr>
                <w:highlight w:val="yellow"/>
              </w:rPr>
            </w:pPr>
            <w:r>
              <w:t>a</w:t>
            </w:r>
            <w:r w:rsidRPr="00974F65">
              <w:t>pple fruit moth</w:t>
            </w:r>
          </w:p>
        </w:tc>
      </w:tr>
      <w:tr w:rsidR="003438A2" w14:paraId="4B1F7774" w14:textId="77777777" w:rsidTr="005F2743">
        <w:tc>
          <w:tcPr>
            <w:tcW w:w="5000" w:type="pct"/>
            <w:gridSpan w:val="2"/>
            <w:tcBorders>
              <w:top w:val="single" w:sz="4" w:space="0" w:color="D9D9D9" w:themeColor="background1" w:themeShade="D9"/>
              <w:bottom w:val="nil"/>
            </w:tcBorders>
          </w:tcPr>
          <w:p w14:paraId="4F109B37" w14:textId="77777777" w:rsidR="003438A2" w:rsidRDefault="003438A2" w:rsidP="005F2743">
            <w:pPr>
              <w:pStyle w:val="TableText"/>
              <w:rPr>
                <w:b/>
                <w:highlight w:val="yellow"/>
              </w:rPr>
            </w:pPr>
            <w:r w:rsidRPr="00CF1A79">
              <w:rPr>
                <w:b/>
              </w:rPr>
              <w:t>Thrips [Thysanoptera: Thripidae]</w:t>
            </w:r>
          </w:p>
        </w:tc>
      </w:tr>
      <w:tr w:rsidR="003438A2" w14:paraId="4961DAB7" w14:textId="77777777" w:rsidTr="005F2743">
        <w:tc>
          <w:tcPr>
            <w:tcW w:w="2500" w:type="pct"/>
            <w:tcBorders>
              <w:top w:val="nil"/>
              <w:bottom w:val="nil"/>
            </w:tcBorders>
          </w:tcPr>
          <w:p w14:paraId="11367B41" w14:textId="77777777" w:rsidR="003438A2" w:rsidRDefault="003438A2" w:rsidP="005F2743">
            <w:pPr>
              <w:pStyle w:val="TableText"/>
              <w:rPr>
                <w:b/>
                <w:highlight w:val="yellow"/>
              </w:rPr>
            </w:pPr>
            <w:r w:rsidRPr="00966F35">
              <w:rPr>
                <w:i/>
              </w:rPr>
              <w:t>Frankliniella occidentalis</w:t>
            </w:r>
            <w:r w:rsidRPr="00966F35">
              <w:t> (GP, NT)</w:t>
            </w:r>
            <w:r>
              <w:t xml:space="preserve"> </w:t>
            </w:r>
            <w:r w:rsidRPr="00BF706A">
              <w:rPr>
                <w:b/>
                <w:bCs/>
              </w:rPr>
              <w:t>a</w:t>
            </w:r>
          </w:p>
        </w:tc>
        <w:tc>
          <w:tcPr>
            <w:tcW w:w="2500" w:type="pct"/>
            <w:tcBorders>
              <w:top w:val="nil"/>
              <w:bottom w:val="nil"/>
            </w:tcBorders>
          </w:tcPr>
          <w:p w14:paraId="7223257B" w14:textId="77777777" w:rsidR="003438A2" w:rsidRPr="005701F1" w:rsidRDefault="003438A2" w:rsidP="005F2743">
            <w:pPr>
              <w:pStyle w:val="TableText"/>
            </w:pPr>
            <w:r>
              <w:t>w</w:t>
            </w:r>
            <w:r w:rsidRPr="005701F1">
              <w:t>estern flower thrips</w:t>
            </w:r>
          </w:p>
        </w:tc>
      </w:tr>
      <w:tr w:rsidR="003438A2" w14:paraId="611428D3" w14:textId="77777777" w:rsidTr="005F2743">
        <w:tc>
          <w:tcPr>
            <w:tcW w:w="2500" w:type="pct"/>
            <w:tcBorders>
              <w:top w:val="nil"/>
              <w:bottom w:val="nil"/>
            </w:tcBorders>
          </w:tcPr>
          <w:p w14:paraId="4A108236" w14:textId="77777777" w:rsidR="003438A2" w:rsidRDefault="003438A2" w:rsidP="005F2743">
            <w:pPr>
              <w:pStyle w:val="TableText"/>
              <w:rPr>
                <w:b/>
                <w:highlight w:val="yellow"/>
              </w:rPr>
            </w:pPr>
            <w:r w:rsidRPr="00966F35">
              <w:rPr>
                <w:i/>
              </w:rPr>
              <w:t>Frankliniella tritici</w:t>
            </w:r>
            <w:r w:rsidRPr="00966F35">
              <w:t xml:space="preserve"> (GP)</w:t>
            </w:r>
          </w:p>
        </w:tc>
        <w:tc>
          <w:tcPr>
            <w:tcW w:w="2500" w:type="pct"/>
            <w:tcBorders>
              <w:top w:val="nil"/>
              <w:bottom w:val="nil"/>
            </w:tcBorders>
          </w:tcPr>
          <w:p w14:paraId="76602263" w14:textId="77777777" w:rsidR="003438A2" w:rsidRPr="005701F1" w:rsidRDefault="003438A2" w:rsidP="005F2743">
            <w:pPr>
              <w:pStyle w:val="TableText"/>
            </w:pPr>
            <w:r>
              <w:t>e</w:t>
            </w:r>
            <w:r w:rsidRPr="005701F1">
              <w:t>astern flower thrips</w:t>
            </w:r>
          </w:p>
        </w:tc>
      </w:tr>
      <w:tr w:rsidR="003438A2" w14:paraId="0661743A" w14:textId="77777777" w:rsidTr="005F2743">
        <w:tc>
          <w:tcPr>
            <w:tcW w:w="5000" w:type="pct"/>
            <w:gridSpan w:val="2"/>
            <w:tcBorders>
              <w:top w:val="single" w:sz="4" w:space="0" w:color="D9D9D9" w:themeColor="background1" w:themeShade="D9"/>
              <w:bottom w:val="nil"/>
            </w:tcBorders>
          </w:tcPr>
          <w:p w14:paraId="5D6F000A" w14:textId="77777777" w:rsidR="003438A2" w:rsidRPr="005701F1" w:rsidRDefault="003438A2" w:rsidP="005F2743">
            <w:pPr>
              <w:pStyle w:val="TableText"/>
            </w:pPr>
            <w:r w:rsidRPr="005701F1">
              <w:rPr>
                <w:b/>
              </w:rPr>
              <w:lastRenderedPageBreak/>
              <w:t>Bacteri</w:t>
            </w:r>
            <w:r>
              <w:rPr>
                <w:b/>
              </w:rPr>
              <w:t>um</w:t>
            </w:r>
          </w:p>
        </w:tc>
      </w:tr>
      <w:tr w:rsidR="003438A2" w14:paraId="08215B5B" w14:textId="77777777" w:rsidTr="005F2743">
        <w:tc>
          <w:tcPr>
            <w:tcW w:w="2500" w:type="pct"/>
            <w:tcBorders>
              <w:top w:val="nil"/>
              <w:bottom w:val="single" w:sz="4" w:space="0" w:color="D9D9D9" w:themeColor="background1" w:themeShade="D9"/>
            </w:tcBorders>
          </w:tcPr>
          <w:p w14:paraId="63B47A75" w14:textId="77777777" w:rsidR="003438A2" w:rsidRPr="005701F1" w:rsidRDefault="003438A2" w:rsidP="005F2743">
            <w:pPr>
              <w:pStyle w:val="TableText"/>
              <w:rPr>
                <w:i/>
              </w:rPr>
            </w:pPr>
            <w:r w:rsidRPr="00A76598">
              <w:rPr>
                <w:bCs/>
                <w:i/>
                <w:iCs/>
              </w:rPr>
              <w:t xml:space="preserve">Erwinia amylovora </w:t>
            </w:r>
            <w:r w:rsidRPr="00B91FE1">
              <w:rPr>
                <w:bCs/>
                <w:iCs/>
              </w:rPr>
              <w:t>(EP)</w:t>
            </w:r>
          </w:p>
        </w:tc>
        <w:tc>
          <w:tcPr>
            <w:tcW w:w="2500" w:type="pct"/>
            <w:tcBorders>
              <w:top w:val="nil"/>
              <w:bottom w:val="single" w:sz="4" w:space="0" w:color="D9D9D9" w:themeColor="background1" w:themeShade="D9"/>
            </w:tcBorders>
          </w:tcPr>
          <w:p w14:paraId="1DCACCD9" w14:textId="77777777" w:rsidR="003438A2" w:rsidRPr="005701F1" w:rsidRDefault="003438A2" w:rsidP="005F2743">
            <w:pPr>
              <w:pStyle w:val="TableText"/>
            </w:pPr>
            <w:r>
              <w:t>fire blight</w:t>
            </w:r>
          </w:p>
        </w:tc>
      </w:tr>
      <w:tr w:rsidR="003438A2" w14:paraId="4309F3A0" w14:textId="77777777" w:rsidTr="005F2743">
        <w:tc>
          <w:tcPr>
            <w:tcW w:w="5000" w:type="pct"/>
            <w:gridSpan w:val="2"/>
            <w:tcBorders>
              <w:top w:val="single" w:sz="4" w:space="0" w:color="D9D9D9" w:themeColor="background1" w:themeShade="D9"/>
              <w:bottom w:val="nil"/>
            </w:tcBorders>
          </w:tcPr>
          <w:p w14:paraId="02BA6038" w14:textId="77777777" w:rsidR="003438A2" w:rsidRDefault="003438A2" w:rsidP="005F2743">
            <w:pPr>
              <w:pStyle w:val="TableText"/>
              <w:rPr>
                <w:highlight w:val="yellow"/>
              </w:rPr>
            </w:pPr>
            <w:r w:rsidRPr="00571ADC">
              <w:rPr>
                <w:b/>
              </w:rPr>
              <w:t>Fungi</w:t>
            </w:r>
          </w:p>
        </w:tc>
      </w:tr>
      <w:tr w:rsidR="003438A2" w14:paraId="53D20FA5" w14:textId="77777777" w:rsidTr="005F2743">
        <w:tc>
          <w:tcPr>
            <w:tcW w:w="2500" w:type="pct"/>
            <w:tcBorders>
              <w:top w:val="nil"/>
            </w:tcBorders>
          </w:tcPr>
          <w:p w14:paraId="6FD40C34" w14:textId="77777777" w:rsidR="003438A2" w:rsidRDefault="003438A2" w:rsidP="005F2743">
            <w:pPr>
              <w:pStyle w:val="TableText"/>
              <w:rPr>
                <w:highlight w:val="yellow"/>
              </w:rPr>
            </w:pPr>
            <w:r w:rsidRPr="006B53DB">
              <w:rPr>
                <w:rFonts w:eastAsia="Calibri" w:cs="Times New Roman"/>
                <w:bCs/>
                <w:i/>
                <w:iCs/>
              </w:rPr>
              <w:t>Coprinopsis psychromorbida</w:t>
            </w:r>
          </w:p>
        </w:tc>
        <w:tc>
          <w:tcPr>
            <w:tcW w:w="2500" w:type="pct"/>
            <w:tcBorders>
              <w:top w:val="nil"/>
            </w:tcBorders>
          </w:tcPr>
          <w:p w14:paraId="34E517E2" w14:textId="77777777" w:rsidR="003438A2" w:rsidRDefault="003438A2" w:rsidP="005F2743">
            <w:pPr>
              <w:pStyle w:val="TableText"/>
              <w:rPr>
                <w:highlight w:val="yellow"/>
              </w:rPr>
            </w:pPr>
            <w:r w:rsidRPr="001A2B5C">
              <w:t xml:space="preserve">Coprinus </w:t>
            </w:r>
            <w:r w:rsidRPr="00DC0EF2">
              <w:t>rot</w:t>
            </w:r>
          </w:p>
        </w:tc>
      </w:tr>
      <w:tr w:rsidR="003438A2" w14:paraId="6F991962" w14:textId="77777777" w:rsidTr="005F2743">
        <w:tc>
          <w:tcPr>
            <w:tcW w:w="2500" w:type="pct"/>
          </w:tcPr>
          <w:p w14:paraId="3CAEFEEA" w14:textId="77777777" w:rsidR="003438A2" w:rsidRDefault="003438A2" w:rsidP="005F2743">
            <w:pPr>
              <w:pStyle w:val="TableText"/>
              <w:rPr>
                <w:i/>
                <w:highlight w:val="yellow"/>
                <w:vertAlign w:val="superscript"/>
              </w:rPr>
            </w:pPr>
            <w:r w:rsidRPr="00A70EEC">
              <w:rPr>
                <w:rFonts w:eastAsia="Calibri" w:cs="Times New Roman"/>
                <w:bCs/>
                <w:i/>
                <w:iCs/>
                <w:lang w:val="en"/>
              </w:rPr>
              <w:t>Discula pyri</w:t>
            </w:r>
          </w:p>
        </w:tc>
        <w:tc>
          <w:tcPr>
            <w:tcW w:w="2500" w:type="pct"/>
          </w:tcPr>
          <w:p w14:paraId="207625E9" w14:textId="77777777" w:rsidR="003438A2" w:rsidRDefault="003438A2" w:rsidP="005F2743">
            <w:pPr>
              <w:pStyle w:val="TableText"/>
              <w:rPr>
                <w:highlight w:val="yellow"/>
              </w:rPr>
            </w:pPr>
            <w:r w:rsidRPr="001A2B5C">
              <w:rPr>
                <w:rFonts w:eastAsia="Calibri" w:cs="Times New Roman"/>
                <w:iCs/>
                <w:szCs w:val="18"/>
              </w:rPr>
              <w:t xml:space="preserve">Phacidiopycnis </w:t>
            </w:r>
            <w:r w:rsidRPr="00EA4704">
              <w:rPr>
                <w:rFonts w:eastAsia="Calibri" w:cs="Times New Roman"/>
                <w:iCs/>
                <w:szCs w:val="18"/>
              </w:rPr>
              <w:t>rot</w:t>
            </w:r>
          </w:p>
        </w:tc>
      </w:tr>
      <w:tr w:rsidR="003438A2" w14:paraId="46618ADB" w14:textId="77777777" w:rsidTr="005F2743">
        <w:tc>
          <w:tcPr>
            <w:tcW w:w="2500" w:type="pct"/>
            <w:tcBorders>
              <w:bottom w:val="nil"/>
            </w:tcBorders>
          </w:tcPr>
          <w:p w14:paraId="5F6FB837" w14:textId="77777777" w:rsidR="003438A2" w:rsidRDefault="003438A2" w:rsidP="005F2743">
            <w:pPr>
              <w:pStyle w:val="TableText"/>
              <w:rPr>
                <w:i/>
                <w:highlight w:val="yellow"/>
                <w:vertAlign w:val="superscript"/>
              </w:rPr>
            </w:pPr>
            <w:r w:rsidRPr="00E47871">
              <w:rPr>
                <w:rFonts w:eastAsia="Calibri" w:cs="Times New Roman"/>
                <w:bCs/>
                <w:i/>
                <w:iCs/>
              </w:rPr>
              <w:t>Gymnosporangium clavipes</w:t>
            </w:r>
          </w:p>
        </w:tc>
        <w:tc>
          <w:tcPr>
            <w:tcW w:w="2500" w:type="pct"/>
            <w:tcBorders>
              <w:bottom w:val="nil"/>
            </w:tcBorders>
          </w:tcPr>
          <w:p w14:paraId="5BFAFA4F" w14:textId="77777777" w:rsidR="003438A2" w:rsidRDefault="003438A2" w:rsidP="005F2743">
            <w:pPr>
              <w:pStyle w:val="TableText"/>
              <w:rPr>
                <w:highlight w:val="yellow"/>
              </w:rPr>
            </w:pPr>
            <w:r>
              <w:t>c</w:t>
            </w:r>
            <w:r w:rsidRPr="00DC0EF2">
              <w:t>edar-quince rust</w:t>
            </w:r>
          </w:p>
        </w:tc>
      </w:tr>
      <w:tr w:rsidR="003438A2" w14:paraId="61E55ECD" w14:textId="77777777" w:rsidTr="005F2743">
        <w:tc>
          <w:tcPr>
            <w:tcW w:w="2500" w:type="pct"/>
            <w:tcBorders>
              <w:top w:val="nil"/>
              <w:bottom w:val="nil"/>
            </w:tcBorders>
          </w:tcPr>
          <w:p w14:paraId="2718CB74" w14:textId="77777777" w:rsidR="003438A2" w:rsidRDefault="003438A2" w:rsidP="005F2743">
            <w:pPr>
              <w:pStyle w:val="TableText"/>
              <w:rPr>
                <w:i/>
                <w:highlight w:val="yellow"/>
              </w:rPr>
            </w:pPr>
            <w:r w:rsidRPr="00E47871">
              <w:rPr>
                <w:rFonts w:eastAsia="Calibri" w:cs="Times New Roman"/>
                <w:bCs/>
                <w:i/>
                <w:iCs/>
              </w:rPr>
              <w:t>Gymno</w:t>
            </w:r>
            <w:r>
              <w:rPr>
                <w:rFonts w:eastAsia="Calibri" w:cs="Times New Roman"/>
                <w:bCs/>
                <w:i/>
                <w:iCs/>
              </w:rPr>
              <w:t>sporangium juniperi-virginianae</w:t>
            </w:r>
            <w:r w:rsidRPr="00E47871">
              <w:rPr>
                <w:rFonts w:eastAsia="Calibri" w:cs="Times New Roman"/>
                <w:bCs/>
                <w:i/>
                <w:iCs/>
              </w:rPr>
              <w:t xml:space="preserve"> </w:t>
            </w:r>
          </w:p>
        </w:tc>
        <w:tc>
          <w:tcPr>
            <w:tcW w:w="2500" w:type="pct"/>
            <w:tcBorders>
              <w:top w:val="nil"/>
              <w:bottom w:val="nil"/>
            </w:tcBorders>
          </w:tcPr>
          <w:p w14:paraId="7D41D716" w14:textId="77777777" w:rsidR="003438A2" w:rsidRDefault="003438A2" w:rsidP="005F2743">
            <w:pPr>
              <w:pStyle w:val="TableText"/>
              <w:rPr>
                <w:highlight w:val="yellow"/>
              </w:rPr>
            </w:pPr>
            <w:r>
              <w:rPr>
                <w:rFonts w:eastAsia="Calibri" w:cs="Times New Roman"/>
                <w:iCs/>
                <w:szCs w:val="18"/>
              </w:rPr>
              <w:t>c</w:t>
            </w:r>
            <w:r w:rsidRPr="00D95799">
              <w:rPr>
                <w:rFonts w:eastAsia="Calibri" w:cs="Times New Roman"/>
                <w:iCs/>
                <w:szCs w:val="18"/>
              </w:rPr>
              <w:t>edar apple rust</w:t>
            </w:r>
          </w:p>
        </w:tc>
      </w:tr>
      <w:tr w:rsidR="003438A2" w14:paraId="5B60A2C2" w14:textId="77777777" w:rsidTr="005F2743">
        <w:tc>
          <w:tcPr>
            <w:tcW w:w="2500" w:type="pct"/>
            <w:tcBorders>
              <w:top w:val="nil"/>
              <w:bottom w:val="nil"/>
            </w:tcBorders>
          </w:tcPr>
          <w:p w14:paraId="3772C965" w14:textId="77777777" w:rsidR="003438A2" w:rsidRDefault="003438A2" w:rsidP="005F2743">
            <w:pPr>
              <w:pStyle w:val="TableText"/>
              <w:rPr>
                <w:i/>
                <w:highlight w:val="yellow"/>
              </w:rPr>
            </w:pPr>
            <w:r w:rsidRPr="00E47871">
              <w:rPr>
                <w:rFonts w:eastAsia="Calibri" w:cs="Times New Roman"/>
                <w:bCs/>
                <w:i/>
                <w:iCs/>
              </w:rPr>
              <w:t>Gymnosporangium libocedri</w:t>
            </w:r>
          </w:p>
        </w:tc>
        <w:tc>
          <w:tcPr>
            <w:tcW w:w="2500" w:type="pct"/>
            <w:tcBorders>
              <w:top w:val="nil"/>
              <w:bottom w:val="nil"/>
            </w:tcBorders>
          </w:tcPr>
          <w:p w14:paraId="49A5093F" w14:textId="77777777" w:rsidR="003438A2" w:rsidRDefault="003438A2" w:rsidP="005F2743">
            <w:pPr>
              <w:pStyle w:val="TableText"/>
              <w:rPr>
                <w:highlight w:val="yellow"/>
              </w:rPr>
            </w:pPr>
            <w:r w:rsidRPr="00D95799">
              <w:rPr>
                <w:rFonts w:eastAsia="Calibri" w:cs="Times New Roman"/>
                <w:iCs/>
                <w:szCs w:val="18"/>
              </w:rPr>
              <w:t xml:space="preserve">Pacific </w:t>
            </w:r>
            <w:r>
              <w:rPr>
                <w:rFonts w:eastAsia="Calibri" w:cs="Times New Roman"/>
                <w:iCs/>
                <w:szCs w:val="18"/>
              </w:rPr>
              <w:t>c</w:t>
            </w:r>
            <w:r w:rsidRPr="00D95799">
              <w:rPr>
                <w:rFonts w:eastAsia="Calibri" w:cs="Times New Roman"/>
                <w:iCs/>
                <w:szCs w:val="18"/>
              </w:rPr>
              <w:t>oast pear rust</w:t>
            </w:r>
          </w:p>
        </w:tc>
      </w:tr>
      <w:tr w:rsidR="003438A2" w14:paraId="035EEDBD" w14:textId="77777777" w:rsidTr="005F2743">
        <w:tc>
          <w:tcPr>
            <w:tcW w:w="2500" w:type="pct"/>
            <w:tcBorders>
              <w:top w:val="nil"/>
              <w:bottom w:val="nil"/>
            </w:tcBorders>
          </w:tcPr>
          <w:p w14:paraId="2550C365" w14:textId="77777777" w:rsidR="003438A2" w:rsidRDefault="003438A2" w:rsidP="005F2743">
            <w:pPr>
              <w:pStyle w:val="TableText"/>
              <w:rPr>
                <w:i/>
                <w:highlight w:val="yellow"/>
              </w:rPr>
            </w:pPr>
            <w:r w:rsidRPr="002D39B1">
              <w:rPr>
                <w:i/>
              </w:rPr>
              <w:t>Neofabraea malicorticis</w:t>
            </w:r>
            <w:r>
              <w:rPr>
                <w:i/>
              </w:rPr>
              <w:t xml:space="preserve"> </w:t>
            </w:r>
            <w:r>
              <w:t>(EP)</w:t>
            </w:r>
          </w:p>
        </w:tc>
        <w:tc>
          <w:tcPr>
            <w:tcW w:w="2500" w:type="pct"/>
            <w:tcBorders>
              <w:top w:val="nil"/>
              <w:bottom w:val="nil"/>
            </w:tcBorders>
          </w:tcPr>
          <w:p w14:paraId="2664C825" w14:textId="77777777" w:rsidR="003438A2" w:rsidRDefault="003438A2" w:rsidP="005F2743">
            <w:pPr>
              <w:pStyle w:val="TableText"/>
              <w:rPr>
                <w:highlight w:val="yellow"/>
              </w:rPr>
            </w:pPr>
            <w:r>
              <w:rPr>
                <w:rFonts w:eastAsia="Calibri" w:cs="Times New Roman"/>
                <w:iCs/>
                <w:szCs w:val="18"/>
              </w:rPr>
              <w:t>b</w:t>
            </w:r>
            <w:r w:rsidRPr="00D95799">
              <w:rPr>
                <w:rFonts w:eastAsia="Calibri" w:cs="Times New Roman"/>
                <w:iCs/>
                <w:szCs w:val="18"/>
              </w:rPr>
              <w:t>ull’s-eye rot</w:t>
            </w:r>
          </w:p>
        </w:tc>
      </w:tr>
      <w:tr w:rsidR="003438A2" w14:paraId="0F40D8A5" w14:textId="77777777" w:rsidTr="005F2743">
        <w:tc>
          <w:tcPr>
            <w:tcW w:w="2500" w:type="pct"/>
            <w:tcBorders>
              <w:top w:val="nil"/>
              <w:bottom w:val="nil"/>
            </w:tcBorders>
          </w:tcPr>
          <w:p w14:paraId="6BD32B46" w14:textId="77777777" w:rsidR="003438A2" w:rsidRDefault="003438A2" w:rsidP="005F2743">
            <w:pPr>
              <w:pStyle w:val="TableText"/>
              <w:rPr>
                <w:i/>
                <w:highlight w:val="yellow"/>
              </w:rPr>
            </w:pPr>
            <w:r w:rsidRPr="0029171A">
              <w:rPr>
                <w:i/>
              </w:rPr>
              <w:t>Neonectria ditissima</w:t>
            </w:r>
            <w:r>
              <w:rPr>
                <w:i/>
              </w:rPr>
              <w:t xml:space="preserve"> </w:t>
            </w:r>
            <w:r>
              <w:t>(EP)</w:t>
            </w:r>
          </w:p>
        </w:tc>
        <w:tc>
          <w:tcPr>
            <w:tcW w:w="2500" w:type="pct"/>
            <w:tcBorders>
              <w:top w:val="nil"/>
              <w:bottom w:val="nil"/>
            </w:tcBorders>
          </w:tcPr>
          <w:p w14:paraId="1F2FFE70" w14:textId="77777777" w:rsidR="003438A2" w:rsidRDefault="003438A2" w:rsidP="005F2743">
            <w:pPr>
              <w:pStyle w:val="TableText"/>
              <w:rPr>
                <w:highlight w:val="yellow"/>
              </w:rPr>
            </w:pPr>
            <w:r w:rsidRPr="00D95799">
              <w:rPr>
                <w:rFonts w:eastAsia="Calibri" w:cs="Times New Roman"/>
                <w:iCs/>
                <w:szCs w:val="18"/>
              </w:rPr>
              <w:t>European canker</w:t>
            </w:r>
          </w:p>
        </w:tc>
      </w:tr>
      <w:tr w:rsidR="003438A2" w14:paraId="182DD341" w14:textId="77777777" w:rsidTr="005F2743">
        <w:tc>
          <w:tcPr>
            <w:tcW w:w="2500" w:type="pct"/>
            <w:tcBorders>
              <w:top w:val="nil"/>
              <w:bottom w:val="nil"/>
            </w:tcBorders>
          </w:tcPr>
          <w:p w14:paraId="45C3F022" w14:textId="77777777" w:rsidR="003438A2" w:rsidRDefault="003438A2" w:rsidP="005F2743">
            <w:pPr>
              <w:pStyle w:val="TableText"/>
              <w:rPr>
                <w:i/>
                <w:highlight w:val="yellow"/>
              </w:rPr>
            </w:pPr>
            <w:r w:rsidRPr="00D76ECE">
              <w:rPr>
                <w:rFonts w:eastAsia="Calibri" w:cs="Times New Roman"/>
                <w:bCs/>
                <w:i/>
                <w:iCs/>
              </w:rPr>
              <w:t>Phacidiopycnis washingtonensis</w:t>
            </w:r>
          </w:p>
        </w:tc>
        <w:tc>
          <w:tcPr>
            <w:tcW w:w="2500" w:type="pct"/>
            <w:tcBorders>
              <w:top w:val="nil"/>
              <w:bottom w:val="nil"/>
            </w:tcBorders>
          </w:tcPr>
          <w:p w14:paraId="08E0190E" w14:textId="77777777" w:rsidR="003438A2" w:rsidRDefault="003438A2" w:rsidP="005F2743">
            <w:pPr>
              <w:pStyle w:val="TableText"/>
              <w:rPr>
                <w:highlight w:val="yellow"/>
              </w:rPr>
            </w:pPr>
            <w:r>
              <w:rPr>
                <w:rFonts w:eastAsia="Calibri" w:cs="Times New Roman"/>
                <w:iCs/>
                <w:szCs w:val="18"/>
              </w:rPr>
              <w:t>s</w:t>
            </w:r>
            <w:r w:rsidRPr="00D95799">
              <w:rPr>
                <w:rFonts w:eastAsia="Calibri" w:cs="Times New Roman"/>
                <w:iCs/>
                <w:szCs w:val="18"/>
              </w:rPr>
              <w:t>peck rot</w:t>
            </w:r>
          </w:p>
        </w:tc>
      </w:tr>
      <w:tr w:rsidR="003438A2" w14:paraId="5B0B4CAF" w14:textId="77777777" w:rsidTr="005F2743">
        <w:tc>
          <w:tcPr>
            <w:tcW w:w="2500" w:type="pct"/>
            <w:tcBorders>
              <w:top w:val="nil"/>
              <w:bottom w:val="nil"/>
            </w:tcBorders>
          </w:tcPr>
          <w:p w14:paraId="310E1BB0" w14:textId="77777777" w:rsidR="003438A2" w:rsidRDefault="003438A2" w:rsidP="005F2743">
            <w:pPr>
              <w:pStyle w:val="TableText"/>
              <w:rPr>
                <w:i/>
                <w:highlight w:val="yellow"/>
              </w:rPr>
            </w:pPr>
            <w:r w:rsidRPr="008E3EFB">
              <w:rPr>
                <w:bCs/>
                <w:i/>
                <w:iCs/>
              </w:rPr>
              <w:t xml:space="preserve">Phyllosticta arbutifolia </w:t>
            </w:r>
            <w:r w:rsidRPr="00331B64">
              <w:rPr>
                <w:bCs/>
                <w:iCs/>
              </w:rPr>
              <w:t>(EP)</w:t>
            </w:r>
          </w:p>
        </w:tc>
        <w:tc>
          <w:tcPr>
            <w:tcW w:w="2500" w:type="pct"/>
            <w:tcBorders>
              <w:top w:val="nil"/>
              <w:bottom w:val="nil"/>
            </w:tcBorders>
          </w:tcPr>
          <w:p w14:paraId="0548F5D3" w14:textId="77777777" w:rsidR="003438A2" w:rsidRDefault="003438A2" w:rsidP="005F2743">
            <w:pPr>
              <w:pStyle w:val="TableText"/>
              <w:rPr>
                <w:highlight w:val="yellow"/>
              </w:rPr>
            </w:pPr>
            <w:r>
              <w:rPr>
                <w:rFonts w:eastAsia="Calibri" w:cs="Times New Roman"/>
                <w:iCs/>
                <w:szCs w:val="18"/>
              </w:rPr>
              <w:t>a</w:t>
            </w:r>
            <w:r w:rsidRPr="00D95799">
              <w:rPr>
                <w:rFonts w:eastAsia="Calibri" w:cs="Times New Roman"/>
                <w:iCs/>
                <w:szCs w:val="18"/>
              </w:rPr>
              <w:t>pple blotch</w:t>
            </w:r>
          </w:p>
        </w:tc>
      </w:tr>
      <w:tr w:rsidR="003438A2" w14:paraId="6AE7B1CE" w14:textId="77777777" w:rsidTr="005F2743">
        <w:tc>
          <w:tcPr>
            <w:tcW w:w="2500" w:type="pct"/>
            <w:tcBorders>
              <w:top w:val="nil"/>
              <w:bottom w:val="nil"/>
            </w:tcBorders>
          </w:tcPr>
          <w:p w14:paraId="5B89B5C8" w14:textId="77777777" w:rsidR="003438A2" w:rsidRDefault="003438A2" w:rsidP="005F2743">
            <w:pPr>
              <w:pStyle w:val="TableText"/>
              <w:rPr>
                <w:i/>
                <w:highlight w:val="yellow"/>
              </w:rPr>
            </w:pPr>
            <w:r w:rsidRPr="00B16E76">
              <w:rPr>
                <w:rFonts w:eastAsia="Calibri" w:cs="Times New Roman"/>
                <w:bCs/>
                <w:i/>
                <w:iCs/>
              </w:rPr>
              <w:t>Sphaeropsis pyriputrescens</w:t>
            </w:r>
          </w:p>
        </w:tc>
        <w:tc>
          <w:tcPr>
            <w:tcW w:w="2500" w:type="pct"/>
            <w:tcBorders>
              <w:top w:val="nil"/>
              <w:bottom w:val="nil"/>
            </w:tcBorders>
          </w:tcPr>
          <w:p w14:paraId="4D0F9C30" w14:textId="77777777" w:rsidR="003438A2" w:rsidRDefault="003438A2" w:rsidP="005F2743">
            <w:pPr>
              <w:pStyle w:val="TableText"/>
              <w:rPr>
                <w:highlight w:val="yellow"/>
              </w:rPr>
            </w:pPr>
            <w:r w:rsidRPr="001A2B5C">
              <w:rPr>
                <w:rFonts w:eastAsia="Calibri" w:cs="Times New Roman"/>
                <w:iCs/>
                <w:szCs w:val="18"/>
              </w:rPr>
              <w:t>Sphaeropsis</w:t>
            </w:r>
            <w:r w:rsidRPr="00D95799">
              <w:rPr>
                <w:rFonts w:eastAsia="Calibri" w:cs="Times New Roman"/>
                <w:iCs/>
                <w:szCs w:val="18"/>
              </w:rPr>
              <w:t xml:space="preserve"> rot</w:t>
            </w:r>
          </w:p>
        </w:tc>
      </w:tr>
      <w:tr w:rsidR="003438A2" w14:paraId="66A8490E" w14:textId="77777777" w:rsidTr="005F2743">
        <w:tc>
          <w:tcPr>
            <w:tcW w:w="2500" w:type="pct"/>
            <w:tcBorders>
              <w:top w:val="nil"/>
              <w:bottom w:val="single" w:sz="4" w:space="0" w:color="D9D9D9" w:themeColor="background1" w:themeShade="D9"/>
            </w:tcBorders>
          </w:tcPr>
          <w:p w14:paraId="559D19E8" w14:textId="77777777" w:rsidR="003438A2" w:rsidRDefault="003438A2" w:rsidP="005F2743">
            <w:pPr>
              <w:pStyle w:val="TableText"/>
              <w:rPr>
                <w:i/>
                <w:highlight w:val="yellow"/>
              </w:rPr>
            </w:pPr>
            <w:r w:rsidRPr="00960D26">
              <w:rPr>
                <w:rFonts w:eastAsia="Calibri" w:cs="Times New Roman"/>
                <w:bCs/>
                <w:i/>
                <w:iCs/>
              </w:rPr>
              <w:t xml:space="preserve">Truncatella hartigii </w:t>
            </w:r>
            <w:r w:rsidRPr="00B91FE1">
              <w:rPr>
                <w:rFonts w:eastAsia="Calibri" w:cs="Times New Roman"/>
                <w:bCs/>
                <w:iCs/>
              </w:rPr>
              <w:t>(EP)</w:t>
            </w:r>
          </w:p>
        </w:tc>
        <w:tc>
          <w:tcPr>
            <w:tcW w:w="2500" w:type="pct"/>
            <w:tcBorders>
              <w:top w:val="nil"/>
              <w:bottom w:val="single" w:sz="4" w:space="0" w:color="D9D9D9" w:themeColor="background1" w:themeShade="D9"/>
            </w:tcBorders>
          </w:tcPr>
          <w:p w14:paraId="06F7ACAE" w14:textId="77777777" w:rsidR="003438A2" w:rsidRDefault="003438A2" w:rsidP="005F2743">
            <w:pPr>
              <w:pStyle w:val="TableText"/>
              <w:rPr>
                <w:highlight w:val="yellow"/>
              </w:rPr>
            </w:pPr>
            <w:r w:rsidRPr="001A2B5C">
              <w:rPr>
                <w:rFonts w:eastAsia="Calibri" w:cs="Times New Roman"/>
                <w:iCs/>
                <w:szCs w:val="18"/>
              </w:rPr>
              <w:t xml:space="preserve">Truncatella </w:t>
            </w:r>
            <w:r>
              <w:rPr>
                <w:rFonts w:eastAsia="Calibri" w:cs="Times New Roman"/>
                <w:iCs/>
                <w:szCs w:val="18"/>
              </w:rPr>
              <w:t>l</w:t>
            </w:r>
            <w:r w:rsidRPr="00D95799">
              <w:rPr>
                <w:rFonts w:eastAsia="Calibri" w:cs="Times New Roman"/>
                <w:iCs/>
                <w:szCs w:val="18"/>
              </w:rPr>
              <w:t>eaf spot</w:t>
            </w:r>
          </w:p>
        </w:tc>
      </w:tr>
      <w:tr w:rsidR="003438A2" w14:paraId="77DE01C4" w14:textId="77777777" w:rsidTr="005F2743">
        <w:tc>
          <w:tcPr>
            <w:tcW w:w="5000" w:type="pct"/>
            <w:gridSpan w:val="2"/>
            <w:tcBorders>
              <w:top w:val="single" w:sz="4" w:space="0" w:color="D9D9D9" w:themeColor="background1" w:themeShade="D9"/>
              <w:bottom w:val="nil"/>
            </w:tcBorders>
          </w:tcPr>
          <w:p w14:paraId="6107809D" w14:textId="77777777" w:rsidR="003438A2" w:rsidRPr="00DC0EF2" w:rsidRDefault="003438A2" w:rsidP="005F2743">
            <w:pPr>
              <w:pStyle w:val="TableText"/>
            </w:pPr>
            <w:r w:rsidRPr="00DC0EF2">
              <w:rPr>
                <w:b/>
              </w:rPr>
              <w:t>Viroid</w:t>
            </w:r>
          </w:p>
        </w:tc>
      </w:tr>
      <w:tr w:rsidR="003438A2" w14:paraId="05B208DD" w14:textId="77777777" w:rsidTr="005F2743">
        <w:tc>
          <w:tcPr>
            <w:tcW w:w="2500" w:type="pct"/>
            <w:tcBorders>
              <w:top w:val="nil"/>
            </w:tcBorders>
          </w:tcPr>
          <w:p w14:paraId="1AF6AA46" w14:textId="77777777" w:rsidR="003438A2" w:rsidRPr="0075425E" w:rsidRDefault="003438A2" w:rsidP="005F2743">
            <w:pPr>
              <w:pStyle w:val="TableText"/>
              <w:rPr>
                <w:vertAlign w:val="superscript"/>
              </w:rPr>
            </w:pPr>
            <w:r w:rsidRPr="00DC0EF2">
              <w:rPr>
                <w:rFonts w:eastAsia="Calibri" w:cs="Times New Roman"/>
                <w:bCs/>
                <w:i/>
                <w:iCs/>
              </w:rPr>
              <w:t>Apple scar skin viroid</w:t>
            </w:r>
            <w:r>
              <w:rPr>
                <w:rFonts w:eastAsia="Calibri" w:cs="Times New Roman"/>
                <w:bCs/>
                <w:i/>
                <w:iCs/>
              </w:rPr>
              <w:t xml:space="preserve"> </w:t>
            </w:r>
            <w:r>
              <w:rPr>
                <w:rFonts w:eastAsia="Calibri" w:cs="Times New Roman"/>
                <w:bCs/>
                <w:iCs/>
              </w:rPr>
              <w:t>(EP)</w:t>
            </w:r>
          </w:p>
        </w:tc>
        <w:tc>
          <w:tcPr>
            <w:tcW w:w="2500" w:type="pct"/>
            <w:tcBorders>
              <w:top w:val="nil"/>
            </w:tcBorders>
          </w:tcPr>
          <w:p w14:paraId="03EF12D4" w14:textId="77777777" w:rsidR="003438A2" w:rsidRPr="00DC0EF2" w:rsidRDefault="003438A2" w:rsidP="005F2743">
            <w:pPr>
              <w:pStyle w:val="TableText"/>
            </w:pPr>
            <w:r w:rsidRPr="00DC0EF2">
              <w:t>ASSV</w:t>
            </w:r>
            <w:r>
              <w:t>d</w:t>
            </w:r>
          </w:p>
        </w:tc>
      </w:tr>
      <w:tr w:rsidR="003438A2" w14:paraId="29D2B083" w14:textId="77777777" w:rsidTr="005F2743">
        <w:tc>
          <w:tcPr>
            <w:tcW w:w="5000" w:type="pct"/>
            <w:gridSpan w:val="2"/>
            <w:tcBorders>
              <w:top w:val="single" w:sz="4" w:space="0" w:color="D9D9D9" w:themeColor="background1" w:themeShade="D9"/>
              <w:bottom w:val="nil"/>
            </w:tcBorders>
          </w:tcPr>
          <w:p w14:paraId="1A0AC275" w14:textId="77777777" w:rsidR="003438A2" w:rsidRPr="00DC0EF2" w:rsidRDefault="003438A2" w:rsidP="005F2743">
            <w:pPr>
              <w:pStyle w:val="TableText"/>
            </w:pPr>
            <w:r w:rsidRPr="00DC0EF2">
              <w:rPr>
                <w:b/>
              </w:rPr>
              <w:t>Viruses</w:t>
            </w:r>
          </w:p>
        </w:tc>
      </w:tr>
      <w:tr w:rsidR="003438A2" w14:paraId="169502B4" w14:textId="77777777" w:rsidTr="005F2743">
        <w:tc>
          <w:tcPr>
            <w:tcW w:w="2500" w:type="pct"/>
          </w:tcPr>
          <w:p w14:paraId="12CA594D" w14:textId="77777777" w:rsidR="003438A2" w:rsidRPr="00CA508F" w:rsidRDefault="003438A2" w:rsidP="005F2743">
            <w:pPr>
              <w:pStyle w:val="TableText"/>
              <w:rPr>
                <w:i/>
                <w:vertAlign w:val="superscript"/>
              </w:rPr>
            </w:pPr>
            <w:r>
              <w:rPr>
                <w:i/>
              </w:rPr>
              <w:t xml:space="preserve">Tobacco necrosis virus </w:t>
            </w:r>
            <w:r w:rsidRPr="0075425E">
              <w:t>A</w:t>
            </w:r>
            <w:r>
              <w:t xml:space="preserve"> (EP)</w:t>
            </w:r>
          </w:p>
        </w:tc>
        <w:tc>
          <w:tcPr>
            <w:tcW w:w="2500" w:type="pct"/>
            <w:vMerge w:val="restart"/>
          </w:tcPr>
          <w:p w14:paraId="77D08BED" w14:textId="77777777" w:rsidR="003438A2" w:rsidRPr="00DC0EF2" w:rsidRDefault="003438A2" w:rsidP="005F2743">
            <w:pPr>
              <w:pStyle w:val="TableText"/>
            </w:pPr>
            <w:r>
              <w:rPr>
                <w:rFonts w:eastAsia="Calibri" w:cs="Times New Roman"/>
                <w:szCs w:val="18"/>
              </w:rPr>
              <w:t>tobacco necrosis viruses (TNVs)</w:t>
            </w:r>
          </w:p>
        </w:tc>
      </w:tr>
      <w:tr w:rsidR="003438A2" w14:paraId="5A055C85" w14:textId="77777777" w:rsidTr="005F2743">
        <w:tc>
          <w:tcPr>
            <w:tcW w:w="2500" w:type="pct"/>
          </w:tcPr>
          <w:p w14:paraId="6D9573C0" w14:textId="77777777" w:rsidR="003438A2" w:rsidRPr="0075425E" w:rsidDel="00CA508F" w:rsidRDefault="003438A2" w:rsidP="005F2743">
            <w:pPr>
              <w:pStyle w:val="TableText"/>
            </w:pPr>
            <w:r>
              <w:rPr>
                <w:i/>
              </w:rPr>
              <w:t xml:space="preserve">Tobacco necrosis virus </w:t>
            </w:r>
            <w:r>
              <w:t>D (EP)</w:t>
            </w:r>
          </w:p>
        </w:tc>
        <w:tc>
          <w:tcPr>
            <w:tcW w:w="2500" w:type="pct"/>
            <w:vMerge/>
          </w:tcPr>
          <w:p w14:paraId="19868E14" w14:textId="77777777" w:rsidR="003438A2" w:rsidRPr="00D95799" w:rsidDel="00CA508F" w:rsidRDefault="003438A2" w:rsidP="005F2743">
            <w:pPr>
              <w:pStyle w:val="TableText"/>
              <w:rPr>
                <w:rFonts w:eastAsia="Calibri" w:cs="Times New Roman"/>
                <w:szCs w:val="18"/>
              </w:rPr>
            </w:pPr>
          </w:p>
        </w:tc>
      </w:tr>
    </w:tbl>
    <w:p w14:paraId="1ABB508E" w14:textId="77777777" w:rsidR="003438A2" w:rsidRPr="00CD44CD" w:rsidRDefault="003438A2" w:rsidP="00C25EA7">
      <w:pPr>
        <w:pStyle w:val="FigureTableNoteSource"/>
      </w:pPr>
      <w:r>
        <w:rPr>
          <w:b/>
        </w:rPr>
        <w:t xml:space="preserve">EP </w:t>
      </w:r>
      <w:r>
        <w:t xml:space="preserve">Species has been assessed previously and import policy already exists. </w:t>
      </w:r>
      <w:r>
        <w:rPr>
          <w:b/>
        </w:rPr>
        <w:t xml:space="preserve">WA </w:t>
      </w:r>
      <w:r>
        <w:t xml:space="preserve">Regional quarantine pest for Western Australia. </w:t>
      </w:r>
      <w:r>
        <w:rPr>
          <w:b/>
        </w:rPr>
        <w:t xml:space="preserve">NT </w:t>
      </w:r>
      <w:r>
        <w:t xml:space="preserve">Regional quarantine pest for the Northern Territory. </w:t>
      </w:r>
      <w:r w:rsidRPr="00A61D85">
        <w:rPr>
          <w:b/>
        </w:rPr>
        <w:t>GP</w:t>
      </w:r>
      <w:r>
        <w:t xml:space="preserve"> </w:t>
      </w:r>
      <w:r w:rsidRPr="009003B1">
        <w:t>Species has been assessed previously in a Group PRA</w:t>
      </w:r>
      <w:r>
        <w:t>, and the Group PRA has been applied</w:t>
      </w:r>
      <w:r w:rsidRPr="009003B1">
        <w:t xml:space="preserve">. </w:t>
      </w:r>
      <w:r>
        <w:rPr>
          <w:b/>
        </w:rPr>
        <w:t xml:space="preserve">a </w:t>
      </w:r>
      <w:r w:rsidRPr="00945121">
        <w:rPr>
          <w:bCs/>
        </w:rPr>
        <w:t>Thrips species that is also identified as a regulated article for Australia as it vectors emerging quarantine orthotospoviruses</w:t>
      </w:r>
      <w:r>
        <w:rPr>
          <w:bCs/>
        </w:rPr>
        <w:t>.</w:t>
      </w:r>
    </w:p>
    <w:p w14:paraId="1F0E2331" w14:textId="77777777" w:rsidR="003438A2" w:rsidRDefault="003438A2" w:rsidP="00C25EA7">
      <w:pPr>
        <w:rPr>
          <w:highlight w:val="yellow"/>
        </w:rPr>
      </w:pPr>
    </w:p>
    <w:p w14:paraId="7C68CCD7" w14:textId="77777777" w:rsidR="003438A2" w:rsidRPr="0078380E" w:rsidRDefault="003438A2" w:rsidP="00C25EA7">
      <w:pPr>
        <w:pStyle w:val="Caption"/>
      </w:pPr>
      <w:r>
        <w:rPr>
          <w:highlight w:val="yellow"/>
        </w:rPr>
        <w:br w:type="page"/>
      </w:r>
    </w:p>
    <w:p w14:paraId="5B873D3A" w14:textId="77777777" w:rsidR="003438A2" w:rsidRPr="0061441B" w:rsidRDefault="003438A2" w:rsidP="00C25EA7">
      <w:pPr>
        <w:pStyle w:val="Heading3"/>
      </w:pPr>
      <w:bookmarkStart w:id="146" w:name="_Ref108441740"/>
      <w:bookmarkStart w:id="147" w:name="_Toc112769001"/>
      <w:bookmarkStart w:id="148" w:name="_Hlk88562558"/>
      <w:bookmarkEnd w:id="145"/>
      <w:r w:rsidRPr="0061441B">
        <w:lastRenderedPageBreak/>
        <w:t>Flat scarlet mite</w:t>
      </w:r>
      <w:bookmarkEnd w:id="146"/>
      <w:bookmarkEnd w:id="147"/>
    </w:p>
    <w:p w14:paraId="6E44D447" w14:textId="77777777" w:rsidR="003438A2" w:rsidRPr="008B03E8" w:rsidRDefault="003438A2" w:rsidP="00C25EA7">
      <w:pPr>
        <w:pStyle w:val="Heading4"/>
        <w:numPr>
          <w:ilvl w:val="0"/>
          <w:numId w:val="0"/>
        </w:numPr>
        <w:rPr>
          <w:rFonts w:eastAsia="Times New Roman" w:cs="Arial"/>
          <w:sz w:val="28"/>
          <w:szCs w:val="20"/>
        </w:rPr>
      </w:pPr>
      <w:r>
        <w:rPr>
          <w:i/>
        </w:rPr>
        <w:t xml:space="preserve">Cenopalpus pulcher </w:t>
      </w:r>
      <w:r>
        <w:t>(EP)</w:t>
      </w:r>
    </w:p>
    <w:p w14:paraId="61908B72" w14:textId="77777777" w:rsidR="003438A2" w:rsidRDefault="003438A2" w:rsidP="00C25EA7">
      <w:r>
        <w:rPr>
          <w:i/>
        </w:rPr>
        <w:t>Cenopalpus </w:t>
      </w:r>
      <w:r w:rsidRPr="00416812">
        <w:rPr>
          <w:i/>
        </w:rPr>
        <w:t>pulcher</w:t>
      </w:r>
      <w:r w:rsidRPr="00416812">
        <w:t xml:space="preserve"> belongs to the </w:t>
      </w:r>
      <w:r>
        <w:t xml:space="preserve">mite </w:t>
      </w:r>
      <w:r w:rsidRPr="00416812">
        <w:t>family Tenuipalpidae</w:t>
      </w:r>
      <w:r>
        <w:t>.</w:t>
      </w:r>
      <w:r w:rsidRPr="00416812">
        <w:t xml:space="preserve"> </w:t>
      </w:r>
      <w:r>
        <w:t xml:space="preserve">It is distributed throughout Europe, </w:t>
      </w:r>
      <w:r w:rsidRPr="004C50DE">
        <w:t>Africa, the Middle East</w:t>
      </w:r>
      <w:r>
        <w:t>,</w:t>
      </w:r>
      <w:r w:rsidRPr="004C50DE">
        <w:t xml:space="preserve"> restricted areas of North America </w:t>
      </w:r>
      <w:bookmarkStart w:id="149" w:name="_Hlk46077116"/>
      <w:r>
        <w:t xml:space="preserve">and China </w:t>
      </w:r>
      <w:r>
        <w:rPr>
          <w:noProof/>
        </w:rPr>
        <w:t>(Arabuli &amp; Tskitshvili 2008; USDA-APHIS 2000; Vacante 2015)</w:t>
      </w:r>
      <w:r>
        <w:t>.</w:t>
      </w:r>
      <w:r w:rsidRPr="004C50DE">
        <w:t xml:space="preserve"> </w:t>
      </w:r>
      <w:r w:rsidRPr="004C50DE">
        <w:rPr>
          <w:i/>
        </w:rPr>
        <w:t>Cenopalpus pulcher</w:t>
      </w:r>
      <w:r w:rsidRPr="004C50DE">
        <w:t xml:space="preserve"> was originally reported in PNW-USA in Benton and Linn c</w:t>
      </w:r>
      <w:r>
        <w:t xml:space="preserve">ounties in </w:t>
      </w:r>
      <w:r w:rsidRPr="004C50DE">
        <w:t>Oregon</w:t>
      </w:r>
      <w:r>
        <w:t xml:space="preserve"> </w:t>
      </w:r>
      <w:r>
        <w:rPr>
          <w:noProof/>
        </w:rPr>
        <w:t>(Bajwa, Krantz &amp; Kogan 2001)</w:t>
      </w:r>
      <w:r>
        <w:t xml:space="preserve"> </w:t>
      </w:r>
      <w:r w:rsidRPr="004C50DE">
        <w:t xml:space="preserve">and then became established in </w:t>
      </w:r>
      <w:r>
        <w:t xml:space="preserve">most counties of </w:t>
      </w:r>
      <w:r w:rsidRPr="004C50DE">
        <w:t>the Willamette Valley of western Oregon</w:t>
      </w:r>
      <w:r>
        <w:t xml:space="preserve"> </w:t>
      </w:r>
      <w:r>
        <w:rPr>
          <w:noProof/>
        </w:rPr>
        <w:t>(Bajwa &amp; Kogan 2001; Bajwa &amp; Kogan 2003)</w:t>
      </w:r>
      <w:r w:rsidRPr="004C50DE">
        <w:t>.</w:t>
      </w:r>
      <w:bookmarkEnd w:id="149"/>
      <w:r w:rsidRPr="004C50DE">
        <w:t xml:space="preserve"> </w:t>
      </w:r>
      <w:r w:rsidRPr="00CD3606">
        <w:t>T</w:t>
      </w:r>
      <w:r w:rsidRPr="006A3795">
        <w:t xml:space="preserve">here are no reports of </w:t>
      </w:r>
      <w:r w:rsidRPr="006A3795">
        <w:rPr>
          <w:i/>
        </w:rPr>
        <w:t>C. pulcher</w:t>
      </w:r>
      <w:r w:rsidRPr="006A3795">
        <w:t xml:space="preserve"> in the states of Washington </w:t>
      </w:r>
      <w:r w:rsidRPr="00CD3606">
        <w:t>or I</w:t>
      </w:r>
      <w:r w:rsidRPr="006A3795">
        <w:t>daho</w:t>
      </w:r>
      <w:r>
        <w:t>.</w:t>
      </w:r>
      <w:r w:rsidRPr="00BC70C3">
        <w:rPr>
          <w:strike/>
        </w:rPr>
        <w:t xml:space="preserve"> </w:t>
      </w:r>
    </w:p>
    <w:p w14:paraId="014284BC" w14:textId="77777777" w:rsidR="003438A2" w:rsidRDefault="003438A2" w:rsidP="00C25EA7">
      <w:r w:rsidRPr="004C50DE">
        <w:t>Primary ho</w:t>
      </w:r>
      <w:r>
        <w:t xml:space="preserve">sts of </w:t>
      </w:r>
      <w:r w:rsidRPr="006A3795">
        <w:rPr>
          <w:i/>
        </w:rPr>
        <w:t xml:space="preserve">C. pulcher </w:t>
      </w:r>
      <w:r>
        <w:t xml:space="preserve">are members of the family Rosaceae </w:t>
      </w:r>
      <w:bookmarkStart w:id="150" w:name="_Hlk100558395"/>
      <w:r>
        <w:rPr>
          <w:noProof/>
        </w:rPr>
        <w:t>(Bajwa &amp; Kogan 2003)</w:t>
      </w:r>
      <w:bookmarkEnd w:id="150"/>
      <w:r>
        <w:t xml:space="preserve">, </w:t>
      </w:r>
      <w:r w:rsidRPr="004C50DE">
        <w:t>including apple, quince and stone fruit</w:t>
      </w:r>
      <w:r>
        <w:t xml:space="preserve"> </w:t>
      </w:r>
      <w:r>
        <w:rPr>
          <w:noProof/>
        </w:rPr>
        <w:t>(Vacante 2015)</w:t>
      </w:r>
      <w:r w:rsidRPr="004C50DE">
        <w:t xml:space="preserve">. Other economically important hosts include citrus and grapes </w:t>
      </w:r>
      <w:r>
        <w:rPr>
          <w:noProof/>
        </w:rPr>
        <w:t>(Vacante 2015)</w:t>
      </w:r>
      <w:r w:rsidRPr="004C50DE">
        <w:t>.</w:t>
      </w:r>
      <w:r>
        <w:t xml:space="preserve"> </w:t>
      </w:r>
      <w:r>
        <w:rPr>
          <w:i/>
        </w:rPr>
        <w:t>Cenopalpus </w:t>
      </w:r>
      <w:r w:rsidRPr="00416812">
        <w:rPr>
          <w:i/>
        </w:rPr>
        <w:t>pulcher</w:t>
      </w:r>
      <w:r w:rsidRPr="00416812">
        <w:t xml:space="preserve"> </w:t>
      </w:r>
      <w:r>
        <w:t xml:space="preserve">prefers feeding on the lower leaf surface, which </w:t>
      </w:r>
      <w:r w:rsidRPr="00416812">
        <w:t>may cause stippling of injured tissue, leaf and fruit drop</w:t>
      </w:r>
      <w:r>
        <w:t>,</w:t>
      </w:r>
      <w:r w:rsidRPr="00416812">
        <w:t xml:space="preserve"> </w:t>
      </w:r>
      <w:r>
        <w:t>and/</w:t>
      </w:r>
      <w:r w:rsidRPr="00416812">
        <w:t xml:space="preserve">or twig die-back </w:t>
      </w:r>
      <w:r>
        <w:rPr>
          <w:noProof/>
        </w:rPr>
        <w:t>(Jeppson, Keifer &amp; Baker 1975)</w:t>
      </w:r>
      <w:r w:rsidRPr="00416812">
        <w:t xml:space="preserve">. </w:t>
      </w:r>
      <w:r>
        <w:t>It</w:t>
      </w:r>
      <w:r w:rsidRPr="00416812">
        <w:t xml:space="preserve"> </w:t>
      </w:r>
      <w:r>
        <w:t>may</w:t>
      </w:r>
      <w:r w:rsidRPr="00416812">
        <w:t xml:space="preserve"> also fee</w:t>
      </w:r>
      <w:r>
        <w:t xml:space="preserve">d on fruit </w:t>
      </w:r>
      <w:r>
        <w:rPr>
          <w:noProof/>
        </w:rPr>
        <w:t>(Bajwa &amp; Kogan 2003)</w:t>
      </w:r>
      <w:r>
        <w:t>.</w:t>
      </w:r>
    </w:p>
    <w:p w14:paraId="6FEADE7C" w14:textId="77777777" w:rsidR="003438A2" w:rsidRDefault="003438A2" w:rsidP="00C25EA7">
      <w:r w:rsidRPr="006B0AAD">
        <w:rPr>
          <w:i/>
        </w:rPr>
        <w:t>Cenopalpus pulcher</w:t>
      </w:r>
      <w:r w:rsidRPr="006B0AAD">
        <w:t xml:space="preserve"> has </w:t>
      </w:r>
      <w:r>
        <w:t>five</w:t>
      </w:r>
      <w:r w:rsidRPr="006B0AAD">
        <w:t xml:space="preserve"> life stages: egg, larva, two nymph stages (protonymph and deutonymph) and adult </w:t>
      </w:r>
      <w:r>
        <w:rPr>
          <w:noProof/>
        </w:rPr>
        <w:t>(Zaher, Soliman &amp; El-Safi 1974)</w:t>
      </w:r>
      <w:r w:rsidRPr="006B0AAD">
        <w:t xml:space="preserve">. The scarlet-coloured adult females </w:t>
      </w:r>
      <w:r>
        <w:t xml:space="preserve">are approximately 0.32 mm long and 0.16 </w:t>
      </w:r>
      <w:r w:rsidRPr="006B0AAD">
        <w:t>mm wide</w:t>
      </w:r>
      <w:r>
        <w:t xml:space="preserve"> </w:t>
      </w:r>
      <w:r>
        <w:rPr>
          <w:noProof/>
        </w:rPr>
        <w:t>(Dosse 1953; Jeppson, Keifer &amp; Baker 1975)</w:t>
      </w:r>
      <w:r w:rsidRPr="006B0AAD">
        <w:t xml:space="preserve">. </w:t>
      </w:r>
      <w:r>
        <w:t>A</w:t>
      </w:r>
      <w:r w:rsidRPr="006B0AAD">
        <w:t xml:space="preserve">dult males are shorter and paler than females, and their abdomens are almost transparent and </w:t>
      </w:r>
      <w:r>
        <w:t xml:space="preserve">upward </w:t>
      </w:r>
      <w:r w:rsidRPr="006B0AAD">
        <w:t xml:space="preserve">curving </w:t>
      </w:r>
      <w:r>
        <w:rPr>
          <w:noProof/>
        </w:rPr>
        <w:t>(Dosse 1953)</w:t>
      </w:r>
      <w:r w:rsidRPr="006B0AAD">
        <w:t>. Females deposit eggs on the striations</w:t>
      </w:r>
      <w:r w:rsidRPr="00CD3606">
        <w:t xml:space="preserve">, </w:t>
      </w:r>
      <w:r w:rsidRPr="006B0AAD">
        <w:t>natural pits and gro</w:t>
      </w:r>
      <w:r>
        <w:t>oves of leaves, buds, and fruits</w:t>
      </w:r>
      <w:r w:rsidRPr="006B0AAD">
        <w:t xml:space="preserve"> of apple and other </w:t>
      </w:r>
      <w:r>
        <w:t xml:space="preserve">hosts </w:t>
      </w:r>
      <w:r>
        <w:rPr>
          <w:noProof/>
        </w:rPr>
        <w:t>(Bajwa &amp; Kogan 2003; Zaher, Soliman &amp; El-Safi 1974)</w:t>
      </w:r>
      <w:r>
        <w:t>.</w:t>
      </w:r>
      <w:r w:rsidRPr="006B0AAD">
        <w:t xml:space="preserve"> </w:t>
      </w:r>
      <w:r w:rsidRPr="006B0AAD">
        <w:rPr>
          <w:i/>
        </w:rPr>
        <w:t>Cenopalpus pulcher</w:t>
      </w:r>
      <w:r w:rsidRPr="006B0AAD">
        <w:t xml:space="preserve"> is arrhenotokous</w:t>
      </w:r>
      <w:r>
        <w:t xml:space="preserve"> </w:t>
      </w:r>
      <w:r>
        <w:rPr>
          <w:noProof/>
        </w:rPr>
        <w:t>(Zaher, Soliman &amp; El-Safi 1974)</w:t>
      </w:r>
      <w:r>
        <w:t xml:space="preserve">, which is a form of parthenogenesis where </w:t>
      </w:r>
      <w:r w:rsidRPr="006B0AAD">
        <w:t>unfertilised eggs develop into haploid males.</w:t>
      </w:r>
      <w:r>
        <w:t xml:space="preserve"> </w:t>
      </w:r>
    </w:p>
    <w:p w14:paraId="2066321D" w14:textId="77777777" w:rsidR="003438A2" w:rsidRPr="007005CC" w:rsidRDefault="003438A2" w:rsidP="00C25EA7">
      <w:r w:rsidRPr="00416812">
        <w:t xml:space="preserve">Mating </w:t>
      </w:r>
      <w:r>
        <w:t xml:space="preserve">of </w:t>
      </w:r>
      <w:r>
        <w:rPr>
          <w:i/>
          <w:iCs/>
        </w:rPr>
        <w:t xml:space="preserve">C. pulcher </w:t>
      </w:r>
      <w:r w:rsidRPr="00416812">
        <w:t>occurs through</w:t>
      </w:r>
      <w:r>
        <w:t>out</w:t>
      </w:r>
      <w:r w:rsidRPr="00416812">
        <w:t xml:space="preserve"> summer until late summer/autumn</w:t>
      </w:r>
      <w:r>
        <w:t xml:space="preserve"> </w:t>
      </w:r>
      <w:r>
        <w:rPr>
          <w:noProof/>
        </w:rPr>
        <w:t>(Dosse 1953; Zaher, Soliman &amp; El-Safi 1974)</w:t>
      </w:r>
      <w:r>
        <w:t>.</w:t>
      </w:r>
      <w:r w:rsidRPr="00416812">
        <w:t xml:space="preserve"> </w:t>
      </w:r>
      <w:r w:rsidRPr="00416812">
        <w:rPr>
          <w:i/>
        </w:rPr>
        <w:t>Cenopalpus</w:t>
      </w:r>
      <w:r>
        <w:rPr>
          <w:i/>
        </w:rPr>
        <w:t> </w:t>
      </w:r>
      <w:r w:rsidRPr="00416812">
        <w:rPr>
          <w:i/>
        </w:rPr>
        <w:t>pulcher</w:t>
      </w:r>
      <w:r w:rsidRPr="00416812">
        <w:t xml:space="preserve"> produces </w:t>
      </w:r>
      <w:r>
        <w:t xml:space="preserve">one </w:t>
      </w:r>
      <w:r w:rsidRPr="00416812">
        <w:t xml:space="preserve">generation </w:t>
      </w:r>
      <w:r>
        <w:t>per</w:t>
      </w:r>
      <w:r w:rsidRPr="00416812">
        <w:t xml:space="preserve"> year in </w:t>
      </w:r>
      <w:r>
        <w:t xml:space="preserve">the </w:t>
      </w:r>
      <w:r w:rsidRPr="00416812">
        <w:t xml:space="preserve">cool-temperate climates </w:t>
      </w:r>
      <w:r>
        <w:t xml:space="preserve">of Europe and North America </w:t>
      </w:r>
      <w:r>
        <w:rPr>
          <w:noProof/>
        </w:rPr>
        <w:t>(Bajwa &amp; Kogan 2003; Dosse 1953)</w:t>
      </w:r>
      <w:r>
        <w:t>, compared with three generations per</w:t>
      </w:r>
      <w:r w:rsidRPr="00416812">
        <w:t xml:space="preserve"> year in</w:t>
      </w:r>
      <w:r>
        <w:t xml:space="preserve"> the</w:t>
      </w:r>
      <w:r w:rsidRPr="00416812">
        <w:t xml:space="preserve"> warm-temperate or Mediterranean climate</w:t>
      </w:r>
      <w:r>
        <w:t>s of</w:t>
      </w:r>
      <w:r w:rsidRPr="00416812">
        <w:t xml:space="preserve"> Egypt </w:t>
      </w:r>
      <w:r w:rsidRPr="007F4AA1">
        <w:rPr>
          <w:noProof/>
        </w:rPr>
        <w:t>(Zaher, Soliman &amp; El-Safi 1974)</w:t>
      </w:r>
      <w:r w:rsidRPr="007F4AA1">
        <w:t xml:space="preserve">, Iran </w:t>
      </w:r>
      <w:r w:rsidRPr="007F4AA1">
        <w:rPr>
          <w:noProof/>
        </w:rPr>
        <w:t>(Sepasgosarian 1970)</w:t>
      </w:r>
      <w:r w:rsidRPr="007F4AA1">
        <w:t xml:space="preserve"> and </w:t>
      </w:r>
      <w:r w:rsidRPr="00416812">
        <w:t xml:space="preserve">Iraq </w:t>
      </w:r>
      <w:r>
        <w:rPr>
          <w:noProof/>
        </w:rPr>
        <w:t>(Elmosa 1971)</w:t>
      </w:r>
      <w:r w:rsidRPr="00416812">
        <w:t>. Before winter, the short-lived males die, while females</w:t>
      </w:r>
      <w:r>
        <w:t xml:space="preserve">, </w:t>
      </w:r>
      <w:r w:rsidRPr="00416812">
        <w:t xml:space="preserve">as nymphs </w:t>
      </w:r>
      <w:r>
        <w:t xml:space="preserve">or adults, </w:t>
      </w:r>
      <w:r w:rsidRPr="00416812">
        <w:t>enter hibernation</w:t>
      </w:r>
      <w:r>
        <w:t xml:space="preserve"> </w:t>
      </w:r>
      <w:r>
        <w:rPr>
          <w:noProof/>
        </w:rPr>
        <w:t>(Bajwa &amp; Kogan 2003; Elmosa 1971; Vacante 2015; Zaher, Soliman &amp; El-Safi 1974)</w:t>
      </w:r>
      <w:r>
        <w:t xml:space="preserve">. Adults and nymphs of </w:t>
      </w:r>
      <w:r>
        <w:rPr>
          <w:i/>
        </w:rPr>
        <w:t xml:space="preserve">C. pulcher </w:t>
      </w:r>
      <w:r>
        <w:t xml:space="preserve">are capable of overwintering on old leaves which may remain on the trees in winter, and also on branches and trunks </w:t>
      </w:r>
      <w:r>
        <w:rPr>
          <w:noProof/>
        </w:rPr>
        <w:t>(Elmosa 1971)</w:t>
      </w:r>
      <w:r>
        <w:t xml:space="preserve">. </w:t>
      </w:r>
      <w:r>
        <w:rPr>
          <w:i/>
        </w:rPr>
        <w:t>Cenopalpus pulcher</w:t>
      </w:r>
      <w:r>
        <w:t xml:space="preserve"> has been found to overwinter on the loose bark of branches, but not on smooth areas </w:t>
      </w:r>
      <w:r>
        <w:rPr>
          <w:noProof/>
        </w:rPr>
        <w:t>(Vacante 2015)</w:t>
      </w:r>
      <w:r>
        <w:t>. Approximately</w:t>
      </w:r>
      <w:r>
        <w:rPr>
          <w:lang w:eastAsia="en-AU"/>
        </w:rPr>
        <w:t xml:space="preserve"> 90 to 94% of hibernating adult females shelter under old bud scales on vegetative terminals </w:t>
      </w:r>
      <w:r>
        <w:t xml:space="preserve">and readily survive cold conditions </w:t>
      </w:r>
      <w:r>
        <w:rPr>
          <w:noProof/>
        </w:rPr>
        <w:t>(Bajwa &amp; Kogan 2003)</w:t>
      </w:r>
      <w:r>
        <w:t xml:space="preserve">. In its native habitat, </w:t>
      </w:r>
      <w:r>
        <w:rPr>
          <w:i/>
          <w:iCs/>
        </w:rPr>
        <w:t xml:space="preserve">C. pulcher </w:t>
      </w:r>
      <w:r>
        <w:t xml:space="preserve">is able to </w:t>
      </w:r>
      <w:r w:rsidRPr="006A3795">
        <w:t xml:space="preserve">survive temperatures as cold as </w:t>
      </w:r>
      <w:r w:rsidRPr="006A3795">
        <w:sym w:font="Symbol" w:char="F02D"/>
      </w:r>
      <w:r w:rsidRPr="006A3795">
        <w:t>30</w:t>
      </w:r>
      <w:r w:rsidRPr="00A824CD">
        <w:rPr>
          <w:rFonts w:cstheme="minorHAnsi"/>
        </w:rPr>
        <w:t>°</w:t>
      </w:r>
      <w:r w:rsidRPr="00654D57">
        <w:t>C</w:t>
      </w:r>
      <w:r>
        <w:t xml:space="preserve"> </w:t>
      </w:r>
      <w:r>
        <w:rPr>
          <w:noProof/>
        </w:rPr>
        <w:t>(Jeppson, Keifer &amp; Baker 1975; Sepasgosarian 1970; Vacante 2015)</w:t>
      </w:r>
      <w:r>
        <w:t>.</w:t>
      </w:r>
      <w:r w:rsidRPr="007005CC">
        <w:t xml:space="preserve"> </w:t>
      </w:r>
    </w:p>
    <w:p w14:paraId="0B9D3351" w14:textId="77777777" w:rsidR="003438A2" w:rsidRPr="007674C7" w:rsidRDefault="003438A2" w:rsidP="00C25EA7">
      <w:r w:rsidRPr="007005CC">
        <w:t xml:space="preserve">The risk scenario of biosecurity concern is that eggs, </w:t>
      </w:r>
      <w:r w:rsidRPr="007005CC">
        <w:rPr>
          <w:rFonts w:ascii="Times New Roman" w:hAnsi="Times New Roman"/>
        </w:rPr>
        <w:t xml:space="preserve">nymphs and adults </w:t>
      </w:r>
      <w:r w:rsidRPr="007005CC">
        <w:t xml:space="preserve">of </w:t>
      </w:r>
      <w:r w:rsidRPr="007674C7">
        <w:rPr>
          <w:i/>
        </w:rPr>
        <w:t>C. pulcher</w:t>
      </w:r>
      <w:r w:rsidRPr="007674C7">
        <w:rPr>
          <w:iCs/>
        </w:rPr>
        <w:t xml:space="preserve"> </w:t>
      </w:r>
      <w:r w:rsidRPr="007674C7">
        <w:t xml:space="preserve">may be imported on </w:t>
      </w:r>
      <w:r>
        <w:t xml:space="preserve">the </w:t>
      </w:r>
      <w:r w:rsidRPr="007674C7">
        <w:t>apple fruit from PNW-USA pathway.</w:t>
      </w:r>
    </w:p>
    <w:p w14:paraId="28C6676B" w14:textId="77777777" w:rsidR="003438A2" w:rsidRDefault="003438A2" w:rsidP="00C25EA7">
      <w:pPr>
        <w:rPr>
          <w:i/>
        </w:rPr>
      </w:pPr>
      <w:r w:rsidRPr="007674C7">
        <w:rPr>
          <w:i/>
        </w:rPr>
        <w:t xml:space="preserve">Cenopalpus pulcher </w:t>
      </w:r>
      <w:r w:rsidRPr="007674C7">
        <w:t xml:space="preserve">has been assessed previously in the existing policy for fresh apple fruit from the People’s Republic of China (China) </w:t>
      </w:r>
      <w:r w:rsidRPr="007674C7">
        <w:rPr>
          <w:noProof/>
        </w:rPr>
        <w:t>(Biosecurity Australia 2010a)</w:t>
      </w:r>
      <w:r w:rsidRPr="007674C7">
        <w:t>. In that policy</w:t>
      </w:r>
      <w:r>
        <w:t xml:space="preserve">, the unrestricted risk estimate for </w:t>
      </w:r>
      <w:r>
        <w:rPr>
          <w:i/>
        </w:rPr>
        <w:t xml:space="preserve">C. pulcher </w:t>
      </w:r>
      <w:r>
        <w:t xml:space="preserve">was assessed as Low, </w:t>
      </w:r>
      <w:r w:rsidRPr="00B666AA">
        <w:t xml:space="preserve">which </w:t>
      </w:r>
      <w:r>
        <w:t>does not achieve</w:t>
      </w:r>
      <w:r w:rsidRPr="00B666AA">
        <w:t xml:space="preserve"> the ALOP </w:t>
      </w:r>
      <w:r w:rsidRPr="00B666AA">
        <w:lastRenderedPageBreak/>
        <w:t>for</w:t>
      </w:r>
      <w:r w:rsidRPr="0034644A">
        <w:t xml:space="preserve"> Australia. </w:t>
      </w:r>
      <w:r>
        <w:t xml:space="preserve">Therefore, specific risk management measures are required for </w:t>
      </w:r>
      <w:r>
        <w:rPr>
          <w:i/>
        </w:rPr>
        <w:t xml:space="preserve">C. pulcher </w:t>
      </w:r>
      <w:r w:rsidRPr="006273CC">
        <w:t>on th</w:t>
      </w:r>
      <w:r>
        <w:t>e apples from China</w:t>
      </w:r>
      <w:r w:rsidRPr="006273CC">
        <w:t xml:space="preserve"> pathway</w:t>
      </w:r>
      <w:r>
        <w:rPr>
          <w:i/>
        </w:rPr>
        <w:t>.</w:t>
      </w:r>
    </w:p>
    <w:p w14:paraId="5E7A482A" w14:textId="77777777" w:rsidR="003438A2" w:rsidRPr="007F4AA1" w:rsidRDefault="003438A2" w:rsidP="00C25EA7">
      <w:pPr>
        <w:rPr>
          <w:b/>
        </w:rPr>
      </w:pPr>
      <w:r w:rsidRPr="007F4AA1">
        <w:t xml:space="preserve">The department assessed the likelihood of importation of </w:t>
      </w:r>
      <w:r w:rsidRPr="007F4AA1">
        <w:rPr>
          <w:i/>
        </w:rPr>
        <w:t>C. pulcher</w:t>
      </w:r>
      <w:r w:rsidRPr="007F4AA1">
        <w:t xml:space="preserve"> on fresh apple fruit from China as High. Due to the restricted distribution of </w:t>
      </w:r>
      <w:r w:rsidRPr="007F4AA1">
        <w:rPr>
          <w:i/>
        </w:rPr>
        <w:t xml:space="preserve">C. pulcher </w:t>
      </w:r>
      <w:r w:rsidRPr="007F4AA1">
        <w:rPr>
          <w:iCs/>
        </w:rPr>
        <w:t xml:space="preserve">in the PNW-USA, it was necessary to assess the likelihood of importation of </w:t>
      </w:r>
      <w:r w:rsidRPr="007F4AA1">
        <w:rPr>
          <w:i/>
        </w:rPr>
        <w:t xml:space="preserve">C. pulcher </w:t>
      </w:r>
      <w:r w:rsidRPr="007F4AA1">
        <w:rPr>
          <w:iCs/>
        </w:rPr>
        <w:t xml:space="preserve">on the fresh apple fruit from PNW-USA pathway. </w:t>
      </w:r>
    </w:p>
    <w:p w14:paraId="142F5A5D" w14:textId="77777777" w:rsidR="003438A2" w:rsidRDefault="003438A2" w:rsidP="00C25EA7">
      <w:r w:rsidRPr="00C7745A">
        <w:t xml:space="preserve">The previous assessment of </w:t>
      </w:r>
      <w:r w:rsidRPr="00C7745A">
        <w:rPr>
          <w:i/>
        </w:rPr>
        <w:t>C. pulcher</w:t>
      </w:r>
      <w:r w:rsidRPr="00C7745A">
        <w:t xml:space="preserve"> on apples from China rated the likelihood of distribution as Moderate. Apples from PNW-USA are expected to be distributed in Australia</w:t>
      </w:r>
      <w:r>
        <w:t>,</w:t>
      </w:r>
      <w:r w:rsidRPr="00C7745A">
        <w:t xml:space="preserve"> </w:t>
      </w:r>
      <w:r w:rsidRPr="00945121">
        <w:rPr>
          <w:color w:val="000000" w:themeColor="text1"/>
        </w:rPr>
        <w:t>as a result of processing, sale or disposal</w:t>
      </w:r>
      <w:r>
        <w:rPr>
          <w:color w:val="000000" w:themeColor="text1"/>
        </w:rPr>
        <w:t>,</w:t>
      </w:r>
      <w:r w:rsidRPr="00C7745A">
        <w:t xml:space="preserve"> in a similar way to apples from China. </w:t>
      </w:r>
      <w:r>
        <w:t xml:space="preserve">Apples can be imported all year round, therefore, </w:t>
      </w:r>
      <w:r w:rsidRPr="00B81F41">
        <w:t>there would be no seasonal differences between both import pathways to contribute to variation in the risk rating for likelihood of distribution</w:t>
      </w:r>
      <w:r>
        <w:t xml:space="preserve">. </w:t>
      </w:r>
      <w:r w:rsidRPr="00C7745A">
        <w:t xml:space="preserve">Apple fruit </w:t>
      </w:r>
      <w:r>
        <w:t>are</w:t>
      </w:r>
      <w:r w:rsidRPr="00C7745A">
        <w:t xml:space="preserve"> </w:t>
      </w:r>
      <w:r>
        <w:t>imported</w:t>
      </w:r>
      <w:r w:rsidRPr="00C7745A">
        <w:t xml:space="preserve"> for human consumption, and mites may remain on fruit during wholesale and retail distribution in Australia. Apple </w:t>
      </w:r>
      <w:r>
        <w:t>waste</w:t>
      </w:r>
      <w:r w:rsidRPr="00C7745A">
        <w:t xml:space="preserve"> disposed of through managed waste systems </w:t>
      </w:r>
      <w:r>
        <w:t>is</w:t>
      </w:r>
      <w:r w:rsidRPr="00C7745A">
        <w:t xml:space="preserve"> unlikely to distribute </w:t>
      </w:r>
      <w:r w:rsidRPr="00C7745A">
        <w:rPr>
          <w:i/>
        </w:rPr>
        <w:t xml:space="preserve">C. pulcher </w:t>
      </w:r>
      <w:r w:rsidRPr="00C7745A">
        <w:t>into the environment. However, apple waste discarded as litter may be deposited throughout Australia into urban, peri-urban and agricultural situations, as well as areas of natural vegetation.</w:t>
      </w:r>
      <w:r>
        <w:t xml:space="preserve"> Crawling is the most likely mode of movement of </w:t>
      </w:r>
      <w:r>
        <w:rPr>
          <w:i/>
        </w:rPr>
        <w:t xml:space="preserve">C. pulcher </w:t>
      </w:r>
      <w:r>
        <w:t xml:space="preserve">from fruit waste to host plants, but mobility by crawling is limited due to the small size of the pest. Suitable hosts for </w:t>
      </w:r>
      <w:r>
        <w:rPr>
          <w:i/>
        </w:rPr>
        <w:t>C. pulcher</w:t>
      </w:r>
      <w:r>
        <w:t xml:space="preserve">, including fruit crops (apple, apricot, pear, pomegranate, plum, quince, citrus, grapes and walnut) and amenity trees (sycamore and willow), are commonly found in southern areas of Australia </w:t>
      </w:r>
      <w:r>
        <w:rPr>
          <w:noProof/>
        </w:rPr>
        <w:t>(Hnatiuk 1990)</w:t>
      </w:r>
      <w:r>
        <w:t>. For these reasons</w:t>
      </w:r>
      <w:r w:rsidRPr="0034644A">
        <w:t xml:space="preserve">, the same rating of Moderate for the likelihood of distribution </w:t>
      </w:r>
      <w:r>
        <w:t>of</w:t>
      </w:r>
      <w:r w:rsidRPr="0034644A">
        <w:t xml:space="preserve"> </w:t>
      </w:r>
      <w:r>
        <w:rPr>
          <w:i/>
        </w:rPr>
        <w:t xml:space="preserve">C. pulcher </w:t>
      </w:r>
      <w:r w:rsidRPr="0034644A">
        <w:t xml:space="preserve">on </w:t>
      </w:r>
      <w:r>
        <w:t>the China apple</w:t>
      </w:r>
      <w:r w:rsidRPr="0034644A">
        <w:t xml:space="preserve"> pathway is adopted for the PNW-USA apple pathway.</w:t>
      </w:r>
    </w:p>
    <w:p w14:paraId="77AA52DC" w14:textId="77777777" w:rsidR="003438A2" w:rsidRDefault="003438A2" w:rsidP="00C25EA7">
      <w:pPr>
        <w:rPr>
          <w:lang w:eastAsia="ja-JP"/>
        </w:rPr>
      </w:pPr>
      <w:r>
        <w:t xml:space="preserve">The likelihoods of establishment and spread of </w:t>
      </w:r>
      <w:r>
        <w:rPr>
          <w:i/>
        </w:rPr>
        <w:t xml:space="preserve">C. pulcher </w:t>
      </w:r>
      <w:r>
        <w:t>in Australia from</w:t>
      </w:r>
      <w:r w:rsidRPr="0034644A">
        <w:t xml:space="preserve"> the PNW-USA apple pathway </w:t>
      </w:r>
      <w:r>
        <w:t>have been</w:t>
      </w:r>
      <w:r w:rsidRPr="0034644A">
        <w:t xml:space="preserve"> assessed as similar to those </w:t>
      </w:r>
      <w:r>
        <w:t>of the</w:t>
      </w:r>
      <w:r w:rsidRPr="0034644A">
        <w:t xml:space="preserve"> previous assessment</w:t>
      </w:r>
      <w:r>
        <w:t>s</w:t>
      </w:r>
      <w:r w:rsidRPr="0034644A">
        <w:t xml:space="preserve"> </w:t>
      </w:r>
      <w:r>
        <w:t>of</w:t>
      </w:r>
      <w:r w:rsidRPr="0034644A">
        <w:t xml:space="preserve"> </w:t>
      </w:r>
      <w:r>
        <w:t>High and Moderate, respectively, for the apples from China pathway. These likelihoods relate specifically to events that occur in Australia and are</w:t>
      </w:r>
      <w:r w:rsidRPr="003A6316">
        <w:t xml:space="preserve"> </w:t>
      </w:r>
      <w:r>
        <w:t>principally</w:t>
      </w:r>
      <w:r w:rsidRPr="003A6316">
        <w:t xml:space="preserve"> independent of the import pathway</w:t>
      </w:r>
      <w:r>
        <w:t xml:space="preserve">. </w:t>
      </w:r>
      <w:r w:rsidRPr="00686403">
        <w:t xml:space="preserve">The consequences of entry, establishment and spread of </w:t>
      </w:r>
      <w:r w:rsidRPr="00686403">
        <w:rPr>
          <w:i/>
        </w:rPr>
        <w:t xml:space="preserve">C. pulcher </w:t>
      </w:r>
      <w:r w:rsidRPr="00686403">
        <w:t>in Australia are also independent of the import pathway</w:t>
      </w:r>
      <w:r>
        <w:t>,</w:t>
      </w:r>
      <w:r w:rsidRPr="00686403">
        <w:t xml:space="preserve"> and have been assessed as</w:t>
      </w:r>
      <w:r w:rsidRPr="00550575">
        <w:t xml:space="preserve"> </w:t>
      </w:r>
      <w:r>
        <w:t>Moderate.</w:t>
      </w:r>
      <w:r w:rsidRPr="00686403">
        <w:t xml:space="preserve"> </w:t>
      </w:r>
      <w:r w:rsidRPr="00EA2770">
        <w:t>Therefore</w:t>
      </w:r>
      <w:r>
        <w:t>,</w:t>
      </w:r>
      <w:r w:rsidRPr="00EA2770">
        <w:t xml:space="preserve"> the</w:t>
      </w:r>
      <w:r>
        <w:t xml:space="preserve"> </w:t>
      </w:r>
      <w:r w:rsidRPr="00EA2770">
        <w:t xml:space="preserve">ratings for the likelihoods of establishment and spread, and the rating for the overall consequences of </w:t>
      </w:r>
      <w:r w:rsidRPr="00EA2770">
        <w:rPr>
          <w:i/>
        </w:rPr>
        <w:t>C. pulcher</w:t>
      </w:r>
      <w:r w:rsidRPr="00EA2770">
        <w:t xml:space="preserve"> </w:t>
      </w:r>
      <w:r>
        <w:t xml:space="preserve">previously assessed for the China apple pathway </w:t>
      </w:r>
      <w:r w:rsidRPr="00EA2770">
        <w:t xml:space="preserve">have been adopted for </w:t>
      </w:r>
      <w:r>
        <w:t xml:space="preserve">the </w:t>
      </w:r>
      <w:r w:rsidRPr="00EA2770">
        <w:t xml:space="preserve">PNW-USA </w:t>
      </w:r>
      <w:r>
        <w:t xml:space="preserve">apple </w:t>
      </w:r>
      <w:r w:rsidRPr="00EA2770">
        <w:t>pathway.</w:t>
      </w:r>
    </w:p>
    <w:p w14:paraId="5C39C126" w14:textId="77777777" w:rsidR="003438A2" w:rsidRDefault="003438A2" w:rsidP="00C25EA7">
      <w:bookmarkStart w:id="151" w:name="_Hlk46247096"/>
      <w:r>
        <w:t xml:space="preserve">In addition, the department has reviewed the latest literature—for example, </w:t>
      </w:r>
      <w:r>
        <w:rPr>
          <w:noProof/>
        </w:rPr>
        <w:t>Abdelgayed et al. (2017); Kontschán and Ripka (2017); Ueckermann et al. (2018) and Vacante (2015)</w:t>
      </w:r>
      <w:r>
        <w:t xml:space="preserve">. No new information has been identified that would significantly change the risk ratings for distribution, establishment, spread or consequences as set out for </w:t>
      </w:r>
      <w:r>
        <w:rPr>
          <w:i/>
        </w:rPr>
        <w:t>C. pulcher</w:t>
      </w:r>
      <w:r>
        <w:t xml:space="preserve"> in the existing policy for apples from China.</w:t>
      </w:r>
    </w:p>
    <w:bookmarkEnd w:id="151"/>
    <w:p w14:paraId="2EB3B921" w14:textId="77777777" w:rsidR="003438A2" w:rsidRPr="00B81F41" w:rsidRDefault="003438A2" w:rsidP="00C25EA7">
      <w:pPr>
        <w:pStyle w:val="Heading4"/>
      </w:pPr>
      <w:r w:rsidRPr="00B81F41">
        <w:t>Likelihood of entry</w:t>
      </w:r>
    </w:p>
    <w:p w14:paraId="3FD1F729" w14:textId="77777777" w:rsidR="003438A2" w:rsidRPr="00B81F41" w:rsidRDefault="003438A2" w:rsidP="00C25EA7">
      <w:r w:rsidRPr="00B81F41">
        <w:t>The likelihood of entry is considered in 2 parts, the likelihood of importation and the likelihood of distribution, which consider pre-border and post-border issues, respectively.</w:t>
      </w:r>
    </w:p>
    <w:p w14:paraId="7503C75E" w14:textId="77777777" w:rsidR="003438A2" w:rsidRPr="009A1259" w:rsidRDefault="003438A2" w:rsidP="00C25EA7">
      <w:pPr>
        <w:pStyle w:val="Heading5"/>
      </w:pPr>
      <w:r w:rsidRPr="009A1259">
        <w:t xml:space="preserve">Likelihood of importation  </w:t>
      </w:r>
    </w:p>
    <w:p w14:paraId="2D045B6F" w14:textId="77777777" w:rsidR="003438A2" w:rsidRPr="009A1259" w:rsidRDefault="003438A2" w:rsidP="00C25EA7">
      <w:r w:rsidRPr="009A1259">
        <w:t xml:space="preserve">The likelihood that </w:t>
      </w:r>
      <w:r w:rsidRPr="009A1259">
        <w:rPr>
          <w:i/>
        </w:rPr>
        <w:t xml:space="preserve">C. pulcher </w:t>
      </w:r>
      <w:r w:rsidRPr="009A1259">
        <w:rPr>
          <w:iCs/>
        </w:rPr>
        <w:t xml:space="preserve">will arrive in Australia with the importation of apples </w:t>
      </w:r>
      <w:r w:rsidRPr="009A1259">
        <w:t xml:space="preserve">from the PNW-USA is assessed as Low. </w:t>
      </w:r>
    </w:p>
    <w:p w14:paraId="1B347596" w14:textId="77777777" w:rsidR="003438A2" w:rsidRPr="009A1259" w:rsidRDefault="003438A2" w:rsidP="00C25EA7">
      <w:r w:rsidRPr="009A1259">
        <w:lastRenderedPageBreak/>
        <w:t>The following information provides supporting evidence for this assessment.</w:t>
      </w:r>
    </w:p>
    <w:p w14:paraId="468FC12D" w14:textId="77777777" w:rsidR="003438A2" w:rsidRPr="00C25D29" w:rsidRDefault="003438A2" w:rsidP="00C25EA7">
      <w:pPr>
        <w:rPr>
          <w:iCs/>
        </w:rPr>
      </w:pPr>
      <w:r w:rsidRPr="00C25D29">
        <w:rPr>
          <w:i/>
        </w:rPr>
        <w:t>Cenopalpus pulcher</w:t>
      </w:r>
      <w:r w:rsidRPr="00C25D29">
        <w:rPr>
          <w:iCs/>
        </w:rPr>
        <w:t xml:space="preserve"> is a pest of apple fruit, but has not been reported in most of the PNW-USA.</w:t>
      </w:r>
    </w:p>
    <w:p w14:paraId="13F2B258" w14:textId="77777777" w:rsidR="003438A2" w:rsidRPr="00C25D29" w:rsidRDefault="003438A2" w:rsidP="003438A2">
      <w:pPr>
        <w:pStyle w:val="ListBullet"/>
        <w:numPr>
          <w:ilvl w:val="0"/>
          <w:numId w:val="15"/>
        </w:numPr>
      </w:pPr>
      <w:r w:rsidRPr="00C25D29">
        <w:t xml:space="preserve">Apple is a primary host for </w:t>
      </w:r>
      <w:r w:rsidRPr="00C25D29">
        <w:rPr>
          <w:i/>
        </w:rPr>
        <w:t xml:space="preserve">C. pulcher </w:t>
      </w:r>
      <w:r w:rsidRPr="00C25D29">
        <w:rPr>
          <w:noProof/>
        </w:rPr>
        <w:t>(Vacante 2015)</w:t>
      </w:r>
      <w:r w:rsidRPr="00C25D29">
        <w:t>. Although prefer</w:t>
      </w:r>
      <w:r>
        <w:t>ring</w:t>
      </w:r>
      <w:r w:rsidRPr="00C25D29">
        <w:t xml:space="preserve"> to feed on leaves, nymphs and adults may feed on apple fruit </w:t>
      </w:r>
      <w:r w:rsidRPr="00C25D29">
        <w:rPr>
          <w:noProof/>
        </w:rPr>
        <w:t>(Bajwa &amp; Kogan 2003)</w:t>
      </w:r>
      <w:r w:rsidRPr="00C25D29">
        <w:t xml:space="preserve">. </w:t>
      </w:r>
    </w:p>
    <w:p w14:paraId="60B08906" w14:textId="77777777" w:rsidR="003438A2" w:rsidRPr="00C25D29" w:rsidRDefault="003438A2" w:rsidP="003438A2">
      <w:pPr>
        <w:pStyle w:val="ListBullet"/>
        <w:numPr>
          <w:ilvl w:val="0"/>
          <w:numId w:val="15"/>
        </w:numPr>
      </w:pPr>
      <w:r w:rsidRPr="00C25D29">
        <w:t>Adult females deposit eggs on leaves, buds and fruit of apples</w:t>
      </w:r>
      <w:r>
        <w:t xml:space="preserve"> </w:t>
      </w:r>
      <w:r>
        <w:rPr>
          <w:noProof/>
        </w:rPr>
        <w:t>(Bajwa &amp; Kogan 2003; Zaher, Soliman &amp; El-Safi 1974)</w:t>
      </w:r>
      <w:r w:rsidRPr="00C25D29">
        <w:t>.</w:t>
      </w:r>
    </w:p>
    <w:p w14:paraId="6F8587B7" w14:textId="77777777" w:rsidR="003438A2" w:rsidRPr="007674C7" w:rsidRDefault="003438A2" w:rsidP="003438A2">
      <w:pPr>
        <w:pStyle w:val="ListBullet"/>
        <w:numPr>
          <w:ilvl w:val="0"/>
          <w:numId w:val="15"/>
        </w:numPr>
      </w:pPr>
      <w:r w:rsidRPr="003F272B">
        <w:rPr>
          <w:i/>
        </w:rPr>
        <w:t>Cenopalpus pulcher</w:t>
      </w:r>
      <w:r w:rsidRPr="007674C7">
        <w:t xml:space="preserve"> was originally reported on apple fruit in PNW-USA in Benton and Linn counties in Oregon</w:t>
      </w:r>
      <w:r>
        <w:t xml:space="preserve"> </w:t>
      </w:r>
      <w:r>
        <w:rPr>
          <w:noProof/>
        </w:rPr>
        <w:t xml:space="preserve">(Bajwa, Krantz &amp; Kogan 2001) </w:t>
      </w:r>
      <w:r w:rsidRPr="007674C7">
        <w:t>and then reported to have spread to most counties of the Willamette Valley of western Oregon</w:t>
      </w:r>
      <w:r>
        <w:t xml:space="preserve"> </w:t>
      </w:r>
      <w:r>
        <w:rPr>
          <w:noProof/>
        </w:rPr>
        <w:t>(Bajwa, Krantz &amp; Kogan 2001; Bajwa &amp; Kogan 2003; USDA-APHIS 2000)</w:t>
      </w:r>
      <w:r w:rsidRPr="007674C7">
        <w:t xml:space="preserve">. </w:t>
      </w:r>
    </w:p>
    <w:p w14:paraId="70B45DD4" w14:textId="77777777" w:rsidR="003438A2" w:rsidRPr="00E85F77" w:rsidRDefault="003438A2" w:rsidP="003438A2">
      <w:pPr>
        <w:pStyle w:val="ListBullet"/>
        <w:numPr>
          <w:ilvl w:val="0"/>
          <w:numId w:val="15"/>
        </w:numPr>
      </w:pPr>
      <w:r w:rsidRPr="007674C7">
        <w:rPr>
          <w:rStyle w:val="ListBulletChar"/>
        </w:rPr>
        <w:t xml:space="preserve">There are no reports of </w:t>
      </w:r>
      <w:r w:rsidRPr="00805227">
        <w:rPr>
          <w:rStyle w:val="ListBulletChar"/>
          <w:i/>
          <w:iCs/>
        </w:rPr>
        <w:t>C. pulcher</w:t>
      </w:r>
      <w:r w:rsidRPr="007674C7">
        <w:rPr>
          <w:rStyle w:val="ListBulletChar"/>
        </w:rPr>
        <w:t xml:space="preserve"> in the states of Washington or Idaho (Vacante 2015). Approximately 97% of the PNW-USA apples are produced in Washington</w:t>
      </w:r>
      <w:r w:rsidRPr="00E85F77">
        <w:rPr>
          <w:iCs/>
        </w:rPr>
        <w:t>.</w:t>
      </w:r>
    </w:p>
    <w:p w14:paraId="52809303" w14:textId="77777777" w:rsidR="003438A2" w:rsidRPr="00E85F77" w:rsidRDefault="003438A2" w:rsidP="00C25EA7">
      <w:r w:rsidRPr="00E85F77">
        <w:rPr>
          <w:iCs/>
        </w:rPr>
        <w:t xml:space="preserve">Some </w:t>
      </w:r>
      <w:r w:rsidRPr="00E85F77">
        <w:rPr>
          <w:i/>
        </w:rPr>
        <w:t>C. pulcher</w:t>
      </w:r>
      <w:r w:rsidRPr="00E85F77">
        <w:rPr>
          <w:iCs/>
        </w:rPr>
        <w:t xml:space="preserve"> </w:t>
      </w:r>
      <w:r w:rsidRPr="00E85F77">
        <w:t>may not be detected or removed during harvest or post-harvest processing.</w:t>
      </w:r>
    </w:p>
    <w:p w14:paraId="2994C3D1" w14:textId="77777777" w:rsidR="003438A2" w:rsidRPr="009D3191" w:rsidRDefault="003438A2" w:rsidP="003438A2">
      <w:pPr>
        <w:pStyle w:val="ListBullet"/>
        <w:numPr>
          <w:ilvl w:val="0"/>
          <w:numId w:val="15"/>
        </w:numPr>
      </w:pPr>
      <w:r w:rsidRPr="00E85F77">
        <w:t xml:space="preserve">Female </w:t>
      </w:r>
      <w:r w:rsidRPr="00CA72A3">
        <w:rPr>
          <w:i/>
        </w:rPr>
        <w:t>C. pulcher</w:t>
      </w:r>
      <w:r w:rsidRPr="00E85F77">
        <w:t xml:space="preserve"> deposit</w:t>
      </w:r>
      <w:r>
        <w:t>s</w:t>
      </w:r>
      <w:r w:rsidRPr="00E85F77">
        <w:t xml:space="preserve"> eggs on leaf, bud and fruit of its hosts, including apples</w:t>
      </w:r>
      <w:r>
        <w:t xml:space="preserve"> </w:t>
      </w:r>
      <w:r>
        <w:rPr>
          <w:noProof/>
        </w:rPr>
        <w:t>(Bajwa &amp; Kogan 2003; Zaher, Soliman &amp; El-Safi 1974)</w:t>
      </w:r>
      <w:r w:rsidRPr="009D3191">
        <w:t xml:space="preserve">. </w:t>
      </w:r>
    </w:p>
    <w:p w14:paraId="4B28E7B7" w14:textId="77777777" w:rsidR="003438A2" w:rsidRPr="00DB61C7" w:rsidRDefault="003438A2" w:rsidP="003438A2">
      <w:pPr>
        <w:pStyle w:val="ListBullet"/>
        <w:numPr>
          <w:ilvl w:val="0"/>
          <w:numId w:val="15"/>
        </w:numPr>
      </w:pPr>
      <w:r w:rsidRPr="00234A7E">
        <w:t xml:space="preserve">Packing house activities such as washing, brushing and waxing are likely to remove a proportion of </w:t>
      </w:r>
      <w:r w:rsidRPr="00234A7E">
        <w:rPr>
          <w:i/>
        </w:rPr>
        <w:t xml:space="preserve">C. pulcher </w:t>
      </w:r>
      <w:r w:rsidRPr="00234A7E">
        <w:t>on the surface of fruit</w:t>
      </w:r>
      <w:r>
        <w:t xml:space="preserve"> </w:t>
      </w:r>
      <w:r w:rsidRPr="004C72B3">
        <w:rPr>
          <w:noProof/>
        </w:rPr>
        <w:t>(Jamieson et al. 2010; Page-Weir et al. 2018; Rogers et al. 2016).</w:t>
      </w:r>
      <w:r w:rsidRPr="00234A7E">
        <w:rPr>
          <w:noProof/>
        </w:rPr>
        <w:t xml:space="preserve"> Some </w:t>
      </w:r>
      <w:r w:rsidRPr="00234A7E">
        <w:t xml:space="preserve">eggs and nymphs may be present in cavities around the stem and calyx </w:t>
      </w:r>
      <w:r w:rsidRPr="00DB61C7">
        <w:rPr>
          <w:noProof/>
        </w:rPr>
        <w:t>(Zaher, Soliman &amp; El-Safi 1974)</w:t>
      </w:r>
      <w:r w:rsidRPr="00DB61C7">
        <w:t xml:space="preserve"> and are unlikely to be removed by these activities.</w:t>
      </w:r>
    </w:p>
    <w:p w14:paraId="7B4E398F" w14:textId="77777777" w:rsidR="003438A2" w:rsidRPr="00234A7E" w:rsidRDefault="003438A2" w:rsidP="003438A2">
      <w:pPr>
        <w:pStyle w:val="ListBullet"/>
        <w:numPr>
          <w:ilvl w:val="0"/>
          <w:numId w:val="15"/>
        </w:numPr>
        <w:rPr>
          <w:iCs/>
        </w:rPr>
      </w:pPr>
      <w:r w:rsidRPr="00DB61C7">
        <w:rPr>
          <w:iCs/>
        </w:rPr>
        <w:t xml:space="preserve">Due to its small size and cryptic nature, it is possible that not all </w:t>
      </w:r>
      <w:r w:rsidRPr="00DB61C7">
        <w:rPr>
          <w:i/>
        </w:rPr>
        <w:t>C. pulcher</w:t>
      </w:r>
      <w:r w:rsidRPr="00DB61C7">
        <w:t xml:space="preserve"> present on fruit are likely to be detected or removed during packing house activities </w:t>
      </w:r>
      <w:r w:rsidRPr="00DB61C7">
        <w:rPr>
          <w:noProof/>
        </w:rPr>
        <w:t>(Jamieson et al. 2010)</w:t>
      </w:r>
      <w:r w:rsidRPr="00234A7E">
        <w:t>.</w:t>
      </w:r>
    </w:p>
    <w:p w14:paraId="03031A3D" w14:textId="77777777" w:rsidR="003438A2" w:rsidRPr="00EC19FB" w:rsidRDefault="003438A2" w:rsidP="00C25EA7">
      <w:r w:rsidRPr="00EC19FB">
        <w:rPr>
          <w:i/>
        </w:rPr>
        <w:t>Cenopalpus pulcher</w:t>
      </w:r>
      <w:r w:rsidRPr="00EC19FB">
        <w:rPr>
          <w:iCs/>
        </w:rPr>
        <w:t xml:space="preserve"> </w:t>
      </w:r>
      <w:r w:rsidRPr="00EC19FB">
        <w:t>is likely to survive cold temperatures during storage in the PNW-USA and transport to Australia.</w:t>
      </w:r>
    </w:p>
    <w:p w14:paraId="2912503B" w14:textId="77777777" w:rsidR="003438A2" w:rsidRPr="00EC19FB" w:rsidRDefault="003438A2" w:rsidP="003438A2">
      <w:pPr>
        <w:pStyle w:val="ListBullet"/>
        <w:numPr>
          <w:ilvl w:val="0"/>
          <w:numId w:val="15"/>
        </w:numPr>
      </w:pPr>
      <w:r w:rsidRPr="005B06FD">
        <w:rPr>
          <w:iCs/>
        </w:rPr>
        <w:t>Adults and nymphs of</w:t>
      </w:r>
      <w:r w:rsidRPr="005B06FD">
        <w:rPr>
          <w:i/>
        </w:rPr>
        <w:t xml:space="preserve"> C. pulcher</w:t>
      </w:r>
      <w:r w:rsidRPr="005B06FD">
        <w:t xml:space="preserve"> can overwinter for extended periods with no known loss of</w:t>
      </w:r>
      <w:r w:rsidRPr="00EC19FB">
        <w:t xml:space="preserve"> fecundity </w:t>
      </w:r>
      <w:r w:rsidRPr="00EC19FB">
        <w:rPr>
          <w:noProof/>
        </w:rPr>
        <w:t>(Vacante 2015)</w:t>
      </w:r>
      <w:r w:rsidRPr="00EC19FB">
        <w:t xml:space="preserve">. </w:t>
      </w:r>
      <w:r w:rsidRPr="00EC19FB">
        <w:rPr>
          <w:i/>
          <w:iCs/>
        </w:rPr>
        <w:t>Cenopalpus pulcher</w:t>
      </w:r>
      <w:r w:rsidRPr="00EC19FB">
        <w:t xml:space="preserve"> can withstand temperatures of -30°C under field conditions in Iran </w:t>
      </w:r>
      <w:r w:rsidRPr="00EC19FB">
        <w:rPr>
          <w:noProof/>
        </w:rPr>
        <w:t>(Sepasgosarian 1970)</w:t>
      </w:r>
      <w:r w:rsidRPr="00EC19FB">
        <w:t xml:space="preserve">. </w:t>
      </w:r>
    </w:p>
    <w:p w14:paraId="3E9CB882" w14:textId="77777777" w:rsidR="003438A2" w:rsidRPr="00EC19FB" w:rsidRDefault="003438A2" w:rsidP="003438A2">
      <w:pPr>
        <w:pStyle w:val="ListBullet"/>
        <w:numPr>
          <w:ilvl w:val="0"/>
          <w:numId w:val="15"/>
        </w:numPr>
      </w:pPr>
      <w:r w:rsidRPr="00EC19FB">
        <w:rPr>
          <w:iCs/>
        </w:rPr>
        <w:t xml:space="preserve">Overwintering of </w:t>
      </w:r>
      <w:r w:rsidRPr="00EC19FB">
        <w:rPr>
          <w:i/>
        </w:rPr>
        <w:t xml:space="preserve">C. pulcher </w:t>
      </w:r>
      <w:r w:rsidRPr="00EC19FB">
        <w:t xml:space="preserve">in Oregon was also reported </w:t>
      </w:r>
      <w:r w:rsidRPr="00EC19FB">
        <w:rPr>
          <w:noProof/>
        </w:rPr>
        <w:t>(Bajwa &amp; Kogan 2003)</w:t>
      </w:r>
      <w:r w:rsidRPr="00EC19FB">
        <w:t xml:space="preserve">. </w:t>
      </w:r>
    </w:p>
    <w:p w14:paraId="1D5F323D" w14:textId="77777777" w:rsidR="003438A2" w:rsidRPr="00EC19FB" w:rsidRDefault="003438A2" w:rsidP="003438A2">
      <w:pPr>
        <w:pStyle w:val="ListBullet"/>
        <w:numPr>
          <w:ilvl w:val="0"/>
          <w:numId w:val="15"/>
        </w:numPr>
      </w:pPr>
      <w:r w:rsidRPr="00EC19FB">
        <w:t xml:space="preserve">It is expected that </w:t>
      </w:r>
      <w:r w:rsidRPr="00EC19FB">
        <w:rPr>
          <w:i/>
          <w:iCs/>
        </w:rPr>
        <w:t>C. pulcher</w:t>
      </w:r>
      <w:r w:rsidRPr="00EC19FB">
        <w:t xml:space="preserve"> present on apples are likely to survive cold temperatures during transport to Australia. </w:t>
      </w:r>
    </w:p>
    <w:p w14:paraId="68170DEC" w14:textId="77777777" w:rsidR="003438A2" w:rsidRPr="00EA4733" w:rsidRDefault="003438A2" w:rsidP="00C25EA7">
      <w:pPr>
        <w:rPr>
          <w:iCs/>
        </w:rPr>
      </w:pPr>
      <w:r w:rsidRPr="00234A7E">
        <w:rPr>
          <w:i/>
        </w:rPr>
        <w:t>Cenopalpus pulcher</w:t>
      </w:r>
      <w:r w:rsidRPr="00234A7E">
        <w:rPr>
          <w:iCs/>
        </w:rPr>
        <w:t xml:space="preserve"> is a pest of apple fruit and due to its small size and cryptic nature, it is likely that some pest stages will not</w:t>
      </w:r>
      <w:r w:rsidRPr="00234A7E">
        <w:t xml:space="preserve"> be detected and removed during harvesting and packing house activities. This pest is likely to survive cold temperatures during storage in the PNW-USA and transport to Australia. However</w:t>
      </w:r>
      <w:r w:rsidRPr="007674C7">
        <w:t xml:space="preserve">, </w:t>
      </w:r>
      <w:r w:rsidRPr="007674C7">
        <w:rPr>
          <w:i/>
        </w:rPr>
        <w:t>C. pulcher</w:t>
      </w:r>
      <w:r w:rsidRPr="007674C7">
        <w:rPr>
          <w:iCs/>
        </w:rPr>
        <w:t xml:space="preserve"> has not been reported in most of the PNW-USA and is not present in the states of Washington or Idaho. Due to these reasons, the likelihood of importation of </w:t>
      </w:r>
      <w:r w:rsidRPr="007674C7">
        <w:rPr>
          <w:i/>
        </w:rPr>
        <w:t>C. pulcher</w:t>
      </w:r>
      <w:r w:rsidRPr="007674C7">
        <w:rPr>
          <w:iCs/>
        </w:rPr>
        <w:t xml:space="preserve"> on imported</w:t>
      </w:r>
      <w:r w:rsidRPr="00234A7E">
        <w:rPr>
          <w:iCs/>
        </w:rPr>
        <w:t xml:space="preserve"> apples from the PNW-USA is rated as Low.</w:t>
      </w:r>
    </w:p>
    <w:p w14:paraId="577E06AD" w14:textId="77777777" w:rsidR="003438A2" w:rsidRPr="00A3009B" w:rsidRDefault="003438A2" w:rsidP="00C25EA7">
      <w:pPr>
        <w:pStyle w:val="Heading5"/>
      </w:pPr>
      <w:r w:rsidRPr="00A3009B">
        <w:t>Likelihood of distribution</w:t>
      </w:r>
    </w:p>
    <w:p w14:paraId="18D302ED" w14:textId="77777777" w:rsidR="003438A2" w:rsidRPr="00A3009B" w:rsidRDefault="003438A2" w:rsidP="00C25EA7">
      <w:r w:rsidRPr="00A3009B">
        <w:t xml:space="preserve">The likelihood that </w:t>
      </w:r>
      <w:r>
        <w:rPr>
          <w:i/>
          <w:iCs/>
        </w:rPr>
        <w:t>C. pulcher</w:t>
      </w:r>
      <w:r w:rsidRPr="00A3009B">
        <w:t xml:space="preserve"> will be distributed within Australia in a viable state as a result of the processing, sale or disposal of apples from the PNW-USA, and subsequently transfer to a susceptible part of a host is considered to be similar to </w:t>
      </w:r>
      <w:r>
        <w:rPr>
          <w:i/>
          <w:iCs/>
        </w:rPr>
        <w:t>C. pulcher</w:t>
      </w:r>
      <w:r w:rsidRPr="00A3009B">
        <w:rPr>
          <w:i/>
        </w:rPr>
        <w:t xml:space="preserve"> </w:t>
      </w:r>
      <w:r w:rsidRPr="00A3009B">
        <w:rPr>
          <w:iCs/>
        </w:rPr>
        <w:t xml:space="preserve">on apples from </w:t>
      </w:r>
      <w:r>
        <w:rPr>
          <w:iCs/>
        </w:rPr>
        <w:t>China</w:t>
      </w:r>
      <w:r w:rsidRPr="00A3009B">
        <w:t xml:space="preserve">. Therefore, the same rating of </w:t>
      </w:r>
      <w:r>
        <w:t>Moderate</w:t>
      </w:r>
      <w:r w:rsidRPr="00A3009B">
        <w:t xml:space="preserve"> for the likelihood of distribution previously assessed for </w:t>
      </w:r>
      <w:r>
        <w:rPr>
          <w:i/>
          <w:iCs/>
        </w:rPr>
        <w:t>C. pulcher</w:t>
      </w:r>
      <w:r w:rsidRPr="00A3009B">
        <w:t xml:space="preserve"> </w:t>
      </w:r>
      <w:r w:rsidRPr="00A3009B">
        <w:rPr>
          <w:iCs/>
        </w:rPr>
        <w:t xml:space="preserve">on </w:t>
      </w:r>
      <w:r>
        <w:rPr>
          <w:iCs/>
        </w:rPr>
        <w:t xml:space="preserve">the </w:t>
      </w:r>
      <w:r w:rsidRPr="00A3009B">
        <w:rPr>
          <w:iCs/>
        </w:rPr>
        <w:t xml:space="preserve">apples from </w:t>
      </w:r>
      <w:r>
        <w:rPr>
          <w:iCs/>
        </w:rPr>
        <w:t>China</w:t>
      </w:r>
      <w:r w:rsidRPr="00A3009B">
        <w:rPr>
          <w:iCs/>
        </w:rPr>
        <w:t xml:space="preserve"> pathway is adopted for </w:t>
      </w:r>
      <w:r>
        <w:rPr>
          <w:i/>
        </w:rPr>
        <w:t>C. pulcher</w:t>
      </w:r>
      <w:r w:rsidRPr="00A3009B">
        <w:rPr>
          <w:iCs/>
        </w:rPr>
        <w:t xml:space="preserve"> on </w:t>
      </w:r>
      <w:r>
        <w:rPr>
          <w:iCs/>
        </w:rPr>
        <w:t xml:space="preserve">the </w:t>
      </w:r>
      <w:r w:rsidRPr="00A3009B">
        <w:rPr>
          <w:iCs/>
        </w:rPr>
        <w:t xml:space="preserve">apples from PNW-USA pathway. </w:t>
      </w:r>
    </w:p>
    <w:p w14:paraId="7223FD09" w14:textId="77777777" w:rsidR="003438A2" w:rsidRPr="00A3009B" w:rsidRDefault="003438A2" w:rsidP="00C25EA7">
      <w:pPr>
        <w:pStyle w:val="Heading5"/>
      </w:pPr>
      <w:r w:rsidRPr="00A3009B">
        <w:lastRenderedPageBreak/>
        <w:t>Overall likelihood of entry</w:t>
      </w:r>
    </w:p>
    <w:p w14:paraId="69AF3249" w14:textId="77777777" w:rsidR="003438A2" w:rsidRPr="00644BAD" w:rsidRDefault="003438A2" w:rsidP="00C25EA7">
      <w:r w:rsidRPr="00644BAD">
        <w:t xml:space="preserve">The overall likelihood of entry is assessed as Low by combining the assessed likelihood of importation of Low with the adopted likelihood of distribution of Moderate, </w:t>
      </w:r>
      <w:r w:rsidRPr="00644BAD">
        <w:rPr>
          <w:rFonts w:cstheme="minorHAnsi"/>
        </w:rPr>
        <w:t xml:space="preserve">using the matrix of rules in </w:t>
      </w:r>
      <w:r>
        <w:rPr>
          <w:rFonts w:cstheme="minorHAnsi"/>
        </w:rPr>
        <w:fldChar w:fldCharType="begin" w:fldLock="1"/>
      </w:r>
      <w:r>
        <w:rPr>
          <w:rFonts w:cstheme="minorHAnsi"/>
        </w:rPr>
        <w:instrText xml:space="preserve"> REF _Ref457826328 \h </w:instrText>
      </w:r>
      <w:r>
        <w:rPr>
          <w:rFonts w:cstheme="minorHAnsi"/>
        </w:rPr>
      </w:r>
      <w:r>
        <w:rPr>
          <w:rFonts w:cstheme="minorHAnsi"/>
        </w:rPr>
        <w:fldChar w:fldCharType="separate"/>
      </w:r>
      <w:r w:rsidRPr="00DB5F8D">
        <w:t xml:space="preserve">Table </w:t>
      </w:r>
      <w:r>
        <w:rPr>
          <w:noProof/>
        </w:rPr>
        <w:t>2</w:t>
      </w:r>
      <w:r>
        <w:t>.</w:t>
      </w:r>
      <w:r>
        <w:rPr>
          <w:noProof/>
        </w:rPr>
        <w:t>2</w:t>
      </w:r>
      <w:r>
        <w:rPr>
          <w:rFonts w:cstheme="minorHAnsi"/>
        </w:rPr>
        <w:fldChar w:fldCharType="end"/>
      </w:r>
      <w:r w:rsidRPr="00644BAD">
        <w:t>.</w:t>
      </w:r>
    </w:p>
    <w:p w14:paraId="012909A4" w14:textId="77777777" w:rsidR="003438A2" w:rsidRPr="00A3009B" w:rsidRDefault="003438A2" w:rsidP="00C25EA7">
      <w:pPr>
        <w:pStyle w:val="Heading4"/>
      </w:pPr>
      <w:r w:rsidRPr="00A3009B">
        <w:t>Likelihood</w:t>
      </w:r>
      <w:r>
        <w:t>s</w:t>
      </w:r>
      <w:r w:rsidRPr="00A3009B">
        <w:t xml:space="preserve"> of establishment and spread</w:t>
      </w:r>
    </w:p>
    <w:p w14:paraId="1E639A5E" w14:textId="77777777" w:rsidR="003438A2" w:rsidRPr="00A3009B" w:rsidRDefault="003438A2" w:rsidP="00C25EA7">
      <w:pPr>
        <w:autoSpaceDE w:val="0"/>
        <w:autoSpaceDN w:val="0"/>
        <w:adjustRightInd w:val="0"/>
        <w:rPr>
          <w:rFonts w:cstheme="minorHAnsi"/>
        </w:rPr>
      </w:pPr>
      <w:r w:rsidRPr="00A3009B">
        <w:rPr>
          <w:rFonts w:cstheme="minorHAnsi"/>
        </w:rPr>
        <w:t xml:space="preserve">The likelihoods of establishment and spread for </w:t>
      </w:r>
      <w:r>
        <w:rPr>
          <w:rFonts w:cstheme="minorHAnsi"/>
          <w:i/>
          <w:iCs/>
        </w:rPr>
        <w:t>C. pulcher</w:t>
      </w:r>
      <w:r w:rsidRPr="00A3009B">
        <w:t xml:space="preserve"> </w:t>
      </w:r>
      <w:r w:rsidRPr="00A3009B">
        <w:rPr>
          <w:rFonts w:cstheme="minorHAnsi"/>
        </w:rPr>
        <w:t xml:space="preserve">are independent of the import pathway and are considered similar to those previously assessed for </w:t>
      </w:r>
      <w:r>
        <w:rPr>
          <w:rFonts w:cstheme="minorHAnsi"/>
        </w:rPr>
        <w:t xml:space="preserve">the </w:t>
      </w:r>
      <w:r w:rsidRPr="00A3009B">
        <w:rPr>
          <w:rFonts w:cstheme="minorHAnsi"/>
        </w:rPr>
        <w:t xml:space="preserve">apples from </w:t>
      </w:r>
      <w:r>
        <w:rPr>
          <w:rFonts w:cstheme="minorHAnsi"/>
        </w:rPr>
        <w:t>China</w:t>
      </w:r>
      <w:r w:rsidRPr="00A3009B">
        <w:rPr>
          <w:rFonts w:cstheme="minorHAnsi"/>
        </w:rPr>
        <w:t xml:space="preserve"> pathway.</w:t>
      </w:r>
    </w:p>
    <w:p w14:paraId="6E25CE0E" w14:textId="77777777" w:rsidR="003438A2" w:rsidRPr="00A3009B" w:rsidRDefault="003438A2" w:rsidP="005B6548">
      <w:r w:rsidRPr="00A3009B">
        <w:rPr>
          <w:rFonts w:cstheme="minorHAnsi"/>
        </w:rPr>
        <w:t xml:space="preserve">Based on the previous assessment for apples from </w:t>
      </w:r>
      <w:r>
        <w:rPr>
          <w:rFonts w:cstheme="minorHAnsi"/>
        </w:rPr>
        <w:t>China</w:t>
      </w:r>
      <w:r w:rsidRPr="003961D0">
        <w:t xml:space="preserve"> </w:t>
      </w:r>
      <w:r>
        <w:rPr>
          <w:noProof/>
        </w:rPr>
        <w:t>(Biosecurity Australia 2010a)</w:t>
      </w:r>
      <w:r>
        <w:t xml:space="preserve">, </w:t>
      </w:r>
      <w:r w:rsidRPr="00A3009B">
        <w:rPr>
          <w:rFonts w:cstheme="minorHAnsi"/>
        </w:rPr>
        <w:t xml:space="preserve">the likelihoods of establishment and spread for </w:t>
      </w:r>
      <w:r>
        <w:rPr>
          <w:rFonts w:cstheme="minorHAnsi"/>
          <w:i/>
          <w:iCs/>
        </w:rPr>
        <w:t>C. pulcher</w:t>
      </w:r>
      <w:r w:rsidRPr="00A3009B">
        <w:rPr>
          <w:rFonts w:cstheme="minorHAnsi"/>
        </w:rPr>
        <w:t xml:space="preserve"> are assessed as </w:t>
      </w:r>
      <w:r>
        <w:rPr>
          <w:rFonts w:cstheme="minorHAnsi"/>
        </w:rPr>
        <w:t>High</w:t>
      </w:r>
      <w:r w:rsidRPr="00A3009B">
        <w:rPr>
          <w:rFonts w:cstheme="minorHAnsi"/>
        </w:rPr>
        <w:t xml:space="preserve"> and Moderate, respectively.</w:t>
      </w:r>
    </w:p>
    <w:p w14:paraId="3B5EE67C" w14:textId="77777777" w:rsidR="003438A2" w:rsidRPr="002306B4" w:rsidRDefault="003438A2" w:rsidP="00C25EA7">
      <w:pPr>
        <w:pStyle w:val="Heading4"/>
      </w:pPr>
      <w:r w:rsidRPr="002306B4">
        <w:t>Overall likelihood of entry, establishment and spread</w:t>
      </w:r>
    </w:p>
    <w:p w14:paraId="42BCFACA" w14:textId="77777777" w:rsidR="003438A2" w:rsidRPr="002306B4" w:rsidRDefault="003438A2" w:rsidP="00C25EA7">
      <w:pPr>
        <w:autoSpaceDE w:val="0"/>
        <w:autoSpaceDN w:val="0"/>
        <w:adjustRightInd w:val="0"/>
      </w:pPr>
      <w:r w:rsidRPr="002306B4">
        <w:t xml:space="preserve">The overall likelihood of entry, establishment and spread is determined by combining the likelihoods of entry, of establishment and of spread using the matrix of rules shown in </w:t>
      </w:r>
      <w:r>
        <w:fldChar w:fldCharType="begin" w:fldLock="1"/>
      </w:r>
      <w:r>
        <w:instrText xml:space="preserve"> REF _Ref457826328 \h </w:instrText>
      </w:r>
      <w:r>
        <w:fldChar w:fldCharType="separate"/>
      </w:r>
      <w:r w:rsidRPr="00DB5F8D">
        <w:t xml:space="preserve">Table </w:t>
      </w:r>
      <w:r>
        <w:rPr>
          <w:noProof/>
        </w:rPr>
        <w:t>2</w:t>
      </w:r>
      <w:r>
        <w:t>.</w:t>
      </w:r>
      <w:r>
        <w:rPr>
          <w:noProof/>
        </w:rPr>
        <w:t>2</w:t>
      </w:r>
      <w:r>
        <w:fldChar w:fldCharType="end"/>
      </w:r>
      <w:r>
        <w:t>.</w:t>
      </w:r>
    </w:p>
    <w:p w14:paraId="66EDE5C1" w14:textId="77777777" w:rsidR="003438A2" w:rsidRPr="002306B4" w:rsidRDefault="003438A2" w:rsidP="00C25EA7">
      <w:pPr>
        <w:autoSpaceDE w:val="0"/>
        <w:autoSpaceDN w:val="0"/>
        <w:adjustRightInd w:val="0"/>
        <w:rPr>
          <w:rFonts w:cstheme="minorHAnsi"/>
        </w:rPr>
      </w:pPr>
      <w:r w:rsidRPr="002306B4">
        <w:t xml:space="preserve">The overall likelihood that </w:t>
      </w:r>
      <w:r>
        <w:rPr>
          <w:i/>
          <w:iCs/>
        </w:rPr>
        <w:t>C. pulcher</w:t>
      </w:r>
      <w:r w:rsidRPr="002306B4">
        <w:t xml:space="preserve"> will enter Australia as a result of trade in apples from the PNW-USA, be distributed in a viable state to a susceptible part of a host, establish in Australia and subsequently spread within Australia is assessed as </w:t>
      </w:r>
      <w:r>
        <w:t>L</w:t>
      </w:r>
      <w:r w:rsidRPr="002306B4">
        <w:t>ow</w:t>
      </w:r>
      <w:r w:rsidRPr="002306B4">
        <w:rPr>
          <w:rFonts w:cstheme="minorHAnsi"/>
        </w:rPr>
        <w:t>.</w:t>
      </w:r>
    </w:p>
    <w:p w14:paraId="4F941D2A" w14:textId="77777777" w:rsidR="003438A2" w:rsidRPr="00A3009B" w:rsidRDefault="003438A2" w:rsidP="00C25EA7">
      <w:pPr>
        <w:pStyle w:val="Heading4"/>
      </w:pPr>
      <w:r w:rsidRPr="00A3009B">
        <w:t>Consequences</w:t>
      </w:r>
    </w:p>
    <w:p w14:paraId="002FBE5C" w14:textId="77777777" w:rsidR="003438A2" w:rsidRPr="00A3009B" w:rsidRDefault="003438A2" w:rsidP="00C25EA7">
      <w:pPr>
        <w:autoSpaceDE w:val="0"/>
        <w:autoSpaceDN w:val="0"/>
        <w:adjustRightInd w:val="0"/>
        <w:rPr>
          <w:rFonts w:cstheme="minorHAnsi"/>
        </w:rPr>
      </w:pPr>
      <w:r w:rsidRPr="00A3009B">
        <w:t xml:space="preserve">The potential consequences of the entry, establishment and spread of </w:t>
      </w:r>
      <w:r>
        <w:rPr>
          <w:i/>
          <w:iCs/>
        </w:rPr>
        <w:t>C. pulcher</w:t>
      </w:r>
      <w:r w:rsidRPr="00A3009B">
        <w:t xml:space="preserve"> in Australia are similar to those in the previous assessment for </w:t>
      </w:r>
      <w:r>
        <w:rPr>
          <w:i/>
          <w:iCs/>
        </w:rPr>
        <w:t>C. pulcher</w:t>
      </w:r>
      <w:r w:rsidRPr="00A3009B">
        <w:t xml:space="preserve"> on</w:t>
      </w:r>
      <w:r>
        <w:t xml:space="preserve"> the</w:t>
      </w:r>
      <w:r w:rsidRPr="00A3009B">
        <w:t xml:space="preserve"> apples from </w:t>
      </w:r>
      <w:r>
        <w:t>China</w:t>
      </w:r>
      <w:r w:rsidRPr="00A3009B">
        <w:t xml:space="preserve"> pathway, which were assessed as </w:t>
      </w:r>
      <w:r>
        <w:t xml:space="preserve">Moderate </w:t>
      </w:r>
      <w:r>
        <w:rPr>
          <w:noProof/>
        </w:rPr>
        <w:t>(Biosecurity Australia 2010a)</w:t>
      </w:r>
      <w:r>
        <w:t>.</w:t>
      </w:r>
      <w:r w:rsidRPr="00A3009B">
        <w:t xml:space="preserve"> The overall consequences for </w:t>
      </w:r>
      <w:r>
        <w:rPr>
          <w:i/>
          <w:iCs/>
        </w:rPr>
        <w:t>C. pulcher</w:t>
      </w:r>
      <w:r w:rsidRPr="00A3009B">
        <w:t xml:space="preserve"> on </w:t>
      </w:r>
      <w:r>
        <w:t xml:space="preserve">the </w:t>
      </w:r>
      <w:r w:rsidRPr="00A3009B">
        <w:t xml:space="preserve">apples from PNW-USA pathway are also assessed as </w:t>
      </w:r>
      <w:r>
        <w:t>Moderate</w:t>
      </w:r>
      <w:r w:rsidRPr="00A3009B">
        <w:t>.</w:t>
      </w:r>
    </w:p>
    <w:p w14:paraId="42A68AB1" w14:textId="77777777" w:rsidR="003438A2" w:rsidRPr="00C35FD7" w:rsidRDefault="003438A2" w:rsidP="00C25EA7">
      <w:pPr>
        <w:pStyle w:val="Heading4"/>
      </w:pPr>
      <w:r w:rsidRPr="00C35FD7">
        <w:t>Unrestricted risk estimate</w:t>
      </w:r>
    </w:p>
    <w:p w14:paraId="0A2375C8" w14:textId="77777777" w:rsidR="003438A2" w:rsidRPr="00945121" w:rsidRDefault="003438A2" w:rsidP="00500357">
      <w:r w:rsidRPr="00945121">
        <w:t xml:space="preserve">Unrestricted risk is the result of combining the </w:t>
      </w:r>
      <w:r>
        <w:t xml:space="preserve">overall </w:t>
      </w:r>
      <w:r w:rsidRPr="004000F0">
        <w:t>likelihood</w:t>
      </w:r>
      <w:r w:rsidRPr="00945121">
        <w:t xml:space="preserve"> of entry, establishment and spread with the outcome of overall consequences. </w:t>
      </w:r>
      <w:r>
        <w:t>The overall l</w:t>
      </w:r>
      <w:r w:rsidRPr="00945121">
        <w:t xml:space="preserve">ikelihood and consequences are combined using the risk estimation matrix shown in </w:t>
      </w:r>
      <w:r>
        <w:fldChar w:fldCharType="begin" w:fldLock="1"/>
      </w:r>
      <w:r>
        <w:instrText xml:space="preserve"> REF _Ref457826369 \h </w:instrText>
      </w:r>
      <w:r>
        <w:fldChar w:fldCharType="separate"/>
      </w:r>
      <w:r>
        <w:t xml:space="preserve">Table </w:t>
      </w:r>
      <w:r>
        <w:rPr>
          <w:noProof/>
        </w:rPr>
        <w:t>2</w:t>
      </w:r>
      <w:r>
        <w:t>.</w:t>
      </w:r>
      <w:r>
        <w:rPr>
          <w:noProof/>
        </w:rPr>
        <w:t>5</w:t>
      </w:r>
      <w:r>
        <w:fldChar w:fldCharType="end"/>
      </w:r>
      <w:r w:rsidRPr="00945121">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3438A2" w:rsidRPr="00A3009B" w14:paraId="3E6BF65A" w14:textId="77777777" w:rsidTr="005F2743">
        <w:trPr>
          <w:trHeight w:val="423"/>
        </w:trPr>
        <w:tc>
          <w:tcPr>
            <w:tcW w:w="5000" w:type="pct"/>
            <w:gridSpan w:val="2"/>
            <w:tcBorders>
              <w:top w:val="single" w:sz="4" w:space="0" w:color="auto"/>
              <w:bottom w:val="single" w:sz="4" w:space="0" w:color="auto"/>
            </w:tcBorders>
            <w:shd w:val="clear" w:color="auto" w:fill="auto"/>
          </w:tcPr>
          <w:p w14:paraId="0D6A347A" w14:textId="77777777" w:rsidR="003438A2" w:rsidRPr="00A3009B" w:rsidRDefault="003438A2" w:rsidP="005F2743">
            <w:pPr>
              <w:pStyle w:val="TableHeading"/>
            </w:pPr>
            <w:r w:rsidRPr="00A3009B">
              <w:t xml:space="preserve">Unrestricted risk estimate for </w:t>
            </w:r>
            <w:r>
              <w:rPr>
                <w:i/>
                <w:iCs/>
              </w:rPr>
              <w:t>C. pulcher</w:t>
            </w:r>
          </w:p>
        </w:tc>
      </w:tr>
      <w:tr w:rsidR="003438A2" w:rsidRPr="00A3009B" w14:paraId="3AFE479E" w14:textId="77777777" w:rsidTr="005F2743">
        <w:trPr>
          <w:trHeight w:val="273"/>
        </w:trPr>
        <w:tc>
          <w:tcPr>
            <w:tcW w:w="3417" w:type="pct"/>
            <w:tcBorders>
              <w:top w:val="single" w:sz="4" w:space="0" w:color="auto"/>
              <w:bottom w:val="nil"/>
            </w:tcBorders>
            <w:shd w:val="clear" w:color="auto" w:fill="auto"/>
          </w:tcPr>
          <w:p w14:paraId="4ED69FDB" w14:textId="77777777" w:rsidR="003438A2" w:rsidRPr="00A3009B" w:rsidRDefault="003438A2" w:rsidP="005F2743">
            <w:pPr>
              <w:pStyle w:val="TableText"/>
            </w:pPr>
            <w:r w:rsidRPr="00A3009B">
              <w:t>Overall likelihood of entry, establishment and spread</w:t>
            </w:r>
          </w:p>
        </w:tc>
        <w:tc>
          <w:tcPr>
            <w:tcW w:w="1583" w:type="pct"/>
            <w:tcBorders>
              <w:top w:val="single" w:sz="4" w:space="0" w:color="auto"/>
              <w:bottom w:val="nil"/>
            </w:tcBorders>
            <w:shd w:val="clear" w:color="auto" w:fill="auto"/>
          </w:tcPr>
          <w:p w14:paraId="1ABF6123" w14:textId="77777777" w:rsidR="003438A2" w:rsidRPr="00A3009B" w:rsidRDefault="003438A2" w:rsidP="005F2743">
            <w:pPr>
              <w:pStyle w:val="TableText"/>
            </w:pPr>
            <w:r>
              <w:t>Low</w:t>
            </w:r>
          </w:p>
        </w:tc>
      </w:tr>
      <w:tr w:rsidR="003438A2" w:rsidRPr="00A3009B" w14:paraId="769391A8" w14:textId="77777777" w:rsidTr="005F2743">
        <w:trPr>
          <w:trHeight w:val="284"/>
        </w:trPr>
        <w:tc>
          <w:tcPr>
            <w:tcW w:w="3417" w:type="pct"/>
            <w:tcBorders>
              <w:top w:val="nil"/>
              <w:bottom w:val="nil"/>
            </w:tcBorders>
            <w:shd w:val="clear" w:color="auto" w:fill="auto"/>
          </w:tcPr>
          <w:p w14:paraId="480E5250" w14:textId="77777777" w:rsidR="003438A2" w:rsidRPr="00A3009B" w:rsidRDefault="003438A2" w:rsidP="005F2743">
            <w:pPr>
              <w:pStyle w:val="TableText"/>
            </w:pPr>
            <w:r w:rsidRPr="00A3009B">
              <w:t>Consequences</w:t>
            </w:r>
          </w:p>
        </w:tc>
        <w:tc>
          <w:tcPr>
            <w:tcW w:w="1583" w:type="pct"/>
            <w:tcBorders>
              <w:top w:val="nil"/>
              <w:bottom w:val="nil"/>
            </w:tcBorders>
            <w:shd w:val="clear" w:color="auto" w:fill="auto"/>
          </w:tcPr>
          <w:p w14:paraId="68789FB3" w14:textId="77777777" w:rsidR="003438A2" w:rsidRPr="00A3009B" w:rsidRDefault="003438A2" w:rsidP="005F2743">
            <w:pPr>
              <w:pStyle w:val="TableText"/>
            </w:pPr>
            <w:r>
              <w:t>Moderate</w:t>
            </w:r>
          </w:p>
        </w:tc>
      </w:tr>
      <w:tr w:rsidR="003438A2" w:rsidRPr="00A3009B" w14:paraId="41E20641" w14:textId="77777777" w:rsidTr="005F2743">
        <w:trPr>
          <w:trHeight w:val="284"/>
        </w:trPr>
        <w:tc>
          <w:tcPr>
            <w:tcW w:w="3417" w:type="pct"/>
            <w:tcBorders>
              <w:top w:val="nil"/>
              <w:bottom w:val="single" w:sz="4" w:space="0" w:color="auto"/>
            </w:tcBorders>
            <w:shd w:val="clear" w:color="auto" w:fill="auto"/>
          </w:tcPr>
          <w:p w14:paraId="1647CEFF" w14:textId="77777777" w:rsidR="003438A2" w:rsidRPr="00A3009B" w:rsidRDefault="003438A2" w:rsidP="005F2743">
            <w:pPr>
              <w:pStyle w:val="TableText"/>
            </w:pPr>
            <w:r w:rsidRPr="00A3009B">
              <w:t>Unrestricted risk</w:t>
            </w:r>
          </w:p>
        </w:tc>
        <w:tc>
          <w:tcPr>
            <w:tcW w:w="1583" w:type="pct"/>
            <w:tcBorders>
              <w:top w:val="nil"/>
              <w:bottom w:val="single" w:sz="4" w:space="0" w:color="auto"/>
            </w:tcBorders>
            <w:shd w:val="clear" w:color="auto" w:fill="auto"/>
          </w:tcPr>
          <w:p w14:paraId="5BDCD4F1" w14:textId="77777777" w:rsidR="003438A2" w:rsidRPr="00A3009B" w:rsidRDefault="003438A2" w:rsidP="005F2743">
            <w:pPr>
              <w:pStyle w:val="TableText"/>
            </w:pPr>
            <w:r>
              <w:t>Low</w:t>
            </w:r>
          </w:p>
        </w:tc>
      </w:tr>
    </w:tbl>
    <w:p w14:paraId="1716CA40" w14:textId="77777777" w:rsidR="003438A2" w:rsidRDefault="003438A2" w:rsidP="00C25EA7"/>
    <w:p w14:paraId="6059BC89" w14:textId="77777777" w:rsidR="003438A2" w:rsidRPr="00FE0AA8" w:rsidRDefault="003438A2" w:rsidP="00C25EA7">
      <w:r>
        <w:t xml:space="preserve">The unrestricted risk estimate for </w:t>
      </w:r>
      <w:r>
        <w:rPr>
          <w:i/>
        </w:rPr>
        <w:t>C. </w:t>
      </w:r>
      <w:r w:rsidRPr="00FE0AA8">
        <w:rPr>
          <w:i/>
        </w:rPr>
        <w:t>pulcher</w:t>
      </w:r>
      <w:r>
        <w:rPr>
          <w:i/>
        </w:rPr>
        <w:t xml:space="preserve"> </w:t>
      </w:r>
      <w:r>
        <w:t>on the apples from PNW-USA pathway is assessed as Low, which does not achieve the ALOP for</w:t>
      </w:r>
      <w:r w:rsidRPr="00416812">
        <w:t xml:space="preserve"> Australia. Therefore, specific risk management measures are required for </w:t>
      </w:r>
      <w:r>
        <w:rPr>
          <w:i/>
        </w:rPr>
        <w:t>C. </w:t>
      </w:r>
      <w:r w:rsidRPr="00FE0AA8">
        <w:rPr>
          <w:i/>
        </w:rPr>
        <w:t>pulcher</w:t>
      </w:r>
      <w:r>
        <w:rPr>
          <w:i/>
        </w:rPr>
        <w:t xml:space="preserve"> </w:t>
      </w:r>
      <w:r>
        <w:t>on the apples from PNW-USA pathway.</w:t>
      </w:r>
    </w:p>
    <w:p w14:paraId="6DA2B1F4" w14:textId="77777777" w:rsidR="003438A2" w:rsidRPr="00FC358F" w:rsidRDefault="003438A2" w:rsidP="00C25EA7"/>
    <w:p w14:paraId="1591C3D9" w14:textId="77777777" w:rsidR="003438A2" w:rsidRDefault="003438A2" w:rsidP="00C25EA7">
      <w:pPr>
        <w:spacing w:after="0" w:line="240" w:lineRule="auto"/>
      </w:pPr>
    </w:p>
    <w:bookmarkEnd w:id="148"/>
    <w:p w14:paraId="14130605" w14:textId="77777777" w:rsidR="003438A2" w:rsidRDefault="003438A2" w:rsidP="00C25EA7">
      <w:pPr>
        <w:spacing w:after="0" w:line="240" w:lineRule="auto"/>
      </w:pPr>
      <w:r>
        <w:br w:type="page"/>
      </w:r>
    </w:p>
    <w:p w14:paraId="38DAAB69" w14:textId="77777777" w:rsidR="003438A2" w:rsidRPr="0061441B" w:rsidRDefault="003438A2" w:rsidP="00C25EA7">
      <w:pPr>
        <w:pStyle w:val="Heading3"/>
      </w:pPr>
      <w:bookmarkStart w:id="152" w:name="_Toc257729646"/>
      <w:bookmarkStart w:id="153" w:name="_Toc256600532"/>
      <w:bookmarkStart w:id="154" w:name="_Toc232831053"/>
      <w:bookmarkStart w:id="155" w:name="_Ref108441767"/>
      <w:bookmarkStart w:id="156" w:name="_Toc112769002"/>
      <w:bookmarkStart w:id="157" w:name="_Toc257729647"/>
      <w:bookmarkStart w:id="158" w:name="_Toc256600533"/>
      <w:bookmarkStart w:id="159" w:name="_Toc232831054"/>
      <w:r w:rsidRPr="0061441B">
        <w:lastRenderedPageBreak/>
        <w:t>Spider mites</w:t>
      </w:r>
      <w:bookmarkEnd w:id="152"/>
      <w:bookmarkEnd w:id="153"/>
      <w:bookmarkEnd w:id="154"/>
      <w:bookmarkEnd w:id="155"/>
      <w:bookmarkEnd w:id="156"/>
    </w:p>
    <w:p w14:paraId="37EE9A76" w14:textId="77777777" w:rsidR="003438A2" w:rsidRPr="004D2967" w:rsidRDefault="003438A2" w:rsidP="00C25EA7">
      <w:pPr>
        <w:pStyle w:val="Heading4"/>
        <w:numPr>
          <w:ilvl w:val="0"/>
          <w:numId w:val="0"/>
        </w:numPr>
      </w:pPr>
      <w:r w:rsidRPr="00661F7A">
        <w:rPr>
          <w:i/>
        </w:rPr>
        <w:t>Tetranychus mcdanieli</w:t>
      </w:r>
      <w:r w:rsidRPr="00CD402A">
        <w:rPr>
          <w:i/>
        </w:rPr>
        <w:t xml:space="preserve"> </w:t>
      </w:r>
      <w:r>
        <w:t>(EP)</w:t>
      </w:r>
      <w:r w:rsidRPr="00AB4693">
        <w:rPr>
          <w:iCs w:val="0"/>
        </w:rPr>
        <w:t>,</w:t>
      </w:r>
      <w:r w:rsidRPr="00CD402A">
        <w:rPr>
          <w:i/>
        </w:rPr>
        <w:t xml:space="preserve"> </w:t>
      </w:r>
      <w:r w:rsidRPr="00661F7A">
        <w:rPr>
          <w:i/>
        </w:rPr>
        <w:t>Tetranychus pacificus</w:t>
      </w:r>
      <w:r w:rsidRPr="00CD402A">
        <w:rPr>
          <w:i/>
        </w:rPr>
        <w:t xml:space="preserve"> </w:t>
      </w:r>
      <w:r>
        <w:t xml:space="preserve">(EP) </w:t>
      </w:r>
      <w:r w:rsidRPr="00525843">
        <w:rPr>
          <w:iCs w:val="0"/>
        </w:rPr>
        <w:t>and</w:t>
      </w:r>
      <w:r w:rsidRPr="00CD402A">
        <w:rPr>
          <w:i/>
        </w:rPr>
        <w:t xml:space="preserve"> </w:t>
      </w:r>
      <w:r w:rsidRPr="00661F7A">
        <w:rPr>
          <w:i/>
        </w:rPr>
        <w:t>Tetranychus turkestani</w:t>
      </w:r>
      <w:r>
        <w:t xml:space="preserve"> (EP)</w:t>
      </w:r>
    </w:p>
    <w:p w14:paraId="57A86700" w14:textId="77777777" w:rsidR="003438A2" w:rsidRPr="00771ADA" w:rsidRDefault="003438A2" w:rsidP="00C25EA7">
      <w:r w:rsidRPr="0034553C">
        <w:rPr>
          <w:i/>
          <w:color w:val="000000" w:themeColor="text1"/>
        </w:rPr>
        <w:t xml:space="preserve">Tetranychus mcdanieli </w:t>
      </w:r>
      <w:r w:rsidRPr="0034553C">
        <w:rPr>
          <w:iCs/>
          <w:color w:val="000000" w:themeColor="text1"/>
        </w:rPr>
        <w:t>(McDaniel spider mite),</w:t>
      </w:r>
      <w:r w:rsidRPr="0034553C">
        <w:rPr>
          <w:i/>
          <w:color w:val="000000" w:themeColor="text1"/>
        </w:rPr>
        <w:t xml:space="preserve"> T. pacificus </w:t>
      </w:r>
      <w:r w:rsidRPr="0034553C">
        <w:rPr>
          <w:iCs/>
          <w:color w:val="000000" w:themeColor="text1"/>
        </w:rPr>
        <w:t xml:space="preserve">(Pacific spider mite) </w:t>
      </w:r>
      <w:r w:rsidRPr="0034553C">
        <w:rPr>
          <w:color w:val="000000" w:themeColor="text1"/>
        </w:rPr>
        <w:t xml:space="preserve">and </w:t>
      </w:r>
      <w:r w:rsidRPr="0034553C">
        <w:rPr>
          <w:i/>
          <w:color w:val="000000" w:themeColor="text1"/>
        </w:rPr>
        <w:t xml:space="preserve">T. turkestani </w:t>
      </w:r>
      <w:r w:rsidRPr="0034553C">
        <w:rPr>
          <w:iCs/>
          <w:color w:val="000000" w:themeColor="text1"/>
        </w:rPr>
        <w:t xml:space="preserve">(strawberry spider mite) </w:t>
      </w:r>
      <w:r w:rsidRPr="0034553C">
        <w:rPr>
          <w:color w:val="000000" w:themeColor="text1"/>
        </w:rPr>
        <w:t xml:space="preserve">belong to the </w:t>
      </w:r>
      <w:r w:rsidRPr="00BF5FA3">
        <w:rPr>
          <w:color w:val="000000" w:themeColor="text1"/>
        </w:rPr>
        <w:t>Tetranychidae family. They are commonly referred to as spider mites due to their habit of spinning silken webbing on host plants. These three species have been assessed together because of their similar biology and are predicted to pose similar risks. In this assessment, the term ‘spider mites’ is used</w:t>
      </w:r>
      <w:r w:rsidRPr="0034553C">
        <w:rPr>
          <w:color w:val="000000" w:themeColor="text1"/>
        </w:rPr>
        <w:t xml:space="preserve"> to refer collectively to these three species; a scientific name is used when the information relates to a specific species. </w:t>
      </w:r>
    </w:p>
    <w:p w14:paraId="72844570" w14:textId="77777777" w:rsidR="003438A2" w:rsidRPr="00771ADA" w:rsidRDefault="003438A2" w:rsidP="00C25EA7">
      <w:r w:rsidRPr="00771ADA">
        <w:t xml:space="preserve">Spider mites generally have a broad host range </w:t>
      </w:r>
      <w:r w:rsidRPr="00771ADA">
        <w:rPr>
          <w:noProof/>
        </w:rPr>
        <w:t>(Hoyt &amp; Beers 1993)</w:t>
      </w:r>
      <w:r w:rsidRPr="00771ADA">
        <w:t xml:space="preserve">. </w:t>
      </w:r>
      <w:r w:rsidRPr="00771ADA">
        <w:rPr>
          <w:i/>
        </w:rPr>
        <w:t>Tetranychus mcdanieli</w:t>
      </w:r>
      <w:r w:rsidRPr="00771ADA">
        <w:t xml:space="preserve"> attacks most deciduous tree fruits (including, apple, pear, sweet and sour cherry, </w:t>
      </w:r>
      <w:r>
        <w:t>plum</w:t>
      </w:r>
      <w:r w:rsidRPr="00771ADA">
        <w:t>, peach and apricot), raspberries, field and vegetable crops (including squash, asparagus, alfalfa and</w:t>
      </w:r>
      <w:r w:rsidRPr="00771ADA">
        <w:rPr>
          <w:strike/>
        </w:rPr>
        <w:t>,</w:t>
      </w:r>
      <w:r w:rsidRPr="00771ADA">
        <w:t xml:space="preserve"> clover), and a number of weeds (mallow, milkweed, knotweed, ragweed, mustard, dock, wild buckwheat and</w:t>
      </w:r>
      <w:r w:rsidRPr="00771ADA">
        <w:rPr>
          <w:strike/>
        </w:rPr>
        <w:t>,</w:t>
      </w:r>
      <w:r w:rsidRPr="00771ADA">
        <w:t xml:space="preserve"> wild lettuce)</w:t>
      </w:r>
      <w:r>
        <w:t xml:space="preserve"> </w:t>
      </w:r>
      <w:r>
        <w:rPr>
          <w:noProof/>
        </w:rPr>
        <w:t>(Bell &amp; Waters 2021; Hoyt &amp; Beers 1993)</w:t>
      </w:r>
      <w:r w:rsidRPr="00771ADA">
        <w:t xml:space="preserve">. </w:t>
      </w:r>
      <w:r w:rsidRPr="00771ADA">
        <w:rPr>
          <w:i/>
        </w:rPr>
        <w:t xml:space="preserve">Tetranychus pacificus </w:t>
      </w:r>
      <w:r w:rsidRPr="00771ADA">
        <w:t>and</w:t>
      </w:r>
      <w:r w:rsidRPr="00771ADA">
        <w:rPr>
          <w:i/>
        </w:rPr>
        <w:t xml:space="preserve"> T. turkestani</w:t>
      </w:r>
      <w:r w:rsidRPr="00771ADA">
        <w:t xml:space="preserve"> have similar deciduous tree fruit hosts such as </w:t>
      </w:r>
      <w:r w:rsidRPr="00771ADA">
        <w:rPr>
          <w:i/>
          <w:iCs/>
        </w:rPr>
        <w:t>Malus</w:t>
      </w:r>
      <w:r w:rsidRPr="00771ADA">
        <w:t xml:space="preserve"> spp</w:t>
      </w:r>
      <w:r>
        <w:t>.</w:t>
      </w:r>
      <w:r w:rsidRPr="00771ADA">
        <w:t xml:space="preserve">, </w:t>
      </w:r>
      <w:r w:rsidRPr="00771ADA">
        <w:rPr>
          <w:i/>
          <w:iCs/>
        </w:rPr>
        <w:t xml:space="preserve">Prunus </w:t>
      </w:r>
      <w:r w:rsidRPr="00771ADA">
        <w:t xml:space="preserve">spp. as well as strawberries, citrus, grapevine and a wide range of agricultural crops </w:t>
      </w:r>
      <w:r>
        <w:rPr>
          <w:noProof/>
        </w:rPr>
        <w:t>(Baker &amp; Tuttle 1994)</w:t>
      </w:r>
      <w:r w:rsidRPr="00771ADA">
        <w:t xml:space="preserve">. </w:t>
      </w:r>
    </w:p>
    <w:p w14:paraId="5768BCBE" w14:textId="77777777" w:rsidR="003438A2" w:rsidRPr="00771ADA" w:rsidRDefault="003438A2" w:rsidP="00C25EA7">
      <w:r w:rsidRPr="00771ADA">
        <w:t>Spider mites feed on the contents of leaf cells, including chloroplasts, which results in small yellow-white spots on the upper leaf surface</w:t>
      </w:r>
      <w:r>
        <w:t xml:space="preserve"> </w:t>
      </w:r>
      <w:r>
        <w:rPr>
          <w:noProof/>
        </w:rPr>
        <w:t>(Caprile 2015; Caprile et al. 2009b; Colt et al. 2001)</w:t>
      </w:r>
      <w:r>
        <w:t>.</w:t>
      </w:r>
      <w:r w:rsidRPr="00771ADA">
        <w:t xml:space="preserve"> In heavy infestations, the spots coalesce and the leaf yellows or bronzes resulting in premature defoliation </w:t>
      </w:r>
      <w:r>
        <w:rPr>
          <w:noProof/>
        </w:rPr>
        <w:t>(Wiman &amp; Stoven 2021b)</w:t>
      </w:r>
      <w:r w:rsidRPr="00771ADA">
        <w:t>. This disrupts the host plant’s ability to photosynthesise, and consequently reduces the vitality of the plant</w:t>
      </w:r>
      <w:r>
        <w:t xml:space="preserve"> </w:t>
      </w:r>
      <w:r>
        <w:rPr>
          <w:noProof/>
        </w:rPr>
        <w:t>(Colt et al. 2001; Wiman &amp; Stoven 2021b)</w:t>
      </w:r>
      <w:r>
        <w:t>.</w:t>
      </w:r>
      <w:r w:rsidRPr="00771ADA">
        <w:t xml:space="preserve"> While principally found on the leaves of host plants, spider mites may also be present and feed on fruit, particularly if population densities are high during harvest</w:t>
      </w:r>
      <w:r>
        <w:t xml:space="preserve"> </w:t>
      </w:r>
      <w:r>
        <w:rPr>
          <w:noProof/>
        </w:rPr>
        <w:t>(Hoyt &amp; Beers 1993; Smith 2001; Wiman &amp; Stoven 2021b)</w:t>
      </w:r>
      <w:r>
        <w:t>.</w:t>
      </w:r>
      <w:r w:rsidRPr="00771ADA">
        <w:t xml:space="preserve"> Fruit of infested hosts may fail to colour and form properly, and yields for the following year may decrease </w:t>
      </w:r>
      <w:r w:rsidRPr="00771ADA">
        <w:rPr>
          <w:noProof/>
        </w:rPr>
        <w:t>(</w:t>
      </w:r>
      <w:r w:rsidRPr="003221F4">
        <w:rPr>
          <w:noProof/>
        </w:rPr>
        <w:t>Caprile 2015)</w:t>
      </w:r>
      <w:r w:rsidRPr="00771ADA">
        <w:t xml:space="preserve">. Spider mites have been observed within </w:t>
      </w:r>
      <w:r>
        <w:t xml:space="preserve">natural cavities such as the </w:t>
      </w:r>
      <w:r w:rsidRPr="00771ADA">
        <w:t>calyx of apple fruit</w:t>
      </w:r>
      <w:r>
        <w:t xml:space="preserve"> </w:t>
      </w:r>
      <w:r>
        <w:rPr>
          <w:noProof/>
        </w:rPr>
        <w:t>(Seeman &amp; Beard 2011; Smith 2001)</w:t>
      </w:r>
      <w:r>
        <w:t>.</w:t>
      </w:r>
    </w:p>
    <w:p w14:paraId="681DA3F5" w14:textId="77777777" w:rsidR="003438A2" w:rsidRPr="00771ADA" w:rsidRDefault="003438A2" w:rsidP="00C25EA7">
      <w:r w:rsidRPr="00771ADA">
        <w:t>Spider mites have five life stages: egg, larva, protonymph, deutonymph and adult. Adult spider mites range from 0.25</w:t>
      </w:r>
      <w:r>
        <w:t xml:space="preserve"> </w:t>
      </w:r>
      <w:r w:rsidRPr="00771ADA">
        <w:t>to 0.5</w:t>
      </w:r>
      <w:r>
        <w:t xml:space="preserve"> </w:t>
      </w:r>
      <w:r w:rsidRPr="00771ADA">
        <w:t xml:space="preserve">mm in length </w:t>
      </w:r>
      <w:r>
        <w:rPr>
          <w:noProof/>
        </w:rPr>
        <w:t>(Wiman &amp; Stoven 2021b)</w:t>
      </w:r>
      <w:r w:rsidRPr="00771ADA">
        <w:t>. Overwintering female spider mites are a bright orange colour and are typically found under bark, on young twigs, in soil or on weeds</w:t>
      </w:r>
      <w:r>
        <w:t xml:space="preserve"> </w:t>
      </w:r>
      <w:r>
        <w:rPr>
          <w:noProof/>
        </w:rPr>
        <w:t>(Caprile et al. 2009a; Smith 2001; Wiman &amp; Stoven 2021b)</w:t>
      </w:r>
      <w:r>
        <w:t>.</w:t>
      </w:r>
      <w:r w:rsidRPr="00771ADA">
        <w:t xml:space="preserve"> </w:t>
      </w:r>
      <w:r w:rsidRPr="00771ADA">
        <w:rPr>
          <w:i/>
        </w:rPr>
        <w:t>Tetranychus mcdanieli</w:t>
      </w:r>
      <w:r w:rsidRPr="00771ADA">
        <w:t xml:space="preserve"> has four dark spots on the body. Immature stages are similar in appearance, only smaller. Eggs are round and translucent to opaque </w:t>
      </w:r>
      <w:r>
        <w:rPr>
          <w:noProof/>
        </w:rPr>
        <w:t>(Wiman &amp; Stoven 2021b)</w:t>
      </w:r>
      <w:r w:rsidRPr="00771ADA">
        <w:t xml:space="preserve">. </w:t>
      </w:r>
    </w:p>
    <w:p w14:paraId="5427CD29" w14:textId="77777777" w:rsidR="003438A2" w:rsidRPr="00DA7C03" w:rsidRDefault="003438A2" w:rsidP="00C25EA7">
      <w:r w:rsidRPr="00AE76BA">
        <w:t xml:space="preserve">Overwintering females emerge in early spring and lay eggs on the underside of leaves </w:t>
      </w:r>
      <w:r w:rsidRPr="00AE76BA">
        <w:rPr>
          <w:noProof/>
        </w:rPr>
        <w:t>(Smith 2001)</w:t>
      </w:r>
      <w:r w:rsidRPr="00AE76BA">
        <w:t xml:space="preserve">. Females can lay up to 10 eggs per day and more than 200 during their lifetime </w:t>
      </w:r>
      <w:r>
        <w:rPr>
          <w:noProof/>
        </w:rPr>
        <w:t>(Wiman &amp; Stoven 2021b)</w:t>
      </w:r>
      <w:r w:rsidRPr="00AE76BA">
        <w:t>. A complete life cycle takes approximately one to three weeks, with many overlapping generations in summer</w:t>
      </w:r>
      <w:r>
        <w:t>,</w:t>
      </w:r>
      <w:r w:rsidRPr="00AE76BA">
        <w:t xml:space="preserve"> when egg to adult development can occur in 7 to 10 days</w:t>
      </w:r>
      <w:r>
        <w:t xml:space="preserve"> </w:t>
      </w:r>
      <w:r>
        <w:rPr>
          <w:noProof/>
        </w:rPr>
        <w:t>(Smith 2001; Van de Vrie 1985)</w:t>
      </w:r>
      <w:r>
        <w:t xml:space="preserve"> </w:t>
      </w:r>
      <w:r w:rsidRPr="00AE76BA">
        <w:t>and the</w:t>
      </w:r>
      <w:r>
        <w:t xml:space="preserve"> mites</w:t>
      </w:r>
      <w:r w:rsidRPr="00AE76BA">
        <w:t xml:space="preserve"> thrive under hot, dry conditions </w:t>
      </w:r>
      <w:r>
        <w:rPr>
          <w:noProof/>
        </w:rPr>
        <w:t>(Wiman &amp; Stoven 2021b)</w:t>
      </w:r>
      <w:r w:rsidRPr="00AE76BA">
        <w:t xml:space="preserve">. All </w:t>
      </w:r>
      <w:r w:rsidRPr="00AE76BA">
        <w:rPr>
          <w:i/>
        </w:rPr>
        <w:t>Tetranychus</w:t>
      </w:r>
      <w:r w:rsidRPr="00AE76BA">
        <w:t xml:space="preserve"> species are capable of both sexual and asexual reproduction</w:t>
      </w:r>
      <w:r>
        <w:t>,</w:t>
      </w:r>
      <w:r w:rsidRPr="00AE76BA">
        <w:t xml:space="preserve"> with mated females giving rise to haploid male and diploid female offspring and unmated females producing only haploid male offspring </w:t>
      </w:r>
      <w:r w:rsidRPr="00AE76BA">
        <w:rPr>
          <w:noProof/>
        </w:rPr>
        <w:t>(Helle &amp; Pijnacker 1985)</w:t>
      </w:r>
      <w:r w:rsidRPr="00AE76BA">
        <w:t>. Asexual reproduction (parthenogenesis) may enable a large population of male mites to develop quickly and thus increase the probability of findin</w:t>
      </w:r>
      <w:r w:rsidRPr="009C7112">
        <w:t xml:space="preserve">g a mate. </w:t>
      </w:r>
      <w:r>
        <w:t xml:space="preserve">Rapid reproduction occurs in hot, dry weather and the infestation peaks in July </w:t>
      </w:r>
      <w:r w:rsidRPr="00DA7C03">
        <w:t xml:space="preserve">and August </w:t>
      </w:r>
      <w:r w:rsidRPr="00DA7C03">
        <w:rPr>
          <w:noProof/>
        </w:rPr>
        <w:t>(</w:t>
      </w:r>
      <w:r w:rsidRPr="003221F4">
        <w:rPr>
          <w:noProof/>
        </w:rPr>
        <w:t>Caprile 2015)</w:t>
      </w:r>
      <w:r w:rsidRPr="00DA7C03">
        <w:t xml:space="preserve">. Dispersal occurs mainly by wind </w:t>
      </w:r>
      <w:r>
        <w:rPr>
          <w:noProof/>
        </w:rPr>
        <w:t>(Wiman &amp; Stoven 2021b)</w:t>
      </w:r>
      <w:r w:rsidRPr="00DA7C03">
        <w:t>.</w:t>
      </w:r>
    </w:p>
    <w:p w14:paraId="15F691F6" w14:textId="77777777" w:rsidR="003438A2" w:rsidRPr="00FF4F64" w:rsidRDefault="003438A2" w:rsidP="00C25EA7">
      <w:r w:rsidRPr="00FF4F64">
        <w:lastRenderedPageBreak/>
        <w:t xml:space="preserve">The risk scenario of biosecurity concern is that eggs, nymphs and adults of </w:t>
      </w:r>
      <w:r w:rsidRPr="00FF4F64">
        <w:rPr>
          <w:iCs/>
        </w:rPr>
        <w:t xml:space="preserve">spider mites </w:t>
      </w:r>
      <w:r w:rsidRPr="00FF4F64">
        <w:t>may be imported on the apple fruit from PNW-USA pathway.</w:t>
      </w:r>
    </w:p>
    <w:p w14:paraId="2F4A4BB5" w14:textId="77777777" w:rsidR="003438A2" w:rsidRPr="001C6A1A" w:rsidRDefault="003438A2" w:rsidP="00C25EA7">
      <w:r w:rsidRPr="001C6A1A">
        <w:t xml:space="preserve">These spider mites have been assessed previously in the existing policy for stone fruit from California, Idaho, Oregon and Washington </w:t>
      </w:r>
      <w:r>
        <w:rPr>
          <w:noProof/>
        </w:rPr>
        <w:t>(Biosecurity Australia 2010b)</w:t>
      </w:r>
      <w:r w:rsidRPr="001C6A1A">
        <w:t>. In that policy, the unrestricted risk estimate for spider mites</w:t>
      </w:r>
      <w:r w:rsidRPr="001C6A1A">
        <w:rPr>
          <w:i/>
        </w:rPr>
        <w:t xml:space="preserve"> </w:t>
      </w:r>
      <w:r w:rsidRPr="001C6A1A">
        <w:t>was assessed as Very Low, which achieves the ALOP for Australia. Therefore, no specific risk management measures are required for spider mites on the stone fruit from California, Idaho, Oregon and Washington pathway.</w:t>
      </w:r>
    </w:p>
    <w:p w14:paraId="50472137" w14:textId="77777777" w:rsidR="003438A2" w:rsidRPr="00DA7C03" w:rsidRDefault="003438A2" w:rsidP="00E77B5E">
      <w:r w:rsidRPr="00DA7C03">
        <w:t>The department has assessed the likelihood of importation of spider mites in the previous policy for stone fruit from California, Idaho, Oregon a</w:t>
      </w:r>
      <w:r>
        <w:t>s</w:t>
      </w:r>
      <w:r w:rsidRPr="00DA7C03">
        <w:t xml:space="preserve"> Moderate. </w:t>
      </w:r>
      <w:r w:rsidRPr="00DA7C03">
        <w:rPr>
          <w:i/>
        </w:rPr>
        <w:t>Tetranychus mcdanieli</w:t>
      </w:r>
      <w:r w:rsidRPr="00DA7C03">
        <w:t xml:space="preserve"> is the most economically important spider mite species associated with apples in the PNW-USA </w:t>
      </w:r>
      <w:r>
        <w:rPr>
          <w:noProof/>
        </w:rPr>
        <w:t>(Wiman &amp; Stoven 2021b)</w:t>
      </w:r>
      <w:r w:rsidRPr="00DA7C03">
        <w:t xml:space="preserve">. </w:t>
      </w:r>
      <w:r w:rsidRPr="00DA7C03">
        <w:rPr>
          <w:i/>
        </w:rPr>
        <w:t>Tetranychus mcdanieli</w:t>
      </w:r>
      <w:r w:rsidRPr="00DA7C03">
        <w:t xml:space="preserve"> is widely distributed in the PNW-USA apple production areas </w:t>
      </w:r>
      <w:r>
        <w:rPr>
          <w:noProof/>
        </w:rPr>
        <w:t>(Wiman &amp; Stoven 2021b)</w:t>
      </w:r>
      <w:r w:rsidRPr="00DA7C03">
        <w:t xml:space="preserve"> and may be associated with apple fruit as egg, nymphal or adult life stages </w:t>
      </w:r>
      <w:r w:rsidRPr="00DA7C03">
        <w:rPr>
          <w:noProof/>
        </w:rPr>
        <w:t>(Curtis et al. 1992)</w:t>
      </w:r>
      <w:r w:rsidRPr="00DA7C03">
        <w:t>.</w:t>
      </w:r>
      <w:r w:rsidRPr="00DA7C03">
        <w:rPr>
          <w:i/>
        </w:rPr>
        <w:t xml:space="preserve"> Tetranychus pacificus </w:t>
      </w:r>
      <w:r w:rsidRPr="00DA7C03">
        <w:t>and</w:t>
      </w:r>
      <w:r w:rsidRPr="00DA7C03">
        <w:rPr>
          <w:i/>
        </w:rPr>
        <w:t xml:space="preserve"> T. turkestani</w:t>
      </w:r>
      <w:r w:rsidRPr="00DA7C03">
        <w:rPr>
          <w:iCs/>
        </w:rPr>
        <w:t xml:space="preserve"> are listed in PNW Insect Handbook 2021 </w:t>
      </w:r>
      <w:r w:rsidRPr="00DA7C03">
        <w:rPr>
          <w:iCs/>
          <w:noProof/>
        </w:rPr>
        <w:t>(Bell &amp; Waters 2021)</w:t>
      </w:r>
      <w:r w:rsidRPr="00DA7C03">
        <w:rPr>
          <w:iCs/>
        </w:rPr>
        <w:t xml:space="preserve"> as pests of vegetable crops, but can also occur on apples</w:t>
      </w:r>
      <w:r>
        <w:rPr>
          <w:iCs/>
        </w:rPr>
        <w:t xml:space="preserve"> </w:t>
      </w:r>
      <w:r>
        <w:rPr>
          <w:noProof/>
        </w:rPr>
        <w:t>(CABI 2021b; Caprile 2015; Colt et al. 2001; Wiman &amp; Stoven 2021b)</w:t>
      </w:r>
      <w:r>
        <w:t>.</w:t>
      </w:r>
      <w:r>
        <w:rPr>
          <w:iCs/>
        </w:rPr>
        <w:t xml:space="preserve"> </w:t>
      </w:r>
      <w:r w:rsidRPr="00DA7C03">
        <w:t xml:space="preserve">Small and cryptic pests </w:t>
      </w:r>
      <w:r>
        <w:t>such as</w:t>
      </w:r>
      <w:r w:rsidRPr="00DA7C03">
        <w:t xml:space="preserve"> spider mites present on apples are likely to occupy sheltered positions, such as the calyx sinuses, and are unlikely to be fully dislodged from fruit by harvesting, post-harvest processing and grading activities </w:t>
      </w:r>
      <w:r>
        <w:rPr>
          <w:noProof/>
        </w:rPr>
        <w:t>(Wiman &amp; Stoven 2021b)</w:t>
      </w:r>
      <w:r w:rsidRPr="00DA7C03">
        <w:t xml:space="preserve">. While extended cold storage may impact viability, their eggs are resilient, and the ability to overwinter could allow surviving females to lay additional eggs after arrival </w:t>
      </w:r>
      <w:r w:rsidRPr="00DA7C03">
        <w:rPr>
          <w:noProof/>
        </w:rPr>
        <w:t>(Veerman 1985)</w:t>
      </w:r>
      <w:r w:rsidRPr="00DA7C03">
        <w:t xml:space="preserve">. </w:t>
      </w:r>
    </w:p>
    <w:p w14:paraId="53D2193D" w14:textId="77777777" w:rsidR="003438A2" w:rsidRPr="00DA7C03" w:rsidRDefault="003438A2" w:rsidP="00E77B5E">
      <w:pPr>
        <w:rPr>
          <w:strike/>
        </w:rPr>
      </w:pPr>
      <w:r w:rsidRPr="00DA7C03">
        <w:t xml:space="preserve">Due to the differences in morphology between apple fruit and stone fruit, the likelihood of importation has been assessed for these spider mite species on the PNW-USA apple pathway. </w:t>
      </w:r>
    </w:p>
    <w:p w14:paraId="3E1F2655" w14:textId="77777777" w:rsidR="003438A2" w:rsidRPr="00DA7C03" w:rsidRDefault="003438A2" w:rsidP="00C25EA7">
      <w:r w:rsidRPr="00DA7C03">
        <w:t>Previous assessment of spider mites on the stone fruit from California, Idaho, Oregon and Washington pathway rated the likelihood of distribution as Moderate. Apples from the PNW-USA are expected to be distributed in Australia, as a result of processing, sale or disposal, in a similar way to stone fruit from California, Idaho, Oregon and Washington. Spider mite species assessed here have a wide host range and hosts are continuously available in Australia. Therefore, any differences in time of year when imports o</w:t>
      </w:r>
      <w:r>
        <w:t>n</w:t>
      </w:r>
      <w:r w:rsidRPr="00DA7C03">
        <w:t xml:space="preserve"> these </w:t>
      </w:r>
      <w:r>
        <w:t>two</w:t>
      </w:r>
      <w:r w:rsidRPr="00DA7C03">
        <w:t xml:space="preserve"> pathways occur would have very little impact on the availability and susceptibility of hosts to contribute to variation in the risk rating for likelihood of distribution.</w:t>
      </w:r>
      <w:r w:rsidRPr="00DA7C03" w:rsidDel="005A0915">
        <w:t xml:space="preserve"> </w:t>
      </w:r>
      <w:bookmarkStart w:id="160" w:name="_Hlk39065160"/>
      <w:r w:rsidRPr="00DA7C03">
        <w:t>For these reasons, the same rating of Moderate for the likelihood of distribution for spider mites on the stone fruit from California, Idaho, Oregon and Washington pathway is adopted for the PNW-USA apple pathway.</w:t>
      </w:r>
      <w:bookmarkEnd w:id="160"/>
      <w:r w:rsidRPr="00DA7C03">
        <w:t xml:space="preserve"> </w:t>
      </w:r>
    </w:p>
    <w:p w14:paraId="4C0E574E" w14:textId="77777777" w:rsidR="003438A2" w:rsidRPr="00F458ED" w:rsidRDefault="003438A2" w:rsidP="00C25EA7">
      <w:pPr>
        <w:rPr>
          <w:strike/>
        </w:rPr>
      </w:pPr>
      <w:r w:rsidRPr="0034644A">
        <w:t xml:space="preserve">The likelihoods of establishment and spread of </w:t>
      </w:r>
      <w:r>
        <w:t>spider mites</w:t>
      </w:r>
      <w:r w:rsidRPr="0034644A">
        <w:t xml:space="preserve"> in Australia f</w:t>
      </w:r>
      <w:r>
        <w:t>rom</w:t>
      </w:r>
      <w:r w:rsidRPr="0034644A">
        <w:t xml:space="preserve"> the PNW-USA apple pathway </w:t>
      </w:r>
      <w:r>
        <w:t>have also been</w:t>
      </w:r>
      <w:r w:rsidRPr="0034644A">
        <w:t xml:space="preserve"> assessed as similar to those </w:t>
      </w:r>
      <w:r>
        <w:t>of the</w:t>
      </w:r>
      <w:r w:rsidRPr="0034644A">
        <w:t xml:space="preserve"> previous assessment</w:t>
      </w:r>
      <w:r>
        <w:t>s</w:t>
      </w:r>
      <w:r w:rsidRPr="0034644A">
        <w:t xml:space="preserve"> </w:t>
      </w:r>
      <w:r>
        <w:t>of</w:t>
      </w:r>
      <w:r w:rsidRPr="0034644A">
        <w:t xml:space="preserve"> High</w:t>
      </w:r>
      <w:r>
        <w:t xml:space="preserve"> and High</w:t>
      </w:r>
      <w:r w:rsidRPr="0034644A">
        <w:t xml:space="preserve"> for </w:t>
      </w:r>
      <w:r>
        <w:t xml:space="preserve">the </w:t>
      </w:r>
      <w:r w:rsidRPr="0034644A">
        <w:t>stone fruit from California, Idaho, Oregon and Washington</w:t>
      </w:r>
      <w:r>
        <w:t xml:space="preserve"> pathway</w:t>
      </w:r>
      <w:r w:rsidRPr="0034644A">
        <w:t>. Th</w:t>
      </w:r>
      <w:r>
        <w:t>o</w:t>
      </w:r>
      <w:r w:rsidRPr="0034644A">
        <w:t xml:space="preserve">se likelihoods relate </w:t>
      </w:r>
      <w:r w:rsidRPr="0047549A">
        <w:rPr>
          <w:color w:val="000000" w:themeColor="text1"/>
        </w:rPr>
        <w:t xml:space="preserve">specifically to events that occur in Australia, and are essentially independent of the import pathway. The consequences of entry, establishment and spread of spider mites in </w:t>
      </w:r>
      <w:r w:rsidRPr="00DA7C03">
        <w:t>Australia are also independent of the importation pathway and have been assessed as being similar between the pest risk assessments, and are rated as Low. The ratings for the likelihoods of establishment and spread of High and High, and for overall consequences</w:t>
      </w:r>
      <w:r>
        <w:t xml:space="preserve"> </w:t>
      </w:r>
      <w:r w:rsidRPr="00DA7C03">
        <w:t xml:space="preserve">of Low for spider </w:t>
      </w:r>
      <w:r w:rsidRPr="00F458ED">
        <w:t>mites on the stone fruit from California, Idaho, Oregon and Washington pathway have been adopted for the PNW-USA apple pathway.</w:t>
      </w:r>
    </w:p>
    <w:p w14:paraId="5D382FAA" w14:textId="77777777" w:rsidR="003438A2" w:rsidRPr="00F458ED" w:rsidRDefault="003438A2" w:rsidP="00C25EA7">
      <w:bookmarkStart w:id="161" w:name="_Hlk78812545"/>
      <w:bookmarkStart w:id="162" w:name="_Hlk46247986"/>
      <w:r w:rsidRPr="00F458ED">
        <w:lastRenderedPageBreak/>
        <w:t>In addition, the department has reviewed the latest literature—</w:t>
      </w:r>
      <w:bookmarkStart w:id="163" w:name="_Hlk108947952"/>
      <w:r w:rsidRPr="00F458ED">
        <w:t>for example,</w:t>
      </w:r>
      <w:r>
        <w:t xml:space="preserve"> </w:t>
      </w:r>
      <w:r>
        <w:rPr>
          <w:noProof/>
        </w:rPr>
        <w:t>Dar et al. (2017); Migeon and Dorkeld (2017); Perry (2014); Sutton et al. (2014); Vacante (2016) and Wiman and Stoven (2021b)</w:t>
      </w:r>
      <w:r w:rsidRPr="00F458ED">
        <w:t xml:space="preserve">. </w:t>
      </w:r>
      <w:bookmarkEnd w:id="163"/>
      <w:r w:rsidRPr="00F458ED">
        <w:t>No new information has been identified that would significantly change the risk ratings for</w:t>
      </w:r>
      <w:r>
        <w:t xml:space="preserve"> </w:t>
      </w:r>
      <w:r w:rsidRPr="00F458ED">
        <w:t>distribution, establishment, spread and consequences as set out for spider mites in the existing policy for stone fruit from California, Idaho, Oregon and Washington.</w:t>
      </w:r>
    </w:p>
    <w:bookmarkEnd w:id="161"/>
    <w:p w14:paraId="4F896EEA" w14:textId="77777777" w:rsidR="003438A2" w:rsidRPr="00B81F41" w:rsidRDefault="003438A2" w:rsidP="00C25EA7">
      <w:pPr>
        <w:pStyle w:val="Heading4"/>
      </w:pPr>
      <w:r w:rsidRPr="00B81F41">
        <w:t>Likelihood of entry</w:t>
      </w:r>
    </w:p>
    <w:p w14:paraId="6670DEE6" w14:textId="77777777" w:rsidR="003438A2" w:rsidRPr="00B81F41" w:rsidRDefault="003438A2" w:rsidP="00C25EA7">
      <w:r w:rsidRPr="00B81F41">
        <w:t>The likelihood of entry is considered in 2 parts, the likelihood of importation and the likelihood of distribution, which consider pre-border and post-border issues, respectively.</w:t>
      </w:r>
    </w:p>
    <w:p w14:paraId="1323F9DF" w14:textId="77777777" w:rsidR="003438A2" w:rsidRPr="00F458ED" w:rsidRDefault="003438A2" w:rsidP="00C25EA7">
      <w:pPr>
        <w:pStyle w:val="Heading5"/>
      </w:pPr>
      <w:r w:rsidRPr="00F458ED">
        <w:t xml:space="preserve">Likelihood of importation </w:t>
      </w:r>
    </w:p>
    <w:p w14:paraId="66358B18" w14:textId="77777777" w:rsidR="003438A2" w:rsidRPr="00F458ED" w:rsidRDefault="003438A2" w:rsidP="00C25EA7">
      <w:r w:rsidRPr="00F458ED">
        <w:t xml:space="preserve">The likelihood that </w:t>
      </w:r>
      <w:r w:rsidRPr="00F458ED">
        <w:rPr>
          <w:i/>
        </w:rPr>
        <w:t xml:space="preserve">T. mcdanieli </w:t>
      </w:r>
      <w:r w:rsidRPr="00F458ED">
        <w:t xml:space="preserve">will arrive in Australia with the importation of apples from the PNW-USA is assessed as High. The likelihood that </w:t>
      </w:r>
      <w:r w:rsidRPr="00F458ED">
        <w:rPr>
          <w:i/>
        </w:rPr>
        <w:t xml:space="preserve">T. pacificus and T. turkestani </w:t>
      </w:r>
      <w:r w:rsidRPr="00F458ED">
        <w:t>will arrive in Australia with the importation of apples from the PNW-USA is assessed as Moderate.</w:t>
      </w:r>
    </w:p>
    <w:p w14:paraId="2F260291" w14:textId="77777777" w:rsidR="003438A2" w:rsidRPr="00F458ED" w:rsidRDefault="003438A2" w:rsidP="00C25EA7">
      <w:r w:rsidRPr="00F458ED">
        <w:t>The following information provides supporting evidence for this assessment.</w:t>
      </w:r>
    </w:p>
    <w:p w14:paraId="603D4F43" w14:textId="77777777" w:rsidR="003438A2" w:rsidRPr="007A77BA" w:rsidRDefault="003438A2" w:rsidP="00C25EA7">
      <w:r w:rsidRPr="00F458ED">
        <w:t xml:space="preserve">All three spider mite species, </w:t>
      </w:r>
      <w:r w:rsidRPr="003405E5">
        <w:rPr>
          <w:i/>
        </w:rPr>
        <w:t>T. mc</w:t>
      </w:r>
      <w:r w:rsidRPr="00F458ED">
        <w:rPr>
          <w:i/>
        </w:rPr>
        <w:t>danieli</w:t>
      </w:r>
      <w:r w:rsidRPr="00F458ED">
        <w:t xml:space="preserve">, </w:t>
      </w:r>
      <w:r w:rsidRPr="00F458ED">
        <w:rPr>
          <w:i/>
        </w:rPr>
        <w:t xml:space="preserve">T. pacificus </w:t>
      </w:r>
      <w:r w:rsidRPr="00F458ED">
        <w:rPr>
          <w:iCs/>
        </w:rPr>
        <w:t>and</w:t>
      </w:r>
      <w:r w:rsidRPr="00F458ED">
        <w:rPr>
          <w:i/>
        </w:rPr>
        <w:t xml:space="preserve"> T. turkestani </w:t>
      </w:r>
      <w:r w:rsidRPr="00F458ED">
        <w:t xml:space="preserve">are present in </w:t>
      </w:r>
      <w:r w:rsidRPr="007A77BA">
        <w:t>the PNW-USA and are associated with apples.</w:t>
      </w:r>
    </w:p>
    <w:p w14:paraId="2B16AE55" w14:textId="77777777" w:rsidR="003438A2" w:rsidRPr="007A77BA" w:rsidRDefault="003438A2" w:rsidP="003438A2">
      <w:pPr>
        <w:pStyle w:val="ListBullet"/>
        <w:numPr>
          <w:ilvl w:val="0"/>
          <w:numId w:val="15"/>
        </w:numPr>
        <w:rPr>
          <w:iCs/>
        </w:rPr>
      </w:pPr>
      <w:r w:rsidRPr="007A77BA">
        <w:rPr>
          <w:i/>
          <w:iCs/>
        </w:rPr>
        <w:t>Tetranychus mcdanieli</w:t>
      </w:r>
      <w:r w:rsidRPr="007A77BA">
        <w:t xml:space="preserve"> is a pest of apples in production areas of the PNW-USA</w:t>
      </w:r>
      <w:r>
        <w:t xml:space="preserve"> </w:t>
      </w:r>
      <w:r>
        <w:rPr>
          <w:noProof/>
        </w:rPr>
        <w:t>(Colt et al. 2001; Hoyt &amp; Beers 1993; Seeman &amp; Beard 2011; Smith 2001; Wiman &amp; Stoven 2021b)</w:t>
      </w:r>
      <w:r w:rsidRPr="007A77BA">
        <w:t>.</w:t>
      </w:r>
      <w:bookmarkStart w:id="164" w:name="_Hlk108947978"/>
      <w:r w:rsidRPr="007A77BA">
        <w:t xml:space="preserve"> </w:t>
      </w:r>
      <w:bookmarkEnd w:id="164"/>
      <w:r w:rsidRPr="007A77BA">
        <w:rPr>
          <w:noProof/>
        </w:rPr>
        <w:t>Tanigoshi et al. (1975)</w:t>
      </w:r>
      <w:r w:rsidRPr="007A77BA">
        <w:t xml:space="preserve"> reported that </w:t>
      </w:r>
      <w:r w:rsidRPr="007A77BA">
        <w:rPr>
          <w:i/>
          <w:iCs/>
        </w:rPr>
        <w:t>T.</w:t>
      </w:r>
      <w:r w:rsidRPr="007A77BA">
        <w:t xml:space="preserve"> </w:t>
      </w:r>
      <w:r w:rsidRPr="007A77BA">
        <w:rPr>
          <w:i/>
          <w:iCs/>
        </w:rPr>
        <w:t>mcdanieli</w:t>
      </w:r>
      <w:r w:rsidRPr="007A77BA">
        <w:t xml:space="preserve"> is a serious pest in certain years in limited areas.</w:t>
      </w:r>
    </w:p>
    <w:p w14:paraId="202AC96C" w14:textId="77777777" w:rsidR="003438A2" w:rsidRPr="00233172" w:rsidRDefault="003438A2" w:rsidP="003438A2">
      <w:pPr>
        <w:pStyle w:val="ListBullet"/>
        <w:numPr>
          <w:ilvl w:val="0"/>
          <w:numId w:val="15"/>
        </w:numPr>
      </w:pPr>
      <w:r w:rsidRPr="00233172" w:rsidDel="00783340">
        <w:rPr>
          <w:i/>
          <w:iCs/>
        </w:rPr>
        <w:t>T</w:t>
      </w:r>
      <w:r w:rsidRPr="00233172">
        <w:rPr>
          <w:i/>
          <w:iCs/>
        </w:rPr>
        <w:t>etranychus</w:t>
      </w:r>
      <w:r w:rsidRPr="00233172" w:rsidDel="00783340">
        <w:rPr>
          <w:i/>
          <w:iCs/>
        </w:rPr>
        <w:t> pacificus</w:t>
      </w:r>
      <w:r w:rsidRPr="00233172" w:rsidDel="00783340">
        <w:t xml:space="preserve"> </w:t>
      </w:r>
      <w:r w:rsidRPr="00233172">
        <w:t xml:space="preserve">is present in the PNW-USA (Baker &amp; Tuttle 1994). This pest can feed on apple </w:t>
      </w:r>
      <w:bookmarkStart w:id="165" w:name="_Hlk108964892"/>
      <w:r w:rsidRPr="00233172">
        <w:rPr>
          <w:noProof/>
        </w:rPr>
        <w:t>(Baker &amp; Tuttle 1994; Caprile 2015)</w:t>
      </w:r>
      <w:bookmarkStart w:id="166" w:name="_Hlk108947996"/>
      <w:bookmarkEnd w:id="165"/>
      <w:r w:rsidRPr="00233172">
        <w:t xml:space="preserve"> </w:t>
      </w:r>
      <w:bookmarkEnd w:id="166"/>
      <w:r w:rsidRPr="00233172">
        <w:t>but is not reported to be a pest of apples in the PNW-USA</w:t>
      </w:r>
      <w:r>
        <w:t xml:space="preserve"> </w:t>
      </w:r>
      <w:r>
        <w:rPr>
          <w:iCs/>
          <w:noProof/>
        </w:rPr>
        <w:t>(CABI 2021b; Colt et al. 2001; Wiman &amp; Stoven 2021b)</w:t>
      </w:r>
      <w:r>
        <w:rPr>
          <w:iCs/>
        </w:rPr>
        <w:t>.</w:t>
      </w:r>
      <w:r w:rsidRPr="00233172">
        <w:t xml:space="preserve"> </w:t>
      </w:r>
    </w:p>
    <w:p w14:paraId="247E0635" w14:textId="77777777" w:rsidR="003438A2" w:rsidRPr="00EA509F" w:rsidRDefault="003438A2" w:rsidP="003438A2">
      <w:pPr>
        <w:pStyle w:val="ListBullet"/>
        <w:numPr>
          <w:ilvl w:val="0"/>
          <w:numId w:val="15"/>
        </w:numPr>
        <w:rPr>
          <w:i/>
        </w:rPr>
      </w:pPr>
      <w:r w:rsidRPr="00EA509F">
        <w:rPr>
          <w:i/>
        </w:rPr>
        <w:t xml:space="preserve">Tetranychus turkestani </w:t>
      </w:r>
      <w:r w:rsidRPr="00EA509F">
        <w:t>is present in the PNW-USA</w:t>
      </w:r>
      <w:r>
        <w:t xml:space="preserve"> </w:t>
      </w:r>
      <w:r w:rsidRPr="00233172">
        <w:t>(Baker &amp; Tuttle 1994)</w:t>
      </w:r>
      <w:bookmarkStart w:id="167" w:name="_Hlk109844924"/>
      <w:r w:rsidRPr="00234A7E">
        <w:rPr>
          <w:noProof/>
        </w:rPr>
        <w:t xml:space="preserve"> </w:t>
      </w:r>
      <w:bookmarkEnd w:id="167"/>
      <w:r w:rsidRPr="00EA509F">
        <w:t xml:space="preserve">and is </w:t>
      </w:r>
      <w:r>
        <w:t xml:space="preserve">reported as </w:t>
      </w:r>
      <w:r w:rsidRPr="00EA509F">
        <w:t>a pest</w:t>
      </w:r>
      <w:r w:rsidRPr="00EA509F">
        <w:rPr>
          <w:i/>
        </w:rPr>
        <w:t> </w:t>
      </w:r>
      <w:r w:rsidRPr="00EA509F">
        <w:t xml:space="preserve">of vegetable crops in the Pacific Northwest Insect Handbook </w:t>
      </w:r>
      <w:r w:rsidRPr="00EA509F">
        <w:rPr>
          <w:noProof/>
        </w:rPr>
        <w:t>(Bell &amp; Waters 2021)</w:t>
      </w:r>
      <w:r w:rsidRPr="00EA509F">
        <w:t>.</w:t>
      </w:r>
      <w:r>
        <w:t xml:space="preserve"> </w:t>
      </w:r>
      <w:r w:rsidRPr="00EA509F">
        <w:t xml:space="preserve">Although </w:t>
      </w:r>
      <w:r w:rsidRPr="00EA509F">
        <w:rPr>
          <w:noProof/>
        </w:rPr>
        <w:t xml:space="preserve">apple is recorded as a host for </w:t>
      </w:r>
      <w:r w:rsidRPr="00EA509F">
        <w:rPr>
          <w:i/>
          <w:noProof/>
        </w:rPr>
        <w:t>T. turkestani</w:t>
      </w:r>
      <w:r>
        <w:rPr>
          <w:iCs/>
          <w:noProof/>
        </w:rPr>
        <w:t xml:space="preserve"> </w:t>
      </w:r>
      <w:r w:rsidRPr="007D41F9">
        <w:rPr>
          <w:iCs/>
          <w:noProof/>
        </w:rPr>
        <w:t>(Balykina, Rybareva &amp; Yagodinskaya 2021; CABI 2022; Marić et al. 2018)</w:t>
      </w:r>
      <w:r>
        <w:rPr>
          <w:iCs/>
          <w:noProof/>
        </w:rPr>
        <w:t xml:space="preserve">, </w:t>
      </w:r>
      <w:bookmarkStart w:id="168" w:name="_Hlk107410089"/>
      <w:r w:rsidRPr="00EA509F">
        <w:rPr>
          <w:noProof/>
        </w:rPr>
        <w:t xml:space="preserve">there are no records of this pest on apples in the </w:t>
      </w:r>
      <w:r w:rsidRPr="00B75DC8">
        <w:rPr>
          <w:noProof/>
        </w:rPr>
        <w:t>PNW-</w:t>
      </w:r>
      <w:bookmarkEnd w:id="168"/>
      <w:r>
        <w:rPr>
          <w:noProof/>
        </w:rPr>
        <w:t>USA.</w:t>
      </w:r>
    </w:p>
    <w:p w14:paraId="11C0EE28" w14:textId="77777777" w:rsidR="003438A2" w:rsidRPr="00FA5DD4" w:rsidRDefault="003438A2" w:rsidP="00C25EA7">
      <w:pPr>
        <w:rPr>
          <w:iCs/>
        </w:rPr>
      </w:pPr>
      <w:r w:rsidRPr="00234A7E">
        <w:rPr>
          <w:i/>
        </w:rPr>
        <w:t xml:space="preserve">Tetranychus mcdanieli, T. pacificus </w:t>
      </w:r>
      <w:r w:rsidRPr="00C56F18">
        <w:rPr>
          <w:iCs/>
        </w:rPr>
        <w:t>and</w:t>
      </w:r>
      <w:r w:rsidRPr="00234A7E">
        <w:rPr>
          <w:i/>
        </w:rPr>
        <w:t xml:space="preserve"> T. turkestani </w:t>
      </w:r>
      <w:r w:rsidRPr="00234A7E">
        <w:rPr>
          <w:iCs/>
        </w:rPr>
        <w:t>can rapidly form large populations and may be difficult</w:t>
      </w:r>
      <w:r>
        <w:rPr>
          <w:iCs/>
        </w:rPr>
        <w:t xml:space="preserve"> to control</w:t>
      </w:r>
      <w:r w:rsidRPr="00234A7E">
        <w:rPr>
          <w:iCs/>
        </w:rPr>
        <w:t>.</w:t>
      </w:r>
      <w:r w:rsidRPr="00FA5DD4">
        <w:rPr>
          <w:iCs/>
        </w:rPr>
        <w:t xml:space="preserve"> </w:t>
      </w:r>
    </w:p>
    <w:p w14:paraId="317D3246" w14:textId="77777777" w:rsidR="003438A2" w:rsidRPr="00BE6E28" w:rsidRDefault="003438A2" w:rsidP="003438A2">
      <w:pPr>
        <w:pStyle w:val="ListBullet"/>
        <w:numPr>
          <w:ilvl w:val="0"/>
          <w:numId w:val="15"/>
        </w:numPr>
        <w:rPr>
          <w:iCs/>
        </w:rPr>
      </w:pPr>
      <w:r w:rsidRPr="00FA5DD4">
        <w:t>Rapid reproduction occurs in hot, dry weather and infestation</w:t>
      </w:r>
      <w:r>
        <w:t>s</w:t>
      </w:r>
      <w:r w:rsidRPr="00FA5DD4">
        <w:t xml:space="preserve"> peak in July and August </w:t>
      </w:r>
      <w:r>
        <w:rPr>
          <w:noProof/>
        </w:rPr>
        <w:t>(Caprile et al. 2009a)</w:t>
      </w:r>
      <w:r w:rsidRPr="00FA5DD4">
        <w:t xml:space="preserve">. In warm summer conditions, </w:t>
      </w:r>
      <w:r w:rsidRPr="00FA5DD4">
        <w:rPr>
          <w:i/>
          <w:iCs/>
        </w:rPr>
        <w:t>T. mcdanieli</w:t>
      </w:r>
      <w:r w:rsidRPr="00FA5DD4">
        <w:t xml:space="preserve"> females can lay 100</w:t>
      </w:r>
      <w:r>
        <w:t xml:space="preserve"> to </w:t>
      </w:r>
      <w:r w:rsidRPr="00FA5DD4">
        <w:t>200 eggs during their 30-day lifetime and generations may take as few as 7 days to complete, allowing the population to increase rapidly</w:t>
      </w:r>
      <w:r>
        <w:t xml:space="preserve"> </w:t>
      </w:r>
      <w:bookmarkStart w:id="169" w:name="_Hlk108975938"/>
      <w:r>
        <w:rPr>
          <w:noProof/>
        </w:rPr>
        <w:t>(Colt et al. 2001; Seeman &amp; Beard 2011; Smith 2001; Wiman &amp; Stoven 2021b)</w:t>
      </w:r>
      <w:r w:rsidRPr="00BE6E28">
        <w:t>.</w:t>
      </w:r>
      <w:bookmarkStart w:id="170" w:name="_Hlk108948157"/>
      <w:bookmarkEnd w:id="169"/>
    </w:p>
    <w:bookmarkEnd w:id="170"/>
    <w:p w14:paraId="2AFE74AF" w14:textId="77777777" w:rsidR="003438A2" w:rsidRPr="00BE6E28" w:rsidRDefault="003438A2" w:rsidP="003438A2">
      <w:pPr>
        <w:pStyle w:val="ListBullet"/>
        <w:numPr>
          <w:ilvl w:val="0"/>
          <w:numId w:val="15"/>
        </w:numPr>
        <w:rPr>
          <w:iCs/>
        </w:rPr>
      </w:pPr>
      <w:r w:rsidRPr="00BE6E28">
        <w:rPr>
          <w:iCs/>
        </w:rPr>
        <w:t>Spider mites at levels of less than 15</w:t>
      </w:r>
      <w:r>
        <w:rPr>
          <w:iCs/>
        </w:rPr>
        <w:t xml:space="preserve"> to </w:t>
      </w:r>
      <w:r w:rsidRPr="00BE6E28">
        <w:rPr>
          <w:iCs/>
        </w:rPr>
        <w:t xml:space="preserve">20 mites per leaf are unlikely to cause economic damage </w:t>
      </w:r>
      <w:r>
        <w:rPr>
          <w:iCs/>
          <w:noProof/>
        </w:rPr>
        <w:t>(Wiman &amp; Stoven 2021b)</w:t>
      </w:r>
      <w:r w:rsidRPr="00BE6E28">
        <w:rPr>
          <w:iCs/>
        </w:rPr>
        <w:t>, which may allow the build-up of mite populations before treatment is applied.</w:t>
      </w:r>
    </w:p>
    <w:p w14:paraId="7ECF1B76" w14:textId="77777777" w:rsidR="003438A2" w:rsidRPr="001C0610" w:rsidRDefault="003438A2" w:rsidP="003438A2">
      <w:pPr>
        <w:pStyle w:val="ListBullet"/>
        <w:numPr>
          <w:ilvl w:val="0"/>
          <w:numId w:val="15"/>
        </w:numPr>
        <w:rPr>
          <w:iCs/>
        </w:rPr>
      </w:pPr>
      <w:r w:rsidRPr="001C0610">
        <w:rPr>
          <w:iCs/>
        </w:rPr>
        <w:t xml:space="preserve">Management of spider mites can involve a combination of methods including biological, cultural and chemical controls </w:t>
      </w:r>
      <w:r w:rsidRPr="001C0610">
        <w:rPr>
          <w:noProof/>
        </w:rPr>
        <w:t>(</w:t>
      </w:r>
      <w:r w:rsidRPr="003221F4">
        <w:rPr>
          <w:noProof/>
        </w:rPr>
        <w:t>Caprile 2015)</w:t>
      </w:r>
      <w:r w:rsidRPr="001C0610">
        <w:rPr>
          <w:iCs/>
        </w:rPr>
        <w:t xml:space="preserve">. </w:t>
      </w:r>
    </w:p>
    <w:p w14:paraId="6A5D7F6A" w14:textId="77777777" w:rsidR="003438A2" w:rsidRPr="00A9711E" w:rsidRDefault="003438A2" w:rsidP="003438A2">
      <w:pPr>
        <w:pStyle w:val="ListBullet"/>
        <w:numPr>
          <w:ilvl w:val="0"/>
          <w:numId w:val="15"/>
        </w:numPr>
        <w:rPr>
          <w:iCs/>
        </w:rPr>
      </w:pPr>
      <w:r w:rsidRPr="00A9711E">
        <w:rPr>
          <w:iCs/>
        </w:rPr>
        <w:t xml:space="preserve">Spider mites spin heavy mats of webbing over leaves and </w:t>
      </w:r>
      <w:bookmarkStart w:id="171" w:name="_Hlk108948740"/>
      <w:r w:rsidRPr="00A9711E">
        <w:rPr>
          <w:iCs/>
        </w:rPr>
        <w:t xml:space="preserve">fruit </w:t>
      </w:r>
      <w:r>
        <w:rPr>
          <w:noProof/>
        </w:rPr>
        <w:t>(Hoyt &amp; Beers 1993; Smith 2001)</w:t>
      </w:r>
      <w:bookmarkEnd w:id="171"/>
      <w:r w:rsidRPr="001C0610">
        <w:t>,</w:t>
      </w:r>
      <w:r w:rsidRPr="00A9711E">
        <w:rPr>
          <w:iCs/>
        </w:rPr>
        <w:t xml:space="preserve"> preventing effective chemical control </w:t>
      </w:r>
      <w:r w:rsidRPr="001C0610">
        <w:rPr>
          <w:noProof/>
        </w:rPr>
        <w:t>(Hoyt &amp; Beers 1993)</w:t>
      </w:r>
      <w:r w:rsidRPr="001C0610">
        <w:t>.</w:t>
      </w:r>
    </w:p>
    <w:p w14:paraId="1FEE07F6" w14:textId="77777777" w:rsidR="003438A2" w:rsidRPr="007E33A9" w:rsidRDefault="003438A2" w:rsidP="003438A2">
      <w:pPr>
        <w:pStyle w:val="ListBullet"/>
        <w:numPr>
          <w:ilvl w:val="0"/>
          <w:numId w:val="15"/>
        </w:numPr>
      </w:pPr>
      <w:r w:rsidRPr="007E33A9">
        <w:lastRenderedPageBreak/>
        <w:t xml:space="preserve">Spider mites are known to rapidly develop resistance to chemical controls </w:t>
      </w:r>
      <w:r w:rsidRPr="007E33A9">
        <w:rPr>
          <w:noProof/>
        </w:rPr>
        <w:t>(Van de Vrie 1985; Wiman &amp; Stoven 2021b)</w:t>
      </w:r>
      <w:r w:rsidRPr="007E33A9">
        <w:t>.</w:t>
      </w:r>
      <w:bookmarkStart w:id="172" w:name="_Hlk108948756"/>
      <w:r w:rsidRPr="007E33A9">
        <w:t xml:space="preserve"> </w:t>
      </w:r>
    </w:p>
    <w:bookmarkEnd w:id="172"/>
    <w:p w14:paraId="09B424EA" w14:textId="77777777" w:rsidR="003438A2" w:rsidRPr="004D4963" w:rsidRDefault="003438A2" w:rsidP="003438A2">
      <w:pPr>
        <w:pStyle w:val="ListBullet"/>
        <w:numPr>
          <w:ilvl w:val="0"/>
          <w:numId w:val="15"/>
        </w:numPr>
      </w:pPr>
      <w:r w:rsidRPr="004D4963">
        <w:rPr>
          <w:i/>
        </w:rPr>
        <w:t>Tetranychus mcdanieli</w:t>
      </w:r>
      <w:r w:rsidRPr="004D4963">
        <w:t xml:space="preserve"> may be a serious problem on apple fruit at harvest time </w:t>
      </w:r>
      <w:r>
        <w:rPr>
          <w:noProof/>
        </w:rPr>
        <w:t>(Wiman &amp; Stoven 2021b)</w:t>
      </w:r>
      <w:r w:rsidRPr="004D4963">
        <w:t>.</w:t>
      </w:r>
      <w:r>
        <w:t xml:space="preserve"> </w:t>
      </w:r>
    </w:p>
    <w:p w14:paraId="5EF8CF7E" w14:textId="77777777" w:rsidR="003438A2" w:rsidRPr="00BF5FA3" w:rsidRDefault="003438A2" w:rsidP="00C25EA7">
      <w:bookmarkStart w:id="173" w:name="_Hlk103163477"/>
      <w:r w:rsidRPr="004D4963">
        <w:rPr>
          <w:iCs/>
        </w:rPr>
        <w:t xml:space="preserve">Some </w:t>
      </w:r>
      <w:r w:rsidRPr="004D4963">
        <w:rPr>
          <w:i/>
        </w:rPr>
        <w:t>T. mcdanieli</w:t>
      </w:r>
      <w:r w:rsidRPr="00BF5FA3">
        <w:rPr>
          <w:i/>
        </w:rPr>
        <w:t>,</w:t>
      </w:r>
      <w:r w:rsidRPr="00BF5FA3">
        <w:t xml:space="preserve"> </w:t>
      </w:r>
      <w:r w:rsidRPr="00BF5FA3">
        <w:rPr>
          <w:i/>
        </w:rPr>
        <w:t xml:space="preserve">T. pacificus </w:t>
      </w:r>
      <w:r w:rsidRPr="00BF5FA3">
        <w:rPr>
          <w:iCs/>
        </w:rPr>
        <w:t>and</w:t>
      </w:r>
      <w:r w:rsidRPr="00BF5FA3">
        <w:rPr>
          <w:i/>
        </w:rPr>
        <w:t xml:space="preserve"> T. turkestani</w:t>
      </w:r>
      <w:r w:rsidRPr="00BF5FA3">
        <w:rPr>
          <w:iCs/>
        </w:rPr>
        <w:t xml:space="preserve"> </w:t>
      </w:r>
      <w:r w:rsidRPr="00BF5FA3">
        <w:t xml:space="preserve">may not be removed during post-harvest processing. </w:t>
      </w:r>
      <w:r w:rsidRPr="00BF5FA3">
        <w:rPr>
          <w:iCs/>
        </w:rPr>
        <w:t xml:space="preserve">Spider mites </w:t>
      </w:r>
      <w:r w:rsidRPr="00BF5FA3">
        <w:t>could survive cold temperatures during storage in the PNW-USA and transport to Australia.</w:t>
      </w:r>
    </w:p>
    <w:p w14:paraId="0A3CEE3E" w14:textId="77777777" w:rsidR="003438A2" w:rsidRPr="00FB0E08" w:rsidRDefault="003438A2" w:rsidP="003438A2">
      <w:pPr>
        <w:pStyle w:val="ListBullet"/>
        <w:numPr>
          <w:ilvl w:val="0"/>
          <w:numId w:val="15"/>
        </w:numPr>
      </w:pPr>
      <w:r w:rsidRPr="00BF5FA3">
        <w:t>Packing house activities such as</w:t>
      </w:r>
      <w:r w:rsidRPr="005C6E33">
        <w:t xml:space="preserve"> washing, brushing and waxing are likely to remove a proportion of mites among other pests on the surface of fruit </w:t>
      </w:r>
      <w:r w:rsidRPr="005C6E33">
        <w:rPr>
          <w:noProof/>
        </w:rPr>
        <w:t>(Jamieson et al. 2010; Page-Weir et al. 2018; Rogers et al. 2016)</w:t>
      </w:r>
      <w:r w:rsidRPr="005C6E33">
        <w:t>.</w:t>
      </w:r>
      <w:bookmarkStart w:id="174" w:name="_Hlk107410216"/>
      <w:bookmarkStart w:id="175" w:name="_Hlk108948779"/>
      <w:r w:rsidRPr="00FB0E08">
        <w:t xml:space="preserve"> </w:t>
      </w:r>
      <w:bookmarkEnd w:id="174"/>
    </w:p>
    <w:bookmarkEnd w:id="175"/>
    <w:p w14:paraId="5E8C6F5A" w14:textId="77777777" w:rsidR="003438A2" w:rsidRPr="00234A7E" w:rsidRDefault="003438A2" w:rsidP="003438A2">
      <w:pPr>
        <w:pStyle w:val="ListBullet"/>
        <w:numPr>
          <w:ilvl w:val="0"/>
          <w:numId w:val="15"/>
        </w:numPr>
        <w:rPr>
          <w:iCs/>
        </w:rPr>
      </w:pPr>
      <w:r w:rsidRPr="00234A7E">
        <w:t>However, some spider mites are likely to survive packing house activities because their small size</w:t>
      </w:r>
      <w:r>
        <w:t xml:space="preserve"> allows access to protected locations on fruit</w:t>
      </w:r>
      <w:r w:rsidRPr="00234A7E">
        <w:t xml:space="preserve"> </w:t>
      </w:r>
      <w:r>
        <w:rPr>
          <w:noProof/>
        </w:rPr>
        <w:t>(Wiman &amp; Stoven 2021b)</w:t>
      </w:r>
      <w:r w:rsidRPr="00FB0E08">
        <w:t>.</w:t>
      </w:r>
    </w:p>
    <w:bookmarkEnd w:id="173"/>
    <w:p w14:paraId="4C98BDB1" w14:textId="77777777" w:rsidR="003438A2" w:rsidRPr="00E37E6C" w:rsidRDefault="003438A2" w:rsidP="003438A2">
      <w:pPr>
        <w:pStyle w:val="ListBullet"/>
        <w:numPr>
          <w:ilvl w:val="0"/>
          <w:numId w:val="15"/>
        </w:numPr>
      </w:pPr>
      <w:r w:rsidRPr="00B30C71">
        <w:rPr>
          <w:iCs/>
        </w:rPr>
        <w:t xml:space="preserve">Overwintering female spider mites, including </w:t>
      </w:r>
      <w:r w:rsidRPr="00B30C71">
        <w:rPr>
          <w:i/>
        </w:rPr>
        <w:t>T</w:t>
      </w:r>
      <w:r>
        <w:rPr>
          <w:i/>
        </w:rPr>
        <w:t>.</w:t>
      </w:r>
      <w:r w:rsidRPr="00B30C71">
        <w:rPr>
          <w:i/>
        </w:rPr>
        <w:t xml:space="preserve"> mcdanieli,</w:t>
      </w:r>
      <w:r w:rsidRPr="00B30C71">
        <w:rPr>
          <w:iCs/>
        </w:rPr>
        <w:t xml:space="preserve"> hide inside natural cavities of fruit </w:t>
      </w:r>
      <w:r>
        <w:rPr>
          <w:noProof/>
        </w:rPr>
        <w:t>(Curtis et al. 1992; Seeman &amp; Beard 2011)</w:t>
      </w:r>
      <w:r>
        <w:t xml:space="preserve"> </w:t>
      </w:r>
      <w:r w:rsidRPr="00B30C71">
        <w:rPr>
          <w:iCs/>
        </w:rPr>
        <w:t xml:space="preserve">and inside the calyx of apples </w:t>
      </w:r>
      <w:r w:rsidRPr="00656E1C">
        <w:rPr>
          <w:noProof/>
        </w:rPr>
        <w:t>(Hoyt &amp; Beers 1993)</w:t>
      </w:r>
      <w:r w:rsidRPr="00656E1C">
        <w:t xml:space="preserve"> where they are unlikely to be detected or removed by packing house processes</w:t>
      </w:r>
      <w:r w:rsidRPr="00B30C71">
        <w:rPr>
          <w:iCs/>
        </w:rPr>
        <w:t xml:space="preserve">. </w:t>
      </w:r>
    </w:p>
    <w:p w14:paraId="1AB1FBA8" w14:textId="77777777" w:rsidR="003438A2" w:rsidRPr="00656E1C" w:rsidRDefault="003438A2" w:rsidP="003438A2">
      <w:pPr>
        <w:pStyle w:val="ListBullet"/>
        <w:numPr>
          <w:ilvl w:val="0"/>
          <w:numId w:val="15"/>
        </w:numPr>
        <w:rPr>
          <w:iCs/>
        </w:rPr>
      </w:pPr>
      <w:r w:rsidRPr="00656E1C">
        <w:rPr>
          <w:iCs/>
        </w:rPr>
        <w:t xml:space="preserve">While cold temperatures can reduce mobility, feeding and reproduction, it is unlikely to control spider mites as female spider mites are the overwintering stage and can survive sub-zero temperatures </w:t>
      </w:r>
      <w:r w:rsidRPr="00656E1C">
        <w:rPr>
          <w:iCs/>
          <w:noProof/>
        </w:rPr>
        <w:t>(Veerman 1985)</w:t>
      </w:r>
      <w:r w:rsidRPr="00656E1C">
        <w:rPr>
          <w:iCs/>
        </w:rPr>
        <w:t xml:space="preserve">. </w:t>
      </w:r>
    </w:p>
    <w:p w14:paraId="39101308" w14:textId="77777777" w:rsidR="003438A2" w:rsidRPr="00656E1C" w:rsidRDefault="003438A2" w:rsidP="00C25EA7">
      <w:pPr>
        <w:rPr>
          <w:iCs/>
        </w:rPr>
      </w:pPr>
      <w:r w:rsidRPr="00656E1C">
        <w:rPr>
          <w:iCs/>
        </w:rPr>
        <w:t>For the reasons outlined above</w:t>
      </w:r>
      <w:r>
        <w:rPr>
          <w:iCs/>
        </w:rPr>
        <w:t>,</w:t>
      </w:r>
      <w:r w:rsidRPr="00656E1C">
        <w:rPr>
          <w:iCs/>
        </w:rPr>
        <w:t xml:space="preserve"> and </w:t>
      </w:r>
      <w:r>
        <w:rPr>
          <w:iCs/>
        </w:rPr>
        <w:t xml:space="preserve">in recognition of </w:t>
      </w:r>
      <w:r w:rsidRPr="00656E1C">
        <w:rPr>
          <w:iCs/>
        </w:rPr>
        <w:t xml:space="preserve">the high prevalence of </w:t>
      </w:r>
      <w:r w:rsidRPr="00656E1C">
        <w:rPr>
          <w:i/>
        </w:rPr>
        <w:t>T. mcdanieli</w:t>
      </w:r>
      <w:r w:rsidRPr="00656E1C">
        <w:rPr>
          <w:iCs/>
        </w:rPr>
        <w:t xml:space="preserve"> on apple fruit in the PNW-USA, </w:t>
      </w:r>
      <w:bookmarkStart w:id="176" w:name="_Hlk77514226"/>
      <w:r w:rsidRPr="00656E1C">
        <w:rPr>
          <w:iCs/>
        </w:rPr>
        <w:t xml:space="preserve">the likelihood of importation of </w:t>
      </w:r>
      <w:r w:rsidRPr="00656E1C">
        <w:rPr>
          <w:i/>
        </w:rPr>
        <w:t xml:space="preserve">T. mcdanieli </w:t>
      </w:r>
      <w:r w:rsidRPr="00656E1C">
        <w:rPr>
          <w:iCs/>
        </w:rPr>
        <w:t xml:space="preserve">on apples from the PNW-USA is rated as </w:t>
      </w:r>
      <w:bookmarkEnd w:id="176"/>
      <w:r w:rsidRPr="00656E1C">
        <w:rPr>
          <w:iCs/>
        </w:rPr>
        <w:t xml:space="preserve">High. However, the likelihood of importation of </w:t>
      </w:r>
      <w:r w:rsidRPr="00656E1C">
        <w:rPr>
          <w:i/>
        </w:rPr>
        <w:t xml:space="preserve">T. pacificus </w:t>
      </w:r>
      <w:r w:rsidRPr="00656E1C">
        <w:rPr>
          <w:iCs/>
        </w:rPr>
        <w:t>and</w:t>
      </w:r>
      <w:r w:rsidRPr="00656E1C">
        <w:rPr>
          <w:i/>
        </w:rPr>
        <w:t xml:space="preserve"> T. turkestani </w:t>
      </w:r>
      <w:r w:rsidRPr="00656E1C">
        <w:rPr>
          <w:iCs/>
        </w:rPr>
        <w:t>on imported apples sourced from PNW-USA is rated as Moderate due to their lesser association with apples in the PNW-USA.</w:t>
      </w:r>
    </w:p>
    <w:p w14:paraId="38B6D9D2" w14:textId="77777777" w:rsidR="003438A2" w:rsidRPr="00A3009B" w:rsidRDefault="003438A2" w:rsidP="00C25EA7">
      <w:pPr>
        <w:pStyle w:val="Heading5"/>
      </w:pPr>
      <w:r w:rsidRPr="00A3009B">
        <w:t>Likelihood of distribution</w:t>
      </w:r>
    </w:p>
    <w:p w14:paraId="59CF24CE" w14:textId="77777777" w:rsidR="003438A2" w:rsidRPr="00A3009B" w:rsidRDefault="003438A2" w:rsidP="00C25EA7">
      <w:r w:rsidRPr="00A3009B">
        <w:t xml:space="preserve">The likelihood that </w:t>
      </w:r>
      <w:r>
        <w:t>spider mites</w:t>
      </w:r>
      <w:r w:rsidRPr="00A3009B">
        <w:t xml:space="preserve"> will be distributed within Australia in a viable state as a result of the processing, sale or disposal of apples from the PNW-USA, and subsequently transfer to a susceptible part of a host is considered to be similar to </w:t>
      </w:r>
      <w:r>
        <w:t>spider mites</w:t>
      </w:r>
      <w:r w:rsidRPr="00A3009B">
        <w:rPr>
          <w:i/>
        </w:rPr>
        <w:t xml:space="preserve"> </w:t>
      </w:r>
      <w:r w:rsidRPr="00A3009B">
        <w:rPr>
          <w:iCs/>
        </w:rPr>
        <w:t xml:space="preserve">on </w:t>
      </w:r>
      <w:r>
        <w:rPr>
          <w:iCs/>
        </w:rPr>
        <w:t>stone fruit</w:t>
      </w:r>
      <w:r w:rsidRPr="00A3009B">
        <w:rPr>
          <w:iCs/>
        </w:rPr>
        <w:t xml:space="preserve"> from </w:t>
      </w:r>
      <w:r w:rsidRPr="0034644A">
        <w:t>California, Idaho, Oregon and Washington</w:t>
      </w:r>
      <w:r w:rsidRPr="00A3009B">
        <w:t xml:space="preserve">. Therefore, the same rating of </w:t>
      </w:r>
      <w:r>
        <w:t>Moderate</w:t>
      </w:r>
      <w:r w:rsidRPr="00A3009B">
        <w:t xml:space="preserve"> for the likelihood of distribution previously assessed for </w:t>
      </w:r>
      <w:r>
        <w:t xml:space="preserve">spider mites </w:t>
      </w:r>
      <w:r w:rsidRPr="00A3009B">
        <w:rPr>
          <w:iCs/>
        </w:rPr>
        <w:t xml:space="preserve">on </w:t>
      </w:r>
      <w:r>
        <w:rPr>
          <w:iCs/>
        </w:rPr>
        <w:t xml:space="preserve">the stone fruit from </w:t>
      </w:r>
      <w:r w:rsidRPr="0034644A">
        <w:t>California, Idaho, Oregon and Washington</w:t>
      </w:r>
      <w:r>
        <w:t xml:space="preserve"> </w:t>
      </w:r>
      <w:r w:rsidRPr="00A3009B">
        <w:rPr>
          <w:iCs/>
        </w:rPr>
        <w:t xml:space="preserve">pathway is adopted for </w:t>
      </w:r>
      <w:r>
        <w:rPr>
          <w:iCs/>
        </w:rPr>
        <w:t xml:space="preserve">spider mites </w:t>
      </w:r>
      <w:r w:rsidRPr="00A3009B">
        <w:rPr>
          <w:iCs/>
        </w:rPr>
        <w:t xml:space="preserve">on </w:t>
      </w:r>
      <w:r>
        <w:rPr>
          <w:iCs/>
        </w:rPr>
        <w:t xml:space="preserve">the </w:t>
      </w:r>
      <w:r w:rsidRPr="00A3009B">
        <w:rPr>
          <w:iCs/>
        </w:rPr>
        <w:t xml:space="preserve">apples from PNW-USA pathway. </w:t>
      </w:r>
    </w:p>
    <w:p w14:paraId="7AC3D2AA" w14:textId="77777777" w:rsidR="003438A2" w:rsidRPr="00A3009B" w:rsidRDefault="003438A2" w:rsidP="00C25EA7">
      <w:pPr>
        <w:pStyle w:val="Heading5"/>
      </w:pPr>
      <w:r w:rsidRPr="00A3009B">
        <w:t>Overall likelihood of entry</w:t>
      </w:r>
    </w:p>
    <w:p w14:paraId="4575D02C" w14:textId="77777777" w:rsidR="003438A2" w:rsidRPr="005A0915" w:rsidRDefault="003438A2" w:rsidP="00C25EA7">
      <w:r>
        <w:t xml:space="preserve">The overall likelihood of entry for </w:t>
      </w:r>
      <w:r w:rsidRPr="00BC2F14">
        <w:rPr>
          <w:i/>
          <w:iCs/>
        </w:rPr>
        <w:t>T. mcdanieli</w:t>
      </w:r>
      <w:r>
        <w:t xml:space="preserve"> is determined as Moderate by combining the assessed likelihood of importation of High with the adopted likelihood of distribution of Moderate, </w:t>
      </w:r>
      <w:r w:rsidRPr="00945121">
        <w:rPr>
          <w:rFonts w:cstheme="minorHAnsi"/>
        </w:rPr>
        <w:t xml:space="preserve">using the matrix of rules in </w:t>
      </w:r>
      <w:r>
        <w:rPr>
          <w:rFonts w:cstheme="minorHAnsi"/>
        </w:rPr>
        <w:fldChar w:fldCharType="begin" w:fldLock="1"/>
      </w:r>
      <w:r>
        <w:rPr>
          <w:rFonts w:cstheme="minorHAnsi"/>
        </w:rPr>
        <w:instrText xml:space="preserve"> REF _Ref457826328 \h </w:instrText>
      </w:r>
      <w:r>
        <w:rPr>
          <w:rFonts w:cstheme="minorHAnsi"/>
        </w:rPr>
      </w:r>
      <w:r>
        <w:rPr>
          <w:rFonts w:cstheme="minorHAnsi"/>
        </w:rPr>
        <w:fldChar w:fldCharType="separate"/>
      </w:r>
      <w:r w:rsidRPr="00DB5F8D">
        <w:t xml:space="preserve">Table </w:t>
      </w:r>
      <w:r>
        <w:rPr>
          <w:noProof/>
        </w:rPr>
        <w:t>2</w:t>
      </w:r>
      <w:r>
        <w:t>.</w:t>
      </w:r>
      <w:r>
        <w:rPr>
          <w:noProof/>
        </w:rPr>
        <w:t>2</w:t>
      </w:r>
      <w:r>
        <w:rPr>
          <w:rFonts w:cstheme="minorHAnsi"/>
        </w:rPr>
        <w:fldChar w:fldCharType="end"/>
      </w:r>
      <w:r>
        <w:t>.</w:t>
      </w:r>
      <w:r w:rsidRPr="005A0915">
        <w:t xml:space="preserve"> </w:t>
      </w:r>
      <w:r>
        <w:t xml:space="preserve">The overall likelihood of entry </w:t>
      </w:r>
      <w:r w:rsidRPr="005A0915">
        <w:t xml:space="preserve">for </w:t>
      </w:r>
      <w:r w:rsidRPr="005A0915">
        <w:rPr>
          <w:i/>
          <w:iCs/>
        </w:rPr>
        <w:t xml:space="preserve">T. </w:t>
      </w:r>
      <w:r w:rsidRPr="00BC2F14">
        <w:rPr>
          <w:i/>
        </w:rPr>
        <w:t xml:space="preserve">pacificus </w:t>
      </w:r>
      <w:r w:rsidRPr="00BC2F14">
        <w:rPr>
          <w:iCs/>
        </w:rPr>
        <w:t>and</w:t>
      </w:r>
      <w:r w:rsidRPr="00BC2F14">
        <w:rPr>
          <w:i/>
        </w:rPr>
        <w:t xml:space="preserve"> T. turkestani</w:t>
      </w:r>
      <w:r w:rsidRPr="005A0915">
        <w:t xml:space="preserve"> is determined as </w:t>
      </w:r>
      <w:r>
        <w:t>Low</w:t>
      </w:r>
      <w:r w:rsidRPr="005A0915">
        <w:t xml:space="preserve"> by combining the assessed likelihood of importation of </w:t>
      </w:r>
      <w:r>
        <w:t>Moderate</w:t>
      </w:r>
      <w:r w:rsidRPr="005A0915">
        <w:t xml:space="preserve"> with the adopted likelihood of distributio</w:t>
      </w:r>
      <w:r>
        <w:t>n of Moderate.</w:t>
      </w:r>
    </w:p>
    <w:p w14:paraId="53C0111C" w14:textId="77777777" w:rsidR="003438A2" w:rsidRPr="00A3009B" w:rsidRDefault="003438A2" w:rsidP="00C25EA7">
      <w:pPr>
        <w:pStyle w:val="Heading4"/>
      </w:pPr>
      <w:r w:rsidRPr="00A3009B">
        <w:t>Likelihood</w:t>
      </w:r>
      <w:r>
        <w:t>s</w:t>
      </w:r>
      <w:r w:rsidRPr="00A3009B">
        <w:t xml:space="preserve"> of establishment and spread</w:t>
      </w:r>
    </w:p>
    <w:p w14:paraId="0A5D32F2" w14:textId="77777777" w:rsidR="003438A2" w:rsidRPr="00A3009B" w:rsidRDefault="003438A2" w:rsidP="00C25EA7">
      <w:pPr>
        <w:autoSpaceDE w:val="0"/>
        <w:autoSpaceDN w:val="0"/>
        <w:adjustRightInd w:val="0"/>
        <w:rPr>
          <w:rFonts w:cstheme="minorHAnsi"/>
        </w:rPr>
      </w:pPr>
      <w:r w:rsidRPr="00A3009B">
        <w:rPr>
          <w:rFonts w:cstheme="minorHAnsi"/>
        </w:rPr>
        <w:t xml:space="preserve">The likelihoods of establishment and spread for </w:t>
      </w:r>
      <w:r>
        <w:rPr>
          <w:rFonts w:cstheme="minorHAnsi"/>
        </w:rPr>
        <w:t xml:space="preserve">spider mites </w:t>
      </w:r>
      <w:r w:rsidRPr="00A3009B">
        <w:rPr>
          <w:rFonts w:cstheme="minorHAnsi"/>
        </w:rPr>
        <w:t xml:space="preserve">are independent of the import pathway and are considered similar to those previously assessed for </w:t>
      </w:r>
      <w:r>
        <w:rPr>
          <w:rFonts w:cstheme="minorHAnsi"/>
        </w:rPr>
        <w:t xml:space="preserve">the stone fruit from </w:t>
      </w:r>
      <w:r w:rsidRPr="0034644A">
        <w:t>California, Idaho, Oregon and Washington</w:t>
      </w:r>
      <w:r w:rsidRPr="00A3009B">
        <w:rPr>
          <w:rFonts w:cstheme="minorHAnsi"/>
        </w:rPr>
        <w:t xml:space="preserve"> pathway.</w:t>
      </w:r>
    </w:p>
    <w:p w14:paraId="3478243D" w14:textId="77777777" w:rsidR="003438A2" w:rsidRPr="00A3009B" w:rsidRDefault="003438A2" w:rsidP="00C25EA7">
      <w:pPr>
        <w:autoSpaceDE w:val="0"/>
        <w:autoSpaceDN w:val="0"/>
        <w:adjustRightInd w:val="0"/>
      </w:pPr>
      <w:r w:rsidRPr="00A3009B">
        <w:rPr>
          <w:rFonts w:cstheme="minorHAnsi"/>
        </w:rPr>
        <w:lastRenderedPageBreak/>
        <w:t xml:space="preserve">Based on the previous assessment for </w:t>
      </w:r>
      <w:r>
        <w:rPr>
          <w:rFonts w:cstheme="minorHAnsi"/>
        </w:rPr>
        <w:t xml:space="preserve">stone fruit from </w:t>
      </w:r>
      <w:r w:rsidRPr="0034644A">
        <w:t>California, Idaho, Oregon and Washington</w:t>
      </w:r>
      <w:r>
        <w:t xml:space="preserve"> </w:t>
      </w:r>
      <w:bookmarkStart w:id="177" w:name="_Hlk110172693"/>
      <w:r>
        <w:rPr>
          <w:noProof/>
        </w:rPr>
        <w:t>(Biosecurity Australia 2010b)</w:t>
      </w:r>
      <w:bookmarkEnd w:id="177"/>
      <w:r>
        <w:t>,</w:t>
      </w:r>
      <w:r w:rsidRPr="00A3009B">
        <w:rPr>
          <w:rFonts w:cstheme="minorHAnsi"/>
        </w:rPr>
        <w:t xml:space="preserve"> the likelihoods of establishment and spread for </w:t>
      </w:r>
      <w:r w:rsidRPr="00BC2F14">
        <w:rPr>
          <w:rFonts w:cstheme="minorHAnsi"/>
        </w:rPr>
        <w:t>spider mites</w:t>
      </w:r>
      <w:r w:rsidRPr="00A3009B">
        <w:rPr>
          <w:rFonts w:cstheme="minorHAnsi"/>
        </w:rPr>
        <w:t xml:space="preserve"> are assessed as </w:t>
      </w:r>
      <w:r>
        <w:rPr>
          <w:rFonts w:cstheme="minorHAnsi"/>
        </w:rPr>
        <w:t>High</w:t>
      </w:r>
      <w:r w:rsidRPr="00A3009B">
        <w:rPr>
          <w:rFonts w:cstheme="minorHAnsi"/>
        </w:rPr>
        <w:t xml:space="preserve"> and </w:t>
      </w:r>
      <w:r>
        <w:rPr>
          <w:rFonts w:cstheme="minorHAnsi"/>
        </w:rPr>
        <w:t>High</w:t>
      </w:r>
      <w:r w:rsidRPr="00A3009B">
        <w:rPr>
          <w:rFonts w:cstheme="minorHAnsi"/>
        </w:rPr>
        <w:t>, respectively.</w:t>
      </w:r>
    </w:p>
    <w:p w14:paraId="00130617" w14:textId="77777777" w:rsidR="003438A2" w:rsidRPr="002306B4" w:rsidRDefault="003438A2" w:rsidP="00C25EA7">
      <w:pPr>
        <w:pStyle w:val="Heading4"/>
      </w:pPr>
      <w:r w:rsidRPr="002306B4">
        <w:t>Overall likelihood of entry, establishment and spread</w:t>
      </w:r>
    </w:p>
    <w:p w14:paraId="74DD503B" w14:textId="77777777" w:rsidR="003438A2" w:rsidRPr="002306B4" w:rsidRDefault="003438A2" w:rsidP="00C25EA7">
      <w:pPr>
        <w:autoSpaceDE w:val="0"/>
        <w:autoSpaceDN w:val="0"/>
        <w:adjustRightInd w:val="0"/>
      </w:pPr>
      <w:r w:rsidRPr="002306B4">
        <w:t>The overall likelihood of entry, establishment and spread is determined by combining the likelihoods of entry, of establishment and of spread using the matrix of rules shown in</w:t>
      </w:r>
      <w:r>
        <w:t xml:space="preserve"> </w:t>
      </w:r>
      <w:r>
        <w:fldChar w:fldCharType="begin" w:fldLock="1"/>
      </w:r>
      <w:r>
        <w:instrText xml:space="preserve"> REF _Ref457826328 \h </w:instrText>
      </w:r>
      <w:r>
        <w:fldChar w:fldCharType="separate"/>
      </w:r>
      <w:r w:rsidRPr="00DB5F8D">
        <w:t xml:space="preserve">Table </w:t>
      </w:r>
      <w:r>
        <w:rPr>
          <w:noProof/>
        </w:rPr>
        <w:t>2</w:t>
      </w:r>
      <w:r>
        <w:t>.</w:t>
      </w:r>
      <w:r>
        <w:rPr>
          <w:noProof/>
        </w:rPr>
        <w:t>2</w:t>
      </w:r>
      <w:r>
        <w:fldChar w:fldCharType="end"/>
      </w:r>
      <w:r>
        <w:t>.</w:t>
      </w:r>
    </w:p>
    <w:p w14:paraId="695BEA42" w14:textId="77777777" w:rsidR="003438A2" w:rsidRPr="002306B4" w:rsidRDefault="003438A2" w:rsidP="00C25EA7">
      <w:pPr>
        <w:autoSpaceDE w:val="0"/>
        <w:autoSpaceDN w:val="0"/>
        <w:adjustRightInd w:val="0"/>
        <w:rPr>
          <w:rFonts w:cstheme="minorHAnsi"/>
        </w:rPr>
      </w:pPr>
      <w:r w:rsidRPr="002306B4">
        <w:t xml:space="preserve">The overall likelihood that </w:t>
      </w:r>
      <w:r w:rsidRPr="00AE573B">
        <w:rPr>
          <w:i/>
          <w:iCs/>
        </w:rPr>
        <w:t>T. mcdanieli</w:t>
      </w:r>
      <w:r>
        <w:t xml:space="preserve"> </w:t>
      </w:r>
      <w:r w:rsidRPr="002306B4">
        <w:t xml:space="preserve">will enter Australia </w:t>
      </w:r>
      <w:r>
        <w:t>on</w:t>
      </w:r>
      <w:r w:rsidRPr="002306B4">
        <w:t xml:space="preserve"> apples from the PNW-USA, be distributed in a viable state to a susceptible part of a host, establish in Australia and subsequently spread within Australia is assessed as </w:t>
      </w:r>
      <w:r>
        <w:t>Moderate</w:t>
      </w:r>
      <w:r w:rsidRPr="002306B4">
        <w:rPr>
          <w:rFonts w:cstheme="minorHAnsi"/>
        </w:rPr>
        <w:t>.</w:t>
      </w:r>
      <w:r w:rsidRPr="005A0915">
        <w:t xml:space="preserve"> </w:t>
      </w:r>
      <w:r w:rsidRPr="002306B4">
        <w:t xml:space="preserve">The overall likelihood that </w:t>
      </w:r>
      <w:r w:rsidRPr="005A0915">
        <w:rPr>
          <w:i/>
          <w:iCs/>
        </w:rPr>
        <w:t xml:space="preserve">T. </w:t>
      </w:r>
      <w:r w:rsidRPr="00AE573B">
        <w:rPr>
          <w:i/>
        </w:rPr>
        <w:t xml:space="preserve">pacificus </w:t>
      </w:r>
      <w:r w:rsidRPr="00AE573B">
        <w:rPr>
          <w:iCs/>
        </w:rPr>
        <w:t>and</w:t>
      </w:r>
      <w:r w:rsidRPr="00AE573B">
        <w:rPr>
          <w:i/>
        </w:rPr>
        <w:t xml:space="preserve"> T. turkestani</w:t>
      </w:r>
      <w:r w:rsidRPr="005A0915">
        <w:t xml:space="preserve"> </w:t>
      </w:r>
      <w:r w:rsidRPr="002306B4">
        <w:t xml:space="preserve">will enter Australia as a result of trade in apples from the PNW-USA, be distributed in a viable state to a susceptible part of a host, establish in Australia and subsequently spread within Australia is assessed as </w:t>
      </w:r>
      <w:r>
        <w:t>Low</w:t>
      </w:r>
      <w:r w:rsidRPr="002306B4">
        <w:rPr>
          <w:rFonts w:cstheme="minorHAnsi"/>
        </w:rPr>
        <w:t>.</w:t>
      </w:r>
    </w:p>
    <w:p w14:paraId="0636D327" w14:textId="77777777" w:rsidR="003438A2" w:rsidRPr="00A3009B" w:rsidRDefault="003438A2" w:rsidP="00C25EA7">
      <w:pPr>
        <w:pStyle w:val="Heading4"/>
      </w:pPr>
      <w:r w:rsidRPr="00A3009B">
        <w:t>Consequences</w:t>
      </w:r>
    </w:p>
    <w:p w14:paraId="004F253C" w14:textId="77777777" w:rsidR="003438A2" w:rsidRPr="00A3009B" w:rsidRDefault="003438A2" w:rsidP="00C25EA7">
      <w:pPr>
        <w:autoSpaceDE w:val="0"/>
        <w:autoSpaceDN w:val="0"/>
        <w:adjustRightInd w:val="0"/>
        <w:rPr>
          <w:rFonts w:cstheme="minorHAnsi"/>
        </w:rPr>
      </w:pPr>
      <w:r w:rsidRPr="00A3009B">
        <w:t xml:space="preserve">The potential consequences of the entry, establishment and spread of </w:t>
      </w:r>
      <w:r>
        <w:t xml:space="preserve">spider mites </w:t>
      </w:r>
      <w:r w:rsidRPr="00A3009B">
        <w:t xml:space="preserve">in Australia are similar to those in the previous assessment for </w:t>
      </w:r>
      <w:r w:rsidRPr="00BC2F14">
        <w:t>spider mites</w:t>
      </w:r>
      <w:r w:rsidRPr="00A3009B">
        <w:t xml:space="preserve"> on </w:t>
      </w:r>
      <w:r>
        <w:t>the stone fruit</w:t>
      </w:r>
      <w:r w:rsidRPr="00A3009B">
        <w:t xml:space="preserve"> from </w:t>
      </w:r>
      <w:r w:rsidRPr="0034644A">
        <w:t>California, Idaho, Oregon and Washington</w:t>
      </w:r>
      <w:r w:rsidRPr="00A3009B">
        <w:t xml:space="preserve"> pathway, which were assessed as Low</w:t>
      </w:r>
      <w:r>
        <w:t xml:space="preserve"> </w:t>
      </w:r>
      <w:r w:rsidDel="00E07E28">
        <w:rPr>
          <w:rFonts w:cs="Arial"/>
          <w:noProof/>
        </w:rPr>
        <w:t>(Biosecurity Australia 2010b)</w:t>
      </w:r>
      <w:r>
        <w:rPr>
          <w:rFonts w:cs="Arial"/>
        </w:rPr>
        <w:t>.</w:t>
      </w:r>
      <w:r w:rsidRPr="00A3009B">
        <w:t xml:space="preserve"> The overall consequences for </w:t>
      </w:r>
      <w:r>
        <w:t xml:space="preserve">spider mites </w:t>
      </w:r>
      <w:r w:rsidRPr="00A3009B">
        <w:t xml:space="preserve">on </w:t>
      </w:r>
      <w:r>
        <w:t xml:space="preserve">the </w:t>
      </w:r>
      <w:r w:rsidRPr="00A3009B">
        <w:t>apples from PNW-USA pathway are also assessed as Low.</w:t>
      </w:r>
    </w:p>
    <w:p w14:paraId="77542CC2" w14:textId="77777777" w:rsidR="003438A2" w:rsidRPr="00C35FD7" w:rsidRDefault="003438A2" w:rsidP="00C25EA7">
      <w:pPr>
        <w:pStyle w:val="Heading4"/>
      </w:pPr>
      <w:r w:rsidRPr="00C35FD7">
        <w:t>Unrestricted risk estimate</w:t>
      </w:r>
    </w:p>
    <w:p w14:paraId="734616FF" w14:textId="77777777" w:rsidR="003438A2" w:rsidRPr="00945121" w:rsidRDefault="003438A2" w:rsidP="00C25EA7">
      <w:r w:rsidRPr="00945121">
        <w:t xml:space="preserve">Unrestricted risk is the result of combining the </w:t>
      </w:r>
      <w:r>
        <w:t xml:space="preserve">overall </w:t>
      </w:r>
      <w:r w:rsidRPr="00862DBA">
        <w:t>likelihood</w:t>
      </w:r>
      <w:r w:rsidRPr="00945121">
        <w:t xml:space="preserve"> of entry, establishment and spread with the outcome of overall consequences. </w:t>
      </w:r>
      <w:r>
        <w:t>The overall l</w:t>
      </w:r>
      <w:r w:rsidRPr="00945121">
        <w:t xml:space="preserve">ikelihood and consequences are combined using the risk estimation matrix shown in </w:t>
      </w:r>
      <w:r>
        <w:fldChar w:fldCharType="begin" w:fldLock="1"/>
      </w:r>
      <w:r>
        <w:instrText xml:space="preserve"> REF _Ref457826369 \h </w:instrText>
      </w:r>
      <w:r>
        <w:fldChar w:fldCharType="separate"/>
      </w:r>
      <w:r>
        <w:t xml:space="preserve">Table </w:t>
      </w:r>
      <w:r>
        <w:rPr>
          <w:noProof/>
        </w:rPr>
        <w:t>2</w:t>
      </w:r>
      <w:r>
        <w:t>.</w:t>
      </w:r>
      <w:r>
        <w:rPr>
          <w:noProof/>
        </w:rPr>
        <w:t>5</w:t>
      </w:r>
      <w:r>
        <w:fldChar w:fldCharType="end"/>
      </w:r>
      <w:r w:rsidRPr="00945121">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85"/>
        <w:gridCol w:w="2860"/>
        <w:gridCol w:w="25"/>
      </w:tblGrid>
      <w:tr w:rsidR="003438A2" w:rsidRPr="00A3009B" w14:paraId="3D2E5A99" w14:textId="77777777" w:rsidTr="005F2743">
        <w:trPr>
          <w:gridAfter w:val="1"/>
          <w:wAfter w:w="44" w:type="dxa"/>
          <w:trHeight w:val="423"/>
        </w:trPr>
        <w:tc>
          <w:tcPr>
            <w:tcW w:w="5000" w:type="pct"/>
            <w:gridSpan w:val="2"/>
            <w:tcBorders>
              <w:top w:val="single" w:sz="4" w:space="0" w:color="auto"/>
              <w:bottom w:val="single" w:sz="4" w:space="0" w:color="auto"/>
            </w:tcBorders>
            <w:shd w:val="clear" w:color="auto" w:fill="auto"/>
          </w:tcPr>
          <w:p w14:paraId="62ED1AE9" w14:textId="77777777" w:rsidR="003438A2" w:rsidRPr="00A3009B" w:rsidRDefault="003438A2" w:rsidP="005F2743">
            <w:pPr>
              <w:pStyle w:val="TableHeading"/>
            </w:pPr>
            <w:r w:rsidRPr="00A3009B">
              <w:t xml:space="preserve">Unrestricted risk estimate for </w:t>
            </w:r>
            <w:r>
              <w:rPr>
                <w:i/>
                <w:iCs/>
              </w:rPr>
              <w:t>T. mcdanieli</w:t>
            </w:r>
          </w:p>
        </w:tc>
      </w:tr>
      <w:tr w:rsidR="003438A2" w:rsidRPr="00A3009B" w14:paraId="10882DC2" w14:textId="77777777" w:rsidTr="005F2743">
        <w:trPr>
          <w:trHeight w:val="273"/>
        </w:trPr>
        <w:tc>
          <w:tcPr>
            <w:tcW w:w="3417" w:type="pct"/>
            <w:tcBorders>
              <w:top w:val="single" w:sz="4" w:space="0" w:color="auto"/>
              <w:bottom w:val="nil"/>
            </w:tcBorders>
            <w:shd w:val="clear" w:color="auto" w:fill="auto"/>
          </w:tcPr>
          <w:p w14:paraId="36568662" w14:textId="77777777" w:rsidR="003438A2" w:rsidRPr="00A3009B" w:rsidRDefault="003438A2" w:rsidP="005F2743">
            <w:pPr>
              <w:pStyle w:val="TableText"/>
            </w:pPr>
            <w:r w:rsidRPr="00A3009B">
              <w:t>Overall likelihood of entry, establishment and spread</w:t>
            </w:r>
          </w:p>
        </w:tc>
        <w:tc>
          <w:tcPr>
            <w:tcW w:w="1583" w:type="pct"/>
            <w:gridSpan w:val="2"/>
            <w:tcBorders>
              <w:top w:val="single" w:sz="4" w:space="0" w:color="auto"/>
              <w:bottom w:val="nil"/>
            </w:tcBorders>
            <w:shd w:val="clear" w:color="auto" w:fill="auto"/>
          </w:tcPr>
          <w:p w14:paraId="306E3F89" w14:textId="77777777" w:rsidR="003438A2" w:rsidRPr="00A3009B" w:rsidRDefault="003438A2" w:rsidP="005F2743">
            <w:pPr>
              <w:pStyle w:val="TableText"/>
            </w:pPr>
            <w:r>
              <w:t>Moderate</w:t>
            </w:r>
          </w:p>
        </w:tc>
      </w:tr>
      <w:tr w:rsidR="003438A2" w:rsidRPr="00A3009B" w14:paraId="0D18E4CF" w14:textId="77777777" w:rsidTr="005F2743">
        <w:trPr>
          <w:trHeight w:val="284"/>
        </w:trPr>
        <w:tc>
          <w:tcPr>
            <w:tcW w:w="3417" w:type="pct"/>
            <w:tcBorders>
              <w:top w:val="nil"/>
              <w:bottom w:val="nil"/>
            </w:tcBorders>
            <w:shd w:val="clear" w:color="auto" w:fill="auto"/>
          </w:tcPr>
          <w:p w14:paraId="53502DCA" w14:textId="77777777" w:rsidR="003438A2" w:rsidRPr="00A3009B" w:rsidRDefault="003438A2" w:rsidP="005F2743">
            <w:pPr>
              <w:pStyle w:val="TableText"/>
            </w:pPr>
            <w:r w:rsidRPr="00A3009B">
              <w:t>Consequences</w:t>
            </w:r>
          </w:p>
        </w:tc>
        <w:tc>
          <w:tcPr>
            <w:tcW w:w="1583" w:type="pct"/>
            <w:gridSpan w:val="2"/>
            <w:tcBorders>
              <w:top w:val="nil"/>
              <w:bottom w:val="nil"/>
            </w:tcBorders>
            <w:shd w:val="clear" w:color="auto" w:fill="auto"/>
          </w:tcPr>
          <w:p w14:paraId="45F96EB5" w14:textId="77777777" w:rsidR="003438A2" w:rsidRPr="00A3009B" w:rsidRDefault="003438A2" w:rsidP="005F2743">
            <w:pPr>
              <w:pStyle w:val="TableText"/>
            </w:pPr>
            <w:r w:rsidRPr="00A3009B">
              <w:t>Low</w:t>
            </w:r>
          </w:p>
        </w:tc>
      </w:tr>
      <w:tr w:rsidR="003438A2" w:rsidRPr="00A3009B" w14:paraId="52338C5F" w14:textId="77777777" w:rsidTr="005F2743">
        <w:trPr>
          <w:trHeight w:val="284"/>
        </w:trPr>
        <w:tc>
          <w:tcPr>
            <w:tcW w:w="3417" w:type="pct"/>
            <w:tcBorders>
              <w:top w:val="nil"/>
              <w:bottom w:val="single" w:sz="4" w:space="0" w:color="auto"/>
            </w:tcBorders>
            <w:shd w:val="clear" w:color="auto" w:fill="auto"/>
          </w:tcPr>
          <w:p w14:paraId="0F0E7E84" w14:textId="77777777" w:rsidR="003438A2" w:rsidRPr="00A3009B" w:rsidRDefault="003438A2" w:rsidP="005F2743">
            <w:pPr>
              <w:pStyle w:val="TableText"/>
            </w:pPr>
            <w:r w:rsidRPr="00A3009B">
              <w:t>Unrestricted risk</w:t>
            </w:r>
          </w:p>
        </w:tc>
        <w:tc>
          <w:tcPr>
            <w:tcW w:w="1583" w:type="pct"/>
            <w:gridSpan w:val="2"/>
            <w:tcBorders>
              <w:top w:val="nil"/>
              <w:bottom w:val="single" w:sz="4" w:space="0" w:color="auto"/>
            </w:tcBorders>
            <w:shd w:val="clear" w:color="auto" w:fill="auto"/>
          </w:tcPr>
          <w:p w14:paraId="3A1852F6" w14:textId="77777777" w:rsidR="003438A2" w:rsidRPr="00A3009B" w:rsidRDefault="003438A2" w:rsidP="005F2743">
            <w:pPr>
              <w:pStyle w:val="TableText"/>
            </w:pPr>
            <w:r>
              <w:t>Low</w:t>
            </w:r>
          </w:p>
        </w:tc>
      </w:tr>
    </w:tbl>
    <w:p w14:paraId="1E9CECA9" w14:textId="77777777" w:rsidR="003438A2" w:rsidRPr="00446D71" w:rsidRDefault="003438A2" w:rsidP="00C25EA7">
      <w:pPr>
        <w:rPr>
          <w:strike/>
        </w:rPr>
      </w:pPr>
    </w:p>
    <w:bookmarkEnd w:id="162"/>
    <w:p w14:paraId="052FC233" w14:textId="77777777" w:rsidR="003438A2" w:rsidRPr="002E0A50" w:rsidRDefault="003438A2" w:rsidP="00C25EA7">
      <w:r w:rsidRPr="002E0A50">
        <w:t xml:space="preserve">The unrestricted risk estimate for </w:t>
      </w:r>
      <w:r w:rsidRPr="002E0A50">
        <w:rPr>
          <w:i/>
        </w:rPr>
        <w:t xml:space="preserve">T. mcdanieli </w:t>
      </w:r>
      <w:r w:rsidRPr="002E0A50">
        <w:t xml:space="preserve">on the PNW-USA apple pathway is assessed as Low, which does not achieve the ALOP for Australia. Therefore, specific risk management measures are required for </w:t>
      </w:r>
      <w:r w:rsidRPr="002E0A50">
        <w:rPr>
          <w:i/>
        </w:rPr>
        <w:t>T. mcdanieli</w:t>
      </w:r>
      <w:r w:rsidRPr="002E0A50">
        <w:t xml:space="preserve"> on the PNW-USA apple pathway. </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0"/>
        <w:gridCol w:w="2864"/>
        <w:gridCol w:w="16"/>
      </w:tblGrid>
      <w:tr w:rsidR="003438A2" w:rsidRPr="00A3009B" w14:paraId="0A1A77F4" w14:textId="77777777" w:rsidTr="005F2743">
        <w:trPr>
          <w:gridAfter w:val="1"/>
          <w:wAfter w:w="44" w:type="dxa"/>
          <w:trHeight w:val="423"/>
        </w:trPr>
        <w:tc>
          <w:tcPr>
            <w:tcW w:w="5000" w:type="pct"/>
            <w:gridSpan w:val="2"/>
            <w:tcBorders>
              <w:top w:val="single" w:sz="4" w:space="0" w:color="auto"/>
              <w:bottom w:val="single" w:sz="4" w:space="0" w:color="auto"/>
            </w:tcBorders>
            <w:shd w:val="clear" w:color="auto" w:fill="auto"/>
          </w:tcPr>
          <w:p w14:paraId="1439D7DA" w14:textId="77777777" w:rsidR="003438A2" w:rsidRPr="00A3009B" w:rsidRDefault="003438A2" w:rsidP="005F2743">
            <w:pPr>
              <w:pStyle w:val="TableHeading"/>
            </w:pPr>
            <w:r w:rsidRPr="00A3009B">
              <w:t xml:space="preserve">Unrestricted risk estimate for </w:t>
            </w:r>
            <w:r>
              <w:rPr>
                <w:i/>
                <w:iCs/>
              </w:rPr>
              <w:t xml:space="preserve">T. pacificus </w:t>
            </w:r>
            <w:r w:rsidRPr="008B3C4C">
              <w:t>and</w:t>
            </w:r>
            <w:r>
              <w:rPr>
                <w:i/>
                <w:iCs/>
              </w:rPr>
              <w:t xml:space="preserve"> T. turkestani</w:t>
            </w:r>
          </w:p>
        </w:tc>
      </w:tr>
      <w:tr w:rsidR="003438A2" w:rsidRPr="00A3009B" w14:paraId="44A8C74C" w14:textId="77777777" w:rsidTr="005F2743">
        <w:trPr>
          <w:trHeight w:val="273"/>
        </w:trPr>
        <w:tc>
          <w:tcPr>
            <w:tcW w:w="3417" w:type="pct"/>
            <w:tcBorders>
              <w:top w:val="single" w:sz="4" w:space="0" w:color="auto"/>
              <w:bottom w:val="nil"/>
            </w:tcBorders>
            <w:shd w:val="clear" w:color="auto" w:fill="auto"/>
          </w:tcPr>
          <w:p w14:paraId="34787022" w14:textId="77777777" w:rsidR="003438A2" w:rsidRPr="00A3009B" w:rsidRDefault="003438A2" w:rsidP="005F2743">
            <w:pPr>
              <w:pStyle w:val="TableText"/>
            </w:pPr>
            <w:r w:rsidRPr="00A3009B">
              <w:t>Overall likelihood of entry, establishment and spread</w:t>
            </w:r>
          </w:p>
        </w:tc>
        <w:tc>
          <w:tcPr>
            <w:tcW w:w="1583" w:type="pct"/>
            <w:gridSpan w:val="2"/>
            <w:tcBorders>
              <w:top w:val="single" w:sz="4" w:space="0" w:color="auto"/>
              <w:bottom w:val="nil"/>
            </w:tcBorders>
            <w:shd w:val="clear" w:color="auto" w:fill="auto"/>
          </w:tcPr>
          <w:p w14:paraId="0B728D70" w14:textId="77777777" w:rsidR="003438A2" w:rsidRPr="00A3009B" w:rsidRDefault="003438A2" w:rsidP="005F2743">
            <w:pPr>
              <w:pStyle w:val="TableText"/>
            </w:pPr>
            <w:r>
              <w:t>Low</w:t>
            </w:r>
          </w:p>
        </w:tc>
      </w:tr>
      <w:tr w:rsidR="003438A2" w:rsidRPr="00A3009B" w14:paraId="62C3667D" w14:textId="77777777" w:rsidTr="005F2743">
        <w:trPr>
          <w:trHeight w:val="284"/>
        </w:trPr>
        <w:tc>
          <w:tcPr>
            <w:tcW w:w="3417" w:type="pct"/>
            <w:tcBorders>
              <w:top w:val="nil"/>
              <w:bottom w:val="nil"/>
            </w:tcBorders>
            <w:shd w:val="clear" w:color="auto" w:fill="auto"/>
          </w:tcPr>
          <w:p w14:paraId="19F27EA3" w14:textId="77777777" w:rsidR="003438A2" w:rsidRPr="00A3009B" w:rsidRDefault="003438A2" w:rsidP="005F2743">
            <w:pPr>
              <w:pStyle w:val="TableText"/>
            </w:pPr>
            <w:r w:rsidRPr="00A3009B">
              <w:t>Consequences</w:t>
            </w:r>
          </w:p>
        </w:tc>
        <w:tc>
          <w:tcPr>
            <w:tcW w:w="1583" w:type="pct"/>
            <w:gridSpan w:val="2"/>
            <w:tcBorders>
              <w:top w:val="nil"/>
              <w:bottom w:val="nil"/>
            </w:tcBorders>
            <w:shd w:val="clear" w:color="auto" w:fill="auto"/>
          </w:tcPr>
          <w:p w14:paraId="06F0E665" w14:textId="77777777" w:rsidR="003438A2" w:rsidRPr="00A3009B" w:rsidRDefault="003438A2" w:rsidP="005F2743">
            <w:pPr>
              <w:pStyle w:val="TableText"/>
            </w:pPr>
            <w:r w:rsidRPr="00A3009B">
              <w:t>Low</w:t>
            </w:r>
          </w:p>
        </w:tc>
      </w:tr>
      <w:tr w:rsidR="003438A2" w:rsidRPr="00A3009B" w14:paraId="63EE7EB9" w14:textId="77777777" w:rsidTr="005F2743">
        <w:trPr>
          <w:trHeight w:val="284"/>
        </w:trPr>
        <w:tc>
          <w:tcPr>
            <w:tcW w:w="3417" w:type="pct"/>
            <w:tcBorders>
              <w:top w:val="nil"/>
              <w:bottom w:val="single" w:sz="4" w:space="0" w:color="auto"/>
            </w:tcBorders>
            <w:shd w:val="clear" w:color="auto" w:fill="auto"/>
          </w:tcPr>
          <w:p w14:paraId="7D3FB348" w14:textId="77777777" w:rsidR="003438A2" w:rsidRPr="00A3009B" w:rsidRDefault="003438A2" w:rsidP="005F2743">
            <w:pPr>
              <w:pStyle w:val="TableText"/>
            </w:pPr>
            <w:r w:rsidRPr="00A3009B">
              <w:t>Unrestricted risk</w:t>
            </w:r>
          </w:p>
        </w:tc>
        <w:tc>
          <w:tcPr>
            <w:tcW w:w="1583" w:type="pct"/>
            <w:gridSpan w:val="2"/>
            <w:tcBorders>
              <w:top w:val="nil"/>
              <w:bottom w:val="single" w:sz="4" w:space="0" w:color="auto"/>
            </w:tcBorders>
            <w:shd w:val="clear" w:color="auto" w:fill="auto"/>
          </w:tcPr>
          <w:p w14:paraId="0FCDC440" w14:textId="77777777" w:rsidR="003438A2" w:rsidRPr="00A3009B" w:rsidRDefault="003438A2" w:rsidP="005F2743">
            <w:pPr>
              <w:pStyle w:val="TableText"/>
            </w:pPr>
            <w:r>
              <w:t>Very low</w:t>
            </w:r>
          </w:p>
        </w:tc>
      </w:tr>
    </w:tbl>
    <w:p w14:paraId="4F80773E" w14:textId="77777777" w:rsidR="003438A2" w:rsidRDefault="003438A2" w:rsidP="00C25EA7"/>
    <w:p w14:paraId="0E6B5EEB" w14:textId="77777777" w:rsidR="003438A2" w:rsidRDefault="003438A2" w:rsidP="00C25EA7">
      <w:r>
        <w:t xml:space="preserve">The unrestricted risk estimate for </w:t>
      </w:r>
      <w:r>
        <w:rPr>
          <w:i/>
        </w:rPr>
        <w:t xml:space="preserve">T. pacificus </w:t>
      </w:r>
      <w:r>
        <w:t xml:space="preserve">and </w:t>
      </w:r>
      <w:r>
        <w:rPr>
          <w:i/>
        </w:rPr>
        <w:t xml:space="preserve">T. turkestani </w:t>
      </w:r>
      <w:r>
        <w:t>on the apples from PNW-USA pathway is assessed as Very Low, which achieves the ALOP for Australia</w:t>
      </w:r>
      <w:r w:rsidRPr="006148BB">
        <w:t xml:space="preserve">. </w:t>
      </w:r>
      <w:r w:rsidRPr="00FA02AB">
        <w:t xml:space="preserve">Therefore, no specific risk management measures are required for these </w:t>
      </w:r>
      <w:r>
        <w:t>2 spider mites on the apples from PNW-USA pathway</w:t>
      </w:r>
      <w:r w:rsidRPr="00FA02AB">
        <w:t>.</w:t>
      </w:r>
      <w:r>
        <w:br w:type="page"/>
      </w:r>
    </w:p>
    <w:p w14:paraId="4825053C" w14:textId="77777777" w:rsidR="003438A2" w:rsidRPr="0061441B" w:rsidRDefault="003438A2" w:rsidP="00AD1C8F">
      <w:pPr>
        <w:pStyle w:val="Heading3"/>
      </w:pPr>
      <w:bookmarkStart w:id="178" w:name="_Toc112769003"/>
      <w:bookmarkEnd w:id="157"/>
      <w:bookmarkEnd w:id="158"/>
      <w:bookmarkEnd w:id="159"/>
      <w:r w:rsidRPr="0061441B">
        <w:lastRenderedPageBreak/>
        <w:t>Apple curculio</w:t>
      </w:r>
      <w:bookmarkEnd w:id="178"/>
    </w:p>
    <w:p w14:paraId="4F469A8C" w14:textId="77777777" w:rsidR="003438A2" w:rsidRDefault="003438A2" w:rsidP="00AD1C8F">
      <w:pPr>
        <w:pStyle w:val="Heading4"/>
        <w:numPr>
          <w:ilvl w:val="0"/>
          <w:numId w:val="0"/>
        </w:numPr>
        <w:rPr>
          <w:i/>
        </w:rPr>
      </w:pPr>
      <w:r w:rsidRPr="00CA1B1D">
        <w:rPr>
          <w:i/>
        </w:rPr>
        <w:t>Anthonomus quadrigibbus</w:t>
      </w:r>
    </w:p>
    <w:p w14:paraId="62A3DF33" w14:textId="77777777" w:rsidR="003438A2" w:rsidRPr="00F07FCE" w:rsidRDefault="003438A2" w:rsidP="00AD1C8F">
      <w:bookmarkStart w:id="179" w:name="_Hlk103509290"/>
      <w:r w:rsidRPr="00F07FCE">
        <w:rPr>
          <w:i/>
        </w:rPr>
        <w:t xml:space="preserve">Anthonomus quadrigibbus </w:t>
      </w:r>
      <w:r w:rsidRPr="00F07FCE">
        <w:t xml:space="preserve">(apple curculio) is a beetle of the weevil family Curculionidae and is native to North America </w:t>
      </w:r>
      <w:r w:rsidRPr="00F07FCE">
        <w:rPr>
          <w:noProof/>
        </w:rPr>
        <w:t>(St. Pierre &amp; Lehmkuhl 1990)</w:t>
      </w:r>
      <w:r w:rsidRPr="00F07FCE">
        <w:t>. It is associated with a wide range of plants in the Rosaceae and Cornaceae families</w:t>
      </w:r>
      <w:r>
        <w:t xml:space="preserve"> </w:t>
      </w:r>
      <w:r>
        <w:rPr>
          <w:noProof/>
        </w:rPr>
        <w:t>(Burke &amp; Anderson 1989; CABI 2021a; EPPO 2021)</w:t>
      </w:r>
      <w:r>
        <w:t xml:space="preserve">, </w:t>
      </w:r>
      <w:r w:rsidRPr="00F07FCE">
        <w:t>and its host plants include apple (</w:t>
      </w:r>
      <w:r w:rsidRPr="00F07FCE">
        <w:rPr>
          <w:i/>
        </w:rPr>
        <w:t>Malus domestica</w:t>
      </w:r>
      <w:r w:rsidRPr="00F07FCE">
        <w:t>), hawthorn (</w:t>
      </w:r>
      <w:r w:rsidRPr="00F07FCE">
        <w:rPr>
          <w:i/>
        </w:rPr>
        <w:t>Crataegus</w:t>
      </w:r>
      <w:r w:rsidRPr="00F07FCE">
        <w:t xml:space="preserve"> spp.), cherry and sour cherry (</w:t>
      </w:r>
      <w:r w:rsidRPr="00F07FCE">
        <w:rPr>
          <w:i/>
        </w:rPr>
        <w:t>Prunus</w:t>
      </w:r>
      <w:r w:rsidRPr="00F07FCE">
        <w:t xml:space="preserve"> spp.), Saskatoon berry (</w:t>
      </w:r>
      <w:r w:rsidRPr="00F07FCE">
        <w:rPr>
          <w:i/>
        </w:rPr>
        <w:t>Amelanchier</w:t>
      </w:r>
      <w:r w:rsidRPr="00F07FCE">
        <w:t> </w:t>
      </w:r>
      <w:r w:rsidRPr="00F07FCE">
        <w:rPr>
          <w:i/>
        </w:rPr>
        <w:t>alnifolia</w:t>
      </w:r>
      <w:r w:rsidRPr="00F07FCE">
        <w:t>), sweet crabapple (</w:t>
      </w:r>
      <w:r w:rsidRPr="00F07FCE">
        <w:rPr>
          <w:i/>
        </w:rPr>
        <w:t>Malus coronaria</w:t>
      </w:r>
      <w:r w:rsidRPr="00F07FCE">
        <w:t>), quince (</w:t>
      </w:r>
      <w:r w:rsidRPr="00F07FCE">
        <w:rPr>
          <w:i/>
        </w:rPr>
        <w:t>Cydonia</w:t>
      </w:r>
      <w:r w:rsidRPr="00F07FCE">
        <w:t xml:space="preserve"> </w:t>
      </w:r>
      <w:r w:rsidRPr="00F07FCE">
        <w:rPr>
          <w:i/>
        </w:rPr>
        <w:t>oblonga</w:t>
      </w:r>
      <w:r w:rsidRPr="00F07FCE">
        <w:t>) and pear (</w:t>
      </w:r>
      <w:r w:rsidRPr="00F07FCE">
        <w:rPr>
          <w:i/>
        </w:rPr>
        <w:t>Pyrus</w:t>
      </w:r>
      <w:r w:rsidRPr="00F07FCE">
        <w:t xml:space="preserve"> spp.)</w:t>
      </w:r>
      <w:r>
        <w:t xml:space="preserve"> </w:t>
      </w:r>
      <w:r>
        <w:rPr>
          <w:noProof/>
        </w:rPr>
        <w:t>(Burke &amp; Anderson 1989; CABI 2020a; DEFRA 2020; Jeger et al. 2018; MAFRI 2008; MOA BC 2016; St. Pierre &amp; Lehmkuhl 1990)</w:t>
      </w:r>
      <w:r w:rsidRPr="00F07FCE">
        <w:t>.</w:t>
      </w:r>
      <w:bookmarkStart w:id="180" w:name="_Hlk108948843"/>
      <w:r w:rsidRPr="00F07FCE">
        <w:t xml:space="preserve"> </w:t>
      </w:r>
      <w:bookmarkEnd w:id="180"/>
    </w:p>
    <w:p w14:paraId="43B68869" w14:textId="77777777" w:rsidR="003438A2" w:rsidRDefault="003438A2" w:rsidP="00AD1C8F">
      <w:r w:rsidRPr="00F07FCE">
        <w:rPr>
          <w:i/>
        </w:rPr>
        <w:t>Anthonomus quadrigibbus</w:t>
      </w:r>
      <w:r w:rsidRPr="00F07FCE">
        <w:t xml:space="preserve"> is distributed throughout Canada (Nova Scotia to British Columbia), Mexico</w:t>
      </w:r>
      <w:r>
        <w:t xml:space="preserve"> </w:t>
      </w:r>
      <w:r>
        <w:rPr>
          <w:noProof/>
        </w:rPr>
        <w:t>(Burke &amp; Anderson 1989; Jeger et al. 2018)</w:t>
      </w:r>
      <w:r w:rsidRPr="00F07FCE">
        <w:t xml:space="preserve"> </w:t>
      </w:r>
      <w:bookmarkStart w:id="181" w:name="_Hlk108948864"/>
      <w:r w:rsidRPr="00F07FCE">
        <w:t>and the USA</w:t>
      </w:r>
      <w:r>
        <w:t>,</w:t>
      </w:r>
      <w:r w:rsidRPr="00F07FCE">
        <w:t xml:space="preserve"> including in the PNW-USA</w:t>
      </w:r>
      <w:r>
        <w:t xml:space="preserve"> </w:t>
      </w:r>
      <w:r>
        <w:rPr>
          <w:noProof/>
        </w:rPr>
        <w:t>(Burke &amp; Anderson 1989; CABI 2021a; EPPO 2021)</w:t>
      </w:r>
      <w:r>
        <w:t>.</w:t>
      </w:r>
      <w:bookmarkEnd w:id="181"/>
    </w:p>
    <w:bookmarkEnd w:id="179"/>
    <w:p w14:paraId="4C9BF8AA" w14:textId="77777777" w:rsidR="003438A2" w:rsidRPr="00F07FCE" w:rsidRDefault="003438A2" w:rsidP="00AD1C8F">
      <w:r w:rsidRPr="00F07FCE">
        <w:rPr>
          <w:i/>
        </w:rPr>
        <w:t>Anthonomus quadrigibbus</w:t>
      </w:r>
      <w:r w:rsidRPr="00F07FCE">
        <w:t xml:space="preserve"> has four life stages: egg, larva, pupa and adult. Adults are 5</w:t>
      </w:r>
      <w:r>
        <w:t xml:space="preserve"> </w:t>
      </w:r>
      <w:r w:rsidRPr="00F07FCE">
        <w:t>mm to 11</w:t>
      </w:r>
      <w:r>
        <w:t> </w:t>
      </w:r>
      <w:r w:rsidRPr="00F07FCE">
        <w:t xml:space="preserve">mm long, with the rostrum constituting one-third to one-half of the overall body length </w:t>
      </w:r>
      <w:r w:rsidRPr="00F07FCE">
        <w:rPr>
          <w:noProof/>
        </w:rPr>
        <w:t>(Hammer 1936)</w:t>
      </w:r>
      <w:r w:rsidRPr="00F07FCE">
        <w:t xml:space="preserve">, and are reddish-brown in colour. </w:t>
      </w:r>
      <w:bookmarkStart w:id="182" w:name="_Hlk103509354"/>
      <w:r w:rsidRPr="00F07FCE">
        <w:rPr>
          <w:rFonts w:asciiTheme="majorHAnsi" w:hAnsiTheme="majorHAnsi"/>
          <w:i/>
        </w:rPr>
        <w:t>A</w:t>
      </w:r>
      <w:r w:rsidRPr="00F07FCE">
        <w:rPr>
          <w:i/>
        </w:rPr>
        <w:t>nthonomus quadrigibbus</w:t>
      </w:r>
      <w:r w:rsidRPr="00F07FCE">
        <w:t xml:space="preserve"> has a univoltine life cycle, </w:t>
      </w:r>
      <w:r>
        <w:t>completing</w:t>
      </w:r>
      <w:r w:rsidRPr="00F07FCE">
        <w:t xml:space="preserve"> only one generation per year</w:t>
      </w:r>
      <w:r>
        <w:t xml:space="preserve"> </w:t>
      </w:r>
      <w:r>
        <w:rPr>
          <w:noProof/>
        </w:rPr>
        <w:t>(CABI &amp; EPPO 2021; Jeger et al. 2018)</w:t>
      </w:r>
      <w:r>
        <w:t>.</w:t>
      </w:r>
      <w:r w:rsidRPr="00F07FCE">
        <w:t xml:space="preserve"> Adults of </w:t>
      </w:r>
      <w:r w:rsidRPr="00F07FCE">
        <w:rPr>
          <w:i/>
        </w:rPr>
        <w:t>A. quadrigibbus</w:t>
      </w:r>
      <w:r w:rsidRPr="00F07FCE">
        <w:t xml:space="preserve"> overwinter under debris on the ground near host trees</w:t>
      </w:r>
      <w:r>
        <w:t xml:space="preserve"> </w:t>
      </w:r>
      <w:r>
        <w:rPr>
          <w:noProof/>
        </w:rPr>
        <w:t>(MAFRI 2008; University of Missouri 2008)</w:t>
      </w:r>
      <w:r>
        <w:t xml:space="preserve">, </w:t>
      </w:r>
      <w:r w:rsidRPr="00F07FCE">
        <w:t>and emerge in the spring when the ground temperature reaches 15.5°C to 16°C</w:t>
      </w:r>
      <w:r>
        <w:t xml:space="preserve"> </w:t>
      </w:r>
      <w:r w:rsidRPr="007D41F9">
        <w:rPr>
          <w:rFonts w:eastAsia="Times New Roman" w:cs="Calibri"/>
          <w:noProof/>
          <w:color w:val="000000"/>
          <w:lang w:eastAsia="en-AU"/>
        </w:rPr>
        <w:t>(CABI 2022; EPPO 2021; Hammer 1936; MAFRI 2008; University of Missouri 2008)</w:t>
      </w:r>
      <w:r>
        <w:rPr>
          <w:rFonts w:eastAsia="Times New Roman" w:cs="Calibri"/>
          <w:color w:val="000000"/>
          <w:lang w:eastAsia="en-AU"/>
        </w:rPr>
        <w:t>.</w:t>
      </w:r>
      <w:r w:rsidRPr="00F07FCE">
        <w:t xml:space="preserve"> Adults fly and disperse actively in spring, seeking suitable hosts. Adults feed on leaf petioles, flower buds, blossoms and newly-set fruits </w:t>
      </w:r>
      <w:r w:rsidRPr="00F07FCE">
        <w:rPr>
          <w:noProof/>
        </w:rPr>
        <w:t>(EPPO 2021)</w:t>
      </w:r>
      <w:r w:rsidRPr="00F07FCE">
        <w:t>. During May to June (spring to early summer) mated females lay eggs in punctures made in small fruitlets</w:t>
      </w:r>
      <w:r>
        <w:t xml:space="preserve"> </w:t>
      </w:r>
      <w:r w:rsidRPr="007D41F9">
        <w:rPr>
          <w:noProof/>
        </w:rPr>
        <w:t>(Davidson &amp; Peairs 1966; Hammer 1936; Jeger et al. 2018)</w:t>
      </w:r>
      <w:r w:rsidRPr="007D41F9">
        <w:t>.</w:t>
      </w:r>
      <w:bookmarkStart w:id="183" w:name="_Hlk108949121"/>
      <w:r w:rsidRPr="00F07FCE">
        <w:t xml:space="preserve"> </w:t>
      </w:r>
      <w:bookmarkEnd w:id="183"/>
      <w:r w:rsidRPr="00F07FCE">
        <w:rPr>
          <w:lang w:eastAsia="en-AU"/>
        </w:rPr>
        <w:t>A female will puncture a host fruit and create a cavity with her rostrum. The cavity is sealed with frass to protect the egg</w:t>
      </w:r>
      <w:r>
        <w:rPr>
          <w:lang w:eastAsia="en-AU"/>
        </w:rPr>
        <w:t xml:space="preserve"> </w:t>
      </w:r>
      <w:r w:rsidRPr="007D41F9">
        <w:rPr>
          <w:noProof/>
        </w:rPr>
        <w:t>(Jeger et al. 2018; St. Pierre &amp; Lehmkuhl 1990)</w:t>
      </w:r>
      <w:r>
        <w:rPr>
          <w:noProof/>
        </w:rPr>
        <w:t>.</w:t>
      </w:r>
      <w:r w:rsidRPr="00F07FCE">
        <w:t xml:space="preserve"> </w:t>
      </w:r>
      <w:bookmarkStart w:id="184" w:name="_Hlk103704735"/>
      <w:r w:rsidRPr="00F07FCE">
        <w:t>Females can oviposit for up to 60 days, and lay 4 to 122 eggs during their lifetime</w:t>
      </w:r>
      <w:r>
        <w:t xml:space="preserve"> </w:t>
      </w:r>
      <w:r>
        <w:rPr>
          <w:noProof/>
        </w:rPr>
        <w:t>(Crandall 1905; University of Missouri 2008)</w:t>
      </w:r>
      <w:r w:rsidRPr="00F07FCE">
        <w:t>.</w:t>
      </w:r>
      <w:bookmarkStart w:id="185" w:name="_Hlk108949207"/>
      <w:bookmarkEnd w:id="184"/>
      <w:r w:rsidRPr="00F07FCE">
        <w:t xml:space="preserve"> </w:t>
      </w:r>
      <w:bookmarkEnd w:id="185"/>
    </w:p>
    <w:p w14:paraId="169F6767" w14:textId="77777777" w:rsidR="003438A2" w:rsidRDefault="003438A2" w:rsidP="00AD1C8F">
      <w:r w:rsidRPr="00F07FCE">
        <w:t xml:space="preserve">After about </w:t>
      </w:r>
      <w:r>
        <w:t xml:space="preserve">5 to </w:t>
      </w:r>
      <w:r w:rsidRPr="00F07FCE">
        <w:t xml:space="preserve">7 days of incubation, the eggs hatch and larvae begin to feed within the fruit by enlarging the oviposition cavity </w:t>
      </w:r>
      <w:r>
        <w:rPr>
          <w:noProof/>
        </w:rPr>
        <w:t>(University of Missouri 2008)</w:t>
      </w:r>
      <w:r w:rsidRPr="00F07FCE">
        <w:t xml:space="preserve"> into irregular tunnels by feeding on the fruit flesh </w:t>
      </w:r>
      <w:r w:rsidRPr="00F07FCE">
        <w:rPr>
          <w:noProof/>
        </w:rPr>
        <w:t>(Jeger et al. 2018)</w:t>
      </w:r>
      <w:r w:rsidRPr="00F07FCE">
        <w:t>. After completing three larval instars, larvae pupate in the cavity enlarged by feeding, and</w:t>
      </w:r>
      <w:r w:rsidRPr="00F07FCE">
        <w:rPr>
          <w:i/>
        </w:rPr>
        <w:t xml:space="preserve"> </w:t>
      </w:r>
      <w:r w:rsidRPr="00F07FCE">
        <w:rPr>
          <w:iCs/>
        </w:rPr>
        <w:t>fully developed adults</w:t>
      </w:r>
      <w:r w:rsidRPr="00F07FCE">
        <w:rPr>
          <w:i/>
        </w:rPr>
        <w:t xml:space="preserve"> </w:t>
      </w:r>
      <w:r w:rsidRPr="00F07FCE">
        <w:rPr>
          <w:iCs/>
        </w:rPr>
        <w:t xml:space="preserve">typically </w:t>
      </w:r>
      <w:r w:rsidRPr="00F07FCE">
        <w:t>emerge from the fruit in mid-July to mid-August (mid-summer)</w:t>
      </w:r>
      <w:r>
        <w:t xml:space="preserve"> </w:t>
      </w:r>
      <w:r>
        <w:rPr>
          <w:noProof/>
        </w:rPr>
        <w:t>(CABI 2021a; Davidson &amp; Peairs 1966; EPPO 2021)</w:t>
      </w:r>
      <w:r>
        <w:t>.</w:t>
      </w:r>
      <w:r w:rsidRPr="00F07FCE">
        <w:t xml:space="preserve"> </w:t>
      </w:r>
    </w:p>
    <w:p w14:paraId="7C4EA57E" w14:textId="77777777" w:rsidR="003438A2" w:rsidRPr="00F07FCE" w:rsidRDefault="003438A2" w:rsidP="00AD1C8F">
      <w:r w:rsidRPr="00F07FCE">
        <w:rPr>
          <w:i/>
        </w:rPr>
        <w:t>Anthonomus quadrigibbus</w:t>
      </w:r>
      <w:r w:rsidRPr="00F07FCE">
        <w:t xml:space="preserve"> has also been recorded as pupating in soil and debris around the base of trees </w:t>
      </w:r>
      <w:r w:rsidRPr="00F07FCE">
        <w:rPr>
          <w:noProof/>
        </w:rPr>
        <w:t>(Davidson &amp; Peairs 1966)</w:t>
      </w:r>
      <w:r w:rsidRPr="00F07FCE">
        <w:t xml:space="preserve">, and pupae in soil may be spread on products or machinery. </w:t>
      </w:r>
      <w:r w:rsidRPr="00F07FCE">
        <w:rPr>
          <w:i/>
        </w:rPr>
        <w:t>Anthonomus</w:t>
      </w:r>
      <w:r w:rsidRPr="00F07FCE">
        <w:t> </w:t>
      </w:r>
      <w:r w:rsidRPr="00F07FCE">
        <w:rPr>
          <w:i/>
        </w:rPr>
        <w:t>quadrigibbus</w:t>
      </w:r>
      <w:r w:rsidRPr="00F07FCE">
        <w:t xml:space="preserve"> adults can spread from one host to another by crawling or flying. Although adults are capable of flight, they usually do not migrate very far and are relatively immobile after settling in a preferred host</w:t>
      </w:r>
      <w:r>
        <w:t xml:space="preserve"> </w:t>
      </w:r>
      <w:r>
        <w:rPr>
          <w:noProof/>
        </w:rPr>
        <w:t>(MOA BC 2016; Steeves, Lehmkuhl &amp; Bethune 1979)</w:t>
      </w:r>
      <w:r>
        <w:t>.</w:t>
      </w:r>
      <w:bookmarkStart w:id="186" w:name="_Hlk108949268"/>
      <w:r w:rsidRPr="00F07FCE">
        <w:t xml:space="preserve"> </w:t>
      </w:r>
      <w:bookmarkEnd w:id="186"/>
      <w:r w:rsidRPr="00F07FCE">
        <w:t xml:space="preserve">As a result, one part of an orchard may be severely infested while another part remains undamaged </w:t>
      </w:r>
      <w:r w:rsidRPr="00F07FCE">
        <w:rPr>
          <w:noProof/>
        </w:rPr>
        <w:t>(Jeger et al. 2018)</w:t>
      </w:r>
      <w:r w:rsidRPr="00F07FCE">
        <w:t xml:space="preserve">, with most damage occurring in the outer two to three rows </w:t>
      </w:r>
      <w:r w:rsidRPr="00F07FCE">
        <w:rPr>
          <w:noProof/>
        </w:rPr>
        <w:t>(MOA BC 2016)</w:t>
      </w:r>
      <w:r w:rsidRPr="00F07FCE">
        <w:t xml:space="preserve">. </w:t>
      </w:r>
    </w:p>
    <w:bookmarkEnd w:id="182"/>
    <w:p w14:paraId="702FD31F" w14:textId="77777777" w:rsidR="003438A2" w:rsidRPr="00F07FCE" w:rsidRDefault="003438A2" w:rsidP="00AD1C8F">
      <w:r w:rsidRPr="00F07FCE">
        <w:t xml:space="preserve">The primary damage caused by apple curculio is associated with adult and larval feeding and oviposition activities. Early season feeding damage by adults </w:t>
      </w:r>
      <w:r>
        <w:t xml:space="preserve">results in deeply pitted, scarred </w:t>
      </w:r>
      <w:r>
        <w:lastRenderedPageBreak/>
        <w:t>and misshapen</w:t>
      </w:r>
      <w:r w:rsidRPr="00F07FCE">
        <w:t xml:space="preserve"> apple fruit, while late season injury appears as depressed </w:t>
      </w:r>
      <w:r>
        <w:t>and darkened patches</w:t>
      </w:r>
      <w:r w:rsidRPr="00F07FCE">
        <w:t xml:space="preserve"> </w:t>
      </w:r>
      <w:r>
        <w:t>with</w:t>
      </w:r>
      <w:r w:rsidRPr="00F07FCE">
        <w:t xml:space="preserve"> holes</w:t>
      </w:r>
      <w:r>
        <w:t xml:space="preserve"> </w:t>
      </w:r>
      <w:r>
        <w:rPr>
          <w:noProof/>
        </w:rPr>
        <w:t>(Hammer 1936)</w:t>
      </w:r>
      <w:r>
        <w:t xml:space="preserve">. </w:t>
      </w:r>
    </w:p>
    <w:p w14:paraId="75C3524E" w14:textId="77777777" w:rsidR="003438A2" w:rsidRPr="00F07FCE" w:rsidRDefault="003438A2" w:rsidP="00AD1C8F">
      <w:r w:rsidRPr="00F07FCE">
        <w:t xml:space="preserve">The risk scenario of biosecurity concern is that larvae and pupae of </w:t>
      </w:r>
      <w:r w:rsidRPr="00F07FCE">
        <w:rPr>
          <w:i/>
        </w:rPr>
        <w:t>A. quadrigibbus</w:t>
      </w:r>
      <w:r w:rsidRPr="00F07FCE">
        <w:t xml:space="preserve"> may be on imported apple fruit from the PNW-USA.</w:t>
      </w:r>
    </w:p>
    <w:p w14:paraId="613978E3" w14:textId="77777777" w:rsidR="003438A2" w:rsidRPr="00F07FCE" w:rsidRDefault="003438A2" w:rsidP="00AD1C8F">
      <w:pPr>
        <w:pStyle w:val="Heading4"/>
      </w:pPr>
      <w:r w:rsidRPr="00F07FCE">
        <w:t>Likelihood of entry</w:t>
      </w:r>
    </w:p>
    <w:p w14:paraId="74DF94B9" w14:textId="77777777" w:rsidR="003438A2" w:rsidRPr="00F07FCE" w:rsidRDefault="003438A2" w:rsidP="00AD1C8F">
      <w:r w:rsidRPr="00F07FCE">
        <w:t>The likelihood of entry is considered in two parts, the likelihood of importation and the likelihood of distribution, which consider pre-border and post-border issues, respectively.</w:t>
      </w:r>
    </w:p>
    <w:p w14:paraId="40596B80" w14:textId="77777777" w:rsidR="003438A2" w:rsidRPr="00F07FCE" w:rsidRDefault="003438A2" w:rsidP="00AD1C8F">
      <w:pPr>
        <w:pStyle w:val="Heading5"/>
      </w:pPr>
      <w:r w:rsidRPr="00F07FCE">
        <w:t>Likelihood of importation</w:t>
      </w:r>
    </w:p>
    <w:p w14:paraId="417DF5BA" w14:textId="77777777" w:rsidR="003438A2" w:rsidRPr="00F07FCE" w:rsidRDefault="003438A2" w:rsidP="00AD1C8F">
      <w:r w:rsidRPr="00F07FCE">
        <w:t xml:space="preserve">The likelihood that </w:t>
      </w:r>
      <w:r w:rsidRPr="00F07FCE">
        <w:rPr>
          <w:i/>
        </w:rPr>
        <w:t>A. quadrigibbus</w:t>
      </w:r>
      <w:r w:rsidRPr="00F07FCE">
        <w:t xml:space="preserve"> will arrive in Australia with the importation of apples from the PNW-USA is assessed as Low.</w:t>
      </w:r>
    </w:p>
    <w:p w14:paraId="1848AD73" w14:textId="77777777" w:rsidR="003438A2" w:rsidRPr="00F07FCE" w:rsidRDefault="003438A2" w:rsidP="00AD1C8F">
      <w:r w:rsidRPr="00F07FCE">
        <w:t>The following information supports this assessment.</w:t>
      </w:r>
    </w:p>
    <w:p w14:paraId="3732D631" w14:textId="77777777" w:rsidR="003438A2" w:rsidRPr="00F07FCE" w:rsidRDefault="003438A2" w:rsidP="00AD1C8F">
      <w:r w:rsidRPr="00F07FCE">
        <w:rPr>
          <w:rFonts w:eastAsia="Times New Roman"/>
          <w:i/>
          <w:color w:val="000000"/>
          <w:szCs w:val="24"/>
        </w:rPr>
        <w:t>Anthonomus quadrigibbus</w:t>
      </w:r>
      <w:r w:rsidRPr="00F07FCE">
        <w:rPr>
          <w:rFonts w:eastAsia="Times New Roman"/>
          <w:color w:val="000000"/>
          <w:szCs w:val="24"/>
        </w:rPr>
        <w:t xml:space="preserve"> </w:t>
      </w:r>
      <w:r w:rsidRPr="00F07FCE">
        <w:t xml:space="preserve">is </w:t>
      </w:r>
      <w:r>
        <w:t xml:space="preserve">a known pest of apples and is </w:t>
      </w:r>
      <w:r w:rsidRPr="00F07FCE">
        <w:t>present in the PNW-USA, but is not currently considered a pest of concern of commercially produced apples</w:t>
      </w:r>
      <w:r>
        <w:t xml:space="preserve"> in the PNW-USA</w:t>
      </w:r>
      <w:r w:rsidRPr="00F07FCE">
        <w:t>.</w:t>
      </w:r>
    </w:p>
    <w:p w14:paraId="344FDF3B" w14:textId="77777777" w:rsidR="003438A2" w:rsidRPr="00F07FCE" w:rsidRDefault="003438A2" w:rsidP="003438A2">
      <w:pPr>
        <w:pStyle w:val="ListBullet"/>
        <w:numPr>
          <w:ilvl w:val="0"/>
          <w:numId w:val="15"/>
        </w:numPr>
      </w:pPr>
      <w:r w:rsidRPr="001F6C71">
        <w:rPr>
          <w:i/>
        </w:rPr>
        <w:t>Anthonomus quadrigibbus</w:t>
      </w:r>
      <w:r w:rsidRPr="00F07FCE">
        <w:t xml:space="preserve"> has been recorded from Washington, Idaho and Oregon</w:t>
      </w:r>
      <w:r>
        <w:t xml:space="preserve"> in the PNW-USA </w:t>
      </w:r>
      <w:r>
        <w:rPr>
          <w:noProof/>
        </w:rPr>
        <w:t>(Burke &amp; Anderson 1989; CABI 2021a; EPPO 2021)</w:t>
      </w:r>
      <w:r w:rsidRPr="00F07FCE">
        <w:t>.</w:t>
      </w:r>
      <w:bookmarkStart w:id="187" w:name="_Hlk108949294"/>
      <w:r w:rsidRPr="00F07FCE">
        <w:t xml:space="preserve"> </w:t>
      </w:r>
      <w:bookmarkEnd w:id="187"/>
    </w:p>
    <w:p w14:paraId="7733B492" w14:textId="77777777" w:rsidR="003438A2" w:rsidRPr="00F07FCE" w:rsidRDefault="003438A2" w:rsidP="003438A2">
      <w:pPr>
        <w:pStyle w:val="ListBullet"/>
        <w:numPr>
          <w:ilvl w:val="0"/>
          <w:numId w:val="15"/>
        </w:numPr>
      </w:pPr>
      <w:r w:rsidRPr="00F07FCE">
        <w:t xml:space="preserve">Species of various genera in the Rosaceae family, such as </w:t>
      </w:r>
      <w:r w:rsidRPr="00F07FCE">
        <w:rPr>
          <w:i/>
        </w:rPr>
        <w:t>Amelanchier</w:t>
      </w:r>
      <w:r w:rsidRPr="00F07FCE">
        <w:t xml:space="preserve">, </w:t>
      </w:r>
      <w:r w:rsidRPr="00F07FCE">
        <w:rPr>
          <w:i/>
        </w:rPr>
        <w:t>Crataegus</w:t>
      </w:r>
      <w:r w:rsidRPr="00F07FCE">
        <w:t xml:space="preserve">, </w:t>
      </w:r>
      <w:r w:rsidRPr="00F07FCE">
        <w:rPr>
          <w:i/>
        </w:rPr>
        <w:t>Prunus</w:t>
      </w:r>
      <w:r w:rsidRPr="00F07FCE">
        <w:t xml:space="preserve">, </w:t>
      </w:r>
      <w:r w:rsidRPr="00F07FCE">
        <w:rPr>
          <w:i/>
        </w:rPr>
        <w:t>Pyrus</w:t>
      </w:r>
      <w:r w:rsidRPr="00F07FCE">
        <w:t xml:space="preserve"> and </w:t>
      </w:r>
      <w:r w:rsidRPr="00F07FCE">
        <w:rPr>
          <w:i/>
        </w:rPr>
        <w:t>Sorbus</w:t>
      </w:r>
      <w:r w:rsidRPr="00F07FCE">
        <w:t xml:space="preserve">, as well as </w:t>
      </w:r>
      <w:r w:rsidRPr="00F07FCE">
        <w:rPr>
          <w:i/>
        </w:rPr>
        <w:t>Malus</w:t>
      </w:r>
      <w:r w:rsidRPr="00F07FCE">
        <w:t xml:space="preserve">, serve as hosts for </w:t>
      </w:r>
      <w:r w:rsidRPr="00F07FCE">
        <w:rPr>
          <w:i/>
        </w:rPr>
        <w:t>A. quadrigibbus</w:t>
      </w:r>
      <w:r w:rsidRPr="00F07FCE">
        <w:t xml:space="preserve">. However, cherry, Saskatoon berry, hawthorn and crabapple are recognised as being more favoured hosts of </w:t>
      </w:r>
      <w:r w:rsidRPr="00F07FCE">
        <w:rPr>
          <w:i/>
        </w:rPr>
        <w:t>A</w:t>
      </w:r>
      <w:r w:rsidRPr="00F07FCE">
        <w:t xml:space="preserve">. </w:t>
      </w:r>
      <w:r w:rsidRPr="00F07FCE">
        <w:rPr>
          <w:i/>
        </w:rPr>
        <w:t>quadrigibbus</w:t>
      </w:r>
      <w:r w:rsidRPr="00F07FCE">
        <w:t xml:space="preserve"> than apple</w:t>
      </w:r>
      <w:r>
        <w:t xml:space="preserve"> </w:t>
      </w:r>
      <w:r>
        <w:rPr>
          <w:noProof/>
        </w:rPr>
        <w:t>(Burke &amp; Anderson 1989; Hammer 1936; MOA BC 2016)</w:t>
      </w:r>
      <w:r w:rsidRPr="00F07FCE">
        <w:t>.</w:t>
      </w:r>
    </w:p>
    <w:p w14:paraId="15A33296" w14:textId="77777777" w:rsidR="003438A2" w:rsidRDefault="003438A2" w:rsidP="003438A2">
      <w:pPr>
        <w:pStyle w:val="ListBullet"/>
        <w:numPr>
          <w:ilvl w:val="0"/>
          <w:numId w:val="15"/>
        </w:numPr>
      </w:pPr>
      <w:r w:rsidRPr="00F07FCE">
        <w:t>Pest management specialists have not recorded the pest in Washington apple orchards</w:t>
      </w:r>
      <w:r>
        <w:t xml:space="preserve"> </w:t>
      </w:r>
      <w:r>
        <w:rPr>
          <w:noProof/>
        </w:rPr>
        <w:t>(Beers 2007b)</w:t>
      </w:r>
      <w:r w:rsidRPr="00F07FCE">
        <w:t xml:space="preserve">. Pacific Northwest Insect Management Handbooks </w:t>
      </w:r>
      <w:r w:rsidRPr="00F07FCE">
        <w:rPr>
          <w:noProof/>
        </w:rPr>
        <w:t>(Hollingsworth 2019)</w:t>
      </w:r>
      <w:r w:rsidRPr="00F07FCE">
        <w:t xml:space="preserve"> do not record this species as a pest of concern for </w:t>
      </w:r>
      <w:r>
        <w:t xml:space="preserve">commercially produced </w:t>
      </w:r>
      <w:r w:rsidRPr="00F07FCE">
        <w:t>apple.</w:t>
      </w:r>
    </w:p>
    <w:p w14:paraId="30D86D8C" w14:textId="77777777" w:rsidR="003438A2" w:rsidRPr="001B530D" w:rsidRDefault="003438A2" w:rsidP="003438A2">
      <w:pPr>
        <w:pStyle w:val="ListBullet"/>
        <w:numPr>
          <w:ilvl w:val="0"/>
          <w:numId w:val="15"/>
        </w:numPr>
        <w:rPr>
          <w:color w:val="000000" w:themeColor="text1"/>
        </w:rPr>
      </w:pPr>
      <w:r w:rsidRPr="00FD4F88">
        <w:rPr>
          <w:i/>
        </w:rPr>
        <w:t xml:space="preserve">Anthonomus quadrigibbus </w:t>
      </w:r>
      <w:r>
        <w:t xml:space="preserve">is considered to be mainly a pest of wild or uncultivated apples </w:t>
      </w:r>
      <w:r>
        <w:rPr>
          <w:noProof/>
          <w:color w:val="000000" w:themeColor="text1"/>
        </w:rPr>
        <w:t>(Campbell, Sarazin &amp; Lyons 1989; Hammer 1936)</w:t>
      </w:r>
      <w:r>
        <w:rPr>
          <w:color w:val="000000" w:themeColor="text1"/>
        </w:rPr>
        <w:t>.</w:t>
      </w:r>
    </w:p>
    <w:p w14:paraId="79EF7184" w14:textId="77777777" w:rsidR="003438A2" w:rsidRPr="00F07FCE" w:rsidRDefault="003438A2" w:rsidP="003438A2">
      <w:pPr>
        <w:pStyle w:val="ListBullet"/>
        <w:numPr>
          <w:ilvl w:val="0"/>
          <w:numId w:val="15"/>
        </w:numPr>
      </w:pPr>
      <w:r>
        <w:rPr>
          <w:noProof/>
          <w:lang w:eastAsia="en-AU"/>
        </w:rPr>
        <w:t>(CABI 2022)</w:t>
      </w:r>
      <w:r>
        <w:rPr>
          <w:lang w:eastAsia="en-AU"/>
        </w:rPr>
        <w:t xml:space="preserve"> </w:t>
      </w:r>
      <w:r w:rsidRPr="00F07FCE">
        <w:t xml:space="preserve">reported that there is little recent information about the importance of </w:t>
      </w:r>
      <w:r w:rsidRPr="00793612">
        <w:rPr>
          <w:i/>
        </w:rPr>
        <w:t>A. quadrigibbus</w:t>
      </w:r>
      <w:r w:rsidRPr="00F07FCE">
        <w:t xml:space="preserve"> from North America, suggesting that modern control regimes have reduced it to minor pest significance.</w:t>
      </w:r>
    </w:p>
    <w:p w14:paraId="71E2D71A" w14:textId="77777777" w:rsidR="003438A2" w:rsidRPr="00F07FCE" w:rsidRDefault="003438A2" w:rsidP="00AD1C8F">
      <w:pPr>
        <w:rPr>
          <w:rFonts w:eastAsia="Times New Roman"/>
          <w:color w:val="000000"/>
          <w:szCs w:val="24"/>
        </w:rPr>
      </w:pPr>
      <w:r w:rsidRPr="00F07FCE">
        <w:rPr>
          <w:rFonts w:eastAsia="Times New Roman"/>
          <w:i/>
          <w:color w:val="000000"/>
          <w:szCs w:val="24"/>
        </w:rPr>
        <w:t>Anthonomus quadrigibbus</w:t>
      </w:r>
      <w:r w:rsidRPr="00F07FCE">
        <w:rPr>
          <w:rFonts w:eastAsia="Times New Roman"/>
          <w:color w:val="000000"/>
          <w:szCs w:val="24"/>
        </w:rPr>
        <w:t xml:space="preserve"> </w:t>
      </w:r>
      <w:r w:rsidRPr="00F07FCE">
        <w:t>may be associated with harvested mature apples.</w:t>
      </w:r>
    </w:p>
    <w:p w14:paraId="2662EDEB" w14:textId="77777777" w:rsidR="003438A2" w:rsidRPr="00F07FCE" w:rsidRDefault="003438A2" w:rsidP="003438A2">
      <w:pPr>
        <w:pStyle w:val="ListBullet"/>
        <w:numPr>
          <w:ilvl w:val="0"/>
          <w:numId w:val="15"/>
        </w:numPr>
      </w:pPr>
      <w:r w:rsidRPr="00F07FCE">
        <w:rPr>
          <w:i/>
        </w:rPr>
        <w:t>Anthonomus quadrigibbus</w:t>
      </w:r>
      <w:r w:rsidRPr="00F07FCE">
        <w:t xml:space="preserve"> mated females </w:t>
      </w:r>
      <w:r>
        <w:t xml:space="preserve">prefer to </w:t>
      </w:r>
      <w:r w:rsidRPr="00F07FCE">
        <w:t>lay eggs in small fruitlets</w:t>
      </w:r>
      <w:r>
        <w:t xml:space="preserve"> </w:t>
      </w:r>
      <w:r>
        <w:rPr>
          <w:noProof/>
        </w:rPr>
        <w:t>(Davidson &amp; Peairs 1966; Jeger et al. 2018)</w:t>
      </w:r>
      <w:r>
        <w:t xml:space="preserve"> </w:t>
      </w:r>
      <w:r w:rsidRPr="00F07FCE">
        <w:t>and larvae feed internally within the apple</w:t>
      </w:r>
      <w:r>
        <w:t xml:space="preserve"> </w:t>
      </w:r>
      <w:r>
        <w:rPr>
          <w:noProof/>
        </w:rPr>
        <w:t>(Campbell, Sarazin &amp; Lyons 1989; Davidson &amp; Peairs 1966)</w:t>
      </w:r>
      <w:r>
        <w:t>.</w:t>
      </w:r>
      <w:r w:rsidRPr="00F07FCE">
        <w:t xml:space="preserve"> </w:t>
      </w:r>
    </w:p>
    <w:p w14:paraId="3C4E1262" w14:textId="77777777" w:rsidR="003438A2" w:rsidRPr="00F07FCE" w:rsidRDefault="003438A2" w:rsidP="003438A2">
      <w:pPr>
        <w:pStyle w:val="ListBullet"/>
        <w:numPr>
          <w:ilvl w:val="0"/>
          <w:numId w:val="15"/>
        </w:numPr>
      </w:pPr>
      <w:r w:rsidRPr="00F07FCE">
        <w:t>Infested fruit generally drop prematurely from the tree; however, some infested apples may remain on the tree, in which larvae could continue their development</w:t>
      </w:r>
      <w:r>
        <w:t xml:space="preserve"> </w:t>
      </w:r>
      <w:r>
        <w:rPr>
          <w:noProof/>
          <w:color w:val="000000" w:themeColor="text1"/>
        </w:rPr>
        <w:t>(Burke &amp; Anderson 1989; CABI 2020a; Campbell, Sarazin &amp; Lyons 1989; MAFRI 2008)</w:t>
      </w:r>
      <w:r>
        <w:t>.</w:t>
      </w:r>
      <w:r w:rsidRPr="00F07FCE">
        <w:t xml:space="preserve"> Pupation usually takes place in fruit, from which adults</w:t>
      </w:r>
      <w:r>
        <w:t xml:space="preserve"> emerge and leave the </w:t>
      </w:r>
      <w:bookmarkStart w:id="188" w:name="_Hlk108949410"/>
      <w:r>
        <w:t xml:space="preserve">fruit </w:t>
      </w:r>
      <w:r>
        <w:rPr>
          <w:noProof/>
        </w:rPr>
        <w:t>(Burke &amp; Anderson 1989; CABI 2020a; Jeger et al. 2018; MAFRI 2008)</w:t>
      </w:r>
      <w:r w:rsidRPr="00F07FCE">
        <w:t xml:space="preserve">. </w:t>
      </w:r>
    </w:p>
    <w:bookmarkEnd w:id="188"/>
    <w:p w14:paraId="1A24146B" w14:textId="77777777" w:rsidR="003438A2" w:rsidRPr="00F07FCE" w:rsidRDefault="003438A2" w:rsidP="003438A2">
      <w:pPr>
        <w:pStyle w:val="ListBullet"/>
        <w:numPr>
          <w:ilvl w:val="0"/>
          <w:numId w:val="15"/>
        </w:numPr>
      </w:pPr>
      <w:r w:rsidRPr="00E4674D">
        <w:rPr>
          <w:iCs/>
        </w:rPr>
        <w:t>Adults</w:t>
      </w:r>
      <w:r w:rsidRPr="00E4674D">
        <w:rPr>
          <w:i/>
        </w:rPr>
        <w:t xml:space="preserve"> </w:t>
      </w:r>
      <w:r w:rsidRPr="00E4674D">
        <w:rPr>
          <w:iCs/>
        </w:rPr>
        <w:t xml:space="preserve">typically </w:t>
      </w:r>
      <w:r w:rsidRPr="00BF5FA3">
        <w:t xml:space="preserve">emerge from fruit prior to harvest in mid-July to mid-August (mid-summer) </w:t>
      </w:r>
      <w:r w:rsidRPr="00BF5FA3">
        <w:rPr>
          <w:noProof/>
        </w:rPr>
        <w:t>(CABI 2021a; Davidson &amp; Peairs 1966; EPPO 2021)</w:t>
      </w:r>
      <w:r w:rsidRPr="00BF5FA3">
        <w:t xml:space="preserve">. However, </w:t>
      </w:r>
      <w:hyperlink w:anchor="_ENREF_364" w:tooltip="Hammer, 1936 #8934" w:history="1">
        <w:r w:rsidRPr="00BF5FA3">
          <w:rPr>
            <w:noProof/>
          </w:rPr>
          <w:t>Hammer (1936</w:t>
        </w:r>
      </w:hyperlink>
      <w:r w:rsidRPr="00F07FCE">
        <w:t xml:space="preserve">) showed that adult emergence occurs later in infested apples that remain on the tree, with adults emerging until mid-September. Therefore, larvae and pupae could be present in apples at the time of harvest. </w:t>
      </w:r>
    </w:p>
    <w:p w14:paraId="4E649E2D" w14:textId="77777777" w:rsidR="003438A2" w:rsidRPr="00F07FCE" w:rsidRDefault="003438A2" w:rsidP="00AD1C8F">
      <w:pPr>
        <w:rPr>
          <w:strike/>
        </w:rPr>
      </w:pPr>
      <w:r w:rsidRPr="00F07FCE">
        <w:lastRenderedPageBreak/>
        <w:t>Infested apples are likely to be</w:t>
      </w:r>
      <w:r>
        <w:t xml:space="preserve"> detected and</w:t>
      </w:r>
      <w:r w:rsidRPr="00F07FCE">
        <w:t xml:space="preserve"> discarded during harvesting and packing house procedures.</w:t>
      </w:r>
    </w:p>
    <w:p w14:paraId="0514F799" w14:textId="77777777" w:rsidR="003438A2" w:rsidRPr="00F07FCE" w:rsidRDefault="003438A2" w:rsidP="003438A2">
      <w:pPr>
        <w:pStyle w:val="ListBullet"/>
        <w:numPr>
          <w:ilvl w:val="0"/>
          <w:numId w:val="15"/>
        </w:numPr>
      </w:pPr>
      <w:r w:rsidRPr="00F07FCE">
        <w:t xml:space="preserve">Both adults and larvae of </w:t>
      </w:r>
      <w:r w:rsidRPr="00420B5C">
        <w:rPr>
          <w:i/>
        </w:rPr>
        <w:t>A. quadrigibbus</w:t>
      </w:r>
      <w:r w:rsidRPr="00F07FCE">
        <w:t xml:space="preserve"> cause visible feeding damage to apple fruit </w:t>
      </w:r>
      <w:r w:rsidRPr="00F07FCE">
        <w:rPr>
          <w:noProof/>
        </w:rPr>
        <w:t>(Jeger et al. 2018)</w:t>
      </w:r>
      <w:r w:rsidRPr="00F07FCE">
        <w:t xml:space="preserve">. Infestation can be seen as small, round oviposition punctures </w:t>
      </w:r>
      <w:r w:rsidRPr="00F07FCE">
        <w:rPr>
          <w:noProof/>
        </w:rPr>
        <w:t>(Jeger et al. 2018)</w:t>
      </w:r>
      <w:r w:rsidRPr="00F07FCE">
        <w:t xml:space="preserve"> and feeding damage by adults appears as raised russeted areas on apple fruit or as circular depressed areas around small, dark, corky spots or holes</w:t>
      </w:r>
      <w:r>
        <w:t xml:space="preserve"> </w:t>
      </w:r>
      <w:r>
        <w:rPr>
          <w:noProof/>
        </w:rPr>
        <w:t>(MAL 2006)</w:t>
      </w:r>
      <w:r>
        <w:t>.</w:t>
      </w:r>
      <w:r w:rsidRPr="00F07FCE">
        <w:t xml:space="preserve"> Frass on the surface of the fruit deposited by adult females covering oviposition holes </w:t>
      </w:r>
      <w:r w:rsidRPr="00F07FCE">
        <w:rPr>
          <w:noProof/>
        </w:rPr>
        <w:t>(Jeger et al. 2018)</w:t>
      </w:r>
      <w:r w:rsidRPr="00F07FCE">
        <w:t xml:space="preserve"> can be seen. Larval feeding within the fruit enlarges the oviposition cavity </w:t>
      </w:r>
      <w:r w:rsidRPr="00F07FCE">
        <w:rPr>
          <w:noProof/>
        </w:rPr>
        <w:t>(University of Missouri 2008)</w:t>
      </w:r>
      <w:r w:rsidRPr="00F07FCE">
        <w:t>.</w:t>
      </w:r>
    </w:p>
    <w:p w14:paraId="106B547E" w14:textId="77777777" w:rsidR="003438A2" w:rsidRPr="00F07FCE" w:rsidRDefault="003438A2" w:rsidP="003438A2">
      <w:pPr>
        <w:pStyle w:val="ListBullet"/>
        <w:numPr>
          <w:ilvl w:val="0"/>
          <w:numId w:val="15"/>
        </w:numPr>
      </w:pPr>
      <w:r w:rsidRPr="00F07FCE">
        <w:t>Visual inspection of host fruit can detect damage symptoms</w:t>
      </w:r>
      <w:r>
        <w:t>,</w:t>
      </w:r>
      <w:r w:rsidRPr="00F07FCE">
        <w:t xml:space="preserve"> and fruit suspected of being infested can be cut open for closer inspection </w:t>
      </w:r>
      <w:r w:rsidRPr="00F07FCE">
        <w:rPr>
          <w:noProof/>
        </w:rPr>
        <w:t>(Jeger et al. 2018)</w:t>
      </w:r>
      <w:r w:rsidRPr="00F07FCE">
        <w:t xml:space="preserve">. </w:t>
      </w:r>
    </w:p>
    <w:p w14:paraId="00952A30" w14:textId="77777777" w:rsidR="003438A2" w:rsidRPr="00F07FCE" w:rsidRDefault="003438A2" w:rsidP="00AD1C8F">
      <w:pPr>
        <w:rPr>
          <w:rFonts w:ascii="Times New Roman" w:eastAsia="Times New Roman" w:hAnsi="Times New Roman" w:cs="Times New Roman"/>
          <w:sz w:val="24"/>
          <w:szCs w:val="24"/>
          <w:lang w:eastAsia="en-AU"/>
        </w:rPr>
      </w:pPr>
      <w:r w:rsidRPr="00F07FCE">
        <w:rPr>
          <w:rFonts w:eastAsia="Times New Roman"/>
          <w:i/>
          <w:color w:val="000000"/>
          <w:szCs w:val="24"/>
        </w:rPr>
        <w:t>Anthonomus quadrigibbus</w:t>
      </w:r>
      <w:r w:rsidRPr="00F07FCE">
        <w:rPr>
          <w:rFonts w:eastAsia="Times New Roman"/>
          <w:color w:val="000000"/>
          <w:szCs w:val="24"/>
        </w:rPr>
        <w:t xml:space="preserve"> larvae and pupae in fruit </w:t>
      </w:r>
      <w:r w:rsidRPr="00F07FCE">
        <w:t>are not likely to survive cold temperatures during storage and transport.</w:t>
      </w:r>
    </w:p>
    <w:p w14:paraId="758020B1" w14:textId="77777777" w:rsidR="003438A2" w:rsidRDefault="003438A2" w:rsidP="003438A2">
      <w:pPr>
        <w:pStyle w:val="ListBullet"/>
        <w:numPr>
          <w:ilvl w:val="0"/>
          <w:numId w:val="15"/>
        </w:numPr>
      </w:pPr>
      <w:r>
        <w:t>The a</w:t>
      </w:r>
      <w:r w:rsidRPr="00F07FCE">
        <w:t xml:space="preserve">dult is the </w:t>
      </w:r>
      <w:r>
        <w:t xml:space="preserve">only </w:t>
      </w:r>
      <w:r w:rsidRPr="00F07FCE">
        <w:t xml:space="preserve">overwintering stage </w:t>
      </w:r>
      <w:r>
        <w:t xml:space="preserve">of </w:t>
      </w:r>
      <w:r w:rsidRPr="009615F6">
        <w:rPr>
          <w:i/>
          <w:iCs/>
        </w:rPr>
        <w:t>A. quadrigibbus</w:t>
      </w:r>
      <w:r>
        <w:rPr>
          <w:i/>
          <w:iCs/>
        </w:rPr>
        <w:t>.</w:t>
      </w:r>
      <w:r>
        <w:t xml:space="preserve"> Adults</w:t>
      </w:r>
      <w:r w:rsidRPr="00F07FCE">
        <w:t xml:space="preserve"> can survive </w:t>
      </w:r>
      <w:r>
        <w:t xml:space="preserve">sub-zero winter </w:t>
      </w:r>
      <w:r w:rsidRPr="00F07FCE">
        <w:t xml:space="preserve">temperatures </w:t>
      </w:r>
      <w:r>
        <w:t xml:space="preserve">in north America </w:t>
      </w:r>
      <w:r w:rsidRPr="00F07FCE">
        <w:t>near the host tree in the ground or under litter</w:t>
      </w:r>
      <w:r>
        <w:t xml:space="preserve"> </w:t>
      </w:r>
      <w:r>
        <w:rPr>
          <w:noProof/>
        </w:rPr>
        <w:t>(Hammer 1936)</w:t>
      </w:r>
      <w:r>
        <w:t>. There is no evidence of adults overwintering in fruit.</w:t>
      </w:r>
    </w:p>
    <w:p w14:paraId="4F731B6A" w14:textId="77777777" w:rsidR="003438A2" w:rsidRPr="00F07FCE" w:rsidRDefault="003438A2" w:rsidP="003438A2">
      <w:pPr>
        <w:pStyle w:val="ListBullet"/>
        <w:numPr>
          <w:ilvl w:val="0"/>
          <w:numId w:val="15"/>
        </w:numPr>
      </w:pPr>
      <w:r>
        <w:t xml:space="preserve">Larvae and pupae are not reported to overwinter in the fruit. </w:t>
      </w:r>
      <w:r w:rsidRPr="00D66579">
        <w:t>Any larvae and pupae in infested fruit that do not complete their development by autumn</w:t>
      </w:r>
      <w:r w:rsidRPr="00C65D01">
        <w:t>,</w:t>
      </w:r>
      <w:r>
        <w:t xml:space="preserve"> die</w:t>
      </w:r>
      <w:r w:rsidRPr="00F07FCE">
        <w:t xml:space="preserve"> </w:t>
      </w:r>
      <w:r>
        <w:t xml:space="preserve">within the fruit due to decreasing temperatures </w:t>
      </w:r>
      <w:r>
        <w:rPr>
          <w:noProof/>
        </w:rPr>
        <w:t>(Hammer 1936)</w:t>
      </w:r>
      <w:r>
        <w:t xml:space="preserve">. </w:t>
      </w:r>
    </w:p>
    <w:p w14:paraId="0DEF934B" w14:textId="77777777" w:rsidR="003438A2" w:rsidRPr="00F07FCE" w:rsidRDefault="003438A2" w:rsidP="003438A2">
      <w:pPr>
        <w:pStyle w:val="ListBullet"/>
        <w:numPr>
          <w:ilvl w:val="0"/>
          <w:numId w:val="15"/>
        </w:numPr>
      </w:pPr>
      <w:r>
        <w:t xml:space="preserve">Larvae and pupae are therefore not likely to survive extended periods of cold temperature during storage and transport of apples. </w:t>
      </w:r>
      <w:r w:rsidRPr="00F07FCE">
        <w:t>Harvested apples are normally cold stored at 0°</w:t>
      </w:r>
      <w:r>
        <w:t>C</w:t>
      </w:r>
      <w:r w:rsidRPr="00F07FCE">
        <w:t xml:space="preserve"> to 2°C from one day to more than 11 months prior to export</w:t>
      </w:r>
      <w:r>
        <w:t xml:space="preserve"> </w:t>
      </w:r>
      <w:r>
        <w:rPr>
          <w:noProof/>
        </w:rPr>
        <w:t>(Good Fruit Grower 2014; Iowa State University Extension and Outreach 2008; Kupferman 1996; University of Maine 2020; WSU Tree Fruit 2021c)</w:t>
      </w:r>
      <w:r>
        <w:t>.</w:t>
      </w:r>
      <w:r w:rsidRPr="00F07FCE">
        <w:t xml:space="preserve"> Sea freight, which takes about five weeks, is likely to be the preferred method of transport of apples from the PNW-USA to Australia</w:t>
      </w:r>
      <w:r>
        <w:t>, during which apples will be maintained at similarly cold temperatures</w:t>
      </w:r>
      <w:r w:rsidRPr="00F07FCE">
        <w:t xml:space="preserve">. </w:t>
      </w:r>
    </w:p>
    <w:p w14:paraId="3AF2594C" w14:textId="77777777" w:rsidR="003438A2" w:rsidRPr="00F07FCE" w:rsidRDefault="003438A2" w:rsidP="00AD1C8F">
      <w:r w:rsidRPr="00F07FCE">
        <w:rPr>
          <w:i/>
          <w:iCs/>
        </w:rPr>
        <w:t>Anthonomus quadrigibbus</w:t>
      </w:r>
      <w:r w:rsidRPr="00F07FCE">
        <w:t xml:space="preserve"> is widespread in the USA, and recorded from Washington, Idaho and Oregon. </w:t>
      </w:r>
      <w:r w:rsidRPr="00F07FCE">
        <w:rPr>
          <w:i/>
        </w:rPr>
        <w:t>Anthonomus quadrigibbus</w:t>
      </w:r>
      <w:r w:rsidRPr="00F07FCE">
        <w:t xml:space="preserve"> is associated with a wide range of plants in the Rosaceae family, </w:t>
      </w:r>
      <w:r>
        <w:t xml:space="preserve">including apples, </w:t>
      </w:r>
      <w:r w:rsidRPr="00F07FCE">
        <w:t xml:space="preserve">however it is not currently considered a pest of concern of commercially produced apple in the PNW-USA. Larvae and adults are known to feed on early growing fruit, which typically leads to infested fruit dropping from the tree. However, infested fruit may continue to grow on the tree. Although adults typically emerge from apples prior to harvest, there is a chance that </w:t>
      </w:r>
      <w:r w:rsidRPr="00F07FCE">
        <w:rPr>
          <w:i/>
          <w:iCs/>
        </w:rPr>
        <w:t>A. quadrigibbus</w:t>
      </w:r>
      <w:r w:rsidRPr="00F07FCE">
        <w:t xml:space="preserve"> </w:t>
      </w:r>
      <w:r>
        <w:t xml:space="preserve">larvae and pupae </w:t>
      </w:r>
      <w:r w:rsidRPr="00F07FCE">
        <w:t>may be present in fruit at the time of harvest. Signs of feeding damage are highly visible</w:t>
      </w:r>
      <w:r>
        <w:t>,</w:t>
      </w:r>
      <w:r w:rsidRPr="00F07FCE">
        <w:t xml:space="preserve"> and any infested apple fruit are likely to be discarded during harvesting and packing house processes. Any </w:t>
      </w:r>
      <w:r w:rsidRPr="00F07FCE">
        <w:rPr>
          <w:rFonts w:eastAsia="Times New Roman"/>
          <w:i/>
          <w:color w:val="000000"/>
          <w:szCs w:val="24"/>
        </w:rPr>
        <w:t>A. quadrigibbus</w:t>
      </w:r>
      <w:r w:rsidRPr="00F07FCE">
        <w:rPr>
          <w:rFonts w:eastAsia="Times New Roman"/>
          <w:color w:val="000000"/>
          <w:szCs w:val="24"/>
        </w:rPr>
        <w:t xml:space="preserve"> larvae or pupae in fruit </w:t>
      </w:r>
      <w:r w:rsidRPr="00F07FCE">
        <w:t xml:space="preserve">are unlikely to survive cold temperatures during storage and transport. </w:t>
      </w:r>
    </w:p>
    <w:p w14:paraId="7E588329" w14:textId="77777777" w:rsidR="003438A2" w:rsidRPr="00F07FCE" w:rsidRDefault="003438A2" w:rsidP="00AD1C8F">
      <w:bookmarkStart w:id="189" w:name="_Hlk36411915"/>
      <w:r w:rsidRPr="00F07FCE">
        <w:t xml:space="preserve">For the reasons outlined, the likelihood of importation of </w:t>
      </w:r>
      <w:r w:rsidRPr="00F07FCE">
        <w:rPr>
          <w:i/>
        </w:rPr>
        <w:t>A. quadrigibbus</w:t>
      </w:r>
      <w:r w:rsidRPr="00F07FCE">
        <w:t xml:space="preserve"> on imported apples sourced from PNW-USA is rated as Low.</w:t>
      </w:r>
    </w:p>
    <w:bookmarkEnd w:id="189"/>
    <w:p w14:paraId="24ACB1D5" w14:textId="77777777" w:rsidR="003438A2" w:rsidRPr="00F07FCE" w:rsidRDefault="003438A2" w:rsidP="00AD1C8F">
      <w:pPr>
        <w:pStyle w:val="Heading5"/>
      </w:pPr>
      <w:r w:rsidRPr="00F07FCE">
        <w:t>Likelihood of distribution</w:t>
      </w:r>
    </w:p>
    <w:p w14:paraId="102F0EA0" w14:textId="77777777" w:rsidR="003438A2" w:rsidRPr="00F07FCE" w:rsidRDefault="003438A2" w:rsidP="00AD1C8F">
      <w:r w:rsidRPr="00F07FCE">
        <w:t xml:space="preserve">The likelihood that </w:t>
      </w:r>
      <w:r w:rsidRPr="00F07FCE">
        <w:rPr>
          <w:i/>
        </w:rPr>
        <w:t>A. quadrigibbus</w:t>
      </w:r>
      <w:r w:rsidRPr="00F07FCE">
        <w:t xml:space="preserve"> will be distributed in Australia in a viable state as a result of the processing, sale or disposal of apples from the PNW-USA, and subsequently transfer to a susceptible part of a host, is assessed as Moderate.</w:t>
      </w:r>
    </w:p>
    <w:p w14:paraId="7850C638" w14:textId="77777777" w:rsidR="003438A2" w:rsidRPr="00F07FCE" w:rsidRDefault="003438A2" w:rsidP="00AD1C8F">
      <w:r w:rsidRPr="00F07FCE">
        <w:t>The following information provides supporting evidence for this assessment.</w:t>
      </w:r>
    </w:p>
    <w:p w14:paraId="4DD15817" w14:textId="77777777" w:rsidR="003438A2" w:rsidRPr="00F07FCE" w:rsidRDefault="003438A2" w:rsidP="00AD1C8F">
      <w:r w:rsidRPr="00F07FCE">
        <w:lastRenderedPageBreak/>
        <w:t>Imported fresh PNW-USA apples will likely be distributed throughout Australia for retail trade. Infested apple fruit showing signs of infestation are likely to be removed from distribution.</w:t>
      </w:r>
    </w:p>
    <w:p w14:paraId="732D4D09" w14:textId="77777777" w:rsidR="003438A2" w:rsidRPr="00F07FCE" w:rsidRDefault="003438A2" w:rsidP="003438A2">
      <w:pPr>
        <w:pStyle w:val="ListBullet"/>
        <w:numPr>
          <w:ilvl w:val="0"/>
          <w:numId w:val="15"/>
        </w:numPr>
      </w:pPr>
      <w:r w:rsidRPr="00F07FCE">
        <w:t>It is expected that fresh apples imported from PNW-USA into Australia will likely be distributed for retail sale in many areas in Australia</w:t>
      </w:r>
      <w:r>
        <w:t>.</w:t>
      </w:r>
      <w:r w:rsidRPr="00F07FCE">
        <w:t xml:space="preserve"> The major population centres are likely to receive the majority of the imported apples.</w:t>
      </w:r>
    </w:p>
    <w:p w14:paraId="2BF13494" w14:textId="77777777" w:rsidR="003438A2" w:rsidRPr="00F07FCE" w:rsidRDefault="003438A2" w:rsidP="003438A2">
      <w:pPr>
        <w:pStyle w:val="ListBullet"/>
        <w:numPr>
          <w:ilvl w:val="0"/>
          <w:numId w:val="15"/>
        </w:numPr>
      </w:pPr>
      <w:r>
        <w:t>Any larvae or pupae in infested fruit are not likely to survive c</w:t>
      </w:r>
      <w:r w:rsidRPr="00F07FCE">
        <w:t xml:space="preserve">old temperatures during storage and transport of fresh PNW-USA apples in Australia. </w:t>
      </w:r>
    </w:p>
    <w:p w14:paraId="5F7AD13A" w14:textId="77777777" w:rsidR="003438A2" w:rsidRPr="00F07FCE" w:rsidRDefault="003438A2" w:rsidP="003438A2">
      <w:pPr>
        <w:pStyle w:val="ListBullet"/>
        <w:numPr>
          <w:ilvl w:val="0"/>
          <w:numId w:val="15"/>
        </w:numPr>
      </w:pPr>
      <w:r w:rsidRPr="00F07FCE">
        <w:t>However, once in retail stores, fruit are likely to be kept at room temperature</w:t>
      </w:r>
      <w:r>
        <w:t xml:space="preserve"> for some of the time</w:t>
      </w:r>
      <w:r w:rsidRPr="00F07FCE">
        <w:t xml:space="preserve">, which could allow any surviving </w:t>
      </w:r>
      <w:r w:rsidRPr="00F07FCE">
        <w:rPr>
          <w:i/>
          <w:iCs/>
        </w:rPr>
        <w:t>A.</w:t>
      </w:r>
      <w:r w:rsidRPr="00F07FCE">
        <w:t xml:space="preserve"> </w:t>
      </w:r>
      <w:r w:rsidRPr="00F07FCE">
        <w:rPr>
          <w:i/>
        </w:rPr>
        <w:t>quadrigibbus</w:t>
      </w:r>
      <w:r w:rsidRPr="00F07FCE">
        <w:t xml:space="preserve"> to resume or complete development.</w:t>
      </w:r>
    </w:p>
    <w:p w14:paraId="05B99882" w14:textId="77777777" w:rsidR="003438A2" w:rsidRPr="00F07FCE" w:rsidRDefault="003438A2" w:rsidP="003438A2">
      <w:pPr>
        <w:pStyle w:val="ListBullet"/>
        <w:numPr>
          <w:ilvl w:val="0"/>
          <w:numId w:val="15"/>
        </w:numPr>
      </w:pPr>
      <w:r w:rsidRPr="00F07FCE">
        <w:t xml:space="preserve">Infested fruit showing signs of infestation are likely to be removed from distribution. </w:t>
      </w:r>
    </w:p>
    <w:p w14:paraId="3C1C5F0F" w14:textId="77777777" w:rsidR="003438A2" w:rsidRPr="00F07FCE" w:rsidRDefault="003438A2" w:rsidP="00AD1C8F">
      <w:r w:rsidRPr="00F07FCE">
        <w:t xml:space="preserve">Most fruit waste will be discarded in managed waste systems, but a small proportion of fruit waste may be discarded outside managed waste systems, including near suitable host plants. </w:t>
      </w:r>
    </w:p>
    <w:p w14:paraId="2777A641" w14:textId="77777777" w:rsidR="003438A2" w:rsidRPr="00F07FCE" w:rsidRDefault="003438A2" w:rsidP="003438A2">
      <w:pPr>
        <w:pStyle w:val="ListBullet"/>
        <w:numPr>
          <w:ilvl w:val="0"/>
          <w:numId w:val="15"/>
        </w:numPr>
      </w:pPr>
      <w:r w:rsidRPr="00F07FCE">
        <w:t xml:space="preserve">Most commercial and residential waste will be discarded into managed waste systems, from where </w:t>
      </w:r>
      <w:r w:rsidRPr="00F07FCE">
        <w:rPr>
          <w:i/>
          <w:iCs/>
        </w:rPr>
        <w:t>A. quadrigibbus</w:t>
      </w:r>
      <w:r w:rsidRPr="00F07FCE">
        <w:t xml:space="preserve"> is unlikely to distribute into the environment and find a suitable host plant.</w:t>
      </w:r>
    </w:p>
    <w:p w14:paraId="3431E35B" w14:textId="77777777" w:rsidR="003438A2" w:rsidRPr="00F07FCE" w:rsidRDefault="003438A2" w:rsidP="003438A2">
      <w:pPr>
        <w:pStyle w:val="ListBullet"/>
        <w:numPr>
          <w:ilvl w:val="0"/>
          <w:numId w:val="15"/>
        </w:numPr>
      </w:pPr>
      <w:r w:rsidRPr="00F07FCE">
        <w:t>A small portion of fruit waste may be discarded as litter in urban, rural or natural environments. Fruit waste could be discarded near suitable host plants, including commercially grown, home garden or wild host plants.</w:t>
      </w:r>
    </w:p>
    <w:p w14:paraId="78EBE86E" w14:textId="77777777" w:rsidR="003438A2" w:rsidRPr="00F07FCE" w:rsidRDefault="003438A2" w:rsidP="00AD1C8F">
      <w:r w:rsidRPr="00F07FCE">
        <w:t xml:space="preserve">Larvae and pupae of </w:t>
      </w:r>
      <w:r w:rsidRPr="00F07FCE">
        <w:rPr>
          <w:i/>
        </w:rPr>
        <w:t xml:space="preserve">A. quadrigibbus </w:t>
      </w:r>
      <w:r w:rsidRPr="00F07FCE">
        <w:t>are unlikely to complete development within discarded infested fruit in Australia.</w:t>
      </w:r>
    </w:p>
    <w:p w14:paraId="0D40C404" w14:textId="77777777" w:rsidR="003438A2" w:rsidRPr="00F07FCE" w:rsidRDefault="003438A2" w:rsidP="003438A2">
      <w:pPr>
        <w:pStyle w:val="ListBullet"/>
        <w:numPr>
          <w:ilvl w:val="0"/>
          <w:numId w:val="15"/>
        </w:numPr>
      </w:pPr>
      <w:r w:rsidRPr="00F07FCE">
        <w:t>Fresh apple fruit from PNW-USA are likely to be imported throughout the year. Temperatures in many parts of Australia and at many times of the year are likely to be suitable for the successful development of surviving larvae and pupae and emergence of adults.</w:t>
      </w:r>
    </w:p>
    <w:p w14:paraId="08AC9144" w14:textId="77777777" w:rsidR="003438A2" w:rsidRPr="00F07FCE" w:rsidRDefault="003438A2" w:rsidP="003438A2">
      <w:pPr>
        <w:pStyle w:val="ListBullet"/>
        <w:numPr>
          <w:ilvl w:val="0"/>
          <w:numId w:val="15"/>
        </w:numPr>
      </w:pPr>
      <w:r w:rsidRPr="00F07FCE">
        <w:t>Survival and development of larvae may be affected by desiccation or decomposition of the discarded fruit. Larvae inside discarded fruit may not complete their development before the fruit desiccates or rots.</w:t>
      </w:r>
    </w:p>
    <w:p w14:paraId="5F4D9FF0" w14:textId="77777777" w:rsidR="003438A2" w:rsidRPr="00F07FCE" w:rsidRDefault="003438A2" w:rsidP="003438A2">
      <w:pPr>
        <w:pStyle w:val="ListBullet"/>
        <w:numPr>
          <w:ilvl w:val="0"/>
          <w:numId w:val="15"/>
        </w:numPr>
      </w:pPr>
      <w:r w:rsidRPr="00F07FCE">
        <w:t xml:space="preserve">Mortality of larvae in fallen apples has also been reported to be caused by fungi and insects </w:t>
      </w:r>
      <w:r w:rsidRPr="00F07FCE">
        <w:rPr>
          <w:noProof/>
        </w:rPr>
        <w:t>(Hammer 1936)</w:t>
      </w:r>
      <w:r w:rsidRPr="00F07FCE">
        <w:t>.</w:t>
      </w:r>
    </w:p>
    <w:p w14:paraId="3FFDA9E8" w14:textId="77777777" w:rsidR="003438A2" w:rsidRPr="00F07FCE" w:rsidRDefault="003438A2" w:rsidP="00AD1C8F">
      <w:r w:rsidRPr="00F07FCE">
        <w:t xml:space="preserve">The limited dispersal behaviour and preference to stay on the same host are likely to reduce the ability of </w:t>
      </w:r>
      <w:r w:rsidRPr="00F07FCE">
        <w:rPr>
          <w:i/>
          <w:iCs/>
        </w:rPr>
        <w:t>A. quadrigibbus</w:t>
      </w:r>
      <w:r w:rsidRPr="00F07FCE">
        <w:t xml:space="preserve"> to find a suitable host.</w:t>
      </w:r>
    </w:p>
    <w:p w14:paraId="016BFC75" w14:textId="77777777" w:rsidR="003438A2" w:rsidRPr="00F07FCE" w:rsidRDefault="003438A2" w:rsidP="003438A2">
      <w:pPr>
        <w:pStyle w:val="ListBullet"/>
        <w:numPr>
          <w:ilvl w:val="0"/>
          <w:numId w:val="15"/>
        </w:numPr>
      </w:pPr>
      <w:r w:rsidRPr="00F07FCE">
        <w:rPr>
          <w:i/>
          <w:iCs/>
        </w:rPr>
        <w:t>Anthonomus quadrigibbus</w:t>
      </w:r>
      <w:r w:rsidRPr="00F07FCE">
        <w:t xml:space="preserve"> is associated with a wide range of plants in the Rosaceae and Cornaceae families</w:t>
      </w:r>
      <w:r>
        <w:t xml:space="preserve"> </w:t>
      </w:r>
      <w:r>
        <w:rPr>
          <w:noProof/>
        </w:rPr>
        <w:t>(Burke &amp; Anderson 1989; CABI 2021a; EPPO 2021)</w:t>
      </w:r>
      <w:r>
        <w:t>.</w:t>
      </w:r>
      <w:r w:rsidRPr="00F07FCE">
        <w:t xml:space="preserve"> Host plants include apple (</w:t>
      </w:r>
      <w:r w:rsidRPr="00F07FCE">
        <w:rPr>
          <w:i/>
          <w:iCs/>
        </w:rPr>
        <w:t>Malus domestica</w:t>
      </w:r>
      <w:r w:rsidRPr="00F07FCE">
        <w:t>)</w:t>
      </w:r>
      <w:r>
        <w:t>,</w:t>
      </w:r>
      <w:r w:rsidRPr="00F07FCE">
        <w:t xml:space="preserve"> hawthorn (</w:t>
      </w:r>
      <w:r w:rsidRPr="00F07FCE">
        <w:rPr>
          <w:i/>
          <w:iCs/>
        </w:rPr>
        <w:t>Crataegus</w:t>
      </w:r>
      <w:r w:rsidRPr="00F07FCE">
        <w:t xml:space="preserve"> spp.), cherry and sour cherry (</w:t>
      </w:r>
      <w:r w:rsidRPr="00F07FCE">
        <w:rPr>
          <w:i/>
          <w:iCs/>
        </w:rPr>
        <w:t>Prunus</w:t>
      </w:r>
      <w:r w:rsidRPr="00F07FCE">
        <w:t xml:space="preserve"> spp.), Saskatoon berry (</w:t>
      </w:r>
      <w:r w:rsidRPr="00F07FCE">
        <w:rPr>
          <w:i/>
          <w:iCs/>
        </w:rPr>
        <w:t>Amelanchier alnifolia</w:t>
      </w:r>
      <w:r w:rsidRPr="00F07FCE">
        <w:t>), sweet crabapple (</w:t>
      </w:r>
      <w:r w:rsidRPr="00F07FCE">
        <w:rPr>
          <w:i/>
          <w:iCs/>
        </w:rPr>
        <w:t>Malus coronaria</w:t>
      </w:r>
      <w:r w:rsidRPr="00F07FCE">
        <w:t>), quince (</w:t>
      </w:r>
      <w:r w:rsidRPr="00F07FCE">
        <w:rPr>
          <w:i/>
          <w:iCs/>
        </w:rPr>
        <w:t>Cydonia oblonga</w:t>
      </w:r>
      <w:r w:rsidRPr="00F07FCE">
        <w:t>)</w:t>
      </w:r>
      <w:r>
        <w:t xml:space="preserve">, </w:t>
      </w:r>
      <w:r w:rsidRPr="00F07FCE">
        <w:t>pear (</w:t>
      </w:r>
      <w:r w:rsidRPr="00F07FCE">
        <w:rPr>
          <w:i/>
          <w:iCs/>
        </w:rPr>
        <w:t xml:space="preserve">Pyrus </w:t>
      </w:r>
      <w:r w:rsidRPr="00F07FCE">
        <w:t>spp.)</w:t>
      </w:r>
      <w:r>
        <w:t xml:space="preserve"> and red osier dogwood (</w:t>
      </w:r>
      <w:r w:rsidRPr="00D66579">
        <w:rPr>
          <w:i/>
          <w:iCs/>
        </w:rPr>
        <w:t>Cornus</w:t>
      </w:r>
      <w:r>
        <w:t xml:space="preserve"> </w:t>
      </w:r>
      <w:r>
        <w:rPr>
          <w:i/>
          <w:iCs/>
        </w:rPr>
        <w:t>sericea</w:t>
      </w:r>
      <w:r>
        <w:t xml:space="preserve">) </w:t>
      </w:r>
      <w:r>
        <w:rPr>
          <w:noProof/>
        </w:rPr>
        <w:t>(Burke &amp; Anderson 1989; DEFRA 2020; Jeger et al. 2018; MAFRI 2008; MOA BC 2016)</w:t>
      </w:r>
      <w:r>
        <w:t>.</w:t>
      </w:r>
      <w:r w:rsidRPr="00F07FCE">
        <w:t xml:space="preserve"> </w:t>
      </w:r>
      <w:r>
        <w:t>H</w:t>
      </w:r>
      <w:r w:rsidRPr="00F07FCE">
        <w:t xml:space="preserve">ost plants </w:t>
      </w:r>
      <w:r>
        <w:t xml:space="preserve">in the Rosaceae and Cornaceae families </w:t>
      </w:r>
      <w:r w:rsidRPr="00F07FCE">
        <w:t>are distributed throughout Australia.</w:t>
      </w:r>
    </w:p>
    <w:p w14:paraId="26C0B972" w14:textId="77777777" w:rsidR="003438A2" w:rsidRPr="00F07FCE" w:rsidRDefault="003438A2" w:rsidP="00AD1C8F">
      <w:pPr>
        <w:pStyle w:val="ListBullet"/>
      </w:pPr>
      <w:r w:rsidRPr="00F07FCE">
        <w:t xml:space="preserve">Although </w:t>
      </w:r>
      <w:r w:rsidRPr="00F07FCE">
        <w:rPr>
          <w:i/>
        </w:rPr>
        <w:t xml:space="preserve">A. quadrigibbus </w:t>
      </w:r>
      <w:r w:rsidRPr="00F07FCE">
        <w:t>adults are known to be able to fly at least 400</w:t>
      </w:r>
      <w:r>
        <w:t xml:space="preserve"> </w:t>
      </w:r>
      <w:r w:rsidRPr="00F07FCE">
        <w:t xml:space="preserve">m </w:t>
      </w:r>
      <w:r>
        <w:rPr>
          <w:noProof/>
          <w:lang w:eastAsia="en-AU"/>
        </w:rPr>
        <w:t>(Crandall 1905; Hammer 1936)</w:t>
      </w:r>
      <w:r w:rsidRPr="00C06EA9">
        <w:t>, they usually do not migrate very far and are relativ</w:t>
      </w:r>
      <w:r w:rsidRPr="00F07FCE">
        <w:t>ely immobile after settling on a preferred host</w:t>
      </w:r>
      <w:r>
        <w:t xml:space="preserve"> </w:t>
      </w:r>
      <w:r>
        <w:rPr>
          <w:noProof/>
        </w:rPr>
        <w:t>(MOA BC 2016; Steeves, Lehmkuhl &amp; Bethune 1979)</w:t>
      </w:r>
      <w:r w:rsidRPr="00F07FCE">
        <w:t>.</w:t>
      </w:r>
      <w:bookmarkStart w:id="190" w:name="_Hlk108949548"/>
      <w:r w:rsidRPr="00F07FCE">
        <w:t xml:space="preserve"> </w:t>
      </w:r>
    </w:p>
    <w:bookmarkEnd w:id="190"/>
    <w:p w14:paraId="4A9712F2" w14:textId="77777777" w:rsidR="003438A2" w:rsidRPr="00F07FCE" w:rsidRDefault="003438A2" w:rsidP="00AD1C8F">
      <w:r w:rsidRPr="00F07FCE">
        <w:t xml:space="preserve">Apple fruit from PNW-USA </w:t>
      </w:r>
      <w:r>
        <w:t>will likely</w:t>
      </w:r>
      <w:r w:rsidRPr="00F07FCE">
        <w:t xml:space="preserve"> arrive and be distributed in Australia throughout the year. Cold temperatures during storage and transport of fresh PNW-USA apples around Australia are </w:t>
      </w:r>
      <w:r w:rsidRPr="00F07FCE">
        <w:lastRenderedPageBreak/>
        <w:t xml:space="preserve">likely to inhibit development or kill any immature stages of </w:t>
      </w:r>
      <w:r w:rsidRPr="00F07FCE">
        <w:rPr>
          <w:i/>
        </w:rPr>
        <w:t>A. quadrigibbus</w:t>
      </w:r>
      <w:r w:rsidRPr="00F07FCE">
        <w:t xml:space="preserve"> within infested fruits. A small proportion of infested apples may be discarded in natural environments,</w:t>
      </w:r>
      <w:r>
        <w:t xml:space="preserve"> including near suitable host plants</w:t>
      </w:r>
      <w:r w:rsidRPr="00F07FCE">
        <w:t xml:space="preserve">. While temperatures in many parts of Australia and at many times of the year are likely to be suitable for the development and emergence of </w:t>
      </w:r>
      <w:r w:rsidRPr="00F07FCE">
        <w:rPr>
          <w:i/>
        </w:rPr>
        <w:t>A. quadrigibbus</w:t>
      </w:r>
      <w:r w:rsidRPr="00F07FCE">
        <w:t xml:space="preserve">, larvae within infested discarded fruit may not complete their development due to desiccation or decomposition of the fruit. Host species and fruiting stage preferences and limited dispersal behaviour are factors likely to further restrict the distribution of </w:t>
      </w:r>
      <w:r w:rsidRPr="00F07FCE">
        <w:rPr>
          <w:i/>
        </w:rPr>
        <w:t>A. quadrigibbus</w:t>
      </w:r>
      <w:r w:rsidRPr="00F07FCE">
        <w:t>.</w:t>
      </w:r>
    </w:p>
    <w:p w14:paraId="20BEACAA" w14:textId="77777777" w:rsidR="003438A2" w:rsidRPr="00F07FCE" w:rsidRDefault="003438A2" w:rsidP="00AD1C8F">
      <w:r w:rsidRPr="00F07FCE">
        <w:t xml:space="preserve">For the reasons outlined, the likelihood of distribution of </w:t>
      </w:r>
      <w:r w:rsidRPr="00F07FCE">
        <w:rPr>
          <w:i/>
        </w:rPr>
        <w:t>A. quadrigibbus</w:t>
      </w:r>
      <w:r w:rsidRPr="00F07FCE">
        <w:t xml:space="preserve"> on imported apples sourced from PNW-USA is rated as Moderate.</w:t>
      </w:r>
    </w:p>
    <w:p w14:paraId="4DF2B05A" w14:textId="77777777" w:rsidR="003438A2" w:rsidRPr="00F07FCE" w:rsidRDefault="003438A2" w:rsidP="00AD1C8F">
      <w:pPr>
        <w:pStyle w:val="Heading5"/>
      </w:pPr>
      <w:r w:rsidRPr="00F07FCE">
        <w:t>Overall likelihood of entry</w:t>
      </w:r>
    </w:p>
    <w:p w14:paraId="7264482E" w14:textId="77777777" w:rsidR="003438A2" w:rsidRPr="00F07FCE" w:rsidRDefault="003438A2" w:rsidP="00AD1C8F">
      <w:r w:rsidRPr="00F07FCE">
        <w:t xml:space="preserve">The overall likelihood of entry is determined by combining the likelihood of importation with the likelihood of distribution using the matrix of rules shown in </w:t>
      </w:r>
      <w:r w:rsidRPr="00F07FCE">
        <w:fldChar w:fldCharType="begin" w:fldLock="1"/>
      </w:r>
      <w:r w:rsidRPr="00F07FCE">
        <w:instrText xml:space="preserve"> REF _Ref457826328 \h </w:instrText>
      </w:r>
      <w:r>
        <w:instrText xml:space="preserve"> \* MERGEFORMAT </w:instrText>
      </w:r>
      <w:r w:rsidRPr="00F07FCE">
        <w:fldChar w:fldCharType="separate"/>
      </w:r>
      <w:r w:rsidRPr="00DB5F8D">
        <w:t xml:space="preserve">Table </w:t>
      </w:r>
      <w:r>
        <w:rPr>
          <w:noProof/>
        </w:rPr>
        <w:t>2.2</w:t>
      </w:r>
      <w:r w:rsidRPr="00F07FCE">
        <w:fldChar w:fldCharType="end"/>
      </w:r>
      <w:r w:rsidRPr="00F07FCE">
        <w:t>.</w:t>
      </w:r>
    </w:p>
    <w:p w14:paraId="0C32049A" w14:textId="77777777" w:rsidR="003438A2" w:rsidRPr="00F07FCE" w:rsidRDefault="003438A2" w:rsidP="00AD1C8F">
      <w:r w:rsidRPr="00F07FCE">
        <w:t xml:space="preserve">The likelihood that </w:t>
      </w:r>
      <w:r w:rsidRPr="00F07FCE">
        <w:rPr>
          <w:i/>
        </w:rPr>
        <w:t>A. quadrigibbus</w:t>
      </w:r>
      <w:r w:rsidRPr="00F07FCE">
        <w:t xml:space="preserve"> will enter Australia as a result of trade in apples from the PNW-USA and be distributed in a viable state to a susceptible part of a host is assessed as Low.</w:t>
      </w:r>
    </w:p>
    <w:p w14:paraId="75E72D08" w14:textId="77777777" w:rsidR="003438A2" w:rsidRPr="00F07FCE" w:rsidRDefault="003438A2" w:rsidP="00AD1C8F">
      <w:pPr>
        <w:pStyle w:val="Heading4"/>
      </w:pPr>
      <w:r w:rsidRPr="00F07FCE">
        <w:t>Likelihood of establishment</w:t>
      </w:r>
    </w:p>
    <w:p w14:paraId="40B788BD" w14:textId="77777777" w:rsidR="003438A2" w:rsidRPr="00F07FCE" w:rsidRDefault="003438A2" w:rsidP="00AD1C8F">
      <w:r w:rsidRPr="00F07FCE">
        <w:t xml:space="preserve">The likelihood that </w:t>
      </w:r>
      <w:r w:rsidRPr="00F07FCE">
        <w:rPr>
          <w:i/>
        </w:rPr>
        <w:t>A. quadrigibbus</w:t>
      </w:r>
      <w:r w:rsidRPr="00F07FCE">
        <w:t xml:space="preserve"> will establish in Australia based on a comparison of factors in the source and destination areas that affect pest survival and reproduction is assessed as Moderate.</w:t>
      </w:r>
    </w:p>
    <w:p w14:paraId="5C0585D0" w14:textId="77777777" w:rsidR="003438A2" w:rsidRPr="00F07FCE" w:rsidRDefault="003438A2" w:rsidP="00AD1C8F">
      <w:r w:rsidRPr="00F07FCE">
        <w:t>The following information provides supporting evidence for this assessment.</w:t>
      </w:r>
    </w:p>
    <w:p w14:paraId="5AEB5D85" w14:textId="77777777" w:rsidR="003438A2" w:rsidRPr="00F07FCE" w:rsidRDefault="003438A2" w:rsidP="00AD1C8F">
      <w:r w:rsidRPr="00F07FCE">
        <w:rPr>
          <w:i/>
        </w:rPr>
        <w:t xml:space="preserve">Anthonomus quadrigibbus </w:t>
      </w:r>
      <w:r w:rsidRPr="00F07FCE">
        <w:t>feeds on a broad range of host plants that are widely available in Australia</w:t>
      </w:r>
      <w:r w:rsidRPr="00F07FCE">
        <w:rPr>
          <w:rFonts w:eastAsia="Times New Roman"/>
          <w:color w:val="000000"/>
          <w:szCs w:val="24"/>
        </w:rPr>
        <w:t>.</w:t>
      </w:r>
    </w:p>
    <w:p w14:paraId="126F92CF" w14:textId="77777777" w:rsidR="003438A2" w:rsidRPr="00F07FCE" w:rsidRDefault="003438A2" w:rsidP="00B51D8F">
      <w:pPr>
        <w:pStyle w:val="ListBullet"/>
      </w:pPr>
      <w:r w:rsidRPr="00B51D8F">
        <w:rPr>
          <w:i/>
        </w:rPr>
        <w:t>Anthonomus quadrigibbus</w:t>
      </w:r>
      <w:r w:rsidRPr="00F07FCE">
        <w:t xml:space="preserve"> is associated with a wide range of plants in the Rosaceae and Cornaceae families</w:t>
      </w:r>
      <w:r>
        <w:t xml:space="preserve"> </w:t>
      </w:r>
      <w:r>
        <w:rPr>
          <w:noProof/>
        </w:rPr>
        <w:t>(Burke &amp; Anderson 1989; CABI 2021a; EPPO 2021)</w:t>
      </w:r>
      <w:r>
        <w:t>.</w:t>
      </w:r>
      <w:r w:rsidRPr="00F07FCE">
        <w:t xml:space="preserve"> Host plants include apple (</w:t>
      </w:r>
      <w:r w:rsidRPr="00B51D8F">
        <w:rPr>
          <w:i/>
        </w:rPr>
        <w:t>Malus domestica</w:t>
      </w:r>
      <w:r w:rsidRPr="00F07FCE">
        <w:t>), hawthorn (</w:t>
      </w:r>
      <w:r w:rsidRPr="00B51D8F">
        <w:rPr>
          <w:i/>
        </w:rPr>
        <w:t>Crataegus</w:t>
      </w:r>
      <w:r w:rsidRPr="00F07FCE">
        <w:t xml:space="preserve"> spp.), cherry and sour cherry (</w:t>
      </w:r>
      <w:r w:rsidRPr="00B51D8F">
        <w:rPr>
          <w:i/>
        </w:rPr>
        <w:t>Prunus</w:t>
      </w:r>
      <w:r w:rsidRPr="00F07FCE">
        <w:t xml:space="preserve"> spp.), Saskatoon berry (</w:t>
      </w:r>
      <w:r w:rsidRPr="00B51D8F">
        <w:rPr>
          <w:i/>
        </w:rPr>
        <w:t>Amelanchier</w:t>
      </w:r>
      <w:r w:rsidRPr="00F07FCE">
        <w:t> </w:t>
      </w:r>
      <w:r w:rsidRPr="00B51D8F">
        <w:rPr>
          <w:i/>
        </w:rPr>
        <w:t>alnifolia</w:t>
      </w:r>
      <w:r w:rsidRPr="00F07FCE">
        <w:t>), sweet crabapple (</w:t>
      </w:r>
      <w:r w:rsidRPr="00B51D8F">
        <w:rPr>
          <w:i/>
        </w:rPr>
        <w:t>Malus coronaria</w:t>
      </w:r>
      <w:r w:rsidRPr="00F07FCE">
        <w:t>), quince (</w:t>
      </w:r>
      <w:r w:rsidRPr="00B51D8F">
        <w:rPr>
          <w:i/>
        </w:rPr>
        <w:t>Cydonia</w:t>
      </w:r>
      <w:r w:rsidRPr="00F07FCE">
        <w:t xml:space="preserve"> </w:t>
      </w:r>
      <w:r w:rsidRPr="00B51D8F">
        <w:rPr>
          <w:i/>
        </w:rPr>
        <w:t>oblonga</w:t>
      </w:r>
      <w:r w:rsidRPr="00F07FCE">
        <w:t>)</w:t>
      </w:r>
      <w:r>
        <w:t xml:space="preserve">, </w:t>
      </w:r>
      <w:r w:rsidRPr="00F07FCE">
        <w:t>pear (</w:t>
      </w:r>
      <w:r w:rsidRPr="00B51D8F">
        <w:rPr>
          <w:i/>
        </w:rPr>
        <w:t>Pyrus</w:t>
      </w:r>
      <w:r w:rsidRPr="00F07FCE">
        <w:t xml:space="preserve"> spp.) </w:t>
      </w:r>
      <w:r>
        <w:t>and red osier dogwood (</w:t>
      </w:r>
      <w:r w:rsidRPr="00B51D8F">
        <w:rPr>
          <w:i/>
          <w:iCs/>
        </w:rPr>
        <w:t>Cornus</w:t>
      </w:r>
      <w:r>
        <w:t xml:space="preserve"> </w:t>
      </w:r>
      <w:r w:rsidRPr="00B51D8F">
        <w:rPr>
          <w:i/>
          <w:iCs/>
        </w:rPr>
        <w:t>sericea</w:t>
      </w:r>
      <w:r>
        <w:t xml:space="preserve">) </w:t>
      </w:r>
      <w:r>
        <w:rPr>
          <w:noProof/>
        </w:rPr>
        <w:t>(Burke &amp; Anderson 1989; CABI 2020a; DEFRA 2020; Jeger et al. 2018; MAFRI 2008; MOA BC 2016)</w:t>
      </w:r>
      <w:r>
        <w:t>.</w:t>
      </w:r>
    </w:p>
    <w:p w14:paraId="5D5FBA5B" w14:textId="77777777" w:rsidR="003438A2" w:rsidRPr="00F07FCE" w:rsidRDefault="003438A2" w:rsidP="003438A2">
      <w:pPr>
        <w:pStyle w:val="ListBullet"/>
        <w:numPr>
          <w:ilvl w:val="0"/>
          <w:numId w:val="15"/>
        </w:numPr>
      </w:pPr>
      <w:r>
        <w:t xml:space="preserve">Host plants in the Rosaceae and Cornaceae families </w:t>
      </w:r>
      <w:r w:rsidRPr="00F07FCE">
        <w:t>are widely distributed in Australia.</w:t>
      </w:r>
    </w:p>
    <w:p w14:paraId="3C7D26E0" w14:textId="77777777" w:rsidR="003438A2" w:rsidRPr="00F07FCE" w:rsidRDefault="003438A2" w:rsidP="003438A2">
      <w:pPr>
        <w:pStyle w:val="ListBullet"/>
        <w:numPr>
          <w:ilvl w:val="0"/>
          <w:numId w:val="15"/>
        </w:numPr>
      </w:pPr>
      <w:r w:rsidRPr="00F07FCE">
        <w:t>Small fruit or fruitlets are preferred over large or mature fruit</w:t>
      </w:r>
      <w:r>
        <w:t xml:space="preserve"> </w:t>
      </w:r>
      <w:r>
        <w:rPr>
          <w:noProof/>
        </w:rPr>
        <w:t>(Crandall 1905; Hammer 1936; Jeger et al. 2018)</w:t>
      </w:r>
      <w:r w:rsidRPr="00F07FCE">
        <w:t xml:space="preserve">.The </w:t>
      </w:r>
      <w:r>
        <w:t>climate</w:t>
      </w:r>
      <w:r w:rsidRPr="00F07FCE">
        <w:t xml:space="preserve"> in some areas of Australia is suitable for the establishment of </w:t>
      </w:r>
      <w:r w:rsidRPr="00F07FCE">
        <w:rPr>
          <w:i/>
        </w:rPr>
        <w:t>A</w:t>
      </w:r>
      <w:r w:rsidRPr="00F07FCE">
        <w:t>. </w:t>
      </w:r>
      <w:r w:rsidRPr="00F07FCE">
        <w:rPr>
          <w:i/>
        </w:rPr>
        <w:t>quadrigibbus</w:t>
      </w:r>
      <w:r w:rsidRPr="00F07FCE">
        <w:t>.</w:t>
      </w:r>
    </w:p>
    <w:p w14:paraId="284935D8" w14:textId="77777777" w:rsidR="003438A2" w:rsidRPr="00F07FCE" w:rsidRDefault="003438A2" w:rsidP="003438A2">
      <w:pPr>
        <w:pStyle w:val="ListBullet"/>
        <w:numPr>
          <w:ilvl w:val="0"/>
          <w:numId w:val="15"/>
        </w:numPr>
      </w:pPr>
      <w:r w:rsidRPr="00F07FCE">
        <w:rPr>
          <w:i/>
        </w:rPr>
        <w:t>Anthonomus quadrigibbus</w:t>
      </w:r>
      <w:r w:rsidRPr="00F07FCE">
        <w:t xml:space="preserve"> is distributed throughout Canada (Nova Scotia to British Columbia),</w:t>
      </w:r>
      <w:r>
        <w:t xml:space="preserve"> the</w:t>
      </w:r>
      <w:r w:rsidRPr="00F07FCE">
        <w:t xml:space="preserve"> USA (except Nevada and Wyoming), and Mexico</w:t>
      </w:r>
      <w:r>
        <w:t xml:space="preserve"> </w:t>
      </w:r>
      <w:r>
        <w:rPr>
          <w:noProof/>
        </w:rPr>
        <w:t>(Burke &amp; Anderson 1989; Jeger et al. 2018)</w:t>
      </w:r>
      <w:r w:rsidRPr="00F07FCE">
        <w:t>.</w:t>
      </w:r>
      <w:bookmarkStart w:id="191" w:name="_Hlk108949633"/>
      <w:r w:rsidRPr="00F07FCE">
        <w:t xml:space="preserve"> </w:t>
      </w:r>
      <w:bookmarkEnd w:id="191"/>
      <w:r w:rsidRPr="00F07FCE">
        <w:t xml:space="preserve">Similar climatic conditions are present in some areas of Australia </w:t>
      </w:r>
      <w:r w:rsidRPr="00F07FCE">
        <w:rPr>
          <w:noProof/>
        </w:rPr>
        <w:t>(Peel, Finlayson &amp; McMahon 2007)</w:t>
      </w:r>
      <w:r w:rsidRPr="00F07FCE">
        <w:t>.</w:t>
      </w:r>
    </w:p>
    <w:p w14:paraId="1BA36A79" w14:textId="77777777" w:rsidR="003438A2" w:rsidRPr="00F07FCE" w:rsidRDefault="003438A2" w:rsidP="00AD1C8F">
      <w:r w:rsidRPr="00F07FCE">
        <w:rPr>
          <w:i/>
        </w:rPr>
        <w:t>Anthonomus quadrigibbus</w:t>
      </w:r>
      <w:r w:rsidRPr="00F07FCE">
        <w:t xml:space="preserve"> has a relatively low rate of reproduction.</w:t>
      </w:r>
    </w:p>
    <w:p w14:paraId="673876FA" w14:textId="77777777" w:rsidR="003438A2" w:rsidRPr="00F07FCE" w:rsidRDefault="003438A2" w:rsidP="003438A2">
      <w:pPr>
        <w:pStyle w:val="ListBullet"/>
        <w:numPr>
          <w:ilvl w:val="0"/>
          <w:numId w:val="15"/>
        </w:numPr>
      </w:pPr>
      <w:r w:rsidRPr="007C3CFF">
        <w:rPr>
          <w:rFonts w:asciiTheme="majorHAnsi" w:hAnsiTheme="majorHAnsi"/>
          <w:i/>
        </w:rPr>
        <w:t>A</w:t>
      </w:r>
      <w:r w:rsidRPr="007C3CFF">
        <w:rPr>
          <w:i/>
        </w:rPr>
        <w:t>nthonomus quadrigibbus</w:t>
      </w:r>
      <w:r w:rsidRPr="00F07FCE">
        <w:t xml:space="preserve"> has a univoltine life cycle, </w:t>
      </w:r>
      <w:r>
        <w:t>completing</w:t>
      </w:r>
      <w:r w:rsidRPr="00F07FCE">
        <w:t xml:space="preserve"> only one generation per year</w:t>
      </w:r>
      <w:r>
        <w:t xml:space="preserve"> </w:t>
      </w:r>
      <w:r>
        <w:rPr>
          <w:noProof/>
          <w:lang w:eastAsia="en-AU"/>
        </w:rPr>
        <w:t>(CABI 2022; Davidson &amp; Peairs 1966; Jeger et al. 2018; MAFRI 2008)</w:t>
      </w:r>
      <w:r>
        <w:rPr>
          <w:lang w:eastAsia="en-AU"/>
        </w:rPr>
        <w:t>.</w:t>
      </w:r>
      <w:bookmarkStart w:id="192" w:name="_Hlk108949660"/>
      <w:r w:rsidRPr="00F07FCE">
        <w:t xml:space="preserve"> </w:t>
      </w:r>
      <w:r>
        <w:t>F</w:t>
      </w:r>
      <w:r w:rsidRPr="00F07FCE">
        <w:t>emales lay 4 to 122 eggs during their lifetime</w:t>
      </w:r>
      <w:r>
        <w:t xml:space="preserve"> </w:t>
      </w:r>
      <w:r>
        <w:rPr>
          <w:noProof/>
        </w:rPr>
        <w:t>(Crandall 1905; University of Missouri 2008)</w:t>
      </w:r>
      <w:r w:rsidRPr="00F07FCE">
        <w:t>.</w:t>
      </w:r>
    </w:p>
    <w:bookmarkEnd w:id="192"/>
    <w:p w14:paraId="7C39388C" w14:textId="77777777" w:rsidR="003438A2" w:rsidRPr="00F07FCE" w:rsidRDefault="003438A2" w:rsidP="003438A2">
      <w:pPr>
        <w:pStyle w:val="ListBullet"/>
        <w:numPr>
          <w:ilvl w:val="0"/>
          <w:numId w:val="15"/>
        </w:numPr>
      </w:pPr>
      <w:r w:rsidRPr="00F07FCE">
        <w:t>Limited reproduction and low development success</w:t>
      </w:r>
      <w:r>
        <w:t xml:space="preserve"> </w:t>
      </w:r>
      <w:r w:rsidRPr="002246AB">
        <w:rPr>
          <w:noProof/>
        </w:rPr>
        <w:t>(Crandall 1905; Hammer 1936)</w:t>
      </w:r>
      <w:bookmarkStart w:id="193" w:name="_Hlk108949677"/>
      <w:r w:rsidRPr="00F07FCE">
        <w:rPr>
          <w:noProof/>
        </w:rPr>
        <w:t xml:space="preserve"> </w:t>
      </w:r>
      <w:bookmarkEnd w:id="193"/>
      <w:r w:rsidRPr="00F07FCE">
        <w:t>are likely to minimise population growth and establishment of the pest.</w:t>
      </w:r>
    </w:p>
    <w:p w14:paraId="3A3B49FF" w14:textId="77777777" w:rsidR="003438A2" w:rsidRPr="00F07FCE" w:rsidRDefault="003438A2" w:rsidP="00AD1C8F">
      <w:r w:rsidRPr="00F07FCE">
        <w:rPr>
          <w:i/>
        </w:rPr>
        <w:lastRenderedPageBreak/>
        <w:t>Anthonomus quadrigibbus</w:t>
      </w:r>
      <w:r w:rsidRPr="00F07FCE">
        <w:t xml:space="preserve"> requires sexual reproduction to produce offspring and the chance of adults finding a mate is limited due to the expected low number of adults emerging from discarded, infested fruit and their relatively limited dispersal behaviour.</w:t>
      </w:r>
    </w:p>
    <w:p w14:paraId="0F928E49" w14:textId="77777777" w:rsidR="003438A2" w:rsidRPr="00F07FCE" w:rsidRDefault="003438A2" w:rsidP="003438A2">
      <w:pPr>
        <w:pStyle w:val="ListBullet"/>
        <w:numPr>
          <w:ilvl w:val="0"/>
          <w:numId w:val="15"/>
        </w:numPr>
      </w:pPr>
      <w:r w:rsidRPr="00DE5B18">
        <w:rPr>
          <w:i/>
        </w:rPr>
        <w:t>Anthonomus quadrigibbus</w:t>
      </w:r>
      <w:r w:rsidRPr="00F07FCE">
        <w:t xml:space="preserve"> reproduces sexually</w:t>
      </w:r>
      <w:r>
        <w:t xml:space="preserve"> </w:t>
      </w:r>
      <w:r>
        <w:rPr>
          <w:noProof/>
        </w:rPr>
        <w:t>(CABI 2022)</w:t>
      </w:r>
      <w:r>
        <w:t>.</w:t>
      </w:r>
      <w:r w:rsidRPr="00F07FCE">
        <w:t xml:space="preserve"> Reproduction requires the successful mating between male and female adults before viable eggs are produced.</w:t>
      </w:r>
    </w:p>
    <w:p w14:paraId="04694769" w14:textId="77777777" w:rsidR="003438A2" w:rsidRDefault="003438A2" w:rsidP="003438A2">
      <w:pPr>
        <w:pStyle w:val="ListBullet"/>
        <w:numPr>
          <w:ilvl w:val="0"/>
          <w:numId w:val="15"/>
        </w:numPr>
      </w:pPr>
      <w:r w:rsidRPr="00F07FCE">
        <w:t xml:space="preserve">Although adult </w:t>
      </w:r>
      <w:r w:rsidRPr="00FD20B6">
        <w:rPr>
          <w:i/>
          <w:iCs/>
        </w:rPr>
        <w:t>A. quadrigibbus</w:t>
      </w:r>
      <w:r w:rsidRPr="00F07FCE">
        <w:t xml:space="preserve"> are known to be able to fly at least 400</w:t>
      </w:r>
      <w:r>
        <w:t xml:space="preserve"> </w:t>
      </w:r>
      <w:r w:rsidRPr="00F07FCE">
        <w:t>m</w:t>
      </w:r>
      <w:r>
        <w:t xml:space="preserve"> </w:t>
      </w:r>
      <w:r w:rsidRPr="002246AB">
        <w:rPr>
          <w:noProof/>
        </w:rPr>
        <w:t>(Crandall 1905; Hammer 1936)</w:t>
      </w:r>
      <w:r>
        <w:rPr>
          <w:noProof/>
        </w:rPr>
        <w:t xml:space="preserve">, </w:t>
      </w:r>
      <w:r w:rsidRPr="00F07FCE">
        <w:t>they usually do not migrate very far and are relatively immobile after settling in a preferred host</w:t>
      </w:r>
      <w:r>
        <w:t xml:space="preserve"> </w:t>
      </w:r>
      <w:r w:rsidRPr="007D41F9">
        <w:rPr>
          <w:noProof/>
        </w:rPr>
        <w:t>(MOA BC 2016; Steeves, Lehmkuhl &amp; Bethune 1979).</w:t>
      </w:r>
      <w:bookmarkStart w:id="194" w:name="_Hlk108949704"/>
      <w:r>
        <w:rPr>
          <w:noProof/>
        </w:rPr>
        <w:t xml:space="preserve"> </w:t>
      </w:r>
      <w:bookmarkEnd w:id="194"/>
      <w:r w:rsidRPr="00F07FCE">
        <w:t>However, their greatest flight activity occurs when they come out of hibernation and during the mating season</w:t>
      </w:r>
      <w:r>
        <w:t xml:space="preserve"> </w:t>
      </w:r>
      <w:r>
        <w:rPr>
          <w:noProof/>
        </w:rPr>
        <w:t>(Hammer 1936)</w:t>
      </w:r>
      <w:r>
        <w:t xml:space="preserve">. </w:t>
      </w:r>
    </w:p>
    <w:p w14:paraId="55E54629" w14:textId="77777777" w:rsidR="003438A2" w:rsidRPr="00F07FCE" w:rsidRDefault="003438A2" w:rsidP="00AD1C8F">
      <w:pPr>
        <w:pStyle w:val="ListBullet"/>
      </w:pPr>
      <w:r w:rsidRPr="00F07FCE">
        <w:t>Any adults emerging and surviving from larvae and pupae associated with discarded, infested apple fruit are likely to be low in number, which would further reduce the chance of finding a mate.</w:t>
      </w:r>
    </w:p>
    <w:p w14:paraId="57C16384" w14:textId="77777777" w:rsidR="003438A2" w:rsidRPr="00F07FCE" w:rsidRDefault="003438A2" w:rsidP="00AD1C8F">
      <w:r w:rsidRPr="00F07FCE">
        <w:rPr>
          <w:i/>
        </w:rPr>
        <w:t>Anthonomus quadrigibbus</w:t>
      </w:r>
      <w:r w:rsidRPr="00F07FCE">
        <w:t xml:space="preserve"> can reproduce on a wide range of hosts across a broad range of climates. However, the likelihood of establishment of </w:t>
      </w:r>
      <w:r w:rsidRPr="00F07FCE">
        <w:rPr>
          <w:i/>
        </w:rPr>
        <w:t xml:space="preserve">A. quadrigibbus </w:t>
      </w:r>
      <w:r w:rsidRPr="00F07FCE">
        <w:t xml:space="preserve">is moderated by factors including host preference, limited chance of adult mating due to relatively limited dispersal and expected low adult numbers, and its univoltine reproductive cycle. </w:t>
      </w:r>
    </w:p>
    <w:p w14:paraId="3113A9E1" w14:textId="77777777" w:rsidR="003438A2" w:rsidRPr="00F07FCE" w:rsidRDefault="003438A2" w:rsidP="00AD1C8F">
      <w:r w:rsidRPr="00F07FCE">
        <w:t xml:space="preserve">For the reasons outlined, the likelihood of </w:t>
      </w:r>
      <w:r w:rsidRPr="00F07FCE">
        <w:rPr>
          <w:i/>
        </w:rPr>
        <w:t>A. quadrigibbus</w:t>
      </w:r>
      <w:r w:rsidRPr="00F07FCE">
        <w:t xml:space="preserve"> establishing in Australia from imported apples sourced from PNW-USA is rated as Moderate.</w:t>
      </w:r>
    </w:p>
    <w:p w14:paraId="5A68D7EE" w14:textId="77777777" w:rsidR="003438A2" w:rsidRPr="00F07FCE" w:rsidRDefault="003438A2" w:rsidP="00AD1C8F">
      <w:pPr>
        <w:pStyle w:val="Heading4"/>
      </w:pPr>
      <w:r w:rsidRPr="00F07FCE">
        <w:t>Likelihood of spread</w:t>
      </w:r>
    </w:p>
    <w:p w14:paraId="0330B256" w14:textId="77777777" w:rsidR="003438A2" w:rsidRPr="00F07FCE" w:rsidRDefault="003438A2" w:rsidP="00AD1C8F">
      <w:r w:rsidRPr="00F07FCE">
        <w:t xml:space="preserve">The likelihood that </w:t>
      </w:r>
      <w:r w:rsidRPr="00F07FCE">
        <w:rPr>
          <w:i/>
        </w:rPr>
        <w:t>A. quadrigibbus</w:t>
      </w:r>
      <w:r w:rsidRPr="00F07FCE">
        <w:t xml:space="preserve"> will spread within Australia, based on a comparison of factors in the source and destination areas that affect the expansion of the geographic distribution of the pest, is assessed as Moderate.</w:t>
      </w:r>
    </w:p>
    <w:p w14:paraId="7E363DCB" w14:textId="77777777" w:rsidR="003438A2" w:rsidRPr="00F07FCE" w:rsidRDefault="003438A2" w:rsidP="00AD1C8F">
      <w:r w:rsidRPr="00F07FCE">
        <w:t>The following information provides supporting evidence for this assessment.</w:t>
      </w:r>
    </w:p>
    <w:p w14:paraId="01ED8991" w14:textId="77777777" w:rsidR="003438A2" w:rsidRPr="00F07FCE" w:rsidRDefault="003438A2" w:rsidP="00AD1C8F">
      <w:r w:rsidRPr="00F07FCE">
        <w:t xml:space="preserve">The host range, habitat and Australian climate are favourable for the spread of </w:t>
      </w:r>
      <w:r w:rsidRPr="00F07FCE">
        <w:rPr>
          <w:i/>
        </w:rPr>
        <w:t>A. quadrigibbus.</w:t>
      </w:r>
    </w:p>
    <w:p w14:paraId="10C32A9D" w14:textId="77777777" w:rsidR="003438A2" w:rsidRPr="00F07FCE" w:rsidRDefault="003438A2" w:rsidP="008B3D75">
      <w:pPr>
        <w:pStyle w:val="ListBullet"/>
      </w:pPr>
      <w:r w:rsidRPr="008B3D75">
        <w:rPr>
          <w:i/>
        </w:rPr>
        <w:t>Anthonomus</w:t>
      </w:r>
      <w:r w:rsidRPr="00F07FCE">
        <w:t> </w:t>
      </w:r>
      <w:r w:rsidRPr="008B3D75">
        <w:rPr>
          <w:i/>
        </w:rPr>
        <w:t>quadrigibbus</w:t>
      </w:r>
      <w:r w:rsidRPr="00F07FCE">
        <w:t xml:space="preserve"> is associated with a wide range of plants in the Rosaceae and Cornaceae </w:t>
      </w:r>
      <w:bookmarkStart w:id="195" w:name="_Hlk108949729"/>
      <w:r w:rsidRPr="00F07FCE">
        <w:t>families</w:t>
      </w:r>
      <w:r>
        <w:t xml:space="preserve"> </w:t>
      </w:r>
      <w:r>
        <w:rPr>
          <w:noProof/>
        </w:rPr>
        <w:t>(Burke &amp; Anderson 1989; CABI 2021a; EPPO 2021)</w:t>
      </w:r>
      <w:r w:rsidRPr="00F07FCE">
        <w:t xml:space="preserve">. </w:t>
      </w:r>
      <w:bookmarkEnd w:id="195"/>
      <w:r w:rsidRPr="00F07FCE">
        <w:t>Host range includes apple (</w:t>
      </w:r>
      <w:r w:rsidRPr="008B3D75">
        <w:rPr>
          <w:i/>
        </w:rPr>
        <w:t>Malus domestica</w:t>
      </w:r>
      <w:r w:rsidRPr="00F07FCE">
        <w:t>)</w:t>
      </w:r>
      <w:r>
        <w:t>,</w:t>
      </w:r>
      <w:r w:rsidRPr="00F07FCE">
        <w:t xml:space="preserve"> hawthorn (</w:t>
      </w:r>
      <w:r w:rsidRPr="008B3D75">
        <w:rPr>
          <w:i/>
        </w:rPr>
        <w:t>Crataegus</w:t>
      </w:r>
      <w:r w:rsidRPr="00F07FCE">
        <w:t xml:space="preserve"> spp.), cherry and sour cherry (</w:t>
      </w:r>
      <w:r w:rsidRPr="008B3D75">
        <w:rPr>
          <w:i/>
        </w:rPr>
        <w:t>Prunus</w:t>
      </w:r>
      <w:r w:rsidRPr="00F07FCE">
        <w:t xml:space="preserve"> spp.), Saskatoon berry (</w:t>
      </w:r>
      <w:r w:rsidRPr="008B3D75">
        <w:rPr>
          <w:i/>
        </w:rPr>
        <w:t>Amelanchier</w:t>
      </w:r>
      <w:r w:rsidRPr="00F07FCE">
        <w:t> </w:t>
      </w:r>
      <w:r w:rsidRPr="008B3D75">
        <w:rPr>
          <w:i/>
        </w:rPr>
        <w:t>alnifolia</w:t>
      </w:r>
      <w:r w:rsidRPr="00F07FCE">
        <w:t>), sweet crabapple (</w:t>
      </w:r>
      <w:r w:rsidRPr="008B3D75">
        <w:rPr>
          <w:i/>
        </w:rPr>
        <w:t>Malus coronaria</w:t>
      </w:r>
      <w:r w:rsidRPr="00F07FCE">
        <w:t>), quince (</w:t>
      </w:r>
      <w:r w:rsidRPr="008B3D75">
        <w:rPr>
          <w:i/>
        </w:rPr>
        <w:t>Cydonia</w:t>
      </w:r>
      <w:r w:rsidRPr="00F07FCE">
        <w:t xml:space="preserve"> </w:t>
      </w:r>
      <w:r w:rsidRPr="008B3D75">
        <w:rPr>
          <w:i/>
        </w:rPr>
        <w:t>oblonga</w:t>
      </w:r>
      <w:r w:rsidRPr="00F07FCE">
        <w:t>)</w:t>
      </w:r>
      <w:r>
        <w:t>,</w:t>
      </w:r>
      <w:r w:rsidRPr="00F07FCE">
        <w:t xml:space="preserve"> pear (</w:t>
      </w:r>
      <w:r w:rsidRPr="008B3D75">
        <w:rPr>
          <w:i/>
        </w:rPr>
        <w:t>Pyrus</w:t>
      </w:r>
      <w:r w:rsidRPr="00F07FCE">
        <w:t xml:space="preserve"> spp.)</w:t>
      </w:r>
      <w:r>
        <w:t xml:space="preserve"> </w:t>
      </w:r>
      <w:r>
        <w:rPr>
          <w:noProof/>
        </w:rPr>
        <w:t>(Burke &amp; Anderson 1989; CABI 2020a; DEFRA 2020; Jeger et al. 2018; MAFRI 2008; MOA BC 2016)</w:t>
      </w:r>
      <w:r>
        <w:t xml:space="preserve"> a</w:t>
      </w:r>
      <w:r w:rsidRPr="00D5040B">
        <w:t xml:space="preserve">nd </w:t>
      </w:r>
      <w:r w:rsidRPr="008B3D75">
        <w:rPr>
          <w:i/>
          <w:iCs/>
        </w:rPr>
        <w:t xml:space="preserve">Cornus sericea </w:t>
      </w:r>
      <w:r>
        <w:rPr>
          <w:noProof/>
        </w:rPr>
        <w:t>(CABI 2022)</w:t>
      </w:r>
      <w:r>
        <w:t>. Host plants in the Rosaceae and Cornaceae families</w:t>
      </w:r>
      <w:r w:rsidRPr="00F07FCE">
        <w:t xml:space="preserve"> are widely distributed in Australia.</w:t>
      </w:r>
    </w:p>
    <w:p w14:paraId="2A467F96" w14:textId="77777777" w:rsidR="003438A2" w:rsidRPr="00F07FCE" w:rsidRDefault="003438A2" w:rsidP="003438A2">
      <w:pPr>
        <w:pStyle w:val="ListBullet"/>
        <w:numPr>
          <w:ilvl w:val="0"/>
          <w:numId w:val="15"/>
        </w:numPr>
      </w:pPr>
      <w:r w:rsidRPr="00F07FCE">
        <w:rPr>
          <w:i/>
        </w:rPr>
        <w:t>Anthonomus</w:t>
      </w:r>
      <w:r w:rsidRPr="00F07FCE">
        <w:t> </w:t>
      </w:r>
      <w:r w:rsidRPr="00F07FCE">
        <w:rPr>
          <w:i/>
        </w:rPr>
        <w:t>quadrigibbus</w:t>
      </w:r>
      <w:r w:rsidRPr="00F07FCE">
        <w:t xml:space="preserve"> is widespread throughout Canada and the USA, and many regions where this pest is prevalent have similar </w:t>
      </w:r>
      <w:r>
        <w:t>climates</w:t>
      </w:r>
      <w:r w:rsidRPr="00F07FCE">
        <w:t xml:space="preserve"> to parts of Australia.</w:t>
      </w:r>
    </w:p>
    <w:p w14:paraId="6D9970F6" w14:textId="77777777" w:rsidR="003438A2" w:rsidRPr="00F07FCE" w:rsidRDefault="003438A2" w:rsidP="00AD1C8F">
      <w:pPr>
        <w:pStyle w:val="ListBullet"/>
        <w:numPr>
          <w:ilvl w:val="0"/>
          <w:numId w:val="0"/>
        </w:numPr>
      </w:pPr>
      <w:r w:rsidRPr="00F07FCE">
        <w:t xml:space="preserve">Autonomous flight and movement are unlikely to be favourable for </w:t>
      </w:r>
      <w:r w:rsidRPr="00F07FCE">
        <w:rPr>
          <w:i/>
        </w:rPr>
        <w:t xml:space="preserve">A. quadrigibbus </w:t>
      </w:r>
      <w:r w:rsidRPr="00F07FCE">
        <w:t>to spread long distances.</w:t>
      </w:r>
    </w:p>
    <w:p w14:paraId="328F748B" w14:textId="77777777" w:rsidR="003438A2" w:rsidRPr="00F07FCE" w:rsidRDefault="003438A2" w:rsidP="003438A2">
      <w:pPr>
        <w:pStyle w:val="ListBullet"/>
        <w:numPr>
          <w:ilvl w:val="0"/>
          <w:numId w:val="15"/>
        </w:numPr>
      </w:pPr>
      <w:r w:rsidRPr="00F07FCE">
        <w:rPr>
          <w:i/>
        </w:rPr>
        <w:t>Anthonomus</w:t>
      </w:r>
      <w:r w:rsidRPr="00F07FCE">
        <w:t> </w:t>
      </w:r>
      <w:r w:rsidRPr="00F07FCE">
        <w:rPr>
          <w:i/>
        </w:rPr>
        <w:t>quadrigibbus</w:t>
      </w:r>
      <w:r w:rsidRPr="00F07FCE">
        <w:t xml:space="preserve"> can spread from one host to another by crawling or flying. Although adults are capable of flight, they usually do not migrate very far, and one part of a</w:t>
      </w:r>
      <w:r>
        <w:t>n</w:t>
      </w:r>
      <w:r w:rsidRPr="00F07FCE">
        <w:t xml:space="preserve"> </w:t>
      </w:r>
      <w:r>
        <w:t>orchard</w:t>
      </w:r>
      <w:r w:rsidRPr="00F07FCE">
        <w:t xml:space="preserve"> may be severely infested while another part remains undamaged </w:t>
      </w:r>
      <w:r w:rsidRPr="00F07FCE">
        <w:rPr>
          <w:noProof/>
        </w:rPr>
        <w:t>(Jeger et al. 2018)</w:t>
      </w:r>
      <w:r w:rsidRPr="00F07FCE">
        <w:t>.</w:t>
      </w:r>
    </w:p>
    <w:p w14:paraId="4476D6FB" w14:textId="77777777" w:rsidR="003438A2" w:rsidRPr="00F07FCE" w:rsidRDefault="003438A2" w:rsidP="003438A2">
      <w:pPr>
        <w:pStyle w:val="ListBullet"/>
        <w:numPr>
          <w:ilvl w:val="0"/>
          <w:numId w:val="15"/>
        </w:numPr>
      </w:pPr>
      <w:r w:rsidRPr="00F07FCE">
        <w:rPr>
          <w:i/>
        </w:rPr>
        <w:t>Anthonomus</w:t>
      </w:r>
      <w:r w:rsidRPr="00F07FCE">
        <w:t> </w:t>
      </w:r>
      <w:r w:rsidRPr="00F07FCE">
        <w:rPr>
          <w:i/>
        </w:rPr>
        <w:t>quadrigibbus</w:t>
      </w:r>
      <w:r w:rsidRPr="00F07FCE">
        <w:t xml:space="preserve"> adults are relatively immobile after settling on a preferred host. Recent reports suggest that </w:t>
      </w:r>
      <w:r w:rsidRPr="00F07FCE">
        <w:rPr>
          <w:i/>
        </w:rPr>
        <w:t xml:space="preserve">A. quadrigibbus </w:t>
      </w:r>
      <w:r w:rsidRPr="00F07FCE">
        <w:rPr>
          <w:iCs/>
        </w:rPr>
        <w:t xml:space="preserve">adults </w:t>
      </w:r>
      <w:r w:rsidRPr="00F07FCE">
        <w:t xml:space="preserve">rarely travel far from the hosts on which they developed </w:t>
      </w:r>
      <w:r w:rsidRPr="00F07FCE">
        <w:rPr>
          <w:noProof/>
        </w:rPr>
        <w:t>(MOA BC 2016)</w:t>
      </w:r>
      <w:r w:rsidRPr="00F07FCE">
        <w:t>.</w:t>
      </w:r>
    </w:p>
    <w:p w14:paraId="1E2236E6" w14:textId="77777777" w:rsidR="003438A2" w:rsidRPr="00F07FCE" w:rsidRDefault="003438A2" w:rsidP="003438A2">
      <w:pPr>
        <w:pStyle w:val="ListBullet"/>
        <w:numPr>
          <w:ilvl w:val="0"/>
          <w:numId w:val="15"/>
        </w:numPr>
      </w:pPr>
      <w:r w:rsidRPr="00F07FCE">
        <w:rPr>
          <w:i/>
          <w:iCs/>
        </w:rPr>
        <w:lastRenderedPageBreak/>
        <w:t>Anthonomus quadrigibbus</w:t>
      </w:r>
      <w:r w:rsidRPr="00F07FCE">
        <w:t xml:space="preserve"> do not migrate far in any one season </w:t>
      </w:r>
      <w:r w:rsidRPr="00F07FCE">
        <w:rPr>
          <w:noProof/>
        </w:rPr>
        <w:t>(Steeves, Lehmkuhl &amp; Bethune 1979)</w:t>
      </w:r>
      <w:r w:rsidRPr="00F07FCE">
        <w:t xml:space="preserve"> and may only spread to several rows of trees over a period of several years. Most orchard damage occurs in the outer </w:t>
      </w:r>
      <w:r>
        <w:t>2</w:t>
      </w:r>
      <w:r w:rsidRPr="00F07FCE">
        <w:t xml:space="preserve"> to </w:t>
      </w:r>
      <w:r>
        <w:t>3</w:t>
      </w:r>
      <w:r w:rsidRPr="00F07FCE">
        <w:t xml:space="preserve"> rows </w:t>
      </w:r>
      <w:r w:rsidRPr="00F07FCE">
        <w:rPr>
          <w:noProof/>
        </w:rPr>
        <w:t>(MOA BC 2016)</w:t>
      </w:r>
      <w:r w:rsidRPr="00F07FCE">
        <w:t>.</w:t>
      </w:r>
    </w:p>
    <w:p w14:paraId="21A0D59F" w14:textId="77777777" w:rsidR="003438A2" w:rsidRPr="00F07FCE" w:rsidRDefault="003438A2" w:rsidP="003438A2">
      <w:pPr>
        <w:pStyle w:val="ListBullet"/>
        <w:numPr>
          <w:ilvl w:val="0"/>
          <w:numId w:val="15"/>
        </w:numPr>
      </w:pPr>
      <w:r w:rsidRPr="00F07FCE">
        <w:t xml:space="preserve">In orchards, the spread of </w:t>
      </w:r>
      <w:r w:rsidRPr="00F07FCE">
        <w:rPr>
          <w:i/>
        </w:rPr>
        <w:t>A. quadrigibbus</w:t>
      </w:r>
      <w:r w:rsidRPr="00F07FCE">
        <w:t xml:space="preserve"> can occur through improper disposal of infested fruit. Australian standard agricultural practices in commercial orchards will reduce the likelihood of this occurring.</w:t>
      </w:r>
    </w:p>
    <w:p w14:paraId="322FF3DA" w14:textId="77777777" w:rsidR="003438A2" w:rsidRPr="00F07FCE" w:rsidRDefault="003438A2" w:rsidP="00AD1C8F">
      <w:pPr>
        <w:pStyle w:val="ListBullet"/>
        <w:numPr>
          <w:ilvl w:val="0"/>
          <w:numId w:val="0"/>
        </w:numPr>
        <w:rPr>
          <w:iCs/>
        </w:rPr>
      </w:pPr>
      <w:r w:rsidRPr="00F07FCE">
        <w:rPr>
          <w:i/>
        </w:rPr>
        <w:t xml:space="preserve">Anthonomus quadrigibbus </w:t>
      </w:r>
      <w:r w:rsidRPr="00F07FCE">
        <w:rPr>
          <w:iCs/>
        </w:rPr>
        <w:t>has a low rate of survival during development.</w:t>
      </w:r>
    </w:p>
    <w:p w14:paraId="74AAC9C9" w14:textId="77777777" w:rsidR="003438A2" w:rsidRPr="00F07FCE" w:rsidRDefault="003438A2" w:rsidP="003438A2">
      <w:pPr>
        <w:pStyle w:val="ListBullet"/>
        <w:numPr>
          <w:ilvl w:val="0"/>
          <w:numId w:val="15"/>
        </w:numPr>
      </w:pPr>
      <w:r w:rsidRPr="00F07FCE">
        <w:rPr>
          <w:i/>
        </w:rPr>
        <w:t>Anthonomus quadrigibbus</w:t>
      </w:r>
      <w:r w:rsidRPr="00F07FCE">
        <w:t xml:space="preserve"> is univoltine</w:t>
      </w:r>
      <w:r>
        <w:t xml:space="preserve"> </w:t>
      </w:r>
      <w:r>
        <w:rPr>
          <w:noProof/>
        </w:rPr>
        <w:t>(CABI 2022)</w:t>
      </w:r>
      <w:r>
        <w:t xml:space="preserve"> </w:t>
      </w:r>
      <w:r w:rsidRPr="00F07FCE">
        <w:t>and has a low rate of successful development to adults</w:t>
      </w:r>
      <w:r>
        <w:t xml:space="preserve"> </w:t>
      </w:r>
      <w:r w:rsidRPr="002246AB">
        <w:rPr>
          <w:noProof/>
        </w:rPr>
        <w:t>(Crandall 1905; Hammer 1936)</w:t>
      </w:r>
      <w:r>
        <w:rPr>
          <w:noProof/>
        </w:rPr>
        <w:t xml:space="preserve">, </w:t>
      </w:r>
      <w:r w:rsidRPr="00F07FCE">
        <w:t xml:space="preserve">which </w:t>
      </w:r>
      <w:r>
        <w:t>is</w:t>
      </w:r>
      <w:r w:rsidRPr="00F07FCE">
        <w:t xml:space="preserve"> likely to minimise population growth and spread of the pest.</w:t>
      </w:r>
    </w:p>
    <w:p w14:paraId="570C0AD2" w14:textId="77777777" w:rsidR="003438A2" w:rsidRPr="00F07FCE" w:rsidRDefault="003438A2" w:rsidP="00AD1C8F">
      <w:pPr>
        <w:keepNext/>
      </w:pPr>
      <w:r w:rsidRPr="00F07FCE">
        <w:t xml:space="preserve">The favourable climatic conditions and availability of suitable hosts across Australia support the potential for spread of </w:t>
      </w:r>
      <w:r w:rsidRPr="00F07FCE">
        <w:rPr>
          <w:i/>
        </w:rPr>
        <w:t>A. quadrigibbus</w:t>
      </w:r>
      <w:r w:rsidRPr="00F07FCE">
        <w:t xml:space="preserve">. However, </w:t>
      </w:r>
      <w:r w:rsidRPr="00F07FCE">
        <w:rPr>
          <w:i/>
        </w:rPr>
        <w:t>A</w:t>
      </w:r>
      <w:r w:rsidRPr="00F07FCE">
        <w:t>. </w:t>
      </w:r>
      <w:r w:rsidRPr="00F07FCE">
        <w:rPr>
          <w:i/>
        </w:rPr>
        <w:t>quadrigibbus</w:t>
      </w:r>
      <w:r w:rsidRPr="00F07FCE">
        <w:t xml:space="preserve"> does not readily fly long distances. Moreover, Australian standard agricultural practices, and limited pest reproductive behaviours are likely to limit its spread.</w:t>
      </w:r>
    </w:p>
    <w:p w14:paraId="0407FC39" w14:textId="77777777" w:rsidR="003438A2" w:rsidRPr="00F07FCE" w:rsidRDefault="003438A2" w:rsidP="00AD1C8F">
      <w:r w:rsidRPr="00F07FCE">
        <w:t xml:space="preserve">For the reasons outlined, the likelihood estimate of spread of </w:t>
      </w:r>
      <w:r w:rsidRPr="00F07FCE">
        <w:rPr>
          <w:i/>
        </w:rPr>
        <w:t>A</w:t>
      </w:r>
      <w:r w:rsidRPr="00F07FCE">
        <w:t>. </w:t>
      </w:r>
      <w:r w:rsidRPr="00F07FCE">
        <w:rPr>
          <w:i/>
        </w:rPr>
        <w:t>quadrigibbus</w:t>
      </w:r>
      <w:r w:rsidRPr="00F07FCE">
        <w:t xml:space="preserve"> within Australia is assessed as Moderate.</w:t>
      </w:r>
    </w:p>
    <w:p w14:paraId="4163D9B1" w14:textId="77777777" w:rsidR="003438A2" w:rsidRPr="00F07FCE" w:rsidRDefault="003438A2" w:rsidP="00AD1C8F">
      <w:pPr>
        <w:pStyle w:val="Heading4"/>
      </w:pPr>
      <w:r w:rsidRPr="00F07FCE">
        <w:t>Overall likelihood of entry, establishment and spread</w:t>
      </w:r>
    </w:p>
    <w:p w14:paraId="2EA343FA" w14:textId="77777777" w:rsidR="003438A2" w:rsidRPr="00F07FCE" w:rsidRDefault="003438A2" w:rsidP="00AD1C8F">
      <w:r w:rsidRPr="00F07FCE">
        <w:t xml:space="preserve">The overall likelihood of entry, establishment and spread is determined by combining the likelihoods of entry, establishment and spread using the matrix of ‘rules’ for combining qualitative likelihood shown in </w:t>
      </w:r>
      <w:r w:rsidRPr="00F07FCE">
        <w:fldChar w:fldCharType="begin" w:fldLock="1"/>
      </w:r>
      <w:r w:rsidRPr="00F07FCE">
        <w:instrText xml:space="preserve"> REF _Ref457826328 \h </w:instrText>
      </w:r>
      <w:r>
        <w:instrText xml:space="preserve"> \* MERGEFORMAT </w:instrText>
      </w:r>
      <w:r w:rsidRPr="00F07FCE">
        <w:fldChar w:fldCharType="separate"/>
      </w:r>
      <w:r w:rsidRPr="00DB5F8D">
        <w:t xml:space="preserve">Table </w:t>
      </w:r>
      <w:r>
        <w:rPr>
          <w:noProof/>
        </w:rPr>
        <w:t>2.2</w:t>
      </w:r>
      <w:r w:rsidRPr="00F07FCE">
        <w:fldChar w:fldCharType="end"/>
      </w:r>
      <w:r w:rsidRPr="00F07FCE">
        <w:t>.</w:t>
      </w:r>
    </w:p>
    <w:p w14:paraId="48739E25" w14:textId="77777777" w:rsidR="003438A2" w:rsidRPr="00F07FCE" w:rsidRDefault="003438A2" w:rsidP="00AD1C8F">
      <w:r w:rsidRPr="00F07FCE">
        <w:t xml:space="preserve">The likelihood that </w:t>
      </w:r>
      <w:r w:rsidRPr="00F07FCE">
        <w:rPr>
          <w:i/>
        </w:rPr>
        <w:t>A. quadrigibbus</w:t>
      </w:r>
      <w:r w:rsidRPr="00F07FCE">
        <w:t xml:space="preserve"> will enter Australia as a result of trade in apples from the PNW-USA, be distributed in a viable state to a susceptible part of a host, establish in that area and subsequently spread within Australia is assessed as Low.</w:t>
      </w:r>
    </w:p>
    <w:p w14:paraId="1686C07E" w14:textId="77777777" w:rsidR="003438A2" w:rsidRPr="00F07FCE" w:rsidRDefault="003438A2" w:rsidP="00AD1C8F">
      <w:pPr>
        <w:pStyle w:val="Heading4"/>
      </w:pPr>
      <w:r w:rsidRPr="00F07FCE">
        <w:t>Consequences</w:t>
      </w:r>
    </w:p>
    <w:p w14:paraId="4A936D73" w14:textId="77777777" w:rsidR="003438A2" w:rsidRPr="00F07FCE" w:rsidRDefault="003438A2" w:rsidP="00AD1C8F">
      <w:r w:rsidRPr="00F07FCE">
        <w:t xml:space="preserve">The potential consequences of the entry, establishment and spread of </w:t>
      </w:r>
      <w:r w:rsidRPr="00F07FCE">
        <w:rPr>
          <w:i/>
        </w:rPr>
        <w:t>A. quadrigibbus</w:t>
      </w:r>
      <w:r w:rsidRPr="00F07FCE">
        <w:t xml:space="preserve"> in Australia have been estimated according to the methods described in </w:t>
      </w:r>
      <w:r w:rsidRPr="00F07FCE">
        <w:fldChar w:fldCharType="begin" w:fldLock="1"/>
      </w:r>
      <w:r w:rsidRPr="00F07FCE">
        <w:instrText xml:space="preserve"> REF _Ref457826350 \h </w:instrText>
      </w:r>
      <w:r>
        <w:instrText xml:space="preserve"> \* MERGEFORMAT </w:instrText>
      </w:r>
      <w:r w:rsidRPr="00F07FCE">
        <w:fldChar w:fldCharType="separate"/>
      </w:r>
      <w:r>
        <w:t xml:space="preserve">Table </w:t>
      </w:r>
      <w:r>
        <w:rPr>
          <w:noProof/>
        </w:rPr>
        <w:t>2.3</w:t>
      </w:r>
      <w:r w:rsidRPr="00F07FCE">
        <w:fldChar w:fldCharType="end"/>
      </w:r>
      <w:r w:rsidRPr="00F07FCE">
        <w:t>.</w:t>
      </w:r>
    </w:p>
    <w:p w14:paraId="14DAC027" w14:textId="77777777" w:rsidR="003438A2" w:rsidRPr="00F07FCE" w:rsidRDefault="003438A2" w:rsidP="00AD1C8F">
      <w:r w:rsidRPr="00F07FCE">
        <w:t xml:space="preserve">Based on the decision rules described in </w:t>
      </w:r>
      <w:r w:rsidRPr="00F07FCE">
        <w:fldChar w:fldCharType="begin" w:fldLock="1"/>
      </w:r>
      <w:r w:rsidRPr="00F07FCE">
        <w:instrText xml:space="preserve"> REF _Ref457826361 \h </w:instrText>
      </w:r>
      <w:r>
        <w:instrText xml:space="preserve"> \* MERGEFORMAT </w:instrText>
      </w:r>
      <w:r w:rsidRPr="00F07FCE">
        <w:fldChar w:fldCharType="separate"/>
      </w:r>
      <w:r>
        <w:t xml:space="preserve">Table </w:t>
      </w:r>
      <w:r>
        <w:rPr>
          <w:noProof/>
        </w:rPr>
        <w:t>2.4</w:t>
      </w:r>
      <w:r w:rsidRPr="00F07FCE">
        <w:fldChar w:fldCharType="end"/>
      </w:r>
      <w:r w:rsidRPr="00F07FCE">
        <w:t>, that is, where the consequences of a pest with respect to one or more criteria are ‘</w:t>
      </w:r>
      <w:r w:rsidRPr="00F07FCE">
        <w:rPr>
          <w:b/>
        </w:rPr>
        <w:t>D</w:t>
      </w:r>
      <w:r w:rsidRPr="00F07FCE">
        <w:t>’, the overall consequences are estimated to be Low.</w:t>
      </w:r>
    </w:p>
    <w:tbl>
      <w:tblPr>
        <w:tblW w:w="5236" w:type="pct"/>
        <w:tblBorders>
          <w:top w:val="single" w:sz="4" w:space="0" w:color="auto"/>
          <w:bottom w:val="single" w:sz="4" w:space="0" w:color="auto"/>
          <w:insideH w:val="single" w:sz="4" w:space="0" w:color="D9D9D9"/>
        </w:tblBorders>
        <w:tblLayout w:type="fixed"/>
        <w:tblCellMar>
          <w:left w:w="115" w:type="dxa"/>
          <w:right w:w="115" w:type="dxa"/>
        </w:tblCellMar>
        <w:tblLook w:val="04A0" w:firstRow="1" w:lastRow="0" w:firstColumn="1" w:lastColumn="0" w:noHBand="0" w:noVBand="1"/>
      </w:tblPr>
      <w:tblGrid>
        <w:gridCol w:w="3119"/>
        <w:gridCol w:w="6379"/>
      </w:tblGrid>
      <w:tr w:rsidR="003438A2" w:rsidRPr="00F07FCE" w14:paraId="6ED96422" w14:textId="77777777" w:rsidTr="00887A71">
        <w:trPr>
          <w:cantSplit/>
          <w:tblHeader/>
        </w:trPr>
        <w:tc>
          <w:tcPr>
            <w:tcW w:w="3119" w:type="dxa"/>
            <w:shd w:val="clear" w:color="auto" w:fill="auto"/>
            <w:hideMark/>
          </w:tcPr>
          <w:p w14:paraId="270A56CF" w14:textId="77777777" w:rsidR="003438A2" w:rsidRPr="00F07FCE" w:rsidRDefault="003438A2" w:rsidP="00887A71">
            <w:pPr>
              <w:pStyle w:val="TableHeading"/>
              <w:rPr>
                <w:rFonts w:eastAsia="Times New Roman"/>
                <w:sz w:val="16"/>
                <w:szCs w:val="20"/>
              </w:rPr>
            </w:pPr>
            <w:r w:rsidRPr="00F07FCE">
              <w:lastRenderedPageBreak/>
              <w:t>Criterion</w:t>
            </w:r>
          </w:p>
        </w:tc>
        <w:tc>
          <w:tcPr>
            <w:tcW w:w="6379" w:type="dxa"/>
            <w:shd w:val="clear" w:color="auto" w:fill="auto"/>
            <w:hideMark/>
          </w:tcPr>
          <w:p w14:paraId="52B11758" w14:textId="77777777" w:rsidR="003438A2" w:rsidRPr="00F07FCE" w:rsidRDefault="003438A2" w:rsidP="00887A71">
            <w:pPr>
              <w:pStyle w:val="TableHeading"/>
            </w:pPr>
            <w:r w:rsidRPr="00F07FCE">
              <w:t>Estimate and rationale</w:t>
            </w:r>
          </w:p>
        </w:tc>
      </w:tr>
      <w:tr w:rsidR="003438A2" w:rsidRPr="00F07FCE" w14:paraId="3EE8CD76" w14:textId="77777777" w:rsidTr="00887A71">
        <w:trPr>
          <w:cantSplit/>
        </w:trPr>
        <w:tc>
          <w:tcPr>
            <w:tcW w:w="9498" w:type="dxa"/>
            <w:gridSpan w:val="2"/>
            <w:shd w:val="clear" w:color="auto" w:fill="auto"/>
            <w:hideMark/>
          </w:tcPr>
          <w:p w14:paraId="24E34C09" w14:textId="77777777" w:rsidR="003438A2" w:rsidRPr="00F07FCE" w:rsidRDefault="003438A2" w:rsidP="00887A71">
            <w:pPr>
              <w:pStyle w:val="TableHeading"/>
            </w:pPr>
            <w:r w:rsidRPr="00F07FCE">
              <w:t>Direct</w:t>
            </w:r>
          </w:p>
        </w:tc>
      </w:tr>
      <w:tr w:rsidR="003438A2" w:rsidRPr="00F07FCE" w14:paraId="7199F264" w14:textId="77777777" w:rsidTr="00887A71">
        <w:trPr>
          <w:cantSplit/>
        </w:trPr>
        <w:tc>
          <w:tcPr>
            <w:tcW w:w="3119" w:type="dxa"/>
            <w:shd w:val="clear" w:color="auto" w:fill="auto"/>
            <w:hideMark/>
          </w:tcPr>
          <w:p w14:paraId="041EF9B1" w14:textId="77777777" w:rsidR="003438A2" w:rsidRPr="00F07FCE" w:rsidRDefault="003438A2" w:rsidP="00887A71">
            <w:pPr>
              <w:pStyle w:val="TableText"/>
            </w:pPr>
            <w:r w:rsidRPr="00F07FCE">
              <w:t>Plant life or health</w:t>
            </w:r>
          </w:p>
        </w:tc>
        <w:tc>
          <w:tcPr>
            <w:tcW w:w="6379" w:type="dxa"/>
            <w:shd w:val="clear" w:color="auto" w:fill="auto"/>
            <w:hideMark/>
          </w:tcPr>
          <w:p w14:paraId="335DBC44" w14:textId="77777777" w:rsidR="003438A2" w:rsidRPr="00F07FCE" w:rsidRDefault="003438A2" w:rsidP="00A536CC">
            <w:pPr>
              <w:pStyle w:val="TableText"/>
            </w:pPr>
            <w:r w:rsidRPr="00F07FCE">
              <w:t>D – Significant at the district level</w:t>
            </w:r>
          </w:p>
          <w:p w14:paraId="2E0C42B0" w14:textId="77777777" w:rsidR="003438A2" w:rsidRPr="00F07FCE" w:rsidRDefault="003438A2" w:rsidP="00A536CC">
            <w:pPr>
              <w:pStyle w:val="TableText"/>
              <w:rPr>
                <w:i/>
                <w:iCs/>
              </w:rPr>
            </w:pPr>
            <w:r w:rsidRPr="00F07FCE">
              <w:rPr>
                <w:i/>
                <w:iCs/>
              </w:rPr>
              <w:t>Anthonomus quadrigibbus</w:t>
            </w:r>
            <w:r w:rsidRPr="00F07FCE">
              <w:t xml:space="preserve"> is associated with a wide range of plants in the Rosaceae and Cornaceae families</w:t>
            </w:r>
            <w:r>
              <w:t xml:space="preserve"> </w:t>
            </w:r>
            <w:r>
              <w:rPr>
                <w:noProof/>
              </w:rPr>
              <w:t>(Burke &amp; Anderson 1989; CABI 2021a; EPPO 2021)</w:t>
            </w:r>
            <w:r w:rsidRPr="00F07FCE">
              <w:t>. Host plants include apple (</w:t>
            </w:r>
            <w:r w:rsidRPr="00F07FCE">
              <w:rPr>
                <w:i/>
                <w:iCs/>
              </w:rPr>
              <w:t>Malus domestica</w:t>
            </w:r>
            <w:r w:rsidRPr="00F07FCE">
              <w:t>)</w:t>
            </w:r>
            <w:r>
              <w:t>,</w:t>
            </w:r>
            <w:r w:rsidRPr="00F07FCE">
              <w:t xml:space="preserve"> hawthorn (</w:t>
            </w:r>
            <w:r w:rsidRPr="00F07FCE">
              <w:rPr>
                <w:i/>
                <w:iCs/>
              </w:rPr>
              <w:t>Crataegus</w:t>
            </w:r>
            <w:r w:rsidRPr="00F07FCE">
              <w:t xml:space="preserve"> spp.), cherry and sour cherry (</w:t>
            </w:r>
            <w:r w:rsidRPr="00F07FCE">
              <w:rPr>
                <w:i/>
                <w:iCs/>
              </w:rPr>
              <w:t>Prunus</w:t>
            </w:r>
            <w:r w:rsidRPr="00F07FCE">
              <w:t xml:space="preserve"> spp.), Saskatoon berry (</w:t>
            </w:r>
            <w:r w:rsidRPr="00F07FCE">
              <w:rPr>
                <w:i/>
                <w:iCs/>
              </w:rPr>
              <w:t>Amelanchier alnifolia</w:t>
            </w:r>
            <w:r w:rsidRPr="00F07FCE">
              <w:t>), sweet crabapple (</w:t>
            </w:r>
            <w:r w:rsidRPr="00F07FCE">
              <w:rPr>
                <w:i/>
                <w:iCs/>
              </w:rPr>
              <w:t>Malus coronaria</w:t>
            </w:r>
            <w:r w:rsidRPr="00F07FCE">
              <w:t>), quince (</w:t>
            </w:r>
            <w:r w:rsidRPr="00F07FCE">
              <w:rPr>
                <w:i/>
                <w:iCs/>
              </w:rPr>
              <w:t>Cydonia oblonga</w:t>
            </w:r>
            <w:r w:rsidRPr="00F07FCE">
              <w:t>), pear (</w:t>
            </w:r>
            <w:r w:rsidRPr="00F07FCE">
              <w:rPr>
                <w:i/>
                <w:iCs/>
              </w:rPr>
              <w:t xml:space="preserve">Pyrus </w:t>
            </w:r>
            <w:r w:rsidRPr="00F07FCE">
              <w:t>spp.)</w:t>
            </w:r>
            <w:r>
              <w:t xml:space="preserve"> </w:t>
            </w:r>
            <w:r>
              <w:rPr>
                <w:noProof/>
              </w:rPr>
              <w:t>(Burke &amp; Anderson 1989; CABI 2020a; DEFRA 2020; Jeger et al. 2018; MAFRI 2008; MOA BC 2016)</w:t>
            </w:r>
            <w:r>
              <w:t xml:space="preserve"> </w:t>
            </w:r>
            <w:r w:rsidRPr="00F07FCE">
              <w:t xml:space="preserve">and </w:t>
            </w:r>
            <w:r w:rsidRPr="00F07FCE">
              <w:rPr>
                <w:i/>
                <w:iCs/>
              </w:rPr>
              <w:t xml:space="preserve">Cornus </w:t>
            </w:r>
            <w:r>
              <w:rPr>
                <w:i/>
                <w:iCs/>
              </w:rPr>
              <w:t xml:space="preserve">sericea </w:t>
            </w:r>
            <w:r>
              <w:rPr>
                <w:noProof/>
              </w:rPr>
              <w:t>(CABI 2022)</w:t>
            </w:r>
            <w:r>
              <w:t>.</w:t>
            </w:r>
          </w:p>
          <w:p w14:paraId="27672671" w14:textId="77777777" w:rsidR="003438A2" w:rsidRPr="00F07FCE" w:rsidRDefault="003438A2" w:rsidP="00A536CC">
            <w:pPr>
              <w:pStyle w:val="TableText"/>
            </w:pPr>
            <w:r w:rsidRPr="00F07FCE">
              <w:rPr>
                <w:i/>
              </w:rPr>
              <w:t>Anthonomus quadrigibbus</w:t>
            </w:r>
            <w:r w:rsidRPr="00F07FCE">
              <w:t xml:space="preserve"> can feed on the fruit of several hosts including apples and pears </w:t>
            </w:r>
            <w:r w:rsidRPr="00F07FCE">
              <w:rPr>
                <w:noProof/>
              </w:rPr>
              <w:t>(Davidson &amp; Peairs 1966)</w:t>
            </w:r>
            <w:r w:rsidRPr="00F07FCE">
              <w:t xml:space="preserve">, affecting fruit quality and plant health. </w:t>
            </w:r>
          </w:p>
          <w:p w14:paraId="3B3A81FC" w14:textId="77777777" w:rsidR="003438A2" w:rsidRPr="00F07FCE" w:rsidRDefault="003438A2" w:rsidP="00420B5C">
            <w:pPr>
              <w:pStyle w:val="TableText"/>
            </w:pPr>
            <w:r w:rsidRPr="00F07FCE">
              <w:rPr>
                <w:iCs/>
              </w:rPr>
              <w:t>Damage may result from both</w:t>
            </w:r>
            <w:r w:rsidRPr="00F07FCE">
              <w:t xml:space="preserve"> feeding and oviposition. Feeding damage by adults appears as raised russeted areas on apple fruit or as circular depressed areas around small, dark, corky spots or holes</w:t>
            </w:r>
            <w:r>
              <w:t xml:space="preserve"> </w:t>
            </w:r>
            <w:r>
              <w:rPr>
                <w:noProof/>
              </w:rPr>
              <w:t>(MAL 2006)</w:t>
            </w:r>
            <w:r w:rsidRPr="00F07FCE">
              <w:t xml:space="preserve">, making the fruit unmarketable. After eggs hatch, larvae feed internally within apples, which may result in a total cessation of growth of apples and lead to malformed, knotty and undersized fruit </w:t>
            </w:r>
            <w:r w:rsidRPr="00F07FCE">
              <w:rPr>
                <w:noProof/>
              </w:rPr>
              <w:t>(Davidson &amp; Peairs 1966)</w:t>
            </w:r>
            <w:r w:rsidRPr="00F07FCE">
              <w:t>.</w:t>
            </w:r>
          </w:p>
          <w:p w14:paraId="4E997E95" w14:textId="77777777" w:rsidR="003438A2" w:rsidRPr="00F07FCE" w:rsidRDefault="003438A2" w:rsidP="00753793">
            <w:pPr>
              <w:pStyle w:val="TableText"/>
            </w:pPr>
            <w:r w:rsidRPr="00F07FCE">
              <w:t xml:space="preserve">Prior to the introduction of modern pesticides and IPM programs, </w:t>
            </w:r>
            <w:r w:rsidRPr="00F07FCE">
              <w:rPr>
                <w:i/>
              </w:rPr>
              <w:t>A</w:t>
            </w:r>
            <w:r w:rsidRPr="00F07FCE">
              <w:t>. </w:t>
            </w:r>
            <w:r w:rsidRPr="00F07FCE">
              <w:rPr>
                <w:i/>
              </w:rPr>
              <w:t>quadrigibbus</w:t>
            </w:r>
            <w:r w:rsidRPr="00F07FCE">
              <w:t xml:space="preserve"> was recorded as one of the most destructive insect pests of apple in Ontario and Quebec. </w:t>
            </w:r>
            <w:r w:rsidRPr="00F07FCE">
              <w:rPr>
                <w:i/>
              </w:rPr>
              <w:t>Anthonomus</w:t>
            </w:r>
            <w:r w:rsidRPr="00F07FCE">
              <w:t xml:space="preserve"> </w:t>
            </w:r>
            <w:r w:rsidRPr="00F07FCE">
              <w:rPr>
                <w:i/>
              </w:rPr>
              <w:t>quadrigibbus</w:t>
            </w:r>
            <w:r w:rsidRPr="00F07FCE">
              <w:t xml:space="preserve"> has steadily declined in incidence and has become a less important pest in Canada, with only occasional outbreaks in apples reported</w:t>
            </w:r>
            <w:r>
              <w:t xml:space="preserve"> </w:t>
            </w:r>
            <w:r w:rsidRPr="007D41F9">
              <w:rPr>
                <w:noProof/>
              </w:rPr>
              <w:t>(Jeger et al. 2018; MacNay 1953)</w:t>
            </w:r>
            <w:r>
              <w:t>,</w:t>
            </w:r>
            <w:r w:rsidRPr="00F07FCE">
              <w:t xml:space="preserve"> despite it not being the target of a control program. </w:t>
            </w:r>
          </w:p>
        </w:tc>
      </w:tr>
      <w:tr w:rsidR="003438A2" w:rsidRPr="00F07FCE" w14:paraId="6E42034F" w14:textId="77777777" w:rsidTr="00887A71">
        <w:trPr>
          <w:cantSplit/>
        </w:trPr>
        <w:tc>
          <w:tcPr>
            <w:tcW w:w="3119" w:type="dxa"/>
            <w:shd w:val="clear" w:color="auto" w:fill="auto"/>
            <w:hideMark/>
          </w:tcPr>
          <w:p w14:paraId="39F4E57B" w14:textId="77777777" w:rsidR="003438A2" w:rsidRPr="00F07FCE" w:rsidRDefault="003438A2" w:rsidP="00887A71">
            <w:pPr>
              <w:pStyle w:val="TableText"/>
            </w:pPr>
            <w:r w:rsidRPr="00F07FCE">
              <w:t>Other aspects of the environment</w:t>
            </w:r>
          </w:p>
        </w:tc>
        <w:tc>
          <w:tcPr>
            <w:tcW w:w="6379" w:type="dxa"/>
            <w:shd w:val="clear" w:color="auto" w:fill="auto"/>
            <w:hideMark/>
          </w:tcPr>
          <w:p w14:paraId="031482F8" w14:textId="77777777" w:rsidR="003438A2" w:rsidRPr="00F07FCE" w:rsidRDefault="003438A2" w:rsidP="00887A71">
            <w:pPr>
              <w:pStyle w:val="TableText"/>
            </w:pPr>
            <w:r w:rsidRPr="00F07FCE">
              <w:t>A – Indiscernible at the district level</w:t>
            </w:r>
          </w:p>
          <w:p w14:paraId="44F10B0E" w14:textId="77777777" w:rsidR="003438A2" w:rsidRPr="00F07FCE" w:rsidRDefault="003438A2" w:rsidP="00887A71">
            <w:pPr>
              <w:pStyle w:val="TableText"/>
            </w:pPr>
            <w:r w:rsidRPr="00F07FCE">
              <w:t>There are no currently known direct consequences of this pest on any other aspects of the natural environment.</w:t>
            </w:r>
          </w:p>
        </w:tc>
      </w:tr>
      <w:tr w:rsidR="003438A2" w:rsidRPr="00F07FCE" w14:paraId="2B4CE7F7" w14:textId="77777777" w:rsidTr="00887A71">
        <w:trPr>
          <w:cantSplit/>
        </w:trPr>
        <w:tc>
          <w:tcPr>
            <w:tcW w:w="9498" w:type="dxa"/>
            <w:gridSpan w:val="2"/>
            <w:shd w:val="clear" w:color="auto" w:fill="auto"/>
            <w:hideMark/>
          </w:tcPr>
          <w:p w14:paraId="7585DBC4" w14:textId="77777777" w:rsidR="003438A2" w:rsidRPr="00F07FCE" w:rsidRDefault="003438A2" w:rsidP="00887A71">
            <w:pPr>
              <w:pStyle w:val="TableHeading"/>
            </w:pPr>
            <w:r w:rsidRPr="00F07FCE">
              <w:t>Indirect</w:t>
            </w:r>
          </w:p>
        </w:tc>
      </w:tr>
      <w:tr w:rsidR="003438A2" w:rsidRPr="00F07FCE" w14:paraId="01C9CFDE" w14:textId="77777777" w:rsidTr="00887A71">
        <w:trPr>
          <w:cantSplit/>
        </w:trPr>
        <w:tc>
          <w:tcPr>
            <w:tcW w:w="3119" w:type="dxa"/>
            <w:shd w:val="clear" w:color="auto" w:fill="auto"/>
            <w:hideMark/>
          </w:tcPr>
          <w:p w14:paraId="406BA8A6" w14:textId="77777777" w:rsidR="003438A2" w:rsidRPr="00F07FCE" w:rsidRDefault="003438A2" w:rsidP="00887A71">
            <w:pPr>
              <w:pStyle w:val="TableText"/>
            </w:pPr>
            <w:r w:rsidRPr="00F07FCE">
              <w:t>Eradication, control etc.</w:t>
            </w:r>
          </w:p>
        </w:tc>
        <w:tc>
          <w:tcPr>
            <w:tcW w:w="6379" w:type="dxa"/>
            <w:shd w:val="clear" w:color="auto" w:fill="auto"/>
            <w:hideMark/>
          </w:tcPr>
          <w:p w14:paraId="7D31D1CD" w14:textId="77777777" w:rsidR="003438A2" w:rsidRPr="00BF5FA3" w:rsidRDefault="003438A2" w:rsidP="00887A71">
            <w:pPr>
              <w:pStyle w:val="TableText"/>
            </w:pPr>
            <w:r w:rsidRPr="00BF5FA3">
              <w:t>D – Significant at the district level</w:t>
            </w:r>
          </w:p>
          <w:p w14:paraId="7B4A9C15" w14:textId="77777777" w:rsidR="003438A2" w:rsidRPr="00BF5FA3" w:rsidRDefault="003438A2" w:rsidP="00887A71">
            <w:pPr>
              <w:pStyle w:val="TableText"/>
            </w:pPr>
            <w:r w:rsidRPr="00BF5FA3">
              <w:t xml:space="preserve">Additional programs to eradicate </w:t>
            </w:r>
            <w:r w:rsidRPr="00BF5FA3">
              <w:rPr>
                <w:i/>
              </w:rPr>
              <w:t>A. quadrigibbus</w:t>
            </w:r>
            <w:r w:rsidRPr="00BF5FA3">
              <w:t xml:space="preserve"> on host plants may be necessary. Existing control programs may be effective for some hosts (e.g. broad spectrum pesticide applications), but not for all hosts (e.g. </w:t>
            </w:r>
            <w:r w:rsidRPr="00BF5FA3">
              <w:rPr>
                <w:iCs/>
              </w:rPr>
              <w:t>apple and pear</w:t>
            </w:r>
            <w:r w:rsidRPr="00BF5FA3">
              <w:rPr>
                <w:i/>
              </w:rPr>
              <w:t xml:space="preserve"> </w:t>
            </w:r>
            <w:r w:rsidRPr="00BF5FA3">
              <w:t xml:space="preserve">where specific integrated pest management programs are used) </w:t>
            </w:r>
            <w:r w:rsidRPr="00BF5FA3">
              <w:rPr>
                <w:noProof/>
              </w:rPr>
              <w:t>(APAL 2009)</w:t>
            </w:r>
            <w:r w:rsidRPr="00BF5FA3">
              <w:t>.</w:t>
            </w:r>
          </w:p>
          <w:p w14:paraId="7852C025" w14:textId="77777777" w:rsidR="003438A2" w:rsidRPr="00BF5FA3" w:rsidRDefault="003438A2" w:rsidP="00887A71">
            <w:pPr>
              <w:pStyle w:val="TableText"/>
            </w:pPr>
            <w:r w:rsidRPr="00BF5FA3">
              <w:t>It is considered that current measures recommended in North America result in effective control of the pest. In Australia it is likely that similar pest management measures would effectively control the pest.</w:t>
            </w:r>
          </w:p>
          <w:p w14:paraId="19A248A6" w14:textId="77777777" w:rsidR="003438A2" w:rsidRPr="00BF5FA3" w:rsidRDefault="003438A2" w:rsidP="00887A71">
            <w:pPr>
              <w:pStyle w:val="TableText"/>
            </w:pPr>
            <w:r w:rsidRPr="00BF5FA3">
              <w:t>Existing IPM programs may be disrupted because of the need to re-introduce or increase the use of broad-spectrum insecticides. This may result in a subsequent increase in the cost of production. Additionally, costs for crop monitoring and consultant’s advice to manage these pests may be incurred by the producer.</w:t>
            </w:r>
          </w:p>
        </w:tc>
      </w:tr>
      <w:tr w:rsidR="003438A2" w:rsidRPr="00F07FCE" w14:paraId="5168042B" w14:textId="77777777" w:rsidTr="00887A71">
        <w:trPr>
          <w:cantSplit/>
        </w:trPr>
        <w:tc>
          <w:tcPr>
            <w:tcW w:w="3119" w:type="dxa"/>
            <w:shd w:val="clear" w:color="auto" w:fill="auto"/>
            <w:hideMark/>
          </w:tcPr>
          <w:p w14:paraId="363816AB" w14:textId="77777777" w:rsidR="003438A2" w:rsidRPr="00F07FCE" w:rsidRDefault="003438A2" w:rsidP="00887A71">
            <w:pPr>
              <w:pStyle w:val="TableText"/>
            </w:pPr>
            <w:r w:rsidRPr="00F07FCE">
              <w:t>Domestic trade</w:t>
            </w:r>
          </w:p>
        </w:tc>
        <w:tc>
          <w:tcPr>
            <w:tcW w:w="6379" w:type="dxa"/>
            <w:shd w:val="clear" w:color="auto" w:fill="auto"/>
            <w:hideMark/>
          </w:tcPr>
          <w:p w14:paraId="20CA7F9B" w14:textId="77777777" w:rsidR="003438A2" w:rsidRPr="00BF5FA3" w:rsidRDefault="003438A2" w:rsidP="00887A71">
            <w:pPr>
              <w:pStyle w:val="TableText"/>
            </w:pPr>
            <w:r w:rsidRPr="00BF5FA3">
              <w:t>D – Significant at the district level</w:t>
            </w:r>
          </w:p>
          <w:p w14:paraId="138E33DB" w14:textId="77777777" w:rsidR="003438A2" w:rsidRPr="00BF5FA3" w:rsidRDefault="003438A2" w:rsidP="00887A71">
            <w:pPr>
              <w:pStyle w:val="TableText"/>
            </w:pPr>
            <w:r w:rsidRPr="00BF5FA3">
              <w:t>The presence of this pest in commercial production areas of commodities, such as apples and pears, may be significant at the district level due to resulting trade restrictions on the sale or movement of a wide range of commodities. These restrictions may lead to a loss of markets.</w:t>
            </w:r>
          </w:p>
        </w:tc>
      </w:tr>
      <w:tr w:rsidR="003438A2" w:rsidRPr="00F07FCE" w14:paraId="18C56B61" w14:textId="77777777" w:rsidTr="00887A71">
        <w:trPr>
          <w:cantSplit/>
        </w:trPr>
        <w:tc>
          <w:tcPr>
            <w:tcW w:w="3119" w:type="dxa"/>
            <w:shd w:val="clear" w:color="auto" w:fill="auto"/>
            <w:hideMark/>
          </w:tcPr>
          <w:p w14:paraId="1E74B486" w14:textId="77777777" w:rsidR="003438A2" w:rsidRPr="00F07FCE" w:rsidRDefault="003438A2" w:rsidP="00887A71">
            <w:pPr>
              <w:pStyle w:val="TableText"/>
            </w:pPr>
            <w:r w:rsidRPr="00F07FCE">
              <w:t>International trade</w:t>
            </w:r>
          </w:p>
        </w:tc>
        <w:tc>
          <w:tcPr>
            <w:tcW w:w="6379" w:type="dxa"/>
            <w:shd w:val="clear" w:color="auto" w:fill="auto"/>
            <w:hideMark/>
          </w:tcPr>
          <w:p w14:paraId="7E3E366B" w14:textId="77777777" w:rsidR="003438A2" w:rsidRPr="00BF5FA3" w:rsidRDefault="003438A2" w:rsidP="00887A71">
            <w:pPr>
              <w:pStyle w:val="TableText"/>
            </w:pPr>
            <w:r w:rsidRPr="00BF5FA3">
              <w:t>D – Significant at the district level</w:t>
            </w:r>
          </w:p>
          <w:p w14:paraId="33BA9A7D" w14:textId="77777777" w:rsidR="003438A2" w:rsidRPr="00BF5FA3" w:rsidRDefault="003438A2" w:rsidP="00887A71">
            <w:pPr>
              <w:pStyle w:val="TableText"/>
              <w:rPr>
                <w:iCs/>
              </w:rPr>
            </w:pPr>
            <w:r w:rsidRPr="00BF5FA3">
              <w:t xml:space="preserve">The presence of </w:t>
            </w:r>
            <w:r w:rsidRPr="00BF5FA3">
              <w:rPr>
                <w:i/>
              </w:rPr>
              <w:t>A. quadrigibbus</w:t>
            </w:r>
            <w:r w:rsidRPr="00BF5FA3">
              <w:t xml:space="preserve"> in commercial production areas of a range of commodities could have significant effects at the district level due to limitations of accessing international markets where this pest is absent. The </w:t>
            </w:r>
            <w:r w:rsidRPr="00BF5FA3">
              <w:rPr>
                <w:iCs/>
              </w:rPr>
              <w:t>European Union and the United Kingdom</w:t>
            </w:r>
            <w:r w:rsidRPr="00BF5FA3">
              <w:t xml:space="preserve"> have import conditions for apples and pears from Australia that recognise</w:t>
            </w:r>
            <w:r w:rsidRPr="00BF5FA3">
              <w:rPr>
                <w:iCs/>
              </w:rPr>
              <w:t xml:space="preserve"> Australia is free from </w:t>
            </w:r>
            <w:r w:rsidRPr="00BF5FA3">
              <w:rPr>
                <w:i/>
              </w:rPr>
              <w:t>A. quadrigibbus</w:t>
            </w:r>
            <w:r w:rsidRPr="00BF5FA3">
              <w:rPr>
                <w:iCs/>
              </w:rPr>
              <w:t>.</w:t>
            </w:r>
          </w:p>
        </w:tc>
      </w:tr>
      <w:tr w:rsidR="003438A2" w:rsidRPr="00F07FCE" w14:paraId="394984AF" w14:textId="77777777" w:rsidTr="00887A71">
        <w:trPr>
          <w:cantSplit/>
        </w:trPr>
        <w:tc>
          <w:tcPr>
            <w:tcW w:w="3119" w:type="dxa"/>
            <w:shd w:val="clear" w:color="auto" w:fill="auto"/>
            <w:hideMark/>
          </w:tcPr>
          <w:p w14:paraId="68B52407" w14:textId="77777777" w:rsidR="003438A2" w:rsidRPr="00F07FCE" w:rsidRDefault="003438A2" w:rsidP="00887A71">
            <w:pPr>
              <w:pStyle w:val="TableText"/>
            </w:pPr>
            <w:r w:rsidRPr="00F07FCE">
              <w:lastRenderedPageBreak/>
              <w:t>Environmental and non-commercial</w:t>
            </w:r>
          </w:p>
        </w:tc>
        <w:tc>
          <w:tcPr>
            <w:tcW w:w="6379" w:type="dxa"/>
            <w:shd w:val="clear" w:color="auto" w:fill="auto"/>
            <w:hideMark/>
          </w:tcPr>
          <w:p w14:paraId="08341ECD" w14:textId="77777777" w:rsidR="003438A2" w:rsidRPr="00F07FCE" w:rsidRDefault="003438A2" w:rsidP="00887A71">
            <w:pPr>
              <w:pStyle w:val="TableText"/>
            </w:pPr>
            <w:r w:rsidRPr="00F07FCE">
              <w:t>B – Minor significance at the local level</w:t>
            </w:r>
          </w:p>
          <w:p w14:paraId="528E546C" w14:textId="77777777" w:rsidR="003438A2" w:rsidRPr="00F07FCE" w:rsidRDefault="003438A2" w:rsidP="00887A71">
            <w:pPr>
              <w:pStyle w:val="TableText"/>
            </w:pPr>
            <w:r w:rsidRPr="00F07FCE">
              <w:t xml:space="preserve">Insecticides such as synthetic pyrethroids are already registered for and used in Australian orchards to control other weevil species </w:t>
            </w:r>
            <w:r w:rsidRPr="00F07FCE">
              <w:rPr>
                <w:noProof/>
              </w:rPr>
              <w:t>(APVMA 2018)</w:t>
            </w:r>
            <w:r w:rsidRPr="00F07FCE">
              <w:t xml:space="preserve">. Additional pesticide applications or other control activities may be required to control </w:t>
            </w:r>
            <w:r w:rsidRPr="00F07FCE">
              <w:rPr>
                <w:i/>
              </w:rPr>
              <w:t>A. quadrigibbus</w:t>
            </w:r>
            <w:r w:rsidRPr="00F07FCE">
              <w:t xml:space="preserve"> on susceptible host plants. Any additional insecticide usage may affect the environment.</w:t>
            </w:r>
          </w:p>
        </w:tc>
      </w:tr>
    </w:tbl>
    <w:p w14:paraId="5473F20F" w14:textId="77777777" w:rsidR="003438A2" w:rsidRPr="00F07FCE" w:rsidRDefault="003438A2" w:rsidP="00AD1C8F">
      <w:pPr>
        <w:pStyle w:val="Heading4"/>
        <w:numPr>
          <w:ilvl w:val="0"/>
          <w:numId w:val="0"/>
        </w:numPr>
      </w:pPr>
    </w:p>
    <w:p w14:paraId="7F1A0409" w14:textId="77777777" w:rsidR="003438A2" w:rsidRPr="00F07FCE" w:rsidRDefault="003438A2" w:rsidP="00AD1C8F">
      <w:pPr>
        <w:pStyle w:val="Heading4"/>
      </w:pPr>
      <w:r w:rsidRPr="00F07FCE">
        <w:t>Unrestricted risk estimate</w:t>
      </w:r>
    </w:p>
    <w:p w14:paraId="2419BE43" w14:textId="77777777" w:rsidR="003438A2" w:rsidRPr="00F07FCE" w:rsidRDefault="003438A2" w:rsidP="00AD1C8F">
      <w:r w:rsidRPr="00F07FCE">
        <w:t xml:space="preserve">Unrestricted risk is the result of combining the </w:t>
      </w:r>
      <w:r>
        <w:t xml:space="preserve">overall </w:t>
      </w:r>
      <w:r w:rsidRPr="00862DBA">
        <w:t>likelihood of</w:t>
      </w:r>
      <w:r w:rsidRPr="00F07FCE">
        <w:t xml:space="preserve"> entry, establishment and spread with the estimate of consequences. </w:t>
      </w:r>
      <w:r>
        <w:t>The overall l</w:t>
      </w:r>
      <w:r w:rsidRPr="00F07FCE">
        <w:t xml:space="preserve">ikelihood and consequences are combined using the risk estimation matrix shown in </w:t>
      </w:r>
      <w:r w:rsidRPr="00F07FCE">
        <w:fldChar w:fldCharType="begin" w:fldLock="1"/>
      </w:r>
      <w:r w:rsidRPr="00F07FCE">
        <w:instrText xml:space="preserve"> REF _Ref457826369 \h </w:instrText>
      </w:r>
      <w:r>
        <w:instrText xml:space="preserve"> \* MERGEFORMAT </w:instrText>
      </w:r>
      <w:r w:rsidRPr="00F07FCE">
        <w:fldChar w:fldCharType="separate"/>
      </w:r>
      <w:r>
        <w:t xml:space="preserve">Table </w:t>
      </w:r>
      <w:r>
        <w:rPr>
          <w:noProof/>
        </w:rPr>
        <w:t>2.5</w:t>
      </w:r>
      <w:r w:rsidRPr="00F07FCE">
        <w:fldChar w:fldCharType="end"/>
      </w:r>
      <w:r w:rsidRPr="00F07FCE">
        <w:t>.</w:t>
      </w:r>
    </w:p>
    <w:tbl>
      <w:tblPr>
        <w:tblStyle w:val="TableGridLight2"/>
        <w:tblW w:w="943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1E0" w:firstRow="1" w:lastRow="1" w:firstColumn="1" w:lastColumn="1" w:noHBand="0" w:noVBand="0"/>
      </w:tblPr>
      <w:tblGrid>
        <w:gridCol w:w="6459"/>
        <w:gridCol w:w="2977"/>
      </w:tblGrid>
      <w:tr w:rsidR="003438A2" w:rsidRPr="00F07FCE" w14:paraId="733A3E12" w14:textId="77777777" w:rsidTr="00887A71">
        <w:tc>
          <w:tcPr>
            <w:tcW w:w="9436" w:type="dxa"/>
            <w:gridSpan w:val="2"/>
            <w:hideMark/>
          </w:tcPr>
          <w:p w14:paraId="0AA4E6E3" w14:textId="77777777" w:rsidR="003438A2" w:rsidRPr="00F07FCE" w:rsidRDefault="003438A2" w:rsidP="00887A71">
            <w:pPr>
              <w:pStyle w:val="TableHeading"/>
              <w:rPr>
                <w:i/>
              </w:rPr>
            </w:pPr>
            <w:r w:rsidRPr="00F07FCE">
              <w:t xml:space="preserve">Unrestricted risk estimate for </w:t>
            </w:r>
            <w:r w:rsidRPr="00F07FCE">
              <w:rPr>
                <w:i/>
              </w:rPr>
              <w:t>Anthonomus quadrigibbus</w:t>
            </w:r>
          </w:p>
        </w:tc>
      </w:tr>
      <w:tr w:rsidR="003438A2" w:rsidRPr="00F07FCE" w14:paraId="344DDBE3" w14:textId="77777777" w:rsidTr="00887A71">
        <w:tc>
          <w:tcPr>
            <w:tcW w:w="6459" w:type="dxa"/>
            <w:hideMark/>
          </w:tcPr>
          <w:p w14:paraId="1C6C2DCE" w14:textId="77777777" w:rsidR="003438A2" w:rsidRPr="00F07FCE" w:rsidRDefault="003438A2" w:rsidP="00887A71">
            <w:pPr>
              <w:pStyle w:val="TableText"/>
            </w:pPr>
            <w:r w:rsidRPr="00F07FCE">
              <w:t>Overall likelihood of entry, establishment and spread</w:t>
            </w:r>
          </w:p>
        </w:tc>
        <w:tc>
          <w:tcPr>
            <w:tcW w:w="2977" w:type="dxa"/>
            <w:hideMark/>
          </w:tcPr>
          <w:p w14:paraId="7D25F5A6" w14:textId="77777777" w:rsidR="003438A2" w:rsidRPr="00F07FCE" w:rsidRDefault="003438A2" w:rsidP="00887A71">
            <w:pPr>
              <w:pStyle w:val="TableText"/>
            </w:pPr>
            <w:r w:rsidRPr="00F07FCE">
              <w:t>Low</w:t>
            </w:r>
          </w:p>
        </w:tc>
      </w:tr>
      <w:tr w:rsidR="003438A2" w:rsidRPr="00F07FCE" w14:paraId="32AAB3EF" w14:textId="77777777" w:rsidTr="00887A71">
        <w:tc>
          <w:tcPr>
            <w:tcW w:w="6459" w:type="dxa"/>
            <w:hideMark/>
          </w:tcPr>
          <w:p w14:paraId="29F97399" w14:textId="77777777" w:rsidR="003438A2" w:rsidRPr="00F07FCE" w:rsidRDefault="003438A2" w:rsidP="00887A71">
            <w:pPr>
              <w:pStyle w:val="TableText"/>
            </w:pPr>
            <w:r w:rsidRPr="00F07FCE">
              <w:t>Consequences</w:t>
            </w:r>
          </w:p>
        </w:tc>
        <w:tc>
          <w:tcPr>
            <w:tcW w:w="2977" w:type="dxa"/>
            <w:hideMark/>
          </w:tcPr>
          <w:p w14:paraId="61D49025" w14:textId="77777777" w:rsidR="003438A2" w:rsidRPr="00F07FCE" w:rsidRDefault="003438A2" w:rsidP="00887A71">
            <w:pPr>
              <w:pStyle w:val="TableText"/>
            </w:pPr>
            <w:r w:rsidRPr="00F07FCE">
              <w:t>Low</w:t>
            </w:r>
          </w:p>
        </w:tc>
      </w:tr>
      <w:tr w:rsidR="003438A2" w:rsidRPr="00F07FCE" w14:paraId="401D625B" w14:textId="77777777" w:rsidTr="00887A71">
        <w:tc>
          <w:tcPr>
            <w:tcW w:w="6459" w:type="dxa"/>
            <w:hideMark/>
          </w:tcPr>
          <w:p w14:paraId="59C59F28" w14:textId="77777777" w:rsidR="003438A2" w:rsidRPr="00F07FCE" w:rsidRDefault="003438A2" w:rsidP="00887A71">
            <w:pPr>
              <w:pStyle w:val="TableText"/>
            </w:pPr>
            <w:r w:rsidRPr="00F07FCE">
              <w:t>Unrestricted risk</w:t>
            </w:r>
          </w:p>
        </w:tc>
        <w:tc>
          <w:tcPr>
            <w:tcW w:w="2977" w:type="dxa"/>
            <w:hideMark/>
          </w:tcPr>
          <w:p w14:paraId="0D779860" w14:textId="77777777" w:rsidR="003438A2" w:rsidRPr="00F07FCE" w:rsidRDefault="003438A2" w:rsidP="00887A71">
            <w:pPr>
              <w:pStyle w:val="TableText"/>
            </w:pPr>
            <w:r w:rsidRPr="00F07FCE">
              <w:t>Very Low</w:t>
            </w:r>
          </w:p>
        </w:tc>
      </w:tr>
    </w:tbl>
    <w:p w14:paraId="425321D6" w14:textId="77777777" w:rsidR="003438A2" w:rsidRPr="00F07FCE" w:rsidRDefault="003438A2" w:rsidP="00AD1C8F">
      <w:pPr>
        <w:spacing w:before="120"/>
      </w:pPr>
      <w:r w:rsidRPr="00F07FCE">
        <w:t xml:space="preserve">The unrestricted risk estimate for </w:t>
      </w:r>
      <w:r w:rsidRPr="00F07FCE">
        <w:rPr>
          <w:i/>
        </w:rPr>
        <w:t>A. quadrigibbus</w:t>
      </w:r>
      <w:r w:rsidRPr="00F07FCE">
        <w:t xml:space="preserve"> has been assessed as Very Low, which achieves the ALOP for Australia. Therefore, no specific risk management measures are required for this pest.</w:t>
      </w:r>
    </w:p>
    <w:p w14:paraId="0A45F459" w14:textId="77777777" w:rsidR="003438A2" w:rsidRDefault="003438A2" w:rsidP="00C25EA7">
      <w:pPr>
        <w:spacing w:after="0" w:line="240" w:lineRule="auto"/>
      </w:pPr>
      <w:r>
        <w:br w:type="page"/>
      </w:r>
    </w:p>
    <w:p w14:paraId="38BBB97F" w14:textId="77777777" w:rsidR="003438A2" w:rsidRDefault="003438A2" w:rsidP="00C25EA7">
      <w:pPr>
        <w:pStyle w:val="Heading3"/>
      </w:pPr>
      <w:bookmarkStart w:id="196" w:name="_Toc112769004"/>
      <w:bookmarkStart w:id="197" w:name="_Hlk92215625"/>
      <w:r w:rsidRPr="002D5F0A">
        <w:lastRenderedPageBreak/>
        <w:t>Apple leafcurling midge</w:t>
      </w:r>
      <w:bookmarkEnd w:id="196"/>
    </w:p>
    <w:p w14:paraId="14C81BB3" w14:textId="77777777" w:rsidR="003438A2" w:rsidRPr="006036C0" w:rsidRDefault="003438A2" w:rsidP="00C25EA7">
      <w:pPr>
        <w:pStyle w:val="Heading4"/>
        <w:numPr>
          <w:ilvl w:val="0"/>
          <w:numId w:val="0"/>
        </w:numPr>
        <w:rPr>
          <w:b w:val="0"/>
        </w:rPr>
      </w:pPr>
      <w:r w:rsidRPr="00CA05CE">
        <w:rPr>
          <w:i/>
        </w:rPr>
        <w:t>Dasineura mali</w:t>
      </w:r>
      <w:r>
        <w:rPr>
          <w:i/>
        </w:rPr>
        <w:t xml:space="preserve"> </w:t>
      </w:r>
      <w:r>
        <w:t>(EP)</w:t>
      </w:r>
    </w:p>
    <w:p w14:paraId="5BDB5E58" w14:textId="77777777" w:rsidR="003438A2" w:rsidRPr="00A17EEF" w:rsidRDefault="003438A2" w:rsidP="00C25EA7">
      <w:pPr>
        <w:rPr>
          <w:noProof/>
        </w:rPr>
      </w:pPr>
      <w:r>
        <w:rPr>
          <w:i/>
        </w:rPr>
        <w:t>Dasineura </w:t>
      </w:r>
      <w:r w:rsidRPr="00551846">
        <w:rPr>
          <w:i/>
        </w:rPr>
        <w:t>mali</w:t>
      </w:r>
      <w:r>
        <w:t xml:space="preserve">, commonly known as the apple leafcurling midge, </w:t>
      </w:r>
      <w:r w:rsidRPr="00551846">
        <w:t xml:space="preserve">is a small fly </w:t>
      </w:r>
      <w:r>
        <w:t xml:space="preserve">that belongs to the </w:t>
      </w:r>
      <w:r w:rsidRPr="00057234">
        <w:t xml:space="preserve">family </w:t>
      </w:r>
      <w:r>
        <w:t>Cecidomyiidae (gall midges).</w:t>
      </w:r>
      <w:r w:rsidRPr="00060D73">
        <w:t xml:space="preserve"> </w:t>
      </w:r>
      <w:r w:rsidRPr="006148BB">
        <w:t>Apple trees</w:t>
      </w:r>
      <w:r>
        <w:t xml:space="preserve">, </w:t>
      </w:r>
      <w:r w:rsidRPr="006148BB">
        <w:t>including crabapple</w:t>
      </w:r>
      <w:r>
        <w:t xml:space="preserve"> (</w:t>
      </w:r>
      <w:r>
        <w:rPr>
          <w:i/>
        </w:rPr>
        <w:t>Malus baccata</w:t>
      </w:r>
      <w:r w:rsidRPr="006148BB">
        <w:t>)</w:t>
      </w:r>
      <w:r>
        <w:t xml:space="preserve"> </w:t>
      </w:r>
      <w:r w:rsidRPr="007D41F9">
        <w:rPr>
          <w:noProof/>
        </w:rPr>
        <w:t>(Beers 2017; LaGasa 2007; Ministry of Agriculture 2016)</w:t>
      </w:r>
      <w:r>
        <w:t xml:space="preserve"> </w:t>
      </w:r>
      <w:r w:rsidRPr="00B81F41">
        <w:t xml:space="preserve">and ornamental </w:t>
      </w:r>
      <w:r w:rsidRPr="00B81F41">
        <w:rPr>
          <w:i/>
          <w:iCs/>
        </w:rPr>
        <w:t>Malus</w:t>
      </w:r>
      <w:r w:rsidRPr="00B81F41">
        <w:t xml:space="preserve"> species </w:t>
      </w:r>
      <w:r>
        <w:rPr>
          <w:noProof/>
        </w:rPr>
        <w:t>(Dupont 2020b)</w:t>
      </w:r>
      <w:r>
        <w:t xml:space="preserve"> </w:t>
      </w:r>
      <w:r w:rsidRPr="006148BB">
        <w:t xml:space="preserve">are the only </w:t>
      </w:r>
      <w:r>
        <w:t xml:space="preserve">known </w:t>
      </w:r>
      <w:r w:rsidRPr="006148BB">
        <w:t xml:space="preserve">hosts of </w:t>
      </w:r>
      <w:r>
        <w:rPr>
          <w:i/>
        </w:rPr>
        <w:t>D. </w:t>
      </w:r>
      <w:r w:rsidRPr="006148BB">
        <w:rPr>
          <w:i/>
        </w:rPr>
        <w:t>mali</w:t>
      </w:r>
      <w:r>
        <w:t>.</w:t>
      </w:r>
      <w:r w:rsidRPr="00A17EEF">
        <w:t xml:space="preserve"> </w:t>
      </w:r>
    </w:p>
    <w:p w14:paraId="09BF3847" w14:textId="77777777" w:rsidR="003438A2" w:rsidRPr="00E92BAC" w:rsidRDefault="003438A2" w:rsidP="00CC009B">
      <w:pPr>
        <w:rPr>
          <w:color w:val="00B050"/>
        </w:rPr>
      </w:pPr>
      <w:r>
        <w:rPr>
          <w:i/>
        </w:rPr>
        <w:t>Dasineura </w:t>
      </w:r>
      <w:r w:rsidRPr="00551846">
        <w:rPr>
          <w:i/>
        </w:rPr>
        <w:t>mali</w:t>
      </w:r>
      <w:r>
        <w:rPr>
          <w:i/>
        </w:rPr>
        <w:t xml:space="preserve"> </w:t>
      </w:r>
      <w:r w:rsidRPr="00B81F41">
        <w:rPr>
          <w:lang w:val="en-US"/>
        </w:rPr>
        <w:t>is native to Europe</w:t>
      </w:r>
      <w:r>
        <w:rPr>
          <w:lang w:val="en-US"/>
        </w:rPr>
        <w:t xml:space="preserve"> </w:t>
      </w:r>
      <w:r w:rsidRPr="00B81F41">
        <w:rPr>
          <w:lang w:val="en-US"/>
        </w:rPr>
        <w:t>(</w:t>
      </w:r>
      <w:r w:rsidRPr="00B81F41">
        <w:rPr>
          <w:noProof/>
        </w:rPr>
        <w:t>Antonelli &amp; Glass, 2005</w:t>
      </w:r>
      <w:r>
        <w:rPr>
          <w:noProof/>
        </w:rPr>
        <w:t xml:space="preserve">). </w:t>
      </w:r>
      <w:r w:rsidRPr="00B81F41">
        <w:rPr>
          <w:lang w:val="en-US"/>
        </w:rPr>
        <w:t>It has spread to New Zealand, Argentina, Canada and the United States where it has been present in New York and Massachusetts since the 1960s and the state of Washington since 1994.</w:t>
      </w:r>
      <w:r w:rsidRPr="00B81F41">
        <w:t xml:space="preserve"> In the PNW-USA, </w:t>
      </w:r>
      <w:r w:rsidRPr="00B81F41">
        <w:rPr>
          <w:i/>
          <w:iCs/>
        </w:rPr>
        <w:t>D. mali</w:t>
      </w:r>
      <w:r w:rsidRPr="00B81F41">
        <w:t xml:space="preserve"> has a restricted distribution, with the species only reported in parts of Washington and no reports of the species in Idaho and </w:t>
      </w:r>
      <w:bookmarkStart w:id="198" w:name="_Hlk109028373"/>
      <w:r w:rsidRPr="00B81F41">
        <w:t>Oregon</w:t>
      </w:r>
      <w:r>
        <w:t xml:space="preserve"> </w:t>
      </w:r>
      <w:r>
        <w:rPr>
          <w:noProof/>
        </w:rPr>
        <w:t>(Beers 2017; CABI 2022)</w:t>
      </w:r>
      <w:r>
        <w:t>.</w:t>
      </w:r>
      <w:bookmarkEnd w:id="198"/>
      <w:r w:rsidRPr="00B81F41">
        <w:t xml:space="preserve"> In Washington, </w:t>
      </w:r>
      <w:r w:rsidRPr="00B81F41">
        <w:rPr>
          <w:i/>
          <w:iCs/>
        </w:rPr>
        <w:t>D. mali</w:t>
      </w:r>
      <w:r w:rsidRPr="00B81F41">
        <w:t xml:space="preserve"> has only been reported in the counties of Whatcom, Skagit, Okanogan and Adams (Othello region)</w:t>
      </w:r>
      <w:r>
        <w:t xml:space="preserve"> </w:t>
      </w:r>
      <w:bookmarkStart w:id="199" w:name="_Hlk108971341"/>
      <w:r w:rsidRPr="007D41F9">
        <w:rPr>
          <w:noProof/>
        </w:rPr>
        <w:t>(Antonelli &amp; Glass 2005; Beers 2017; Eddy 2013; LaGasa 2007)</w:t>
      </w:r>
      <w:r w:rsidRPr="007D41F9">
        <w:t>.</w:t>
      </w:r>
      <w:bookmarkStart w:id="200" w:name="_Hlk108949878"/>
      <w:bookmarkEnd w:id="199"/>
      <w:r w:rsidRPr="00B81F41">
        <w:t xml:space="preserve"> </w:t>
      </w:r>
      <w:bookmarkEnd w:id="200"/>
      <w:r w:rsidRPr="00B81F41">
        <w:t xml:space="preserve">In areas where </w:t>
      </w:r>
      <w:r w:rsidRPr="00B81F41">
        <w:rPr>
          <w:i/>
          <w:iCs/>
        </w:rPr>
        <w:t xml:space="preserve">D. mali </w:t>
      </w:r>
      <w:r w:rsidRPr="00B81F41">
        <w:t>does occur, it is generally not considered an economic pest of established orchards</w:t>
      </w:r>
      <w:r>
        <w:t xml:space="preserve"> </w:t>
      </w:r>
      <w:bookmarkStart w:id="201" w:name="_Hlk108979422"/>
      <w:r>
        <w:rPr>
          <w:noProof/>
        </w:rPr>
        <w:t>(Beers 2017; LaGasa 2007)</w:t>
      </w:r>
      <w:r>
        <w:t>.</w:t>
      </w:r>
      <w:bookmarkEnd w:id="201"/>
      <w:r>
        <w:t xml:space="preserve"> Maps 4-8 provide more detail on the states comprising the PNW-USA.</w:t>
      </w:r>
    </w:p>
    <w:p w14:paraId="07DEBB43" w14:textId="77777777" w:rsidR="003438A2" w:rsidRDefault="003438A2" w:rsidP="00684371">
      <w:r w:rsidRPr="00B81F41">
        <w:rPr>
          <w:i/>
          <w:iCs/>
          <w:lang w:val="en-US"/>
        </w:rPr>
        <w:t>Dasineura mali</w:t>
      </w:r>
      <w:r w:rsidRPr="00B81F41">
        <w:t xml:space="preserve"> can cause severe damage to foliage of developing trees where it occurs</w:t>
      </w:r>
      <w:r>
        <w:t xml:space="preserve"> </w:t>
      </w:r>
      <w:r>
        <w:rPr>
          <w:noProof/>
        </w:rPr>
        <w:t>(Beers 2017; Collyer &amp; Van Geldermalsen 1975; Kolbe 1982)</w:t>
      </w:r>
      <w:r>
        <w:t xml:space="preserve">. </w:t>
      </w:r>
      <w:r w:rsidRPr="006148BB">
        <w:t xml:space="preserve">Terminal shoots </w:t>
      </w:r>
      <w:r>
        <w:t xml:space="preserve">become </w:t>
      </w:r>
      <w:r w:rsidRPr="006148BB">
        <w:t xml:space="preserve">stunted as a result of leaf damage. </w:t>
      </w:r>
      <w:r w:rsidRPr="00F173CA">
        <w:t>Severe defoliation may also</w:t>
      </w:r>
      <w:r>
        <w:t xml:space="preserve"> </w:t>
      </w:r>
      <w:r w:rsidRPr="00F173CA">
        <w:t xml:space="preserve">occur if fresh terminal growth is available late in the season and if midge populations are high </w:t>
      </w:r>
      <w:r>
        <w:rPr>
          <w:noProof/>
        </w:rPr>
        <w:t>(Todd 1959)</w:t>
      </w:r>
      <w:r>
        <w:t>.</w:t>
      </w:r>
    </w:p>
    <w:p w14:paraId="06C2A70D" w14:textId="55C2D643" w:rsidR="003438A2" w:rsidRDefault="003438A2" w:rsidP="00C25EA7">
      <w:r>
        <w:rPr>
          <w:i/>
        </w:rPr>
        <w:t>Dasineura </w:t>
      </w:r>
      <w:r w:rsidRPr="00551846">
        <w:rPr>
          <w:i/>
        </w:rPr>
        <w:t>mali</w:t>
      </w:r>
      <w:r>
        <w:t xml:space="preserve"> has</w:t>
      </w:r>
      <w:r w:rsidRPr="006148BB">
        <w:t xml:space="preserve"> </w:t>
      </w:r>
      <w:r>
        <w:t xml:space="preserve">four </w:t>
      </w:r>
      <w:r w:rsidRPr="006148BB">
        <w:t>life stages: egg, larva (or maggot), pupa and adult.</w:t>
      </w:r>
      <w:r>
        <w:t xml:space="preserve"> In the PNW-USA, </w:t>
      </w:r>
      <w:r>
        <w:rPr>
          <w:i/>
        </w:rPr>
        <w:t>D. </w:t>
      </w:r>
      <w:r w:rsidRPr="006148BB">
        <w:rPr>
          <w:i/>
        </w:rPr>
        <w:t>mali</w:t>
      </w:r>
      <w:r>
        <w:t xml:space="preserve"> produces two to three overlapping generations each season </w:t>
      </w:r>
      <w:r w:rsidRPr="00CE40D1">
        <w:rPr>
          <w:noProof/>
        </w:rPr>
        <w:t>(Beers 2017; LaGasa 2007)</w:t>
      </w:r>
      <w:r w:rsidRPr="00CE40D1">
        <w:t>.</w:t>
      </w:r>
      <w:bookmarkStart w:id="202" w:name="_Hlk108949931"/>
      <w:r w:rsidRPr="009D0ABE">
        <w:t xml:space="preserve"> </w:t>
      </w:r>
      <w:bookmarkEnd w:id="202"/>
      <w:r w:rsidRPr="009D0ABE">
        <w:t>The adult female deposits eggs in the leaf folds of immature</w:t>
      </w:r>
      <w:r w:rsidRPr="006148BB">
        <w:t xml:space="preserve"> apple leaves. After hatching, the tiny</w:t>
      </w:r>
      <w:r>
        <w:t xml:space="preserve"> legless</w:t>
      </w:r>
      <w:r w:rsidRPr="006148BB">
        <w:t xml:space="preserve"> pinkish-orange larvae begin feeding</w:t>
      </w:r>
      <w:r>
        <w:t>,</w:t>
      </w:r>
      <w:r w:rsidRPr="006148BB">
        <w:t xml:space="preserve"> causing the margins of the apple leaves to become tightly curled. Infested leaves eventually roll into distorted tubes </w:t>
      </w:r>
      <w:r>
        <w:t xml:space="preserve">or galls, </w:t>
      </w:r>
      <w:r w:rsidRPr="006148BB">
        <w:t>and may discolour</w:t>
      </w:r>
      <w:r>
        <w:t>,</w:t>
      </w:r>
      <w:r w:rsidRPr="006148BB">
        <w:t xml:space="preserve"> becoming red to brown and then brittle, before </w:t>
      </w:r>
      <w:r>
        <w:t>f</w:t>
      </w:r>
      <w:r w:rsidRPr="006148BB">
        <w:t>inally drop</w:t>
      </w:r>
      <w:r>
        <w:t>ping</w:t>
      </w:r>
      <w:r w:rsidRPr="006148BB">
        <w:t xml:space="preserve"> from the tree. Full</w:t>
      </w:r>
      <w:r>
        <w:t>y-</w:t>
      </w:r>
      <w:r w:rsidRPr="006148BB">
        <w:t>grown larvae are 1.5</w:t>
      </w:r>
      <w:r>
        <w:t xml:space="preserve"> to </w:t>
      </w:r>
      <w:r w:rsidRPr="006148BB">
        <w:t>2.5</w:t>
      </w:r>
      <w:r>
        <w:t xml:space="preserve"> </w:t>
      </w:r>
      <w:r w:rsidRPr="006148BB">
        <w:t xml:space="preserve">mm </w:t>
      </w:r>
      <w:r>
        <w:t>in length</w:t>
      </w:r>
      <w:r w:rsidRPr="006148BB">
        <w:t xml:space="preserve"> </w:t>
      </w:r>
      <w:r>
        <w:rPr>
          <w:noProof/>
        </w:rPr>
        <w:t>(LaGasa 2007)</w:t>
      </w:r>
      <w:r w:rsidRPr="006148BB">
        <w:t>. Pupation takes place in a white silken cocoon 2</w:t>
      </w:r>
      <w:r>
        <w:t xml:space="preserve"> to </w:t>
      </w:r>
      <w:r w:rsidRPr="006148BB">
        <w:t>2.5</w:t>
      </w:r>
      <w:r>
        <w:t xml:space="preserve"> </w:t>
      </w:r>
      <w:r w:rsidRPr="006148BB">
        <w:t>mm in length</w:t>
      </w:r>
      <w:r>
        <w:t>, usually in the ground</w:t>
      </w:r>
      <w:r w:rsidRPr="006148BB">
        <w:t xml:space="preserve"> </w:t>
      </w:r>
      <w:r>
        <w:rPr>
          <w:noProof/>
        </w:rPr>
        <w:t>(LaGasa 2007)</w:t>
      </w:r>
      <w:r w:rsidRPr="006148BB">
        <w:t>.</w:t>
      </w:r>
      <w:r>
        <w:t xml:space="preserve"> T</w:t>
      </w:r>
      <w:r w:rsidRPr="006148BB">
        <w:t xml:space="preserve">here </w:t>
      </w:r>
      <w:r>
        <w:t>are</w:t>
      </w:r>
      <w:r w:rsidRPr="006148BB">
        <w:t xml:space="preserve"> no </w:t>
      </w:r>
      <w:r>
        <w:t xml:space="preserve">reports </w:t>
      </w:r>
      <w:r w:rsidRPr="006148BB">
        <w:t xml:space="preserve">of </w:t>
      </w:r>
      <w:r>
        <w:rPr>
          <w:i/>
        </w:rPr>
        <w:t>D. </w:t>
      </w:r>
      <w:r w:rsidRPr="006148BB">
        <w:rPr>
          <w:i/>
        </w:rPr>
        <w:t>mali</w:t>
      </w:r>
      <w:r w:rsidRPr="006148BB">
        <w:t xml:space="preserve"> larvae or pupae occurring on apple fruit in the</w:t>
      </w:r>
      <w:r w:rsidRPr="005A7859">
        <w:t xml:space="preserve"> </w:t>
      </w:r>
      <w:bookmarkStart w:id="203" w:name="_Hlk108949950"/>
      <w:r w:rsidRPr="00B17F0B">
        <w:t>US</w:t>
      </w:r>
      <w:r>
        <w:t xml:space="preserve">A </w:t>
      </w:r>
      <w:r w:rsidRPr="00CE40D1">
        <w:rPr>
          <w:noProof/>
        </w:rPr>
        <w:t>(Antonelli &amp; Glass 2005; LaGasa 2007)</w:t>
      </w:r>
      <w:r w:rsidRPr="00CE40D1">
        <w:t>.</w:t>
      </w:r>
      <w:r>
        <w:t xml:space="preserve"> </w:t>
      </w:r>
      <w:bookmarkEnd w:id="203"/>
      <w:r>
        <w:t xml:space="preserve">However, it has been reported </w:t>
      </w:r>
      <w:r w:rsidRPr="006148BB">
        <w:t>in New Zealand</w:t>
      </w:r>
      <w:r>
        <w:t xml:space="preserve"> that </w:t>
      </w:r>
      <w:r w:rsidRPr="006148BB">
        <w:t xml:space="preserve">larvae falling from leaves </w:t>
      </w:r>
      <w:r>
        <w:t xml:space="preserve">may </w:t>
      </w:r>
      <w:r w:rsidRPr="006148BB">
        <w:t>become caught on apple</w:t>
      </w:r>
      <w:r>
        <w:t xml:space="preserve"> fruit, where they pupate</w:t>
      </w:r>
      <w:r w:rsidRPr="006148BB">
        <w:t xml:space="preserve">. </w:t>
      </w:r>
      <w:r>
        <w:t xml:space="preserve">Under these circumstances, </w:t>
      </w:r>
      <w:r w:rsidRPr="006148BB">
        <w:t>pupa</w:t>
      </w:r>
      <w:r>
        <w:t>e</w:t>
      </w:r>
      <w:r w:rsidRPr="006148BB">
        <w:t xml:space="preserve"> </w:t>
      </w:r>
      <w:r>
        <w:t>may</w:t>
      </w:r>
      <w:r w:rsidRPr="006148BB">
        <w:t xml:space="preserve"> attach to the apple at either the stalk or calyx end of the fruit</w:t>
      </w:r>
      <w:r>
        <w:t>,</w:t>
      </w:r>
      <w:r w:rsidRPr="006148BB">
        <w:t xml:space="preserve"> </w:t>
      </w:r>
      <w:r w:rsidRPr="00B81F41">
        <w:t>as reported by Lowe (1993) in</w:t>
      </w:r>
      <w:r w:rsidR="006A7675">
        <w:t xml:space="preserve"> </w:t>
      </w:r>
      <w:r w:rsidR="006A7675">
        <w:fldChar w:fldCharType="begin"/>
      </w:r>
      <w:r w:rsidR="006A7675">
        <w:instrText xml:space="preserve"> ADDIN EN.CITE &lt;EndNote&gt;&lt;Cite AuthorYear="1"&gt;&lt;Author&gt;Smith&lt;/Author&gt;&lt;Year&gt;1995&lt;/Year&gt;&lt;RecNum&gt;2079&lt;/RecNum&gt;&lt;DisplayText&gt;Smith and Chapman (1995)&lt;/DisplayText&gt;&lt;record&gt;&lt;rec-number&gt;2079&lt;/rec-number&gt;&lt;foreign-keys&gt;&lt;key app="EN" db-id="pxwxw0er9zv2fxezxdk5tt5utz5p5vtrwdv0" timestamp="1451972417"&gt;2079&lt;/key&gt;&lt;/foreign-keys&gt;&lt;ref-type name="Journal Articles"&gt;17&lt;/ref-type&gt;&lt;contributors&gt;&lt;authors&gt;&lt;author&gt;Smith,J.T.&lt;/author&gt;&lt;author&gt;Chapman,R.B.&lt;/author&gt;&lt;/authors&gt;&lt;/contributors&gt;&lt;titles&gt;&lt;title&gt;&lt;style face="normal" font="default" size="100%"&gt;A survey of apple leafcurling midge (&lt;/style&gt;&lt;style face="italic" font="default" size="100%"&gt;Dasyneura mali&lt;/style&gt;&lt;style face="normal" font="default" size="100%"&gt;) in the Nelson District&lt;/style&gt;&lt;/title&gt;&lt;secondary-title&gt;Fruit Crops&lt;/secondary-title&gt;&lt;/titles&gt;&lt;periodical&gt;&lt;full-title&gt;Fruit Crops&lt;/full-title&gt;&lt;/periodical&gt;&lt;pages&gt;117-120&lt;/pages&gt;&lt;volume&gt;48&lt;/volume&gt;&lt;keywords&gt;&lt;keyword&gt;Apple&lt;/keyword&gt;&lt;keyword&gt;Apples&lt;/keyword&gt;&lt;keyword&gt;Dasyneura mali&lt;/keyword&gt;&lt;keyword&gt;Mali&lt;/keyword&gt;&lt;keyword&gt;Survey&lt;/keyword&gt;&lt;keyword&gt;Surveys&lt;/keyword&gt;&lt;/keywords&gt;&lt;dates&gt;&lt;year&gt;1995&lt;/year&gt;&lt;/dates&gt;&lt;orig-pub&gt;&lt;style face="underline" font="default" size="100%"&gt;J:\E Library\Plant Catalogue\S&lt;/style&gt;&lt;/orig-pub&gt;&lt;label&gt;11260&lt;/label&gt;&lt;urls&gt;&lt;related-urls&gt;&lt;url&gt;&lt;style face="underline" font="default" size="100%"&gt;http://www.hortnet.co.nz/publications/nzpps/proceeds.htm&lt;/style&gt;&lt;/url&gt;&lt;/related-urls&gt;&lt;pdf-urls&gt;&lt;url&gt;file://J:\E Library\Plant Catalogue\S\Smith and Chapman 1995 EN2079 ID11260.pdf&lt;/url&gt;&lt;/pdf-urls&gt;&lt;/urls&gt;&lt;custom1&gt;US apples sp kmk&lt;/custom1&gt;&lt;/record&gt;&lt;/Cite&gt;&lt;/EndNote&gt;</w:instrText>
      </w:r>
      <w:r w:rsidR="006A7675">
        <w:fldChar w:fldCharType="separate"/>
      </w:r>
      <w:r w:rsidR="006A7675">
        <w:rPr>
          <w:noProof/>
        </w:rPr>
        <w:t>Smith and Chapman (1995)</w:t>
      </w:r>
      <w:r w:rsidR="006A7675">
        <w:fldChar w:fldCharType="end"/>
      </w:r>
      <w:r w:rsidR="006A7675">
        <w:t xml:space="preserve">. </w:t>
      </w:r>
    </w:p>
    <w:p w14:paraId="748F498E" w14:textId="77777777" w:rsidR="003438A2" w:rsidRPr="00BE50FA" w:rsidRDefault="003438A2" w:rsidP="00C25EA7">
      <w:r w:rsidRPr="00234A7E">
        <w:t xml:space="preserve">The risk scenario of biosecurity concern is that larvae and/or pupae of </w:t>
      </w:r>
      <w:r w:rsidRPr="00234A7E">
        <w:rPr>
          <w:i/>
        </w:rPr>
        <w:t>D. mali</w:t>
      </w:r>
      <w:r w:rsidRPr="00234A7E">
        <w:t xml:space="preserve"> may be imported on </w:t>
      </w:r>
      <w:r>
        <w:t xml:space="preserve">the </w:t>
      </w:r>
      <w:r w:rsidRPr="00BE50FA">
        <w:t>apple fruit from PNW-USA pathway.</w:t>
      </w:r>
    </w:p>
    <w:p w14:paraId="3805B064" w14:textId="77777777" w:rsidR="003438A2" w:rsidRPr="00B81F41" w:rsidRDefault="003438A2" w:rsidP="00C25EA7">
      <w:bookmarkStart w:id="204" w:name="_Hlk47594938"/>
      <w:r w:rsidRPr="00BE50FA">
        <w:rPr>
          <w:i/>
        </w:rPr>
        <w:t>Dasineura mali</w:t>
      </w:r>
      <w:r w:rsidRPr="00BE50FA">
        <w:t xml:space="preserve"> has been assessed previously in the existing policy for fresh apple fruit from New Zealand </w:t>
      </w:r>
      <w:r w:rsidRPr="00BE50FA">
        <w:rPr>
          <w:noProof/>
        </w:rPr>
        <w:t>(Biosecurity Australia 2011b)</w:t>
      </w:r>
      <w:r w:rsidRPr="00BE50FA">
        <w:t>. In that</w:t>
      </w:r>
      <w:r w:rsidRPr="00C006EB">
        <w:t xml:space="preserve"> policy, the unrestricted risk estimate for </w:t>
      </w:r>
      <w:r w:rsidRPr="00C006EB">
        <w:rPr>
          <w:i/>
        </w:rPr>
        <w:t>D. mali</w:t>
      </w:r>
      <w:r w:rsidRPr="00C006EB">
        <w:t xml:space="preserve"> was assessed as Negligible when certain industry commercial practices such as in-field controls</w:t>
      </w:r>
      <w:r>
        <w:t xml:space="preserve"> and packing house procedures</w:t>
      </w:r>
      <w:r w:rsidRPr="00C006EB">
        <w:t xml:space="preserve"> were routinely applied, which achieved the ALOP for Australia. Therefore, no specific risk management measures are required for </w:t>
      </w:r>
      <w:r w:rsidRPr="00C006EB">
        <w:rPr>
          <w:i/>
        </w:rPr>
        <w:t>D. mali</w:t>
      </w:r>
      <w:r w:rsidRPr="00C006EB">
        <w:t xml:space="preserve"> on that pathway.</w:t>
      </w:r>
      <w:r>
        <w:t xml:space="preserve"> </w:t>
      </w:r>
      <w:r w:rsidRPr="00B81F41">
        <w:t>Similar commercial production practices are routinely applied to PNW-USA apples (see Chapter 3), and the assessment of likelihood of importation explicitly relies on their continued implementation.</w:t>
      </w:r>
    </w:p>
    <w:p w14:paraId="4D4CC412" w14:textId="77777777" w:rsidR="003438A2" w:rsidRPr="00BE50FA" w:rsidRDefault="003438A2" w:rsidP="00C25EA7">
      <w:bookmarkStart w:id="205" w:name="_Hlk93405116"/>
      <w:bookmarkEnd w:id="204"/>
      <w:r w:rsidRPr="005F36CB">
        <w:lastRenderedPageBreak/>
        <w:t xml:space="preserve">The department </w:t>
      </w:r>
      <w:r w:rsidRPr="00BE50FA">
        <w:t xml:space="preserve">assessed the likelihood of importation of </w:t>
      </w:r>
      <w:r w:rsidRPr="00BE50FA">
        <w:rPr>
          <w:i/>
        </w:rPr>
        <w:t>D. mali</w:t>
      </w:r>
      <w:r w:rsidRPr="00BE50FA">
        <w:t xml:space="preserve"> on fresh apple fruit from New Zealand as Moderate </w:t>
      </w:r>
      <w:r w:rsidRPr="00BE50FA">
        <w:rPr>
          <w:noProof/>
        </w:rPr>
        <w:t>(Biosecurity Australia 2011b)</w:t>
      </w:r>
      <w:r w:rsidRPr="00BE50FA">
        <w:t xml:space="preserve">. </w:t>
      </w:r>
      <w:bookmarkEnd w:id="205"/>
      <w:r w:rsidRPr="00BE50FA">
        <w:t xml:space="preserve">However, differences in pest prevalence, climate and horticultural practices between the export areas make it necessary to assess the likelihood of importation of </w:t>
      </w:r>
      <w:r w:rsidRPr="00BE50FA">
        <w:rPr>
          <w:i/>
        </w:rPr>
        <w:t>D. mali</w:t>
      </w:r>
      <w:r w:rsidRPr="00BE50FA">
        <w:t xml:space="preserve"> associated with the PNW-USA apple pathway. </w:t>
      </w:r>
    </w:p>
    <w:p w14:paraId="150AB4EB" w14:textId="77777777" w:rsidR="003438A2" w:rsidRPr="00BE50FA" w:rsidRDefault="003438A2" w:rsidP="00C25EA7">
      <w:bookmarkStart w:id="206" w:name="_Hlk93405171"/>
      <w:r w:rsidRPr="00BE50FA">
        <w:t xml:space="preserve">Previous assessment of </w:t>
      </w:r>
      <w:r w:rsidRPr="00BE50FA">
        <w:rPr>
          <w:i/>
        </w:rPr>
        <w:t>D. mali</w:t>
      </w:r>
      <w:r w:rsidRPr="00BE50FA">
        <w:t xml:space="preserve"> on the fresh apple fruit from New Zealand pathway</w:t>
      </w:r>
      <w:r w:rsidRPr="00BE50FA">
        <w:rPr>
          <w:rFonts w:eastAsia="Times New Roman" w:cs="Times New Roman"/>
          <w:color w:val="000000"/>
        </w:rPr>
        <w:t xml:space="preserve"> </w:t>
      </w:r>
      <w:r w:rsidRPr="00BE50FA">
        <w:t xml:space="preserve">rated the likelihood of distribution as Very Low. Fresh apple fruit from the PNW-USA is expected to be distributed in Australia (as a result of processing, sale or disposal) in a similar way to apples from New Zealand. Apples from New Zealand are harvested in February to May </w:t>
      </w:r>
      <w:r w:rsidRPr="00BE50FA">
        <w:rPr>
          <w:noProof/>
        </w:rPr>
        <w:t>(AgFirst 2022)</w:t>
      </w:r>
      <w:r w:rsidRPr="00BE50FA">
        <w:t xml:space="preserve"> and can be exported year-round to Australia via either sea freight or air freight. In the PNW-USA, apples are harvested from August until early November </w:t>
      </w:r>
      <w:bookmarkStart w:id="207" w:name="_Hlk107830508"/>
      <w:r w:rsidRPr="00BE50FA">
        <w:rPr>
          <w:noProof/>
        </w:rPr>
        <w:t>(Washington Apple Commission 2019)</w:t>
      </w:r>
      <w:bookmarkEnd w:id="207"/>
      <w:r w:rsidRPr="00BE50FA">
        <w:t xml:space="preserve"> and could be exported year-round to Australia. As apples from both New Zealand and PNW-USA may be imported throughout the year, there would be no seasonal differences between both import pathways to contribute to variation in the risk rating for likelihood of distribution.</w:t>
      </w:r>
    </w:p>
    <w:p w14:paraId="56CB4EB2" w14:textId="77777777" w:rsidR="003438A2" w:rsidRPr="00BE50FA" w:rsidRDefault="003438A2" w:rsidP="00C25EA7">
      <w:r w:rsidRPr="00BE50FA">
        <w:t xml:space="preserve">For </w:t>
      </w:r>
      <w:r w:rsidRPr="00BE50FA">
        <w:rPr>
          <w:i/>
        </w:rPr>
        <w:t xml:space="preserve">D. mali </w:t>
      </w:r>
      <w:r w:rsidRPr="00BE50FA">
        <w:t xml:space="preserve">to successfully distribute within Australia and reach a susceptible part of a host in Australia, pupae entering Australia would need to survive until emergence, and be in sufficient proximity to both a host plant and an individual of the opposite sex, within a limited time window of opportunity. A very large quantity of commercially produced apples would need to be disposed in a single location, and be within flight range of an apple tree (or crabapple tree) which could serve as a host plant. It is considered that this sequence of events would be unlikely to occur. Therefore, the same rating of Very Low for the likelihood of distribution for </w:t>
      </w:r>
      <w:r w:rsidRPr="00BE50FA">
        <w:rPr>
          <w:i/>
        </w:rPr>
        <w:t xml:space="preserve">D. mali </w:t>
      </w:r>
      <w:r w:rsidRPr="00BE50FA">
        <w:t>on the apples from New Zealand pathway is adopted for the PNW-USA apple pathway.</w:t>
      </w:r>
    </w:p>
    <w:p w14:paraId="5096ECC3" w14:textId="77777777" w:rsidR="003438A2" w:rsidRDefault="003438A2" w:rsidP="00C25EA7">
      <w:r w:rsidRPr="00BE50FA">
        <w:t xml:space="preserve">The likelihoods of establishment and spread of </w:t>
      </w:r>
      <w:r w:rsidRPr="00BE50FA">
        <w:rPr>
          <w:i/>
        </w:rPr>
        <w:t>D. mali</w:t>
      </w:r>
      <w:r w:rsidRPr="00BE50FA">
        <w:t xml:space="preserve"> in Australia from the PNW-USA apple pathway have been assessed as similar to those of the previous assessments of Moderate and Moderate, respectively, for apple fruit from New Zealand. These likelihoods relate specifically</w:t>
      </w:r>
      <w:r w:rsidRPr="005F36CB">
        <w:t xml:space="preserve"> to events that occur in Australia and are principally independent of the import pathway. The consequences of entry, establishment and spread for </w:t>
      </w:r>
      <w:r w:rsidRPr="005F36CB">
        <w:rPr>
          <w:i/>
        </w:rPr>
        <w:t>D. mali</w:t>
      </w:r>
      <w:r w:rsidRPr="005F36CB">
        <w:t xml:space="preserve"> are also independent of the import pathway, and have been assessed as being similar between pest risk assessments, and rated as Low. Therefore, the existing ratings for likelihoods of establishment and spread </w:t>
      </w:r>
      <w:r w:rsidRPr="00BE50FA">
        <w:t xml:space="preserve">of Moderate and Moderate, respectively, and the rating for the overall consequences of </w:t>
      </w:r>
      <w:r w:rsidRPr="00BE50FA">
        <w:rPr>
          <w:i/>
        </w:rPr>
        <w:t>D. mali</w:t>
      </w:r>
      <w:r w:rsidRPr="00BE50FA">
        <w:t xml:space="preserve"> of Low have been adopted for the PNW-USA apple pathway.</w:t>
      </w:r>
    </w:p>
    <w:p w14:paraId="4905D679" w14:textId="77777777" w:rsidR="003438A2" w:rsidRPr="00B81F41" w:rsidRDefault="003438A2" w:rsidP="00C25EA7">
      <w:pPr>
        <w:tabs>
          <w:tab w:val="left" w:pos="7371"/>
        </w:tabs>
      </w:pPr>
      <w:bookmarkStart w:id="208" w:name="_Hlk46258289"/>
      <w:bookmarkEnd w:id="206"/>
      <w:r w:rsidRPr="00EF31AE">
        <w:t>In addition, the department has reviewed the latest literature—for example,</w:t>
      </w:r>
      <w:r>
        <w:t xml:space="preserve"> </w:t>
      </w:r>
      <w:r>
        <w:rPr>
          <w:noProof/>
        </w:rPr>
        <w:t>Beers (2017); He and Wang (2015); Lo and Walker (2017); Ministry of Agriculture (2016); Page-Weir et al. (2018); Wearing et al. (2013) and Yuan (2014)</w:t>
      </w:r>
      <w:r>
        <w:t>.</w:t>
      </w:r>
      <w:r w:rsidRPr="008F7F3E">
        <w:t xml:space="preserve"> </w:t>
      </w:r>
      <w:r>
        <w:t>N</w:t>
      </w:r>
      <w:r w:rsidRPr="008F7F3E">
        <w:t xml:space="preserve">o new information has been identified that would significantly change the risk ratings for </w:t>
      </w:r>
      <w:r>
        <w:t xml:space="preserve">distribution, </w:t>
      </w:r>
      <w:r w:rsidRPr="008F7F3E">
        <w:t>establishment</w:t>
      </w:r>
      <w:r>
        <w:t xml:space="preserve"> and</w:t>
      </w:r>
      <w:r w:rsidRPr="008F7F3E">
        <w:t xml:space="preserve"> spread </w:t>
      </w:r>
      <w:r>
        <w:t>and</w:t>
      </w:r>
      <w:r w:rsidRPr="008F7F3E">
        <w:t xml:space="preserve"> </w:t>
      </w:r>
      <w:r w:rsidRPr="00B81F41">
        <w:t xml:space="preserve">consequences as set out for </w:t>
      </w:r>
      <w:r w:rsidRPr="00B81F41">
        <w:rPr>
          <w:i/>
        </w:rPr>
        <w:t>D. mali</w:t>
      </w:r>
      <w:r w:rsidRPr="00B81F41">
        <w:t xml:space="preserve"> in existing policy.</w:t>
      </w:r>
    </w:p>
    <w:bookmarkEnd w:id="208"/>
    <w:p w14:paraId="0001AD70" w14:textId="77777777" w:rsidR="003438A2" w:rsidRPr="00B81F41" w:rsidRDefault="003438A2" w:rsidP="00C25EA7">
      <w:pPr>
        <w:pStyle w:val="Heading4"/>
      </w:pPr>
      <w:r w:rsidRPr="00B81F41">
        <w:t>Likelihood of entry</w:t>
      </w:r>
    </w:p>
    <w:p w14:paraId="5B674E1E" w14:textId="77777777" w:rsidR="003438A2" w:rsidRPr="00B81F41" w:rsidRDefault="003438A2" w:rsidP="00C25EA7">
      <w:r w:rsidRPr="00B81F41">
        <w:t>The likelihood of entry is considered in 2 parts, the likelihood of importation and the likelihood of distribution, which consider pre-border and post-border issues, respectively.</w:t>
      </w:r>
    </w:p>
    <w:p w14:paraId="252CCA17" w14:textId="77777777" w:rsidR="003438A2" w:rsidRPr="003F0509" w:rsidRDefault="003438A2" w:rsidP="00C25EA7">
      <w:pPr>
        <w:pStyle w:val="Heading5"/>
      </w:pPr>
      <w:r w:rsidRPr="003F0509">
        <w:t xml:space="preserve">Likelihood of </w:t>
      </w:r>
      <w:r w:rsidRPr="00E16EE0">
        <w:t xml:space="preserve">importation </w:t>
      </w:r>
    </w:p>
    <w:p w14:paraId="425198FD" w14:textId="77777777" w:rsidR="003438A2" w:rsidRPr="001613E0" w:rsidRDefault="003438A2" w:rsidP="00C25EA7">
      <w:r w:rsidRPr="001613E0">
        <w:t xml:space="preserve">The likelihood that </w:t>
      </w:r>
      <w:r w:rsidRPr="001613E0">
        <w:rPr>
          <w:i/>
        </w:rPr>
        <w:t>D</w:t>
      </w:r>
      <w:r>
        <w:rPr>
          <w:i/>
        </w:rPr>
        <w:t>.</w:t>
      </w:r>
      <w:r w:rsidRPr="001613E0">
        <w:rPr>
          <w:i/>
        </w:rPr>
        <w:t> mali</w:t>
      </w:r>
      <w:r w:rsidRPr="001613E0">
        <w:t xml:space="preserve"> will arrive in Australia with the importation of apples from the PNW-</w:t>
      </w:r>
      <w:r w:rsidRPr="00532469">
        <w:t>USA is assessed as Low.</w:t>
      </w:r>
    </w:p>
    <w:p w14:paraId="4F670A6F" w14:textId="77777777" w:rsidR="003438A2" w:rsidRPr="001613E0" w:rsidRDefault="003438A2" w:rsidP="00C25EA7">
      <w:r w:rsidRPr="001613E0">
        <w:lastRenderedPageBreak/>
        <w:t>The following information provides supporti</w:t>
      </w:r>
      <w:r>
        <w:t>ng evidence for this assessment.</w:t>
      </w:r>
    </w:p>
    <w:p w14:paraId="3F082D13" w14:textId="77777777" w:rsidR="003438A2" w:rsidRPr="005D488B" w:rsidRDefault="003438A2" w:rsidP="00C25EA7">
      <w:pPr>
        <w:rPr>
          <w:i/>
        </w:rPr>
      </w:pPr>
      <w:r w:rsidRPr="005D488B">
        <w:rPr>
          <w:i/>
        </w:rPr>
        <w:t xml:space="preserve">Dasineura mali </w:t>
      </w:r>
      <w:r w:rsidRPr="005D488B">
        <w:t xml:space="preserve">is </w:t>
      </w:r>
      <w:r>
        <w:t xml:space="preserve">present and associated with </w:t>
      </w:r>
      <w:r w:rsidRPr="000340C1">
        <w:t>apple production in the PNW-USA</w:t>
      </w:r>
      <w:r>
        <w:t>.</w:t>
      </w:r>
    </w:p>
    <w:p w14:paraId="37B60932" w14:textId="77777777" w:rsidR="003438A2" w:rsidRPr="00B81F41" w:rsidRDefault="003438A2" w:rsidP="003438A2">
      <w:pPr>
        <w:pStyle w:val="ListBullet"/>
        <w:numPr>
          <w:ilvl w:val="0"/>
          <w:numId w:val="15"/>
        </w:numPr>
      </w:pPr>
      <w:r w:rsidRPr="00B81F41">
        <w:rPr>
          <w:iCs/>
        </w:rPr>
        <w:t>Although</w:t>
      </w:r>
      <w:r w:rsidRPr="00B81F41">
        <w:rPr>
          <w:i/>
        </w:rPr>
        <w:t xml:space="preserve"> D. mali </w:t>
      </w:r>
      <w:r w:rsidRPr="00B81F41">
        <w:rPr>
          <w:iCs/>
        </w:rPr>
        <w:t xml:space="preserve">is present in the PNW-USA, it </w:t>
      </w:r>
      <w:r w:rsidRPr="00B81F41">
        <w:t>is reported only in parts of the state of</w:t>
      </w:r>
      <w:r w:rsidRPr="00B81F41">
        <w:rPr>
          <w:iCs/>
        </w:rPr>
        <w:t xml:space="preserve"> Washington, in </w:t>
      </w:r>
      <w:r w:rsidRPr="00B81F41">
        <w:t>the counties of Whatcom, Skagit, Okanogan and Adams (Othello region)</w:t>
      </w:r>
      <w:r>
        <w:t xml:space="preserve"> </w:t>
      </w:r>
      <w:r>
        <w:rPr>
          <w:noProof/>
        </w:rPr>
        <w:t xml:space="preserve">(Antonelli &amp; Glass 2005; Beers 2017; Eddy 2013; LaGasa 2007). </w:t>
      </w:r>
    </w:p>
    <w:p w14:paraId="5D8B8E17" w14:textId="77777777" w:rsidR="003438A2" w:rsidRDefault="003438A2" w:rsidP="00F77E28">
      <w:pPr>
        <w:pStyle w:val="ListParagraph"/>
        <w:numPr>
          <w:ilvl w:val="0"/>
          <w:numId w:val="16"/>
        </w:numPr>
        <w:spacing w:before="120" w:after="120" w:line="240" w:lineRule="auto"/>
        <w:ind w:left="357" w:hanging="357"/>
      </w:pPr>
      <w:r w:rsidRPr="00B81F41">
        <w:rPr>
          <w:iCs/>
        </w:rPr>
        <w:t xml:space="preserve">Where </w:t>
      </w:r>
      <w:r w:rsidRPr="00B81F41">
        <w:rPr>
          <w:i/>
        </w:rPr>
        <w:t>D. mali</w:t>
      </w:r>
      <w:r w:rsidRPr="00B81F41">
        <w:rPr>
          <w:iCs/>
        </w:rPr>
        <w:t xml:space="preserve"> does occur in Washington, </w:t>
      </w:r>
      <w:bookmarkStart w:id="209" w:name="_Hlk110176780"/>
      <w:r w:rsidRPr="00B81F41">
        <w:rPr>
          <w:iCs/>
        </w:rPr>
        <w:t>it</w:t>
      </w:r>
      <w:r w:rsidRPr="00B81F41">
        <w:t xml:space="preserve"> is generally not considered an economic pest of established apple trees</w:t>
      </w:r>
      <w:bookmarkEnd w:id="209"/>
      <w:r>
        <w:t>;</w:t>
      </w:r>
      <w:r w:rsidRPr="00B81F41">
        <w:t xml:space="preserve"> orchards </w:t>
      </w:r>
      <w:r>
        <w:t xml:space="preserve">in those areas </w:t>
      </w:r>
      <w:r w:rsidRPr="00B81F41">
        <w:t xml:space="preserve">are subjected to </w:t>
      </w:r>
      <w:r>
        <w:t xml:space="preserve">several </w:t>
      </w:r>
      <w:r w:rsidRPr="00B81F41">
        <w:t xml:space="preserve">pest management practices including monitoring, insecticidal sprays and biological control </w:t>
      </w:r>
      <w:bookmarkStart w:id="210" w:name="_Hlk108949983"/>
      <w:r>
        <w:rPr>
          <w:noProof/>
        </w:rPr>
        <w:t>(LaGasa 2007)</w:t>
      </w:r>
      <w:r w:rsidRPr="00B81F41">
        <w:t>.</w:t>
      </w:r>
    </w:p>
    <w:p w14:paraId="4DD6FAC5" w14:textId="77777777" w:rsidR="003438A2" w:rsidRPr="00B81F41" w:rsidRDefault="003438A2" w:rsidP="00705C82">
      <w:pPr>
        <w:spacing w:before="120" w:after="120" w:line="240" w:lineRule="auto"/>
      </w:pPr>
      <w:r w:rsidRPr="005D488B">
        <w:rPr>
          <w:i/>
        </w:rPr>
        <w:t xml:space="preserve">Dasineura mali </w:t>
      </w:r>
      <w:r>
        <w:t>may be associated with apples at the time of harvest.</w:t>
      </w:r>
    </w:p>
    <w:bookmarkEnd w:id="210"/>
    <w:p w14:paraId="4A7CCEA9" w14:textId="77777777" w:rsidR="00DF423F" w:rsidRDefault="003438A2" w:rsidP="00DF423F">
      <w:pPr>
        <w:pStyle w:val="ListBullet"/>
      </w:pPr>
      <w:r w:rsidRPr="002364D4">
        <w:rPr>
          <w:i/>
          <w:iCs/>
        </w:rPr>
        <w:t xml:space="preserve">Dasineura mali </w:t>
      </w:r>
      <w:r w:rsidRPr="002364D4">
        <w:rPr>
          <w:iCs/>
        </w:rPr>
        <w:t>is a foliage feeder and</w:t>
      </w:r>
      <w:r w:rsidRPr="002364D4">
        <w:rPr>
          <w:i/>
          <w:iCs/>
        </w:rPr>
        <w:t xml:space="preserve"> </w:t>
      </w:r>
      <w:r w:rsidRPr="00B81F41">
        <w:t>primarily pupates in the ground, but in cases of heavy infestation, mature larvae may occasionally pupate on fruit</w:t>
      </w:r>
      <w:r>
        <w:t xml:space="preserve"> </w:t>
      </w:r>
      <w:r w:rsidRPr="00CE40D1">
        <w:rPr>
          <w:noProof/>
        </w:rPr>
        <w:t>(Beers 2017; LaGasa 2007; Tomkins 1998)</w:t>
      </w:r>
      <w:r w:rsidRPr="00B81F41">
        <w:t>. In those cases, pupae attach to the fruit at either the stalk or calyx end, as reported by Lowe (1993) in</w:t>
      </w:r>
      <w:r w:rsidR="00DF423F">
        <w:t xml:space="preserve"> </w:t>
      </w:r>
      <w:r w:rsidR="00DF423F">
        <w:fldChar w:fldCharType="begin"/>
      </w:r>
      <w:r w:rsidR="00DF423F">
        <w:instrText xml:space="preserve"> ADDIN EN.CITE &lt;EndNote&gt;&lt;Cite AuthorYear="1"&gt;&lt;Author&gt;Smith&lt;/Author&gt;&lt;Year&gt;1995&lt;/Year&gt;&lt;RecNum&gt;2079&lt;/RecNum&gt;&lt;DisplayText&gt;Smith and Chapman (1995)&lt;/DisplayText&gt;&lt;record&gt;&lt;rec-number&gt;2079&lt;/rec-number&gt;&lt;foreign-keys&gt;&lt;key app="EN" db-id="pxwxw0er9zv2fxezxdk5tt5utz5p5vtrwdv0" timestamp="1451972417"&gt;2079&lt;/key&gt;&lt;/foreign-keys&gt;&lt;ref-type name="Journal Articles"&gt;17&lt;/ref-type&gt;&lt;contributors&gt;&lt;authors&gt;&lt;author&gt;Smith,J.T.&lt;/author&gt;&lt;author&gt;Chapman,R.B.&lt;/author&gt;&lt;/authors&gt;&lt;/contributors&gt;&lt;titles&gt;&lt;title&gt;&lt;style face="normal" font="default" size="100%"&gt;A survey of apple leafcurling midge (&lt;/style&gt;&lt;style face="italic" font="default" size="100%"&gt;Dasyneura mali&lt;/style&gt;&lt;style face="normal" font="default" size="100%"&gt;) in the Nelson District&lt;/style&gt;&lt;/title&gt;&lt;secondary-title&gt;Fruit Crops&lt;/secondary-title&gt;&lt;/titles&gt;&lt;periodical&gt;&lt;full-title&gt;Fruit Crops&lt;/full-title&gt;&lt;/periodical&gt;&lt;pages&gt;117-120&lt;/pages&gt;&lt;volume&gt;48&lt;/volume&gt;&lt;keywords&gt;&lt;keyword&gt;Apple&lt;/keyword&gt;&lt;keyword&gt;Apples&lt;/keyword&gt;&lt;keyword&gt;Dasyneura mali&lt;/keyword&gt;&lt;keyword&gt;Mali&lt;/keyword&gt;&lt;keyword&gt;Survey&lt;/keyword&gt;&lt;keyword&gt;Surveys&lt;/keyword&gt;&lt;/keywords&gt;&lt;dates&gt;&lt;year&gt;1995&lt;/year&gt;&lt;/dates&gt;&lt;orig-pub&gt;&lt;style face="underline" font="default" size="100%"&gt;J:\E Library\Plant Catalogue\S&lt;/style&gt;&lt;/orig-pub&gt;&lt;label&gt;11260&lt;/label&gt;&lt;urls&gt;&lt;related-urls&gt;&lt;url&gt;&lt;style face="underline" font="default" size="100%"&gt;http://www.hortnet.co.nz/publications/nzpps/proceeds.htm&lt;/style&gt;&lt;/url&gt;&lt;/related-urls&gt;&lt;pdf-urls&gt;&lt;url&gt;file://J:\E Library\Plant Catalogue\S\Smith and Chapman 1995 EN2079 ID11260.pdf&lt;/url&gt;&lt;/pdf-urls&gt;&lt;/urls&gt;&lt;custom1&gt;US apples sp kmk&lt;/custom1&gt;&lt;/record&gt;&lt;/Cite&gt;&lt;/EndNote&gt;</w:instrText>
      </w:r>
      <w:r w:rsidR="00DF423F">
        <w:fldChar w:fldCharType="separate"/>
      </w:r>
      <w:r w:rsidR="00DF423F">
        <w:rPr>
          <w:noProof/>
        </w:rPr>
        <w:t>Smith and Chapman (1995)</w:t>
      </w:r>
      <w:r w:rsidR="00DF423F">
        <w:fldChar w:fldCharType="end"/>
      </w:r>
    </w:p>
    <w:p w14:paraId="4B5F3F6B" w14:textId="2CAF061A" w:rsidR="003438A2" w:rsidRPr="00B81F41" w:rsidRDefault="003438A2" w:rsidP="002364D4">
      <w:pPr>
        <w:pStyle w:val="ListParagraph"/>
        <w:numPr>
          <w:ilvl w:val="0"/>
          <w:numId w:val="16"/>
        </w:numPr>
        <w:spacing w:before="120" w:after="120" w:line="240" w:lineRule="auto"/>
      </w:pPr>
      <w:r w:rsidRPr="00B81F41">
        <w:t xml:space="preserve">However, association of </w:t>
      </w:r>
      <w:r w:rsidRPr="002364D4">
        <w:rPr>
          <w:i/>
          <w:iCs/>
        </w:rPr>
        <w:t xml:space="preserve">D. mali </w:t>
      </w:r>
      <w:r w:rsidRPr="00B81F41">
        <w:t>pupae with fruit is generally considered incidental, occurring when mature larvae exiting leaf-rolls get caught around the stem or calyx of fruit when attempting to drop to the ground.</w:t>
      </w:r>
    </w:p>
    <w:p w14:paraId="2010BC45" w14:textId="77777777" w:rsidR="003438A2" w:rsidRPr="00B81F41" w:rsidRDefault="003438A2" w:rsidP="00F77E28">
      <w:pPr>
        <w:pStyle w:val="ListBullet"/>
        <w:numPr>
          <w:ilvl w:val="0"/>
          <w:numId w:val="16"/>
        </w:numPr>
      </w:pPr>
      <w:r w:rsidRPr="00B81F41">
        <w:t xml:space="preserve">During trials of the Integrated Pest Management program in New Zealand that involved a total of 88 orchards where </w:t>
      </w:r>
      <w:r w:rsidRPr="00B81F41">
        <w:rPr>
          <w:i/>
          <w:iCs/>
        </w:rPr>
        <w:t xml:space="preserve">D. mali </w:t>
      </w:r>
      <w:r w:rsidRPr="00B81F41">
        <w:t xml:space="preserve">is widespread and abundant, </w:t>
      </w:r>
      <w:r w:rsidRPr="00B81F41">
        <w:rPr>
          <w:i/>
          <w:iCs/>
        </w:rPr>
        <w:t xml:space="preserve">D. mali </w:t>
      </w:r>
      <w:r w:rsidRPr="00B81F41">
        <w:t xml:space="preserve">infestation of apple fruit in orchards, was found to range from 0.05 to 1.4%, with an average of 0.6% over all growing regions </w:t>
      </w:r>
      <w:r w:rsidRPr="00B81F41">
        <w:rPr>
          <w:noProof/>
        </w:rPr>
        <w:t>(Walker et al. 1997)</w:t>
      </w:r>
      <w:r w:rsidRPr="00B81F41">
        <w:t>.</w:t>
      </w:r>
    </w:p>
    <w:p w14:paraId="3D137916" w14:textId="2B9E49CF" w:rsidR="003438A2" w:rsidRPr="00B81F41" w:rsidRDefault="006729FA" w:rsidP="00F77E28">
      <w:pPr>
        <w:pStyle w:val="ListParagraph"/>
        <w:numPr>
          <w:ilvl w:val="0"/>
          <w:numId w:val="16"/>
        </w:numPr>
        <w:spacing w:after="0" w:line="240" w:lineRule="auto"/>
      </w:pPr>
      <w:r>
        <w:rPr>
          <w:noProof/>
        </w:rPr>
        <w:fldChar w:fldCharType="begin"/>
      </w:r>
      <w:r>
        <w:rPr>
          <w:noProof/>
        </w:rPr>
        <w:instrText xml:space="preserve"> ADDIN EN.CITE &lt;EndNote&gt;&lt;Cite AuthorYear="1"&gt;&lt;Author&gt;Lo&lt;/Author&gt;&lt;Year&gt;2015&lt;/Year&gt;&lt;RecNum&gt;43047&lt;/RecNum&gt;&lt;DisplayText&gt;Lo, Walker and Suckling (2015)&lt;/DisplayText&gt;&lt;record&gt;&lt;rec-number&gt;43047&lt;/rec-number&gt;&lt;foreign-keys&gt;&lt;key app="EN" db-id="pxwxw0er9zv2fxezxdk5tt5utz5p5vtrwdv0" timestamp="1617185501"&gt;43047&lt;/key&gt;&lt;/foreign-keys&gt;&lt;ref-type name="Journal Articles"&gt;17&lt;/ref-type&gt;&lt;contributors&gt;&lt;authors&gt;&lt;author&gt;Lo, P.L.&lt;/author&gt;&lt;author&gt;Walker, J.T.S.&lt;/author&gt;&lt;author&gt;Suckling, D.M.&lt;/author&gt;&lt;/authors&gt;&lt;/contributors&gt;&lt;titles&gt;&lt;title&gt;&lt;style face="normal" font="default" size="100%"&gt;Prospects for the control of apple leaf midge &lt;/style&gt;&lt;style face="italic" font="default" size="100%"&gt;Dasineura mali&lt;/style&gt;&lt;style face="normal" font="default" size="100%"&gt; (Diptera: Cecidomyiidae) by mass trapping with pheromone lures&lt;/style&gt;&lt;/title&gt;&lt;secondary-title&gt;Pest Management Science&lt;/secondary-title&gt;&lt;/titles&gt;&lt;periodical&gt;&lt;full-title&gt;Pest Management Science&lt;/full-title&gt;&lt;/periodical&gt;&lt;pages&gt;907-913&lt;/pages&gt;&lt;volume&gt;71&lt;/volume&gt;&lt;number&gt;7&lt;/number&gt;&lt;keywords&gt;&lt;keyword&gt;Dasineura mali&lt;/keyword&gt;&lt;keyword&gt;Apple&lt;/keyword&gt;&lt;keyword&gt;Lure&lt;/keyword&gt;&lt;/keywords&gt;&lt;dates&gt;&lt;year&gt;2015&lt;/year&gt;&lt;/dates&gt;&lt;isbn&gt;1526-498X&lt;/isbn&gt;&lt;label&gt;Fresh apple fruit from USA&lt;/label&gt;&lt;urls&gt;&lt;pdf-urls&gt;&lt;url&gt;file://J:\E Library\Plant Catalogue\L\Lo et al 2015 EN43047.pdf&lt;/url&gt;&lt;/pdf-urls&gt;&lt;/urls&gt;&lt;custom1&gt;Fresh apple fruit from USA_GA&lt;/custom1&gt;&lt;custom2&gt;Abstract only&lt;/custom2&gt;&lt;electronic-resource-num&gt;https://doi.org/10.1002/ps.3857&lt;/electronic-resource-num&gt;&lt;/record&gt;&lt;/Cite&gt;&lt;/EndNote&gt;</w:instrText>
      </w:r>
      <w:r>
        <w:rPr>
          <w:noProof/>
        </w:rPr>
        <w:fldChar w:fldCharType="separate"/>
      </w:r>
      <w:r>
        <w:rPr>
          <w:noProof/>
        </w:rPr>
        <w:t>Lo, Walker and Suckling (2015)</w:t>
      </w:r>
      <w:r>
        <w:rPr>
          <w:noProof/>
        </w:rPr>
        <w:fldChar w:fldCharType="end"/>
      </w:r>
      <w:r>
        <w:rPr>
          <w:noProof/>
        </w:rPr>
        <w:t xml:space="preserve"> </w:t>
      </w:r>
      <w:r w:rsidR="003438A2" w:rsidRPr="00B81F41">
        <w:t xml:space="preserve">presented research on the prospects of </w:t>
      </w:r>
      <w:r w:rsidR="003438A2" w:rsidRPr="005B2729">
        <w:rPr>
          <w:i/>
          <w:iCs/>
        </w:rPr>
        <w:t>D. mali</w:t>
      </w:r>
      <w:r w:rsidR="003438A2" w:rsidRPr="00B81F41">
        <w:t xml:space="preserve"> being controlled by mass trapping with pheromone lures in New Zealand. The paper noted that populations of </w:t>
      </w:r>
      <w:r w:rsidR="003438A2" w:rsidRPr="005B2729">
        <w:rPr>
          <w:i/>
          <w:iCs/>
        </w:rPr>
        <w:t>D. mali</w:t>
      </w:r>
      <w:r w:rsidR="003438A2" w:rsidRPr="00B81F41">
        <w:t xml:space="preserve"> can be very high in New Zealand with an average of 900,000 adults trapped per hectare over an 11-week period. The research also noted the infestation of apple fruit by </w:t>
      </w:r>
      <w:r w:rsidR="003438A2" w:rsidRPr="005B2729">
        <w:rPr>
          <w:i/>
          <w:iCs/>
        </w:rPr>
        <w:t>D. mali</w:t>
      </w:r>
      <w:r w:rsidR="003438A2" w:rsidRPr="00B81F41">
        <w:t xml:space="preserve"> was low with a total of 4 infested apples found in 4,000 fruits inspected from untreated plots.</w:t>
      </w:r>
    </w:p>
    <w:p w14:paraId="2F19088D" w14:textId="77777777" w:rsidR="003438A2" w:rsidRDefault="003438A2" w:rsidP="00F77E28">
      <w:pPr>
        <w:pStyle w:val="ListBullet"/>
        <w:numPr>
          <w:ilvl w:val="0"/>
          <w:numId w:val="16"/>
        </w:numPr>
      </w:pPr>
      <w:r w:rsidRPr="00B81F41">
        <w:t xml:space="preserve">Infested leaves may drop into and contaminate orchard bins during harvesting, providing </w:t>
      </w:r>
      <w:r>
        <w:t xml:space="preserve">additional </w:t>
      </w:r>
      <w:r w:rsidRPr="001613E0">
        <w:t xml:space="preserve">opportunity for larvae to move from leaves to fruit. </w:t>
      </w:r>
      <w:r>
        <w:t>However, t</w:t>
      </w:r>
      <w:r w:rsidRPr="001613E0">
        <w:t xml:space="preserve">he </w:t>
      </w:r>
      <w:r>
        <w:t>general</w:t>
      </w:r>
      <w:r w:rsidRPr="001613E0">
        <w:t xml:space="preserve"> absence of </w:t>
      </w:r>
      <w:r>
        <w:t xml:space="preserve">new </w:t>
      </w:r>
      <w:r w:rsidRPr="001613E0">
        <w:t xml:space="preserve">leaf </w:t>
      </w:r>
      <w:r>
        <w:t xml:space="preserve">growth </w:t>
      </w:r>
      <w:r w:rsidRPr="001613E0">
        <w:t>on apple trees</w:t>
      </w:r>
      <w:r>
        <w:t xml:space="preserve"> </w:t>
      </w:r>
      <w:r w:rsidRPr="001613E0">
        <w:t xml:space="preserve">during the harvest period </w:t>
      </w:r>
      <w:r>
        <w:t xml:space="preserve">would </w:t>
      </w:r>
      <w:r w:rsidRPr="001613E0">
        <w:t xml:space="preserve">suggest that </w:t>
      </w:r>
      <w:r>
        <w:t xml:space="preserve">incidence of </w:t>
      </w:r>
      <w:r w:rsidRPr="001613E0">
        <w:t xml:space="preserve">such contamination would be </w:t>
      </w:r>
      <w:r>
        <w:t>very low</w:t>
      </w:r>
      <w:r w:rsidRPr="001613E0">
        <w:t>.</w:t>
      </w:r>
    </w:p>
    <w:p w14:paraId="6E69CE9B" w14:textId="77777777" w:rsidR="003438A2" w:rsidRPr="001613E0" w:rsidRDefault="003438A2" w:rsidP="00C25EA7">
      <w:r>
        <w:t>Larvae and p</w:t>
      </w:r>
      <w:r w:rsidRPr="001613E0">
        <w:t xml:space="preserve">upae </w:t>
      </w:r>
      <w:r>
        <w:t xml:space="preserve">in the </w:t>
      </w:r>
      <w:r w:rsidRPr="001613E0">
        <w:t xml:space="preserve">stalk or calyx end </w:t>
      </w:r>
      <w:r>
        <w:t>of</w:t>
      </w:r>
      <w:r w:rsidRPr="001613E0">
        <w:t xml:space="preserve"> apple fruit </w:t>
      </w:r>
      <w:r>
        <w:t>may not be detected during harvesting and packing house processes</w:t>
      </w:r>
      <w:r w:rsidRPr="001613E0">
        <w:t>.</w:t>
      </w:r>
    </w:p>
    <w:p w14:paraId="6C27F1CA" w14:textId="77777777" w:rsidR="003438A2" w:rsidRDefault="003438A2" w:rsidP="00F77E28">
      <w:pPr>
        <w:pStyle w:val="ListBullet"/>
        <w:numPr>
          <w:ilvl w:val="0"/>
          <w:numId w:val="16"/>
        </w:numPr>
      </w:pPr>
      <w:r w:rsidRPr="00171BC6">
        <w:rPr>
          <w:i/>
        </w:rPr>
        <w:t>D</w:t>
      </w:r>
      <w:r>
        <w:rPr>
          <w:i/>
        </w:rPr>
        <w:t>asineura</w:t>
      </w:r>
      <w:r w:rsidRPr="00171BC6">
        <w:rPr>
          <w:i/>
        </w:rPr>
        <w:t xml:space="preserve"> mali</w:t>
      </w:r>
      <w:r>
        <w:t xml:space="preserve"> larvae and pupae are small in size (1.5 to 2.5 mm) </w:t>
      </w:r>
      <w:r>
        <w:rPr>
          <w:noProof/>
        </w:rPr>
        <w:t>(Beers 2017)</w:t>
      </w:r>
      <w:r>
        <w:t>. Therefore, infestations on apple fruit may not be visually detected during harvesting and packing house processes.</w:t>
      </w:r>
    </w:p>
    <w:p w14:paraId="5373B85C" w14:textId="77777777" w:rsidR="003438A2" w:rsidRDefault="003438A2" w:rsidP="00F77E28">
      <w:pPr>
        <w:pStyle w:val="ListBullet"/>
        <w:numPr>
          <w:ilvl w:val="0"/>
          <w:numId w:val="16"/>
        </w:numPr>
      </w:pPr>
      <w:r>
        <w:t>P</w:t>
      </w:r>
      <w:r w:rsidRPr="001613E0">
        <w:t>upa</w:t>
      </w:r>
      <w:r>
        <w:t>e</w:t>
      </w:r>
      <w:r w:rsidRPr="001613E0">
        <w:t xml:space="preserve"> attached </w:t>
      </w:r>
      <w:r>
        <w:t>to</w:t>
      </w:r>
      <w:r w:rsidRPr="001613E0">
        <w:t xml:space="preserve"> the calyx or st</w:t>
      </w:r>
      <w:r>
        <w:t>alk</w:t>
      </w:r>
      <w:r w:rsidRPr="001613E0">
        <w:t xml:space="preserve"> end of apples</w:t>
      </w:r>
      <w:r>
        <w:t xml:space="preserve"> are difficult to remove even when </w:t>
      </w:r>
      <w:r w:rsidRPr="001613E0">
        <w:t>high pressure washing</w:t>
      </w:r>
      <w:r>
        <w:t xml:space="preserve"> is performed</w:t>
      </w:r>
      <w:r w:rsidRPr="001613E0">
        <w:t xml:space="preserve"> </w:t>
      </w:r>
      <w:r>
        <w:rPr>
          <w:noProof/>
        </w:rPr>
        <w:t>(Page-Weir et al. 2018)</w:t>
      </w:r>
      <w:r w:rsidRPr="001613E0">
        <w:t>.</w:t>
      </w:r>
      <w:r>
        <w:t xml:space="preserve"> </w:t>
      </w:r>
    </w:p>
    <w:p w14:paraId="19748381" w14:textId="77777777" w:rsidR="003438A2" w:rsidRPr="00B81F41" w:rsidRDefault="003438A2" w:rsidP="00F77E28">
      <w:pPr>
        <w:pStyle w:val="ListParagraph"/>
        <w:numPr>
          <w:ilvl w:val="0"/>
          <w:numId w:val="16"/>
        </w:numPr>
        <w:spacing w:after="0" w:line="240" w:lineRule="auto"/>
      </w:pPr>
      <w:r w:rsidRPr="00B81F41">
        <w:t xml:space="preserve">Interceptions of </w:t>
      </w:r>
      <w:r w:rsidRPr="009D545B">
        <w:rPr>
          <w:i/>
          <w:iCs/>
        </w:rPr>
        <w:t>D. mali</w:t>
      </w:r>
      <w:r w:rsidRPr="00B81F41">
        <w:t xml:space="preserve"> were reported by California Department of Food and Agriculture </w:t>
      </w:r>
      <w:r>
        <w:rPr>
          <w:noProof/>
        </w:rPr>
        <w:t>(CDFA 2015)</w:t>
      </w:r>
      <w:r>
        <w:t xml:space="preserve"> </w:t>
      </w:r>
      <w:r w:rsidRPr="00B81F41">
        <w:t>at the state’s border stations 89 times during 2000</w:t>
      </w:r>
      <w:r>
        <w:t xml:space="preserve"> to </w:t>
      </w:r>
      <w:r w:rsidRPr="00B81F41">
        <w:t xml:space="preserve">2015, typically as pupae on apple fruit from New Zealand or PNW-USA. It was not specified what proportion of these detections was on apple fruit from the PNW-USA and if these detections occurred on commercial or non-commercial fruit. The average interception rate derived from the data is 6 detections per year. </w:t>
      </w:r>
    </w:p>
    <w:p w14:paraId="25E5BCCA" w14:textId="77777777" w:rsidR="003438A2" w:rsidRPr="00B81F41" w:rsidRDefault="003438A2" w:rsidP="00F77E28">
      <w:pPr>
        <w:pStyle w:val="ListBullet"/>
        <w:numPr>
          <w:ilvl w:val="0"/>
          <w:numId w:val="16"/>
        </w:numPr>
      </w:pPr>
      <w:r w:rsidRPr="00B81F41">
        <w:rPr>
          <w:i/>
        </w:rPr>
        <w:lastRenderedPageBreak/>
        <w:t>Dasineura mali</w:t>
      </w:r>
      <w:r w:rsidRPr="00B81F41">
        <w:t xml:space="preserve"> has been detected on New Zealand apples exported to the USA during pre-clearance and on-arrival inspections. This indicates that </w:t>
      </w:r>
      <w:r w:rsidRPr="00B81F41">
        <w:rPr>
          <w:i/>
        </w:rPr>
        <w:t>D. mali</w:t>
      </w:r>
      <w:r w:rsidRPr="00B81F41">
        <w:t xml:space="preserve"> is, at least occasionally, associated with export consignments.</w:t>
      </w:r>
    </w:p>
    <w:p w14:paraId="79884B73" w14:textId="77777777" w:rsidR="003438A2" w:rsidRPr="00B81F41" w:rsidRDefault="003438A2" w:rsidP="00C25EA7">
      <w:pPr>
        <w:pStyle w:val="ListBullet"/>
        <w:numPr>
          <w:ilvl w:val="0"/>
          <w:numId w:val="0"/>
        </w:numPr>
      </w:pPr>
      <w:r w:rsidRPr="00B81F41">
        <w:rPr>
          <w:i/>
        </w:rPr>
        <w:t>Dasineura mali</w:t>
      </w:r>
      <w:r w:rsidRPr="00B81F41">
        <w:t xml:space="preserve"> may survive cold storage in the PNW-USA and during transport to Australia.</w:t>
      </w:r>
    </w:p>
    <w:p w14:paraId="7CC37236" w14:textId="77777777" w:rsidR="003438A2" w:rsidRPr="00B81F41" w:rsidRDefault="003438A2" w:rsidP="00F843A1">
      <w:pPr>
        <w:pStyle w:val="ListBullet"/>
        <w:numPr>
          <w:ilvl w:val="0"/>
          <w:numId w:val="42"/>
        </w:numPr>
        <w:ind w:left="397" w:hanging="397"/>
      </w:pPr>
      <w:r w:rsidRPr="00EA0286">
        <w:t xml:space="preserve">Harvested apples are normally cold stored at 0°C to 2°C </w:t>
      </w:r>
      <w:r w:rsidRPr="00EA0286">
        <w:rPr>
          <w:noProof/>
        </w:rPr>
        <w:t>(Kupferman 1996; WSU Tree Fruit 2021c)</w:t>
      </w:r>
      <w:r w:rsidRPr="00CE40D1">
        <w:t>.</w:t>
      </w:r>
      <w:bookmarkStart w:id="211" w:name="_Hlk108950019"/>
    </w:p>
    <w:bookmarkEnd w:id="211"/>
    <w:p w14:paraId="71017022" w14:textId="77777777" w:rsidR="003438A2" w:rsidRPr="008B14A3" w:rsidRDefault="003438A2" w:rsidP="003438A2">
      <w:pPr>
        <w:pStyle w:val="ListBullet"/>
        <w:numPr>
          <w:ilvl w:val="0"/>
          <w:numId w:val="15"/>
        </w:numPr>
      </w:pPr>
      <w:r>
        <w:t>S</w:t>
      </w:r>
      <w:r w:rsidRPr="00256DB0">
        <w:t>ea freight</w:t>
      </w:r>
      <w:r>
        <w:t>,</w:t>
      </w:r>
      <w:r w:rsidRPr="00256DB0">
        <w:t xml:space="preserve"> </w:t>
      </w:r>
      <w:r>
        <w:t xml:space="preserve">which takes about five weeks, is likely to be </w:t>
      </w:r>
      <w:r w:rsidRPr="00256DB0">
        <w:t>the preferred method of transport</w:t>
      </w:r>
      <w:r>
        <w:t xml:space="preserve"> of apples from the PNW-USA to Australia, and fruit will be maintained at very low temperatures.</w:t>
      </w:r>
    </w:p>
    <w:p w14:paraId="5F37C58E" w14:textId="77777777" w:rsidR="003438A2" w:rsidRDefault="003438A2" w:rsidP="003438A2">
      <w:pPr>
        <w:pStyle w:val="ListBullet"/>
        <w:numPr>
          <w:ilvl w:val="0"/>
          <w:numId w:val="15"/>
        </w:numPr>
      </w:pPr>
      <w:r w:rsidRPr="006F40C4">
        <w:t xml:space="preserve">While the cold tolerance of </w:t>
      </w:r>
      <w:r w:rsidRPr="00424A56">
        <w:rPr>
          <w:i/>
        </w:rPr>
        <w:t>D. mali</w:t>
      </w:r>
      <w:r>
        <w:rPr>
          <w:i/>
        </w:rPr>
        <w:t xml:space="preserve"> </w:t>
      </w:r>
      <w:r>
        <w:t xml:space="preserve">has not been determined, </w:t>
      </w:r>
      <w:r w:rsidRPr="006F40C4">
        <w:t>this pest overwinter</w:t>
      </w:r>
      <w:r>
        <w:t>s</w:t>
      </w:r>
      <w:r w:rsidRPr="006F40C4">
        <w:t xml:space="preserve"> as a </w:t>
      </w:r>
      <w:r w:rsidRPr="00A3009B">
        <w:t>mature larva or pupa</w:t>
      </w:r>
      <w:r>
        <w:t xml:space="preserve"> </w:t>
      </w:r>
      <w:r>
        <w:rPr>
          <w:noProof/>
        </w:rPr>
        <w:t>(Beers 2017; Tomkins 1998)</w:t>
      </w:r>
      <w:r>
        <w:t>.</w:t>
      </w:r>
      <w:r w:rsidRPr="00A3009B">
        <w:t xml:space="preserve"> Mature larvae and pupae of </w:t>
      </w:r>
      <w:r w:rsidRPr="00A3009B">
        <w:rPr>
          <w:i/>
        </w:rPr>
        <w:t>D. mali</w:t>
      </w:r>
      <w:r w:rsidRPr="00A3009B">
        <w:t xml:space="preserve"> may, therefore, s</w:t>
      </w:r>
      <w:r>
        <w:t>urvive cold storage and transport as they overwinter in the PNW-USA in winter temperatures.</w:t>
      </w:r>
    </w:p>
    <w:p w14:paraId="79A2C681" w14:textId="77777777" w:rsidR="003438A2" w:rsidRPr="00815A3A" w:rsidRDefault="003438A2" w:rsidP="00C25EA7">
      <w:pPr>
        <w:pStyle w:val="ListBullet"/>
        <w:numPr>
          <w:ilvl w:val="0"/>
          <w:numId w:val="0"/>
        </w:numPr>
        <w:spacing w:before="0" w:after="200" w:line="276" w:lineRule="auto"/>
      </w:pPr>
      <w:r w:rsidRPr="00BB64EE">
        <w:rPr>
          <w:i/>
        </w:rPr>
        <w:t>Dasineura mali</w:t>
      </w:r>
      <w:r w:rsidRPr="00E538A3">
        <w:t xml:space="preserve"> </w:t>
      </w:r>
      <w:r>
        <w:t xml:space="preserve">is </w:t>
      </w:r>
      <w:r w:rsidRPr="00E538A3">
        <w:t xml:space="preserve">a </w:t>
      </w:r>
      <w:r w:rsidRPr="00BB64EE">
        <w:rPr>
          <w:iCs/>
        </w:rPr>
        <w:t>foliage feeder and pupates primarily in the ground. A</w:t>
      </w:r>
      <w:r w:rsidRPr="00344536">
        <w:t xml:space="preserve">ssociation of </w:t>
      </w:r>
      <w:r w:rsidRPr="00BB64EE">
        <w:rPr>
          <w:i/>
        </w:rPr>
        <w:t>D. mali</w:t>
      </w:r>
      <w:r w:rsidRPr="00344536">
        <w:t xml:space="preserve"> pupae with fruit is considered incidental, occurring </w:t>
      </w:r>
      <w:r>
        <w:t xml:space="preserve">under conditions of heavy infestation </w:t>
      </w:r>
      <w:r w:rsidRPr="00344536">
        <w:t>when mature larvae exiting leaf</w:t>
      </w:r>
      <w:r>
        <w:t>-</w:t>
      </w:r>
      <w:r w:rsidRPr="00344536">
        <w:t>rolls</w:t>
      </w:r>
      <w:r>
        <w:t xml:space="preserve"> attempt to drop to the ground,</w:t>
      </w:r>
      <w:r w:rsidRPr="00344536">
        <w:t xml:space="preserve"> </w:t>
      </w:r>
      <w:r>
        <w:t>but become</w:t>
      </w:r>
      <w:r w:rsidRPr="00344536">
        <w:t xml:space="preserve"> caught around the stem or calyx of </w:t>
      </w:r>
      <w:r>
        <w:t xml:space="preserve">apple </w:t>
      </w:r>
      <w:r w:rsidRPr="00344536">
        <w:t>fruit.</w:t>
      </w:r>
      <w:r>
        <w:t xml:space="preserve"> There may also be </w:t>
      </w:r>
      <w:r w:rsidRPr="00E538A3">
        <w:t xml:space="preserve">occasional contamination </w:t>
      </w:r>
      <w:r>
        <w:t xml:space="preserve">by </w:t>
      </w:r>
      <w:r w:rsidRPr="00E538A3">
        <w:t>mature larvae</w:t>
      </w:r>
      <w:r>
        <w:t xml:space="preserve"> from infested leaves in the field bins during harvesting</w:t>
      </w:r>
      <w:r w:rsidRPr="00E538A3">
        <w:t xml:space="preserve">. </w:t>
      </w:r>
      <w:r>
        <w:t>P</w:t>
      </w:r>
      <w:r w:rsidRPr="00E538A3">
        <w:t xml:space="preserve">upae </w:t>
      </w:r>
      <w:r>
        <w:t xml:space="preserve">may </w:t>
      </w:r>
      <w:r w:rsidRPr="00E538A3">
        <w:t>surviv</w:t>
      </w:r>
      <w:r>
        <w:t xml:space="preserve">e harvesting and </w:t>
      </w:r>
      <w:r w:rsidRPr="00E538A3">
        <w:t>packing</w:t>
      </w:r>
      <w:r>
        <w:t xml:space="preserve"> </w:t>
      </w:r>
      <w:r w:rsidRPr="00E538A3">
        <w:t>house procedures</w:t>
      </w:r>
      <w:r>
        <w:t xml:space="preserve"> and cold storage and transport</w:t>
      </w:r>
      <w:r w:rsidRPr="00E538A3">
        <w:t xml:space="preserve">. </w:t>
      </w:r>
      <w:r>
        <w:t xml:space="preserve">However, </w:t>
      </w:r>
      <w:r w:rsidRPr="00BB64EE">
        <w:rPr>
          <w:i/>
        </w:rPr>
        <w:t>D. mali</w:t>
      </w:r>
      <w:r w:rsidRPr="00E538A3">
        <w:t xml:space="preserve"> </w:t>
      </w:r>
      <w:r w:rsidRPr="00A3009B">
        <w:t xml:space="preserve">is reported only from parts of the state of Washington and is not reported from most production areas in the PNW-USA. Where </w:t>
      </w:r>
      <w:r w:rsidRPr="00A3009B">
        <w:rPr>
          <w:i/>
          <w:iCs/>
        </w:rPr>
        <w:t>D. mali</w:t>
      </w:r>
      <w:r w:rsidRPr="00A3009B">
        <w:t xml:space="preserve"> occurs in the state of Washington, it is generally not recognised as an economic pest of commercial apple production. For the reasons outlined</w:t>
      </w:r>
      <w:r>
        <w:t xml:space="preserve">, </w:t>
      </w:r>
      <w:r w:rsidRPr="00815A3A">
        <w:t xml:space="preserve">the likelihood </w:t>
      </w:r>
      <w:r>
        <w:t>of</w:t>
      </w:r>
      <w:r w:rsidRPr="00815A3A">
        <w:t xml:space="preserve"> importation of </w:t>
      </w:r>
      <w:r w:rsidRPr="00BB64EE">
        <w:rPr>
          <w:i/>
        </w:rPr>
        <w:t>D. mali</w:t>
      </w:r>
      <w:r w:rsidRPr="00E538A3">
        <w:t xml:space="preserve"> </w:t>
      </w:r>
      <w:r w:rsidRPr="00815A3A">
        <w:t xml:space="preserve">on </w:t>
      </w:r>
      <w:r>
        <w:t xml:space="preserve">the </w:t>
      </w:r>
      <w:r w:rsidRPr="00815A3A">
        <w:t xml:space="preserve">PNW-USA </w:t>
      </w:r>
      <w:r>
        <w:t xml:space="preserve">apple pathway </w:t>
      </w:r>
      <w:r w:rsidRPr="00815A3A">
        <w:t xml:space="preserve">is </w:t>
      </w:r>
      <w:r>
        <w:t xml:space="preserve">assessed as </w:t>
      </w:r>
      <w:r w:rsidRPr="00815A3A">
        <w:t>Low.</w:t>
      </w:r>
    </w:p>
    <w:p w14:paraId="74A62E9B" w14:textId="77777777" w:rsidR="003438A2" w:rsidRPr="00A3009B" w:rsidRDefault="003438A2" w:rsidP="00C25EA7">
      <w:pPr>
        <w:pStyle w:val="Heading5"/>
      </w:pPr>
      <w:r w:rsidRPr="00A3009B">
        <w:t>Likelihood of distribution</w:t>
      </w:r>
    </w:p>
    <w:p w14:paraId="2656F84E" w14:textId="77777777" w:rsidR="003438A2" w:rsidRPr="00A3009B" w:rsidRDefault="003438A2" w:rsidP="00C25EA7">
      <w:r w:rsidRPr="00A3009B">
        <w:t xml:space="preserve">The likelihood that </w:t>
      </w:r>
      <w:r w:rsidRPr="00A3009B">
        <w:rPr>
          <w:i/>
          <w:iCs/>
        </w:rPr>
        <w:t>D. mali</w:t>
      </w:r>
      <w:r w:rsidRPr="00A3009B">
        <w:t xml:space="preserve"> will be distributed within Australia in a viable state as a result of the processing, sale or disposal of apples from the PNW-USA, and subsequently transfer to a susceptible part of a host is considered to be similar to </w:t>
      </w:r>
      <w:r w:rsidRPr="00A3009B">
        <w:rPr>
          <w:i/>
          <w:iCs/>
        </w:rPr>
        <w:t>D. mali</w:t>
      </w:r>
      <w:r w:rsidRPr="00A3009B">
        <w:rPr>
          <w:i/>
        </w:rPr>
        <w:t xml:space="preserve"> </w:t>
      </w:r>
      <w:r w:rsidRPr="00A3009B">
        <w:rPr>
          <w:iCs/>
        </w:rPr>
        <w:t>on apples from New Zealand</w:t>
      </w:r>
      <w:r w:rsidRPr="00A3009B">
        <w:t xml:space="preserve">. Therefore, the same rating of Very </w:t>
      </w:r>
      <w:r>
        <w:t>L</w:t>
      </w:r>
      <w:r w:rsidRPr="00A3009B">
        <w:t xml:space="preserve">ow for the likelihood of distribution previously assessed for </w:t>
      </w:r>
      <w:r w:rsidRPr="00A3009B">
        <w:rPr>
          <w:i/>
          <w:iCs/>
        </w:rPr>
        <w:t>D. mali</w:t>
      </w:r>
      <w:r w:rsidRPr="00A3009B">
        <w:t xml:space="preserve"> </w:t>
      </w:r>
      <w:r w:rsidRPr="00A3009B">
        <w:rPr>
          <w:iCs/>
        </w:rPr>
        <w:t xml:space="preserve">on </w:t>
      </w:r>
      <w:r>
        <w:rPr>
          <w:iCs/>
        </w:rPr>
        <w:t xml:space="preserve">the </w:t>
      </w:r>
      <w:r w:rsidRPr="00A3009B">
        <w:rPr>
          <w:iCs/>
        </w:rPr>
        <w:t xml:space="preserve">apples from New Zealand pathway is adopted for </w:t>
      </w:r>
      <w:r w:rsidRPr="00A3009B">
        <w:rPr>
          <w:i/>
        </w:rPr>
        <w:t>D. mali</w:t>
      </w:r>
      <w:r w:rsidRPr="00A3009B">
        <w:rPr>
          <w:iCs/>
        </w:rPr>
        <w:t xml:space="preserve"> on </w:t>
      </w:r>
      <w:r>
        <w:rPr>
          <w:iCs/>
        </w:rPr>
        <w:t xml:space="preserve">the </w:t>
      </w:r>
      <w:r w:rsidRPr="00A3009B">
        <w:rPr>
          <w:iCs/>
        </w:rPr>
        <w:t xml:space="preserve">apples from PNW-USA pathway. </w:t>
      </w:r>
    </w:p>
    <w:p w14:paraId="718095E2" w14:textId="77777777" w:rsidR="003438A2" w:rsidRPr="00A3009B" w:rsidRDefault="003438A2" w:rsidP="00C25EA7">
      <w:pPr>
        <w:pStyle w:val="Heading5"/>
      </w:pPr>
      <w:r w:rsidRPr="00A3009B">
        <w:t>Overall likelihood of entry</w:t>
      </w:r>
    </w:p>
    <w:p w14:paraId="6D02FF3A" w14:textId="77777777" w:rsidR="003438A2" w:rsidRPr="003A0CF6" w:rsidRDefault="003438A2" w:rsidP="00C25EA7">
      <w:r>
        <w:t xml:space="preserve">The overall likelihood of entry is determined as Very Low by combining the assessed likelihood of importation of Low with the adopted likelihood of distribution of Very Low, </w:t>
      </w:r>
      <w:r w:rsidRPr="00945121">
        <w:rPr>
          <w:rFonts w:cstheme="minorHAnsi"/>
        </w:rPr>
        <w:t xml:space="preserve">using the matrix of rules in </w:t>
      </w:r>
      <w:r>
        <w:rPr>
          <w:rFonts w:cstheme="minorHAnsi"/>
        </w:rPr>
        <w:fldChar w:fldCharType="begin" w:fldLock="1"/>
      </w:r>
      <w:r>
        <w:rPr>
          <w:rFonts w:cstheme="minorHAnsi"/>
        </w:rPr>
        <w:instrText xml:space="preserve"> REF _Ref457826328 \h </w:instrText>
      </w:r>
      <w:r>
        <w:rPr>
          <w:rFonts w:cstheme="minorHAnsi"/>
        </w:rPr>
      </w:r>
      <w:r>
        <w:rPr>
          <w:rFonts w:cstheme="minorHAnsi"/>
        </w:rPr>
        <w:fldChar w:fldCharType="separate"/>
      </w:r>
      <w:r w:rsidRPr="00DB5F8D">
        <w:t xml:space="preserve">Table </w:t>
      </w:r>
      <w:r>
        <w:rPr>
          <w:noProof/>
        </w:rPr>
        <w:t>2</w:t>
      </w:r>
      <w:r>
        <w:t>.</w:t>
      </w:r>
      <w:r>
        <w:rPr>
          <w:noProof/>
        </w:rPr>
        <w:t>2</w:t>
      </w:r>
      <w:r>
        <w:rPr>
          <w:rFonts w:cstheme="minorHAnsi"/>
        </w:rPr>
        <w:fldChar w:fldCharType="end"/>
      </w:r>
      <w:r>
        <w:t>.</w:t>
      </w:r>
    </w:p>
    <w:p w14:paraId="2706454A" w14:textId="77777777" w:rsidR="003438A2" w:rsidRPr="00A3009B" w:rsidRDefault="003438A2" w:rsidP="00C25EA7">
      <w:pPr>
        <w:pStyle w:val="Heading4"/>
      </w:pPr>
      <w:r w:rsidRPr="00A3009B">
        <w:t>Likelihood</w:t>
      </w:r>
      <w:r>
        <w:t>s</w:t>
      </w:r>
      <w:r w:rsidRPr="00A3009B">
        <w:t xml:space="preserve"> of establishment and spread</w:t>
      </w:r>
    </w:p>
    <w:p w14:paraId="369CED0B" w14:textId="77777777" w:rsidR="003438A2" w:rsidRPr="00A3009B" w:rsidRDefault="003438A2" w:rsidP="00C25EA7">
      <w:pPr>
        <w:autoSpaceDE w:val="0"/>
        <w:autoSpaceDN w:val="0"/>
        <w:adjustRightInd w:val="0"/>
        <w:rPr>
          <w:rFonts w:cstheme="minorHAnsi"/>
        </w:rPr>
      </w:pPr>
      <w:r w:rsidRPr="00A3009B">
        <w:rPr>
          <w:rFonts w:cstheme="minorHAnsi"/>
        </w:rPr>
        <w:t xml:space="preserve">The likelihoods of establishment and spread for </w:t>
      </w:r>
      <w:r w:rsidRPr="00A3009B">
        <w:rPr>
          <w:rFonts w:cstheme="minorHAnsi"/>
          <w:i/>
          <w:iCs/>
        </w:rPr>
        <w:t>D. mali</w:t>
      </w:r>
      <w:r w:rsidRPr="00A3009B">
        <w:t xml:space="preserve"> </w:t>
      </w:r>
      <w:r w:rsidRPr="00A3009B">
        <w:rPr>
          <w:rFonts w:cstheme="minorHAnsi"/>
        </w:rPr>
        <w:t xml:space="preserve">are independent of the import pathway and are considered similar to those previously assessed for </w:t>
      </w:r>
      <w:r>
        <w:rPr>
          <w:rFonts w:cstheme="minorHAnsi"/>
        </w:rPr>
        <w:t xml:space="preserve">the </w:t>
      </w:r>
      <w:r w:rsidRPr="00A3009B">
        <w:rPr>
          <w:rFonts w:cstheme="minorHAnsi"/>
        </w:rPr>
        <w:t>apples from New Zealand pathway.</w:t>
      </w:r>
    </w:p>
    <w:p w14:paraId="3D3E8B93" w14:textId="1EDFA2B5" w:rsidR="003438A2" w:rsidRPr="00C02459" w:rsidRDefault="003438A2" w:rsidP="00C25EA7">
      <w:pPr>
        <w:autoSpaceDE w:val="0"/>
        <w:autoSpaceDN w:val="0"/>
        <w:adjustRightInd w:val="0"/>
      </w:pPr>
      <w:r w:rsidRPr="00C02459">
        <w:rPr>
          <w:rFonts w:cstheme="minorHAnsi"/>
        </w:rPr>
        <w:t xml:space="preserve">Based on the previous assessment for apples from New Zealand </w:t>
      </w:r>
      <w:r w:rsidRPr="00C02459">
        <w:rPr>
          <w:noProof/>
        </w:rPr>
        <w:t>(Biosecurity Australia 2011b)</w:t>
      </w:r>
      <w:r w:rsidRPr="00C02459">
        <w:t>,</w:t>
      </w:r>
      <w:r w:rsidRPr="00C02459">
        <w:rPr>
          <w:rFonts w:cstheme="minorHAnsi"/>
        </w:rPr>
        <w:t xml:space="preserve"> the likelihoods of establishment and spread for </w:t>
      </w:r>
      <w:r w:rsidRPr="00C02459">
        <w:rPr>
          <w:rFonts w:cstheme="minorHAnsi"/>
          <w:i/>
          <w:iCs/>
        </w:rPr>
        <w:t>D. mali</w:t>
      </w:r>
      <w:r w:rsidRPr="00C02459">
        <w:rPr>
          <w:rFonts w:cstheme="minorHAnsi"/>
        </w:rPr>
        <w:t xml:space="preserve"> are assessed as Moderate and Moderate, respectively.</w:t>
      </w:r>
    </w:p>
    <w:p w14:paraId="237D524F" w14:textId="77777777" w:rsidR="003438A2" w:rsidRPr="00C02459" w:rsidRDefault="003438A2" w:rsidP="00C25EA7">
      <w:pPr>
        <w:pStyle w:val="Heading4"/>
      </w:pPr>
      <w:r w:rsidRPr="00C02459">
        <w:lastRenderedPageBreak/>
        <w:t>Overall likelihood of entry, establishment and spread</w:t>
      </w:r>
    </w:p>
    <w:p w14:paraId="19CB5441" w14:textId="77777777" w:rsidR="003438A2" w:rsidRPr="002306B4" w:rsidRDefault="003438A2" w:rsidP="00C25EA7">
      <w:pPr>
        <w:autoSpaceDE w:val="0"/>
        <w:autoSpaceDN w:val="0"/>
        <w:adjustRightInd w:val="0"/>
      </w:pPr>
      <w:bookmarkStart w:id="212" w:name="_Hlk93405249"/>
      <w:r w:rsidRPr="00C02459">
        <w:t>The overall likelihood of entry, establishment and spread is determined by</w:t>
      </w:r>
      <w:r w:rsidRPr="002306B4">
        <w:t xml:space="preserve"> combining the likelihoods of entry, of establishment and of spread using the matrix of rules shown in </w:t>
      </w:r>
      <w:r>
        <w:fldChar w:fldCharType="begin" w:fldLock="1"/>
      </w:r>
      <w:r>
        <w:instrText xml:space="preserve"> REF _Ref457826328 \h </w:instrText>
      </w:r>
      <w:r>
        <w:fldChar w:fldCharType="separate"/>
      </w:r>
      <w:r w:rsidRPr="00DB5F8D">
        <w:t xml:space="preserve">Table </w:t>
      </w:r>
      <w:r>
        <w:rPr>
          <w:noProof/>
        </w:rPr>
        <w:t>2</w:t>
      </w:r>
      <w:r>
        <w:t>.</w:t>
      </w:r>
      <w:r>
        <w:rPr>
          <w:noProof/>
        </w:rPr>
        <w:t>2</w:t>
      </w:r>
      <w:r>
        <w:fldChar w:fldCharType="end"/>
      </w:r>
      <w:r w:rsidRPr="002306B4">
        <w:t>.</w:t>
      </w:r>
    </w:p>
    <w:p w14:paraId="286BF3E4" w14:textId="77777777" w:rsidR="003438A2" w:rsidRPr="002306B4" w:rsidRDefault="003438A2" w:rsidP="00C25EA7">
      <w:pPr>
        <w:autoSpaceDE w:val="0"/>
        <w:autoSpaceDN w:val="0"/>
        <w:adjustRightInd w:val="0"/>
        <w:rPr>
          <w:rFonts w:cstheme="minorHAnsi"/>
        </w:rPr>
      </w:pPr>
      <w:r w:rsidRPr="002306B4">
        <w:t xml:space="preserve">The overall likelihood that </w:t>
      </w:r>
      <w:r w:rsidRPr="002306B4">
        <w:rPr>
          <w:i/>
          <w:iCs/>
        </w:rPr>
        <w:t>D. mali</w:t>
      </w:r>
      <w:r w:rsidRPr="002306B4">
        <w:t xml:space="preserve"> will enter Australia as a result of trade in apples from the PNW-USA, be distributed in a viable state to a susceptible part of a host, establish in Australia and subsequently spread within Australia is assessed as Very </w:t>
      </w:r>
      <w:r>
        <w:t>L</w:t>
      </w:r>
      <w:r w:rsidRPr="002306B4">
        <w:t>ow</w:t>
      </w:r>
      <w:r w:rsidRPr="002306B4">
        <w:rPr>
          <w:rFonts w:cstheme="minorHAnsi"/>
        </w:rPr>
        <w:t>.</w:t>
      </w:r>
    </w:p>
    <w:p w14:paraId="50784719" w14:textId="77777777" w:rsidR="003438A2" w:rsidRPr="00A3009B" w:rsidRDefault="003438A2" w:rsidP="00C25EA7">
      <w:pPr>
        <w:pStyle w:val="Heading4"/>
      </w:pPr>
      <w:r w:rsidRPr="00A3009B">
        <w:t>Consequences</w:t>
      </w:r>
    </w:p>
    <w:p w14:paraId="314C58AF" w14:textId="77777777" w:rsidR="003438A2" w:rsidRPr="00C02459" w:rsidRDefault="003438A2" w:rsidP="00C25EA7">
      <w:pPr>
        <w:autoSpaceDE w:val="0"/>
        <w:autoSpaceDN w:val="0"/>
        <w:adjustRightInd w:val="0"/>
        <w:rPr>
          <w:rFonts w:cstheme="minorHAnsi"/>
        </w:rPr>
      </w:pPr>
      <w:r w:rsidRPr="00A3009B">
        <w:t xml:space="preserve">The potential consequences of the entry, establishment and spread of </w:t>
      </w:r>
      <w:r w:rsidRPr="00A3009B">
        <w:rPr>
          <w:i/>
          <w:iCs/>
        </w:rPr>
        <w:t>D. mali</w:t>
      </w:r>
      <w:r w:rsidRPr="00A3009B">
        <w:t xml:space="preserve"> in Australia are similar to those in the previous assessment for </w:t>
      </w:r>
      <w:r w:rsidRPr="00A3009B">
        <w:rPr>
          <w:i/>
          <w:iCs/>
        </w:rPr>
        <w:t>D. mali</w:t>
      </w:r>
      <w:r w:rsidRPr="00A3009B">
        <w:t xml:space="preserve"> on </w:t>
      </w:r>
      <w:r>
        <w:t xml:space="preserve">the </w:t>
      </w:r>
      <w:r w:rsidRPr="00A3009B">
        <w:t xml:space="preserve">apples from New Zealand pathway, which were assessed as </w:t>
      </w:r>
      <w:r w:rsidRPr="00C02459">
        <w:t xml:space="preserve">Low </w:t>
      </w:r>
      <w:r w:rsidRPr="00C02459">
        <w:rPr>
          <w:noProof/>
        </w:rPr>
        <w:t>(Biosecurity Australia 2011b)</w:t>
      </w:r>
      <w:r w:rsidRPr="00C02459">
        <w:t xml:space="preserve">. The overall consequences for </w:t>
      </w:r>
      <w:r w:rsidRPr="00C02459">
        <w:rPr>
          <w:i/>
          <w:iCs/>
        </w:rPr>
        <w:t>D. mali</w:t>
      </w:r>
      <w:r w:rsidRPr="00C02459">
        <w:t xml:space="preserve"> on the apples from PNW-USA pathway are also assessed as Low.</w:t>
      </w:r>
    </w:p>
    <w:bookmarkEnd w:id="212"/>
    <w:p w14:paraId="58F2F9CE" w14:textId="77777777" w:rsidR="003438A2" w:rsidRPr="00C02459" w:rsidRDefault="003438A2" w:rsidP="00C25EA7">
      <w:pPr>
        <w:pStyle w:val="Heading4"/>
      </w:pPr>
      <w:r w:rsidRPr="00C02459">
        <w:t>Unrestricted risk estimate</w:t>
      </w:r>
    </w:p>
    <w:p w14:paraId="7C663191" w14:textId="77777777" w:rsidR="003438A2" w:rsidRPr="00C02459" w:rsidRDefault="003438A2" w:rsidP="00C25EA7">
      <w:r w:rsidRPr="00C02459">
        <w:t xml:space="preserve">Unrestricted risk is the result of combining the overall likelihood of entry, establishment and spread with the outcome of overall consequences. The overall likelihood and consequences are combined using the risk estimation matrix shown in </w:t>
      </w:r>
      <w:r w:rsidRPr="00C02459">
        <w:fldChar w:fldCharType="begin" w:fldLock="1"/>
      </w:r>
      <w:r w:rsidRPr="00C02459">
        <w:instrText xml:space="preserve"> REF _Ref457826369 \h </w:instrText>
      </w:r>
      <w:r>
        <w:instrText xml:space="preserve"> \* MERGEFORMAT </w:instrText>
      </w:r>
      <w:r w:rsidRPr="00C02459">
        <w:fldChar w:fldCharType="separate"/>
      </w:r>
      <w:r>
        <w:t xml:space="preserve">Table </w:t>
      </w:r>
      <w:r>
        <w:rPr>
          <w:noProof/>
        </w:rPr>
        <w:t>2.5</w:t>
      </w:r>
      <w:r w:rsidRPr="00C02459">
        <w:fldChar w:fldCharType="end"/>
      </w:r>
      <w:r w:rsidRPr="00C02459">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3438A2" w:rsidRPr="00C02459" w14:paraId="4D27A52B" w14:textId="77777777" w:rsidTr="005F2743">
        <w:trPr>
          <w:trHeight w:val="423"/>
        </w:trPr>
        <w:tc>
          <w:tcPr>
            <w:tcW w:w="5000" w:type="pct"/>
            <w:gridSpan w:val="2"/>
            <w:tcBorders>
              <w:top w:val="single" w:sz="4" w:space="0" w:color="auto"/>
              <w:bottom w:val="single" w:sz="4" w:space="0" w:color="auto"/>
            </w:tcBorders>
            <w:shd w:val="clear" w:color="auto" w:fill="auto"/>
          </w:tcPr>
          <w:p w14:paraId="778890CB" w14:textId="77777777" w:rsidR="003438A2" w:rsidRPr="00C02459" w:rsidRDefault="003438A2" w:rsidP="005F2743">
            <w:pPr>
              <w:pStyle w:val="TableHeading"/>
            </w:pPr>
            <w:r w:rsidRPr="00C02459">
              <w:t xml:space="preserve">Unrestricted risk estimate for </w:t>
            </w:r>
            <w:r w:rsidRPr="00C02459">
              <w:rPr>
                <w:i/>
                <w:iCs/>
              </w:rPr>
              <w:t>D. mali</w:t>
            </w:r>
          </w:p>
        </w:tc>
      </w:tr>
      <w:tr w:rsidR="003438A2" w:rsidRPr="00C02459" w14:paraId="33B9EB99" w14:textId="77777777" w:rsidTr="005F2743">
        <w:trPr>
          <w:trHeight w:val="273"/>
        </w:trPr>
        <w:tc>
          <w:tcPr>
            <w:tcW w:w="3417" w:type="pct"/>
            <w:tcBorders>
              <w:top w:val="single" w:sz="4" w:space="0" w:color="auto"/>
              <w:bottom w:val="nil"/>
            </w:tcBorders>
            <w:shd w:val="clear" w:color="auto" w:fill="auto"/>
          </w:tcPr>
          <w:p w14:paraId="04F85258" w14:textId="77777777" w:rsidR="003438A2" w:rsidRPr="00C02459" w:rsidRDefault="003438A2" w:rsidP="005F2743">
            <w:pPr>
              <w:pStyle w:val="TableText"/>
            </w:pPr>
            <w:r w:rsidRPr="00C02459">
              <w:t>Overall likelihood of entry, establishment and spread</w:t>
            </w:r>
          </w:p>
        </w:tc>
        <w:tc>
          <w:tcPr>
            <w:tcW w:w="1583" w:type="pct"/>
            <w:tcBorders>
              <w:top w:val="single" w:sz="4" w:space="0" w:color="auto"/>
              <w:bottom w:val="nil"/>
            </w:tcBorders>
            <w:shd w:val="clear" w:color="auto" w:fill="auto"/>
          </w:tcPr>
          <w:p w14:paraId="457BA6C7" w14:textId="77777777" w:rsidR="003438A2" w:rsidRPr="00C02459" w:rsidRDefault="003438A2" w:rsidP="005F2743">
            <w:pPr>
              <w:pStyle w:val="TableText"/>
            </w:pPr>
            <w:r w:rsidRPr="00C02459">
              <w:t>Very Low</w:t>
            </w:r>
          </w:p>
        </w:tc>
      </w:tr>
      <w:tr w:rsidR="003438A2" w:rsidRPr="00C02459" w14:paraId="666AE700" w14:textId="77777777" w:rsidTr="005F2743">
        <w:trPr>
          <w:trHeight w:val="284"/>
        </w:trPr>
        <w:tc>
          <w:tcPr>
            <w:tcW w:w="3417" w:type="pct"/>
            <w:tcBorders>
              <w:top w:val="nil"/>
              <w:bottom w:val="nil"/>
            </w:tcBorders>
            <w:shd w:val="clear" w:color="auto" w:fill="auto"/>
          </w:tcPr>
          <w:p w14:paraId="7E90151C" w14:textId="77777777" w:rsidR="003438A2" w:rsidRPr="00C02459" w:rsidRDefault="003438A2" w:rsidP="005F2743">
            <w:pPr>
              <w:pStyle w:val="TableText"/>
            </w:pPr>
            <w:r w:rsidRPr="00C02459">
              <w:t>Consequences</w:t>
            </w:r>
          </w:p>
        </w:tc>
        <w:tc>
          <w:tcPr>
            <w:tcW w:w="1583" w:type="pct"/>
            <w:tcBorders>
              <w:top w:val="nil"/>
              <w:bottom w:val="nil"/>
            </w:tcBorders>
            <w:shd w:val="clear" w:color="auto" w:fill="auto"/>
          </w:tcPr>
          <w:p w14:paraId="7886CCC7" w14:textId="77777777" w:rsidR="003438A2" w:rsidRPr="00C02459" w:rsidRDefault="003438A2" w:rsidP="005F2743">
            <w:pPr>
              <w:pStyle w:val="TableText"/>
            </w:pPr>
            <w:r w:rsidRPr="00C02459">
              <w:t>Low</w:t>
            </w:r>
          </w:p>
        </w:tc>
      </w:tr>
      <w:tr w:rsidR="003438A2" w:rsidRPr="00C02459" w14:paraId="0BBB31B3" w14:textId="77777777" w:rsidTr="005F2743">
        <w:trPr>
          <w:trHeight w:val="284"/>
        </w:trPr>
        <w:tc>
          <w:tcPr>
            <w:tcW w:w="3417" w:type="pct"/>
            <w:tcBorders>
              <w:top w:val="nil"/>
              <w:bottom w:val="single" w:sz="4" w:space="0" w:color="auto"/>
            </w:tcBorders>
            <w:shd w:val="clear" w:color="auto" w:fill="auto"/>
          </w:tcPr>
          <w:p w14:paraId="2E2CDCD1" w14:textId="77777777" w:rsidR="003438A2" w:rsidRPr="00C02459" w:rsidRDefault="003438A2" w:rsidP="005F2743">
            <w:pPr>
              <w:pStyle w:val="TableText"/>
            </w:pPr>
            <w:r w:rsidRPr="00C02459">
              <w:t>Unrestricted risk</w:t>
            </w:r>
          </w:p>
        </w:tc>
        <w:tc>
          <w:tcPr>
            <w:tcW w:w="1583" w:type="pct"/>
            <w:tcBorders>
              <w:top w:val="nil"/>
              <w:bottom w:val="single" w:sz="4" w:space="0" w:color="auto"/>
            </w:tcBorders>
            <w:shd w:val="clear" w:color="auto" w:fill="auto"/>
          </w:tcPr>
          <w:p w14:paraId="0A201466" w14:textId="77777777" w:rsidR="003438A2" w:rsidRPr="00C02459" w:rsidRDefault="003438A2" w:rsidP="005F2743">
            <w:pPr>
              <w:pStyle w:val="TableText"/>
            </w:pPr>
            <w:r w:rsidRPr="00C02459">
              <w:t>Negligible</w:t>
            </w:r>
          </w:p>
        </w:tc>
      </w:tr>
    </w:tbl>
    <w:p w14:paraId="276E4CB0" w14:textId="77777777" w:rsidR="003438A2" w:rsidRPr="001613E0" w:rsidRDefault="003438A2" w:rsidP="00C25EA7">
      <w:pPr>
        <w:spacing w:before="120"/>
      </w:pPr>
      <w:r w:rsidRPr="00C02459">
        <w:t xml:space="preserve">When industry commercial practices such as in-field controls are taken into consideration, the unrestricted risk estimate for </w:t>
      </w:r>
      <w:r w:rsidRPr="00C02459">
        <w:rPr>
          <w:i/>
        </w:rPr>
        <w:t xml:space="preserve">D. mali </w:t>
      </w:r>
      <w:r w:rsidRPr="00C02459">
        <w:t>on apples from the PNW-USA</w:t>
      </w:r>
      <w:r w:rsidRPr="00C02459">
        <w:rPr>
          <w:i/>
        </w:rPr>
        <w:t xml:space="preserve"> </w:t>
      </w:r>
      <w:r w:rsidRPr="00C02459">
        <w:t xml:space="preserve">has been assessed as Negligible, which achieves the ALOP for Australia. Therefore, no additional practices or specific risk management measures are required for </w:t>
      </w:r>
      <w:r w:rsidRPr="00C02459">
        <w:rPr>
          <w:i/>
        </w:rPr>
        <w:t xml:space="preserve">D. mali </w:t>
      </w:r>
      <w:r w:rsidRPr="00C02459">
        <w:t>on the apples from PNW-USA pathway.</w:t>
      </w:r>
    </w:p>
    <w:p w14:paraId="4D80B94E" w14:textId="77777777" w:rsidR="003438A2" w:rsidRDefault="003438A2" w:rsidP="00C25EA7">
      <w:pPr>
        <w:spacing w:after="0" w:line="240" w:lineRule="auto"/>
      </w:pPr>
      <w:r>
        <w:br w:type="page"/>
      </w:r>
    </w:p>
    <w:p w14:paraId="5E51B61B" w14:textId="77777777" w:rsidR="003438A2" w:rsidRDefault="003438A2" w:rsidP="00C25EA7">
      <w:pPr>
        <w:pStyle w:val="Heading3"/>
      </w:pPr>
      <w:bookmarkStart w:id="213" w:name="_Toc112769005"/>
      <w:bookmarkStart w:id="214" w:name="_Hlk44083575"/>
      <w:bookmarkStart w:id="215" w:name="_Hlk110855997"/>
      <w:bookmarkEnd w:id="197"/>
      <w:r w:rsidRPr="008E477F">
        <w:lastRenderedPageBreak/>
        <w:t>Apple maggot</w:t>
      </w:r>
      <w:bookmarkEnd w:id="213"/>
    </w:p>
    <w:p w14:paraId="7FC422AA" w14:textId="77777777" w:rsidR="003438A2" w:rsidRPr="008E477F" w:rsidRDefault="003438A2" w:rsidP="00C25EA7">
      <w:pPr>
        <w:pStyle w:val="Heading4"/>
        <w:numPr>
          <w:ilvl w:val="0"/>
          <w:numId w:val="0"/>
        </w:numPr>
      </w:pPr>
      <w:r w:rsidRPr="008E477F">
        <w:rPr>
          <w:i/>
          <w:iCs w:val="0"/>
        </w:rPr>
        <w:t>Rhagoletis pomonella</w:t>
      </w:r>
      <w:r w:rsidRPr="008E477F">
        <w:t xml:space="preserve"> (EP)</w:t>
      </w:r>
    </w:p>
    <w:p w14:paraId="2272D370" w14:textId="77777777" w:rsidR="003438A2" w:rsidRDefault="003438A2" w:rsidP="00F32304">
      <w:pPr>
        <w:rPr>
          <w:color w:val="000000"/>
        </w:rPr>
      </w:pPr>
      <w:bookmarkStart w:id="216" w:name="_Hlk103509149"/>
      <w:r>
        <w:rPr>
          <w:i/>
        </w:rPr>
        <w:t>Rhagoletis </w:t>
      </w:r>
      <w:r w:rsidRPr="000E0DD6">
        <w:rPr>
          <w:i/>
        </w:rPr>
        <w:t>pomonella</w:t>
      </w:r>
      <w:r w:rsidRPr="000E0DD6">
        <w:t xml:space="preserve"> </w:t>
      </w:r>
      <w:r>
        <w:t xml:space="preserve">belongs to the family Tephritidae and </w:t>
      </w:r>
      <w:r w:rsidRPr="000E0DD6">
        <w:t xml:space="preserve">is native to </w:t>
      </w:r>
      <w:r w:rsidRPr="00874B45">
        <w:t>eastern</w:t>
      </w:r>
      <w:r w:rsidRPr="000E0DD6">
        <w:t xml:space="preserve"> North </w:t>
      </w:r>
      <w:r>
        <w:t>A</w:t>
      </w:r>
      <w:r w:rsidRPr="000E0DD6">
        <w:t>merica</w:t>
      </w:r>
      <w:r>
        <w:t xml:space="preserve"> </w:t>
      </w:r>
      <w:r>
        <w:rPr>
          <w:noProof/>
        </w:rPr>
        <w:t>(Beers, Antonelli &amp; LaGasa 1996; Michigan State University 2019; Weems &amp; Fasulo 2021; Wiman, Stoven &amp; Bush 2019; Zhao, Wahl &amp; Marsh 2007)</w:t>
      </w:r>
      <w:r>
        <w:t xml:space="preserve">. </w:t>
      </w:r>
      <w:r>
        <w:rPr>
          <w:i/>
        </w:rPr>
        <w:t>Rhagoletis </w:t>
      </w:r>
      <w:r w:rsidRPr="000E0DD6">
        <w:rPr>
          <w:i/>
        </w:rPr>
        <w:t>pomonella</w:t>
      </w:r>
      <w:r w:rsidRPr="00D0157F">
        <w:t xml:space="preserve"> is widespread in the USA</w:t>
      </w:r>
      <w:r>
        <w:t>,</w:t>
      </w:r>
      <w:r w:rsidRPr="00D0157F">
        <w:t xml:space="preserve"> and has a restricted distribution in Canada and Mexico</w:t>
      </w:r>
      <w:r>
        <w:rPr>
          <w:sz w:val="23"/>
          <w:szCs w:val="23"/>
        </w:rPr>
        <w:t xml:space="preserve"> </w:t>
      </w:r>
      <w:r>
        <w:rPr>
          <w:noProof/>
        </w:rPr>
        <w:t>(Sansford, Mastro &amp; Reynolds 2016)</w:t>
      </w:r>
      <w:r>
        <w:t xml:space="preserve">. </w:t>
      </w:r>
      <w:r w:rsidRPr="00032BD3">
        <w:t>It was first reported to have made the transition from its native host, hawthorn</w:t>
      </w:r>
      <w:r>
        <w:t xml:space="preserve"> </w:t>
      </w:r>
      <w:r w:rsidRPr="000E0DD6">
        <w:t>(</w:t>
      </w:r>
      <w:r w:rsidRPr="000E0DD6">
        <w:rPr>
          <w:i/>
        </w:rPr>
        <w:t>Crataegus</w:t>
      </w:r>
      <w:r w:rsidRPr="000E0DD6">
        <w:t xml:space="preserve"> spp</w:t>
      </w:r>
      <w:r w:rsidRPr="00DC62A3">
        <w:t>.), to apples (</w:t>
      </w:r>
      <w:r w:rsidRPr="00DC62A3">
        <w:rPr>
          <w:i/>
        </w:rPr>
        <w:t>Malus</w:t>
      </w:r>
      <w:r w:rsidRPr="00DC62A3">
        <w:t xml:space="preserve"> </w:t>
      </w:r>
      <w:r w:rsidRPr="00DC62A3">
        <w:rPr>
          <w:i/>
        </w:rPr>
        <w:t>pumila</w:t>
      </w:r>
      <w:r w:rsidRPr="00DC62A3">
        <w:t xml:space="preserve">) in the north-eastern USA </w:t>
      </w:r>
      <w:r w:rsidRPr="00DC62A3">
        <w:rPr>
          <w:noProof/>
        </w:rPr>
        <w:t>(Michigan State University 2019; Porter 1928)</w:t>
      </w:r>
      <w:r w:rsidRPr="00DC62A3">
        <w:t xml:space="preserve"> in 1857. The first reports of </w:t>
      </w:r>
      <w:r w:rsidRPr="00DC62A3">
        <w:rPr>
          <w:i/>
        </w:rPr>
        <w:t>R</w:t>
      </w:r>
      <w:r w:rsidRPr="00DC62A3">
        <w:t>. </w:t>
      </w:r>
      <w:r w:rsidRPr="00DC62A3">
        <w:rPr>
          <w:i/>
        </w:rPr>
        <w:t>pomonella</w:t>
      </w:r>
      <w:r w:rsidRPr="00DC62A3">
        <w:t xml:space="preserve"> infesting commercial apple crops in the PNW-USA were in Oregon in 1979 </w:t>
      </w:r>
      <w:r w:rsidRPr="00DC62A3">
        <w:rPr>
          <w:noProof/>
        </w:rPr>
        <w:t>(Beers, Antonelli &amp; LaGasa 1996; Bush et al. 2005; Fisher &amp; Olsen 2009; PNW Handbooks 2019c)</w:t>
      </w:r>
      <w:r w:rsidRPr="00CE40D1">
        <w:t>.</w:t>
      </w:r>
      <w:r w:rsidRPr="000E0DD6">
        <w:t xml:space="preserve"> </w:t>
      </w:r>
      <w:r>
        <w:t>During</w:t>
      </w:r>
      <w:r>
        <w:rPr>
          <w:lang w:val="en"/>
        </w:rPr>
        <w:t xml:space="preserve"> the early 1980s, </w:t>
      </w:r>
      <w:r w:rsidRPr="000E0DD6">
        <w:rPr>
          <w:i/>
        </w:rPr>
        <w:t>R</w:t>
      </w:r>
      <w:r>
        <w:rPr>
          <w:i/>
        </w:rPr>
        <w:t>. </w:t>
      </w:r>
      <w:r w:rsidRPr="000E0DD6">
        <w:rPr>
          <w:i/>
        </w:rPr>
        <w:t>pomonella</w:t>
      </w:r>
      <w:r w:rsidRPr="000E0DD6">
        <w:t xml:space="preserve"> </w:t>
      </w:r>
      <w:r>
        <w:rPr>
          <w:lang w:val="en"/>
        </w:rPr>
        <w:t xml:space="preserve">became established in other states of the PNW-USA (Washington and Idaho) and California, Utah and Colorado </w:t>
      </w:r>
      <w:r>
        <w:rPr>
          <w:noProof/>
        </w:rPr>
        <w:t>(Michigan State University 2019)</w:t>
      </w:r>
      <w:r>
        <w:t>.</w:t>
      </w:r>
      <w:r>
        <w:rPr>
          <w:lang w:val="en"/>
        </w:rPr>
        <w:t xml:space="preserve"> </w:t>
      </w:r>
      <w:r w:rsidRPr="00DE0693">
        <w:rPr>
          <w:color w:val="000000"/>
        </w:rPr>
        <w:t>By 2000</w:t>
      </w:r>
      <w:r>
        <w:rPr>
          <w:color w:val="000000"/>
        </w:rPr>
        <w:t>,</w:t>
      </w:r>
      <w:r w:rsidRPr="00DE0693">
        <w:rPr>
          <w:color w:val="000000"/>
        </w:rPr>
        <w:t xml:space="preserve"> it was found in most western Oregon and Washington </w:t>
      </w:r>
      <w:r w:rsidRPr="000B4619">
        <w:rPr>
          <w:color w:val="000000"/>
        </w:rPr>
        <w:t xml:space="preserve">counties </w:t>
      </w:r>
      <w:r>
        <w:rPr>
          <w:noProof/>
        </w:rPr>
        <w:t>(PNW Handbooks 2019c)</w:t>
      </w:r>
      <w:r w:rsidRPr="000B4619">
        <w:rPr>
          <w:color w:val="000000"/>
        </w:rPr>
        <w:t>.</w:t>
      </w:r>
      <w:r w:rsidRPr="00DE0693">
        <w:rPr>
          <w:color w:val="000000"/>
        </w:rPr>
        <w:t xml:space="preserve"> </w:t>
      </w:r>
      <w:r w:rsidRPr="005C1C9A">
        <w:rPr>
          <w:i/>
        </w:rPr>
        <w:t>Rhagoletis pomonella</w:t>
      </w:r>
      <w:r w:rsidRPr="005C1C9A">
        <w:t xml:space="preserve"> </w:t>
      </w:r>
      <w:r>
        <w:t xml:space="preserve">is a major quarantine pest of apples in the PNW-USA </w:t>
      </w:r>
      <w:r w:rsidRPr="00CE40D1">
        <w:rPr>
          <w:noProof/>
        </w:rPr>
        <w:t>(Sansford, Mastro &amp; Reynolds 2016; Wiman, Stoven &amp; Bush 2019; Yee 2007; Yee et al. 2012)</w:t>
      </w:r>
      <w:r>
        <w:t xml:space="preserve">. It </w:t>
      </w:r>
      <w:r w:rsidRPr="005C1C9A">
        <w:t>is recognised as a serious economic pest</w:t>
      </w:r>
      <w:r>
        <w:t xml:space="preserve"> </w:t>
      </w:r>
      <w:r>
        <w:rPr>
          <w:noProof/>
        </w:rPr>
        <w:t>(Beers et al. 1993b; Sansford, Mastro &amp; Reynolds 2016; Zhao, Wahl &amp; Marsh 2007)</w:t>
      </w:r>
      <w:r>
        <w:t xml:space="preserve">, </w:t>
      </w:r>
      <w:r>
        <w:rPr>
          <w:color w:val="000000"/>
        </w:rPr>
        <w:t xml:space="preserve">and </w:t>
      </w:r>
      <w:r w:rsidRPr="00DE0693">
        <w:rPr>
          <w:color w:val="000000"/>
        </w:rPr>
        <w:t xml:space="preserve">remains a potential threat to the commercial </w:t>
      </w:r>
      <w:r>
        <w:rPr>
          <w:color w:val="000000"/>
        </w:rPr>
        <w:t>n</w:t>
      </w:r>
      <w:r w:rsidRPr="00DE0693">
        <w:rPr>
          <w:color w:val="000000"/>
        </w:rPr>
        <w:t>orthwest apple and pear industry</w:t>
      </w:r>
      <w:r>
        <w:rPr>
          <w:color w:val="000000"/>
        </w:rPr>
        <w:t xml:space="preserve">. </w:t>
      </w:r>
      <w:r w:rsidRPr="00762679">
        <w:t>There are over 30 host records for this species, all from the Rosaceae family</w:t>
      </w:r>
      <w:r>
        <w:t>, including</w:t>
      </w:r>
      <w:r w:rsidRPr="00762679">
        <w:t xml:space="preserve"> apples</w:t>
      </w:r>
      <w:r>
        <w:t xml:space="preserve"> and crabapples (</w:t>
      </w:r>
      <w:r w:rsidRPr="003842BE">
        <w:rPr>
          <w:i/>
          <w:iCs/>
        </w:rPr>
        <w:t>Malus</w:t>
      </w:r>
      <w:r>
        <w:t xml:space="preserve"> spp.)</w:t>
      </w:r>
      <w:r w:rsidRPr="00762679">
        <w:t>,</w:t>
      </w:r>
      <w:r w:rsidRPr="000E0DD6">
        <w:t xml:space="preserve"> pears</w:t>
      </w:r>
      <w:r>
        <w:t xml:space="preserve"> (</w:t>
      </w:r>
      <w:r w:rsidRPr="003842BE">
        <w:rPr>
          <w:i/>
          <w:iCs/>
        </w:rPr>
        <w:t>Pyrus</w:t>
      </w:r>
      <w:r>
        <w:t xml:space="preserve"> spp.)</w:t>
      </w:r>
      <w:r w:rsidRPr="000E0DD6">
        <w:t>, plums, cherries</w:t>
      </w:r>
      <w:r>
        <w:t xml:space="preserve"> and</w:t>
      </w:r>
      <w:r w:rsidRPr="000E0DD6">
        <w:t xml:space="preserve"> apricots</w:t>
      </w:r>
      <w:r>
        <w:t xml:space="preserve"> (</w:t>
      </w:r>
      <w:r w:rsidRPr="003842BE">
        <w:rPr>
          <w:i/>
          <w:iCs/>
        </w:rPr>
        <w:t xml:space="preserve">Prunus </w:t>
      </w:r>
      <w:r>
        <w:t xml:space="preserve">spp.) and </w:t>
      </w:r>
      <w:r w:rsidRPr="000E0DD6">
        <w:t xml:space="preserve">hawthorns </w:t>
      </w:r>
      <w:r>
        <w:t>(</w:t>
      </w:r>
      <w:r w:rsidRPr="009113A2">
        <w:rPr>
          <w:i/>
        </w:rPr>
        <w:t>Crataegus</w:t>
      </w:r>
      <w:r>
        <w:t xml:space="preserve"> spp.) </w:t>
      </w:r>
      <w:r>
        <w:rPr>
          <w:noProof/>
        </w:rPr>
        <w:t>(Bush et al. 2005; Sansford, Mastro &amp; Reynolds 2016; Weems &amp; Fasulo 2021; Yee &amp; Goughnour 2006; Zhao, Wahl &amp; Marsh 2007)</w:t>
      </w:r>
      <w:r w:rsidRPr="00CE40D1">
        <w:t>.</w:t>
      </w:r>
      <w:r>
        <w:t xml:space="preserve"> However, </w:t>
      </w:r>
      <w:r w:rsidRPr="005C1C9A">
        <w:rPr>
          <w:i/>
        </w:rPr>
        <w:t>R</w:t>
      </w:r>
      <w:r>
        <w:rPr>
          <w:i/>
        </w:rPr>
        <w:t>.</w:t>
      </w:r>
      <w:r w:rsidRPr="005C1C9A">
        <w:rPr>
          <w:i/>
        </w:rPr>
        <w:t> pomonella</w:t>
      </w:r>
      <w:r w:rsidRPr="005C1C9A">
        <w:t xml:space="preserve"> </w:t>
      </w:r>
      <w:r>
        <w:rPr>
          <w:color w:val="000000"/>
        </w:rPr>
        <w:t>has only been reported</w:t>
      </w:r>
      <w:r w:rsidRPr="00DE0693">
        <w:rPr>
          <w:color w:val="000000"/>
        </w:rPr>
        <w:t xml:space="preserve"> to attack apple and hawthorn in </w:t>
      </w:r>
      <w:r w:rsidRPr="00FC2255">
        <w:rPr>
          <w:color w:val="000000"/>
        </w:rPr>
        <w:t>the PNW-USA (</w:t>
      </w:r>
      <w:r w:rsidRPr="00DE0693">
        <w:rPr>
          <w:color w:val="000000"/>
        </w:rPr>
        <w:t>Oregon and</w:t>
      </w:r>
      <w:r w:rsidRPr="00DE0693">
        <w:rPr>
          <w:color w:val="000000"/>
          <w:sz w:val="18"/>
          <w:szCs w:val="18"/>
        </w:rPr>
        <w:t xml:space="preserve"> </w:t>
      </w:r>
      <w:r w:rsidRPr="00DE0693">
        <w:rPr>
          <w:color w:val="000000"/>
        </w:rPr>
        <w:t>Washington</w:t>
      </w:r>
      <w:r>
        <w:rPr>
          <w:color w:val="000000"/>
        </w:rPr>
        <w:t>)</w:t>
      </w:r>
      <w:r w:rsidRPr="00DE0693">
        <w:rPr>
          <w:color w:val="000000"/>
        </w:rPr>
        <w:t xml:space="preserve"> </w:t>
      </w:r>
      <w:r>
        <w:rPr>
          <w:noProof/>
        </w:rPr>
        <w:t>(PNW Handbooks 2019c)</w:t>
      </w:r>
      <w:r w:rsidRPr="000B4619">
        <w:rPr>
          <w:color w:val="000000"/>
        </w:rPr>
        <w:t>.</w:t>
      </w:r>
    </w:p>
    <w:bookmarkEnd w:id="216"/>
    <w:p w14:paraId="2A2636F2" w14:textId="77777777" w:rsidR="003438A2" w:rsidRDefault="003438A2" w:rsidP="00C25EA7">
      <w:r>
        <w:t xml:space="preserve">Details of </w:t>
      </w:r>
      <w:r w:rsidRPr="00457C6E">
        <w:rPr>
          <w:i/>
        </w:rPr>
        <w:t>R. pom</w:t>
      </w:r>
      <w:r>
        <w:rPr>
          <w:i/>
        </w:rPr>
        <w:t>o</w:t>
      </w:r>
      <w:r w:rsidRPr="00457C6E">
        <w:rPr>
          <w:i/>
        </w:rPr>
        <w:t>nella</w:t>
      </w:r>
      <w:r>
        <w:t xml:space="preserve"> regulation and management in the PNW-USA, which include apple fruit movement controls within and between states, establishment of pest free areas in counties or parts of counties within each of the three states under assessment here, and trapping and monitoring procedures, are summarised in Section </w:t>
      </w:r>
      <w:r>
        <w:fldChar w:fldCharType="begin" w:fldLock="1"/>
      </w:r>
      <w:r>
        <w:instrText xml:space="preserve"> REF _Ref46060065 \r \h </w:instrText>
      </w:r>
      <w:r>
        <w:fldChar w:fldCharType="separate"/>
      </w:r>
      <w:r>
        <w:t>3.4.3</w:t>
      </w:r>
      <w:r>
        <w:fldChar w:fldCharType="end"/>
      </w:r>
      <w:r>
        <w:t xml:space="preserve"> </w:t>
      </w:r>
      <w:r w:rsidRPr="00B47FEA">
        <w:t>of</w:t>
      </w:r>
      <w:r>
        <w:t xml:space="preserve"> this report. The risk assessment presented here has therefore been conducted for fresh apples sourced from areas within PNW-USA where </w:t>
      </w:r>
      <w:r w:rsidRPr="00457C6E">
        <w:rPr>
          <w:i/>
        </w:rPr>
        <w:t>R. pom</w:t>
      </w:r>
      <w:r>
        <w:rPr>
          <w:i/>
        </w:rPr>
        <w:t>o</w:t>
      </w:r>
      <w:r w:rsidRPr="00457C6E">
        <w:rPr>
          <w:i/>
        </w:rPr>
        <w:t>nella</w:t>
      </w:r>
      <w:r>
        <w:t xml:space="preserve"> is present, but will also apply to other areas within the PNW-USA where pest freedom status has been suspended.</w:t>
      </w:r>
    </w:p>
    <w:p w14:paraId="1716B1CA" w14:textId="77777777" w:rsidR="003438A2" w:rsidRPr="00DC62A3" w:rsidRDefault="003438A2" w:rsidP="00785728">
      <w:r>
        <w:rPr>
          <w:i/>
        </w:rPr>
        <w:t xml:space="preserve">Rhagoletis pomonella </w:t>
      </w:r>
      <w:r>
        <w:t>has four life stages: egg, larva, pupa and adult. A</w:t>
      </w:r>
      <w:r w:rsidRPr="00904D90">
        <w:t xml:space="preserve">dult flies are </w:t>
      </w:r>
      <w:r>
        <w:t xml:space="preserve">largely </w:t>
      </w:r>
      <w:r w:rsidRPr="00904D90">
        <w:t>black</w:t>
      </w:r>
      <w:r>
        <w:t xml:space="preserve"> in colour, approximately 3 mm in length,</w:t>
      </w:r>
      <w:r w:rsidRPr="00904D90">
        <w:t xml:space="preserve"> and have clear wings marked with </w:t>
      </w:r>
      <w:r>
        <w:t>four</w:t>
      </w:r>
      <w:r w:rsidRPr="00904D90">
        <w:t xml:space="preserve"> characteristic oblique </w:t>
      </w:r>
      <w:r>
        <w:t xml:space="preserve">black </w:t>
      </w:r>
      <w:r w:rsidRPr="00904D90">
        <w:t xml:space="preserve">bands </w:t>
      </w:r>
      <w:r>
        <w:rPr>
          <w:noProof/>
        </w:rPr>
        <w:t>(Weems &amp; Fasulo 2002)</w:t>
      </w:r>
      <w:r w:rsidRPr="00A77AF7">
        <w:t>.</w:t>
      </w:r>
      <w:r w:rsidRPr="00904D90">
        <w:t xml:space="preserve"> </w:t>
      </w:r>
      <w:r>
        <w:t>They have</w:t>
      </w:r>
      <w:r w:rsidRPr="00904D90">
        <w:t xml:space="preserve"> a pronounced white spot on the back of the thorax and the black abdomen has white bands, of which females have </w:t>
      </w:r>
      <w:r>
        <w:t>four</w:t>
      </w:r>
      <w:r w:rsidRPr="00904D90">
        <w:t xml:space="preserve"> and males have </w:t>
      </w:r>
      <w:r>
        <w:t>three</w:t>
      </w:r>
      <w:r w:rsidRPr="00904D90">
        <w:t xml:space="preserve"> </w:t>
      </w:r>
      <w:bookmarkStart w:id="217" w:name="_Hlk46846059"/>
      <w:r>
        <w:rPr>
          <w:noProof/>
        </w:rPr>
        <w:t>(Beers, Antonelli &amp; LaGasa 1996; Weems &amp; Fasulo 2002)</w:t>
      </w:r>
      <w:r w:rsidRPr="00A77AF7">
        <w:t>.</w:t>
      </w:r>
      <w:r w:rsidRPr="00904D90">
        <w:t xml:space="preserve"> </w:t>
      </w:r>
      <w:bookmarkEnd w:id="217"/>
      <w:r>
        <w:t>The female has an ovipositor that can puncture fruit skin.</w:t>
      </w:r>
      <w:r w:rsidRPr="00904D90">
        <w:t xml:space="preserve"> </w:t>
      </w:r>
      <w:r>
        <w:t>L</w:t>
      </w:r>
      <w:r w:rsidRPr="00904D90">
        <w:t>arvae are coloured white</w:t>
      </w:r>
      <w:r>
        <w:t xml:space="preserve"> to </w:t>
      </w:r>
      <w:r w:rsidRPr="00904D90">
        <w:t>yellow</w:t>
      </w:r>
      <w:r>
        <w:t xml:space="preserve"> </w:t>
      </w:r>
      <w:r w:rsidRPr="00CE40D1">
        <w:rPr>
          <w:noProof/>
        </w:rPr>
        <w:t>(Beers, Antonelli &amp; LaGasa 1996; Weems &amp; Fasulo 2002)</w:t>
      </w:r>
      <w:r>
        <w:t xml:space="preserve">, </w:t>
      </w:r>
      <w:r w:rsidRPr="00904D90">
        <w:t xml:space="preserve">and </w:t>
      </w:r>
      <w:r>
        <w:t xml:space="preserve">are </w:t>
      </w:r>
      <w:r w:rsidRPr="00904D90">
        <w:t>approximately 1.0</w:t>
      </w:r>
      <w:r>
        <w:t xml:space="preserve"> to </w:t>
      </w:r>
      <w:r w:rsidRPr="00904D90">
        <w:t>1.5</w:t>
      </w:r>
      <w:r>
        <w:t xml:space="preserve"> </w:t>
      </w:r>
      <w:r w:rsidRPr="00904D90">
        <w:t>cm in length, with a blunt posterior and a tapered</w:t>
      </w:r>
      <w:r>
        <w:t xml:space="preserve"> </w:t>
      </w:r>
      <w:r w:rsidRPr="00904D90">
        <w:t xml:space="preserve">front end that contains </w:t>
      </w:r>
      <w:r>
        <w:t>two</w:t>
      </w:r>
      <w:r w:rsidRPr="00904D90">
        <w:t xml:space="preserve"> black </w:t>
      </w:r>
      <w:r w:rsidRPr="00DC62A3">
        <w:t xml:space="preserve">mouth hooks </w:t>
      </w:r>
      <w:r w:rsidRPr="00DC62A3">
        <w:rPr>
          <w:noProof/>
        </w:rPr>
        <w:t>(Michigan State University 2019)</w:t>
      </w:r>
      <w:r w:rsidRPr="00DC62A3">
        <w:t xml:space="preserve">. </w:t>
      </w:r>
      <w:r w:rsidRPr="00DC62A3">
        <w:rPr>
          <w:lang w:val="en"/>
        </w:rPr>
        <w:t xml:space="preserve">The brownish-yellow puparia are about 4 mm long </w:t>
      </w:r>
      <w:r w:rsidRPr="00DC62A3">
        <w:rPr>
          <w:noProof/>
        </w:rPr>
        <w:t>(</w:t>
      </w:r>
      <w:hyperlink w:anchor="_ENREF_526" w:tooltip="Michigan State University, 2019 #37106" w:history="1">
        <w:r w:rsidRPr="00DC62A3">
          <w:rPr>
            <w:noProof/>
          </w:rPr>
          <w:t>Michigan State University 2019</w:t>
        </w:r>
      </w:hyperlink>
      <w:r w:rsidRPr="00DC62A3">
        <w:rPr>
          <w:noProof/>
        </w:rPr>
        <w:t>).</w:t>
      </w:r>
    </w:p>
    <w:p w14:paraId="5CAF5DFC" w14:textId="77777777" w:rsidR="003438A2" w:rsidRDefault="003438A2" w:rsidP="00DB2DA9">
      <w:r w:rsidRPr="00DC62A3">
        <w:t xml:space="preserve">Newly emerged flies are sexually immature and spend considerable time on apple leaves feeding on honeydew excreted by aphids and other insects </w:t>
      </w:r>
      <w:r w:rsidRPr="00DC62A3">
        <w:rPr>
          <w:noProof/>
        </w:rPr>
        <w:t>(Reissig 1991)</w:t>
      </w:r>
      <w:r w:rsidRPr="00DC62A3">
        <w:t>. Adult flies mature sexually 7 to 10 days after emergence and then congregate on fruit, where</w:t>
      </w:r>
      <w:r w:rsidRPr="00DC62A3">
        <w:rPr>
          <w:lang w:val="en"/>
        </w:rPr>
        <w:t xml:space="preserve"> mating occurs </w:t>
      </w:r>
      <w:r w:rsidRPr="00DC62A3">
        <w:rPr>
          <w:noProof/>
        </w:rPr>
        <w:t>(Michigan State University 2019)</w:t>
      </w:r>
      <w:r w:rsidRPr="00DC62A3">
        <w:rPr>
          <w:lang w:val="en"/>
        </w:rPr>
        <w:t xml:space="preserve">. After mating, females puncture the fruit skin with their ovipositors to lay eggs. </w:t>
      </w:r>
      <w:r w:rsidRPr="00DC62A3">
        <w:lastRenderedPageBreak/>
        <w:t xml:space="preserve">Eggs are deposited singly under the skin of the fruit </w:t>
      </w:r>
      <w:r w:rsidRPr="00DC62A3">
        <w:rPr>
          <w:lang w:val="en"/>
        </w:rPr>
        <w:t>(</w:t>
      </w:r>
      <w:hyperlink w:anchor="_ENREF_66" w:tooltip="Kaur, 2022 #46869" w:history="1">
        <w:r w:rsidRPr="00DC62A3">
          <w:rPr>
            <w:noProof/>
          </w:rPr>
          <w:t>Kaur 2022a</w:t>
        </w:r>
      </w:hyperlink>
      <w:r w:rsidRPr="00DC62A3">
        <w:rPr>
          <w:noProof/>
        </w:rPr>
        <w:t>)</w:t>
      </w:r>
      <w:r w:rsidRPr="00DC62A3">
        <w:t>, causing development of small brown decayed areas</w:t>
      </w:r>
      <w:r w:rsidRPr="00DC62A3">
        <w:rPr>
          <w:rFonts w:ascii="Open Sans" w:hAnsi="Open Sans" w:cs="Arial"/>
          <w:color w:val="333333"/>
          <w:lang w:val="en"/>
        </w:rPr>
        <w:t xml:space="preserve"> </w:t>
      </w:r>
      <w:r w:rsidRPr="00DC62A3">
        <w:rPr>
          <w:noProof/>
        </w:rPr>
        <w:t>(PNW Handbooks 2019c)</w:t>
      </w:r>
      <w:r w:rsidRPr="00DC62A3">
        <w:t xml:space="preserve">, and hatch within a few days </w:t>
      </w:r>
      <w:r w:rsidRPr="00DC62A3">
        <w:rPr>
          <w:noProof/>
        </w:rPr>
        <w:t>(Brunner 2016)</w:t>
      </w:r>
      <w:r w:rsidRPr="00DC62A3">
        <w:t xml:space="preserve">. Larvae develop through three instars as they tunnel through the fruit </w:t>
      </w:r>
      <w:bookmarkStart w:id="218" w:name="_Hlk108950338"/>
      <w:r w:rsidRPr="00DC62A3">
        <w:rPr>
          <w:noProof/>
        </w:rPr>
        <w:t>(Beers, Antonelli &amp; LaGasa 1996; Dupont &amp; Brunner 2016)</w:t>
      </w:r>
      <w:r w:rsidRPr="00DC62A3">
        <w:t xml:space="preserve">. </w:t>
      </w:r>
      <w:bookmarkEnd w:id="218"/>
      <w:r w:rsidRPr="00DC62A3">
        <w:t>Larval development times range from two weeks to several months depending on the apple variety and fruit maturing times (Weems &amp; Fasulo 2021). Once fully developed and having completed their third-instar feeding, larvae exit the fruit, drop to the ground</w:t>
      </w:r>
      <w:r w:rsidRPr="00DC62A3">
        <w:rPr>
          <w:lang w:val="en"/>
        </w:rPr>
        <w:t xml:space="preserve"> </w:t>
      </w:r>
      <w:r w:rsidRPr="00DC62A3">
        <w:rPr>
          <w:noProof/>
        </w:rPr>
        <w:t>(Beers, Antonelli &amp; LaGasa 1996)</w:t>
      </w:r>
      <w:r w:rsidRPr="00DC62A3">
        <w:t>,</w:t>
      </w:r>
      <w:r w:rsidRPr="00DC62A3">
        <w:rPr>
          <w:lang w:val="en"/>
        </w:rPr>
        <w:t xml:space="preserve"> burrow into the soil </w:t>
      </w:r>
      <w:r w:rsidRPr="00DC62A3">
        <w:rPr>
          <w:noProof/>
        </w:rPr>
        <w:t>(Beers, Antonelli &amp; LaGasa 1996; Dupont &amp; Brunner 2016)</w:t>
      </w:r>
      <w:r>
        <w:t xml:space="preserve"> </w:t>
      </w:r>
      <w:r w:rsidRPr="006872F1">
        <w:rPr>
          <w:lang w:val="en"/>
        </w:rPr>
        <w:t>and mo</w:t>
      </w:r>
      <w:r>
        <w:rPr>
          <w:lang w:val="en"/>
        </w:rPr>
        <w:t>l</w:t>
      </w:r>
      <w:r w:rsidRPr="006872F1">
        <w:rPr>
          <w:lang w:val="en"/>
        </w:rPr>
        <w:t>t to a fourth instar</w:t>
      </w:r>
      <w:r>
        <w:rPr>
          <w:lang w:val="en"/>
        </w:rPr>
        <w:t>. This</w:t>
      </w:r>
      <w:r w:rsidRPr="006872F1">
        <w:rPr>
          <w:lang w:val="en"/>
        </w:rPr>
        <w:t xml:space="preserve"> is quickly followed by another mo</w:t>
      </w:r>
      <w:r>
        <w:rPr>
          <w:lang w:val="en"/>
        </w:rPr>
        <w:t>l</w:t>
      </w:r>
      <w:r w:rsidRPr="006872F1">
        <w:rPr>
          <w:lang w:val="en"/>
        </w:rPr>
        <w:t>t to the pupal stage</w:t>
      </w:r>
      <w:r>
        <w:rPr>
          <w:lang w:val="en"/>
        </w:rPr>
        <w:t xml:space="preserve">, which remains </w:t>
      </w:r>
      <w:r w:rsidRPr="000E0DD6">
        <w:t xml:space="preserve">in the upper levels of the soil </w:t>
      </w:r>
      <w:r>
        <w:rPr>
          <w:noProof/>
        </w:rPr>
        <w:t>(Michigan State University 2019)</w:t>
      </w:r>
      <w:r w:rsidRPr="000E0DD6">
        <w:t>.</w:t>
      </w:r>
    </w:p>
    <w:p w14:paraId="4EB570F3" w14:textId="77777777" w:rsidR="003438A2" w:rsidRDefault="003438A2" w:rsidP="00DB2DA9">
      <w:r w:rsidRPr="00E65DBC">
        <w:t>Pupae</w:t>
      </w:r>
      <w:r w:rsidRPr="000E0DD6">
        <w:t xml:space="preserve"> may overwinter and remain in the soil until the following spring or, if conditions are favourable, may emerge as </w:t>
      </w:r>
      <w:r w:rsidRPr="009863E3">
        <w:t>adults within the same season</w:t>
      </w:r>
      <w:r>
        <w:t xml:space="preserve">, initiating development of a second generation </w:t>
      </w:r>
      <w:r w:rsidRPr="00CE40D1">
        <w:rPr>
          <w:noProof/>
        </w:rPr>
        <w:t>(Bush et al. 2005; Dupont &amp; Brunner 2016)</w:t>
      </w:r>
      <w:r w:rsidRPr="00CE40D1">
        <w:t>.</w:t>
      </w:r>
      <w:r w:rsidRPr="009863E3">
        <w:t xml:space="preserve"> A proportion of pupae may also overwinter</w:t>
      </w:r>
      <w:r w:rsidRPr="000E0DD6">
        <w:t xml:space="preserve"> for </w:t>
      </w:r>
      <w:r>
        <w:t xml:space="preserve">two (or more) winters </w:t>
      </w:r>
      <w:r w:rsidRPr="00CE40D1">
        <w:rPr>
          <w:noProof/>
        </w:rPr>
        <w:t>(Brunner 2016; Michigan State University 2019)</w:t>
      </w:r>
      <w:r w:rsidRPr="00CE40D1">
        <w:t>.</w:t>
      </w:r>
      <w:bookmarkStart w:id="219" w:name="_Hlk108950394"/>
      <w:r>
        <w:t xml:space="preserve"> </w:t>
      </w:r>
      <w:bookmarkEnd w:id="219"/>
      <w:r>
        <w:t>D</w:t>
      </w:r>
      <w:r w:rsidRPr="00805957">
        <w:t xml:space="preserve">iapausing pupae </w:t>
      </w:r>
      <w:r w:rsidRPr="004E6478">
        <w:t xml:space="preserve">of </w:t>
      </w:r>
      <w:bookmarkStart w:id="220" w:name="_Hlk44192170"/>
      <w:r w:rsidRPr="004E6478">
        <w:rPr>
          <w:i/>
        </w:rPr>
        <w:t>R. pomonella</w:t>
      </w:r>
      <w:r w:rsidRPr="00885258">
        <w:t xml:space="preserve"> </w:t>
      </w:r>
      <w:bookmarkEnd w:id="220"/>
      <w:r w:rsidRPr="00805957">
        <w:t xml:space="preserve">are </w:t>
      </w:r>
      <w:r>
        <w:t xml:space="preserve">reported to be </w:t>
      </w:r>
      <w:r w:rsidRPr="00805957">
        <w:t>the most heat and cold tolerant stage</w:t>
      </w:r>
      <w:r>
        <w:t xml:space="preserve"> of </w:t>
      </w:r>
      <w:r w:rsidRPr="00457C6E">
        <w:rPr>
          <w:i/>
        </w:rPr>
        <w:t>R.</w:t>
      </w:r>
      <w:r>
        <w:rPr>
          <w:i/>
        </w:rPr>
        <w:t> </w:t>
      </w:r>
      <w:r w:rsidRPr="00457C6E">
        <w:rPr>
          <w:i/>
        </w:rPr>
        <w:t>pom</w:t>
      </w:r>
      <w:r>
        <w:rPr>
          <w:i/>
        </w:rPr>
        <w:t>o</w:t>
      </w:r>
      <w:r w:rsidRPr="00457C6E">
        <w:rPr>
          <w:i/>
        </w:rPr>
        <w:t>nella</w:t>
      </w:r>
      <w:r>
        <w:t xml:space="preserve"> </w:t>
      </w:r>
      <w:r>
        <w:rPr>
          <w:noProof/>
        </w:rPr>
        <w:t>(Sansford, Mastro &amp; Reynolds 2016)</w:t>
      </w:r>
      <w:r>
        <w:t>.</w:t>
      </w:r>
      <w:r w:rsidRPr="007E2D39">
        <w:t xml:space="preserve"> </w:t>
      </w:r>
      <w:r>
        <w:t xml:space="preserve">Cold tolerance of diapausing pupae was observed at temperature range of </w:t>
      </w:r>
      <w:r w:rsidRPr="0071494B">
        <w:t>-23</w:t>
      </w:r>
      <w:r w:rsidRPr="00A824CD">
        <w:rPr>
          <w:rFonts w:cstheme="minorHAnsi"/>
        </w:rPr>
        <w:t>°</w:t>
      </w:r>
      <w:r>
        <w:rPr>
          <w:rFonts w:cstheme="minorHAnsi"/>
        </w:rPr>
        <w:t>C</w:t>
      </w:r>
      <w:r w:rsidRPr="0071494B">
        <w:t xml:space="preserve"> to -25</w:t>
      </w:r>
      <w:bookmarkStart w:id="221" w:name="_Hlk44150046"/>
      <w:r w:rsidRPr="00A824CD">
        <w:rPr>
          <w:rFonts w:cstheme="minorHAnsi"/>
        </w:rPr>
        <w:t>°</w:t>
      </w:r>
      <w:r w:rsidRPr="00654D57">
        <w:t>C</w:t>
      </w:r>
      <w:bookmarkEnd w:id="221"/>
      <w:r>
        <w:t xml:space="preserve"> </w:t>
      </w:r>
      <w:r>
        <w:rPr>
          <w:noProof/>
        </w:rPr>
        <w:t>(Sansford, Mastro &amp; Reynolds 2016)</w:t>
      </w:r>
      <w:r>
        <w:t xml:space="preserve">. </w:t>
      </w:r>
      <w:bookmarkStart w:id="222" w:name="_Hlk108779154"/>
    </w:p>
    <w:bookmarkEnd w:id="222"/>
    <w:p w14:paraId="21BB0367" w14:textId="77777777" w:rsidR="003438A2" w:rsidRDefault="003438A2" w:rsidP="00C25EA7">
      <w:pPr>
        <w:rPr>
          <w:sz w:val="23"/>
          <w:szCs w:val="23"/>
        </w:rPr>
      </w:pPr>
      <w:r w:rsidRPr="000E0DD6">
        <w:t xml:space="preserve">Adults begin emerging from the soil </w:t>
      </w:r>
      <w:r>
        <w:rPr>
          <w:lang w:val="en"/>
        </w:rPr>
        <w:t xml:space="preserve">from mid-June to early </w:t>
      </w:r>
      <w:r w:rsidRPr="00E65DBC">
        <w:rPr>
          <w:lang w:val="en"/>
        </w:rPr>
        <w:t>July</w:t>
      </w:r>
      <w:r w:rsidRPr="00E65DBC">
        <w:t xml:space="preserve"> </w:t>
      </w:r>
      <w:bookmarkStart w:id="223" w:name="_Hlk108950453"/>
      <w:r w:rsidRPr="00CE40D1">
        <w:rPr>
          <w:noProof/>
        </w:rPr>
        <w:t>(Dupont &amp; Brunner 2016; Reissig 1991)</w:t>
      </w:r>
      <w:r>
        <w:t xml:space="preserve"> </w:t>
      </w:r>
      <w:bookmarkEnd w:id="223"/>
      <w:r w:rsidRPr="000E0DD6">
        <w:t>and may survive for up to 30 days.</w:t>
      </w:r>
      <w:r>
        <w:rPr>
          <w:lang w:val="en"/>
        </w:rPr>
        <w:t xml:space="preserve"> Peak emergence occurs during mid- to late July and is usually completed by the end of August </w:t>
      </w:r>
      <w:r>
        <w:rPr>
          <w:noProof/>
        </w:rPr>
        <w:t>(Michigan State University 2019)</w:t>
      </w:r>
      <w:r>
        <w:t xml:space="preserve">. </w:t>
      </w:r>
      <w:r w:rsidRPr="000E0DD6">
        <w:t xml:space="preserve">Adults are present in the field from June to October </w:t>
      </w:r>
      <w:r>
        <w:rPr>
          <w:noProof/>
        </w:rPr>
        <w:t>(Fisher &amp; Olsen 2009)</w:t>
      </w:r>
      <w:r w:rsidRPr="000E0DD6">
        <w:t>. During these months, commercial apple trees in the PNW</w:t>
      </w:r>
      <w:r>
        <w:t>-USA</w:t>
      </w:r>
      <w:r w:rsidRPr="000E0DD6">
        <w:t xml:space="preserve"> are bearing</w:t>
      </w:r>
      <w:r>
        <w:t xml:space="preserve"> fruit </w:t>
      </w:r>
      <w:r>
        <w:rPr>
          <w:noProof/>
        </w:rPr>
        <w:t>(USDA-NASS 2006)</w:t>
      </w:r>
      <w:r w:rsidRPr="00C16901">
        <w:t>.</w:t>
      </w:r>
    </w:p>
    <w:p w14:paraId="1E7E5A31" w14:textId="77777777" w:rsidR="003438A2" w:rsidRDefault="003438A2" w:rsidP="00C25EA7">
      <w:bookmarkStart w:id="224" w:name="_Hlk103015169"/>
      <w:r>
        <w:t xml:space="preserve">The risk scenario of biosecurity concern </w:t>
      </w:r>
      <w:r w:rsidRPr="00B47B0C">
        <w:t xml:space="preserve">is that eggs and/or larvae of </w:t>
      </w:r>
      <w:r w:rsidRPr="00B47B0C">
        <w:rPr>
          <w:i/>
        </w:rPr>
        <w:t xml:space="preserve">R. pomonella </w:t>
      </w:r>
      <w:r w:rsidRPr="00B47B0C">
        <w:t xml:space="preserve">may be imported </w:t>
      </w:r>
      <w:r>
        <w:t xml:space="preserve">with </w:t>
      </w:r>
      <w:r w:rsidRPr="00B47B0C">
        <w:t>apple fruit from the PNW-USA.</w:t>
      </w:r>
    </w:p>
    <w:bookmarkEnd w:id="224"/>
    <w:p w14:paraId="7056C01F" w14:textId="77777777" w:rsidR="003438A2" w:rsidRPr="00DC62A3" w:rsidRDefault="003438A2" w:rsidP="00C25EA7">
      <w:pPr>
        <w:rPr>
          <w:rFonts w:cs="Arial"/>
        </w:rPr>
      </w:pPr>
      <w:r>
        <w:rPr>
          <w:i/>
        </w:rPr>
        <w:t>Rhagoletis</w:t>
      </w:r>
      <w:r w:rsidRPr="007E4677">
        <w:rPr>
          <w:i/>
        </w:rPr>
        <w:t> pomonella</w:t>
      </w:r>
      <w:r w:rsidRPr="00574D82">
        <w:t xml:space="preserve"> has been assessed previously in the</w:t>
      </w:r>
      <w:r>
        <w:t xml:space="preserve"> </w:t>
      </w:r>
      <w:r w:rsidRPr="00574D82">
        <w:t xml:space="preserve">existing import policy for stone fruit from California, Idaho, Oregon and Washington </w:t>
      </w:r>
      <w:r>
        <w:rPr>
          <w:noProof/>
        </w:rPr>
        <w:t>(Biosecurity Australia 2010b)</w:t>
      </w:r>
      <w:r>
        <w:t>.</w:t>
      </w:r>
      <w:r w:rsidRPr="00574D82">
        <w:t xml:space="preserve"> </w:t>
      </w:r>
      <w:r>
        <w:rPr>
          <w:rFonts w:cs="Arial"/>
        </w:rPr>
        <w:t xml:space="preserve">In that policy, the unrestricted risk for </w:t>
      </w:r>
      <w:r w:rsidRPr="00E6247B">
        <w:rPr>
          <w:i/>
        </w:rPr>
        <w:t>R. pomonella</w:t>
      </w:r>
      <w:r w:rsidRPr="00E6247B">
        <w:t xml:space="preserve"> </w:t>
      </w:r>
      <w:r>
        <w:rPr>
          <w:rFonts w:cs="Arial"/>
        </w:rPr>
        <w:t xml:space="preserve">was estimated, for plums and apricots, as Moderate, which does not achieve </w:t>
      </w:r>
      <w:r w:rsidRPr="00043A37">
        <w:t xml:space="preserve">the ALOP for </w:t>
      </w:r>
      <w:r w:rsidRPr="00DC62A3">
        <w:t>Australia. Therefore, specific risk management measures are required for</w:t>
      </w:r>
      <w:r w:rsidRPr="00DC62A3">
        <w:rPr>
          <w:rFonts w:cs="Arial"/>
        </w:rPr>
        <w:t xml:space="preserve"> </w:t>
      </w:r>
      <w:r w:rsidRPr="00DC62A3">
        <w:rPr>
          <w:i/>
        </w:rPr>
        <w:t>R. pomonella</w:t>
      </w:r>
      <w:r w:rsidRPr="00DC62A3">
        <w:t xml:space="preserve"> </w:t>
      </w:r>
      <w:r w:rsidRPr="00DC62A3">
        <w:rPr>
          <w:rFonts w:cs="Arial"/>
        </w:rPr>
        <w:t xml:space="preserve">for plums and apricots </w:t>
      </w:r>
      <w:r w:rsidRPr="00DC62A3">
        <w:t>from California, Idaho, Oregon and Washington</w:t>
      </w:r>
      <w:r w:rsidRPr="00DC62A3">
        <w:rPr>
          <w:rFonts w:cs="Arial"/>
        </w:rPr>
        <w:t xml:space="preserve"> pathway. However, in that policy, the unrestricted risk was estimated, for peaches and nectarines, as Negligible due to their poor host status. </w:t>
      </w:r>
    </w:p>
    <w:p w14:paraId="4B15598D" w14:textId="77777777" w:rsidR="003438A2" w:rsidRDefault="003438A2" w:rsidP="00C25EA7">
      <w:r w:rsidRPr="00DC62A3">
        <w:t>The existing policy for stone fruit from California, Idaho, Oregon and Washington recognises the differences in association of apple maggot with different</w:t>
      </w:r>
      <w:r>
        <w:t xml:space="preserve"> commodities. As a result, t</w:t>
      </w:r>
      <w:r w:rsidRPr="00DE48A0">
        <w:t xml:space="preserve">he likelihood of importation of </w:t>
      </w:r>
      <w:r>
        <w:t>apple maggot has been assessed as Moderate for plums and apricots, and as Negligible for peaches and nectarine. A</w:t>
      </w:r>
      <w:r w:rsidRPr="00574D82">
        <w:t>pple</w:t>
      </w:r>
      <w:r>
        <w:t xml:space="preserve"> </w:t>
      </w:r>
      <w:r w:rsidRPr="00574D82">
        <w:t>is</w:t>
      </w:r>
      <w:r>
        <w:t xml:space="preserve"> </w:t>
      </w:r>
      <w:r w:rsidRPr="00574D82">
        <w:t xml:space="preserve">considered </w:t>
      </w:r>
      <w:r>
        <w:t xml:space="preserve">to be </w:t>
      </w:r>
      <w:r w:rsidRPr="00574D82">
        <w:t>the main commercial host</w:t>
      </w:r>
      <w:r>
        <w:t xml:space="preserve"> for </w:t>
      </w:r>
      <w:r w:rsidRPr="00E468D8">
        <w:rPr>
          <w:i/>
          <w:iCs/>
        </w:rPr>
        <w:t>R.</w:t>
      </w:r>
      <w:r>
        <w:rPr>
          <w:i/>
          <w:iCs/>
        </w:rPr>
        <w:t> </w:t>
      </w:r>
      <w:r w:rsidRPr="00E468D8">
        <w:rPr>
          <w:i/>
          <w:iCs/>
        </w:rPr>
        <w:t>pomonella</w:t>
      </w:r>
      <w:r w:rsidRPr="00574D82">
        <w:t xml:space="preserve"> </w:t>
      </w:r>
      <w:r>
        <w:rPr>
          <w:noProof/>
        </w:rPr>
        <w:t>(Yee &amp; Goughnour 2006)</w:t>
      </w:r>
      <w:r>
        <w:t xml:space="preserve">, therefore </w:t>
      </w:r>
      <w:r w:rsidRPr="00574D82">
        <w:t xml:space="preserve">the likelihood </w:t>
      </w:r>
      <w:r>
        <w:t>of importation of</w:t>
      </w:r>
      <w:r w:rsidRPr="00574D82">
        <w:t xml:space="preserve"> </w:t>
      </w:r>
      <w:r w:rsidRPr="007E4677">
        <w:rPr>
          <w:i/>
        </w:rPr>
        <w:t>R. pomonella</w:t>
      </w:r>
      <w:r w:rsidRPr="00574D82">
        <w:t xml:space="preserve"> </w:t>
      </w:r>
      <w:r>
        <w:t>is specifically assessed for</w:t>
      </w:r>
      <w:r w:rsidRPr="00113EDA">
        <w:t xml:space="preserve"> the PNW-USA apple pathway</w:t>
      </w:r>
      <w:r>
        <w:t xml:space="preserve"> in this risk analysis</w:t>
      </w:r>
      <w:r w:rsidRPr="00113EDA">
        <w:t>.</w:t>
      </w:r>
    </w:p>
    <w:p w14:paraId="0D194C78" w14:textId="77777777" w:rsidR="003438A2" w:rsidRPr="00815A3A" w:rsidRDefault="003438A2" w:rsidP="00026D09">
      <w:r>
        <w:t>The</w:t>
      </w:r>
      <w:r w:rsidRPr="007E4677">
        <w:t xml:space="preserve"> assessment of </w:t>
      </w:r>
      <w:r w:rsidRPr="007E4677">
        <w:rPr>
          <w:i/>
        </w:rPr>
        <w:t>R. pomonella</w:t>
      </w:r>
      <w:r w:rsidRPr="007E4677">
        <w:t xml:space="preserve"> on</w:t>
      </w:r>
      <w:r>
        <w:t xml:space="preserve"> </w:t>
      </w:r>
      <w:r w:rsidRPr="007E4677">
        <w:t xml:space="preserve">stone fruit from California, Idaho, Oregon and Washington rated the likelihood of distribution as Moderate. </w:t>
      </w:r>
      <w:r w:rsidRPr="00815A3A">
        <w:t>Fresh apple</w:t>
      </w:r>
      <w:r>
        <w:t xml:space="preserve"> fruit </w:t>
      </w:r>
      <w:r w:rsidRPr="00815A3A">
        <w:t>from the PNW-USA is expected to be distributed in Australia</w:t>
      </w:r>
      <w:r>
        <w:t xml:space="preserve">, </w:t>
      </w:r>
      <w:r w:rsidRPr="00945121">
        <w:rPr>
          <w:color w:val="000000" w:themeColor="text1"/>
        </w:rPr>
        <w:t>as a result of processing, sale or disposal</w:t>
      </w:r>
      <w:r>
        <w:rPr>
          <w:color w:val="000000" w:themeColor="text1"/>
        </w:rPr>
        <w:t>,</w:t>
      </w:r>
      <w:r w:rsidRPr="00815A3A">
        <w:t xml:space="preserve"> in </w:t>
      </w:r>
      <w:r>
        <w:t xml:space="preserve">a similar </w:t>
      </w:r>
      <w:r w:rsidRPr="00815A3A">
        <w:t xml:space="preserve">way </w:t>
      </w:r>
      <w:r>
        <w:t xml:space="preserve">to stone fruit from </w:t>
      </w:r>
      <w:r w:rsidRPr="007E4677">
        <w:t>California, Idaho, Oregon and Washington</w:t>
      </w:r>
      <w:r>
        <w:t>.</w:t>
      </w:r>
      <w:r w:rsidRPr="00F575BE">
        <w:rPr>
          <w:rFonts w:cs="Arial"/>
        </w:rPr>
        <w:t xml:space="preserve"> It is expected that o</w:t>
      </w:r>
      <w:r>
        <w:rPr>
          <w:rFonts w:cs="Arial"/>
        </w:rPr>
        <w:t>nce apple fruit has arrived</w:t>
      </w:r>
      <w:r w:rsidRPr="00F575BE">
        <w:rPr>
          <w:rFonts w:cs="Arial"/>
        </w:rPr>
        <w:t>, it will be distributed throughout Australia for wholesale or retail sale.</w:t>
      </w:r>
      <w:r>
        <w:rPr>
          <w:rFonts w:cs="Arial"/>
        </w:rPr>
        <w:t xml:space="preserve"> There is some possibility that imported fresh apple fruit may contain </w:t>
      </w:r>
      <w:r>
        <w:rPr>
          <w:rFonts w:cs="Arial"/>
          <w:i/>
          <w:iCs/>
        </w:rPr>
        <w:t xml:space="preserve">R. pomonella </w:t>
      </w:r>
      <w:r>
        <w:rPr>
          <w:rFonts w:cs="Arial"/>
        </w:rPr>
        <w:t xml:space="preserve">eggs or larvae </w:t>
      </w:r>
      <w:r>
        <w:rPr>
          <w:noProof/>
        </w:rPr>
        <w:t>(PNW Handbooks 2019c)</w:t>
      </w:r>
      <w:r>
        <w:t xml:space="preserve">. Apple maggot eggs or larvae would need to develop into mature larvae, find </w:t>
      </w:r>
      <w:r>
        <w:lastRenderedPageBreak/>
        <w:t xml:space="preserve">a suitable pupation site and then develop into adults to find a host. Larvae may take from two weeks to three months to complete </w:t>
      </w:r>
      <w:r w:rsidRPr="00026D09">
        <w:t>development (Weems &amp; Fasulo 2021).</w:t>
      </w:r>
      <w:r>
        <w:rPr>
          <w:noProof/>
        </w:rPr>
        <w:t xml:space="preserve"> </w:t>
      </w:r>
      <w:r>
        <w:t xml:space="preserve">Discarded fruit waste is likely to degrade quickly and become unsuitable for larvae to complete development. Imported apples disposed of as waste through managed waste systems are considered unlikely to distribute </w:t>
      </w:r>
      <w:r w:rsidRPr="007E4677">
        <w:rPr>
          <w:i/>
        </w:rPr>
        <w:t>R. pomonella</w:t>
      </w:r>
      <w:r>
        <w:rPr>
          <w:i/>
        </w:rPr>
        <w:t xml:space="preserve"> </w:t>
      </w:r>
      <w:r>
        <w:t xml:space="preserve">into the environment. However, a small proportion of apple waste may be disposed of as litter throughout Australia in urban, peri-urban and agricultural situations, as well as areas of natural vegetation. In these environments, </w:t>
      </w:r>
      <w:r>
        <w:rPr>
          <w:rFonts w:cs="Arial"/>
        </w:rPr>
        <w:t xml:space="preserve">primary </w:t>
      </w:r>
      <w:r>
        <w:rPr>
          <w:rFonts w:cs="Arial"/>
          <w:i/>
          <w:iCs/>
        </w:rPr>
        <w:t>R. pomonella</w:t>
      </w:r>
      <w:r>
        <w:rPr>
          <w:rFonts w:cs="Arial"/>
        </w:rPr>
        <w:t xml:space="preserve"> hosts are</w:t>
      </w:r>
      <w:r w:rsidRPr="00AE33C0">
        <w:rPr>
          <w:rFonts w:cs="Arial"/>
        </w:rPr>
        <w:t xml:space="preserve"> likely</w:t>
      </w:r>
      <w:r>
        <w:rPr>
          <w:rFonts w:cs="Arial"/>
        </w:rPr>
        <w:t xml:space="preserve"> to be available for infestation from March to October.</w:t>
      </w:r>
      <w:r>
        <w:t xml:space="preserve"> Apples from the PNW-USA can be exported all-year-round. On this basis</w:t>
      </w:r>
      <w:r w:rsidRPr="00815A3A">
        <w:t xml:space="preserve">, the </w:t>
      </w:r>
      <w:r>
        <w:t xml:space="preserve">same </w:t>
      </w:r>
      <w:r w:rsidRPr="00815A3A">
        <w:t xml:space="preserve">rating of </w:t>
      </w:r>
      <w:r>
        <w:t xml:space="preserve">Moderate </w:t>
      </w:r>
      <w:r w:rsidRPr="00815A3A">
        <w:t xml:space="preserve">for the likelihood of distribution </w:t>
      </w:r>
      <w:r>
        <w:t>of</w:t>
      </w:r>
      <w:r w:rsidRPr="00815A3A">
        <w:t xml:space="preserve"> </w:t>
      </w:r>
      <w:r w:rsidRPr="007E4677">
        <w:rPr>
          <w:i/>
        </w:rPr>
        <w:t>R. pomonella</w:t>
      </w:r>
      <w:r w:rsidRPr="007E4677">
        <w:t xml:space="preserve"> </w:t>
      </w:r>
      <w:r>
        <w:t xml:space="preserve">on stone fruit from </w:t>
      </w:r>
      <w:r w:rsidRPr="007E4677">
        <w:t>California, Idaho, Oregon and Washington</w:t>
      </w:r>
      <w:r>
        <w:t xml:space="preserve"> pathway is also adopted for the</w:t>
      </w:r>
      <w:r w:rsidRPr="00815A3A">
        <w:t xml:space="preserve"> PNW-USA</w:t>
      </w:r>
      <w:r>
        <w:t xml:space="preserve"> apple pathway</w:t>
      </w:r>
      <w:r w:rsidRPr="00815A3A">
        <w:t>.</w:t>
      </w:r>
      <w:r>
        <w:t xml:space="preserve"> </w:t>
      </w:r>
    </w:p>
    <w:p w14:paraId="1E974DB2" w14:textId="77777777" w:rsidR="003438A2" w:rsidRDefault="003438A2" w:rsidP="00C25EA7">
      <w:r>
        <w:t xml:space="preserve">The likelihoods of establishment and spread of </w:t>
      </w:r>
      <w:r w:rsidRPr="007E57D7">
        <w:rPr>
          <w:i/>
        </w:rPr>
        <w:t>R. pomonella</w:t>
      </w:r>
      <w:r>
        <w:t xml:space="preserve"> in Australia from the PNW-USA apple pathway are considered to be similar to the assessments of High and Moderate, respectively, for the stone fruit from </w:t>
      </w:r>
      <w:r w:rsidRPr="007E4677">
        <w:t>California, Idaho, Oregon and Washington</w:t>
      </w:r>
      <w:r>
        <w:t xml:space="preserve"> pathway. These likelihoods relate specifically to events that occur in Australia and are principally independent of the import pathway. The consequences </w:t>
      </w:r>
      <w:r w:rsidRPr="00E6647A">
        <w:t xml:space="preserve">of entry, establishment and spread for </w:t>
      </w:r>
      <w:r w:rsidRPr="007E57D7">
        <w:rPr>
          <w:i/>
        </w:rPr>
        <w:t>R. pomonella</w:t>
      </w:r>
      <w:r>
        <w:t xml:space="preserve"> are also independent of the import pathway, </w:t>
      </w:r>
      <w:r w:rsidRPr="00E6647A">
        <w:t xml:space="preserve">and are </w:t>
      </w:r>
      <w:r>
        <w:t>assessed as High.</w:t>
      </w:r>
    </w:p>
    <w:p w14:paraId="2D8C5EB0" w14:textId="77777777" w:rsidR="003438A2" w:rsidRDefault="003438A2" w:rsidP="00C25EA7">
      <w:r>
        <w:t>The department has reviewed the latest literature—for example</w:t>
      </w:r>
      <w:bookmarkStart w:id="225" w:name="_Hlk108950467"/>
      <w:r>
        <w:t xml:space="preserve">, </w:t>
      </w:r>
      <w:r>
        <w:rPr>
          <w:noProof/>
        </w:rPr>
        <w:t>Linn Jr et al. (2012); Mattsson et al. (2015); PNW Handbooks (2019c); Sansford, Mastro and Reynolds (2016); Wiman, Stoven and Bush (2019) and Yee et al. (2012)</w:t>
      </w:r>
      <w:r>
        <w:t xml:space="preserve">. </w:t>
      </w:r>
      <w:bookmarkEnd w:id="225"/>
      <w:r>
        <w:t xml:space="preserve">No new information has been identified that would significantly change the risk ratings for distribution, establishment, spread and consequences as set out for </w:t>
      </w:r>
      <w:r>
        <w:rPr>
          <w:i/>
        </w:rPr>
        <w:t>R. pomonella</w:t>
      </w:r>
      <w:r>
        <w:t xml:space="preserve"> in existing policy for stone fruit from </w:t>
      </w:r>
      <w:r w:rsidRPr="007E4677">
        <w:t>California, Idaho, Oregon and Washington</w:t>
      </w:r>
      <w:r>
        <w:t>.</w:t>
      </w:r>
    </w:p>
    <w:p w14:paraId="7D19422D" w14:textId="77777777" w:rsidR="003438A2" w:rsidRPr="0061441B" w:rsidRDefault="003438A2" w:rsidP="00C25EA7">
      <w:pPr>
        <w:pStyle w:val="Heading4"/>
      </w:pPr>
      <w:r w:rsidRPr="0061441B">
        <w:t>Likelihood of entry</w:t>
      </w:r>
    </w:p>
    <w:p w14:paraId="4D0CBA0C" w14:textId="77777777" w:rsidR="003438A2" w:rsidRPr="00C779A5" w:rsidRDefault="003438A2" w:rsidP="00C25EA7">
      <w:r w:rsidRPr="0052445C">
        <w:t xml:space="preserve">The likelihood of entry is considered in </w:t>
      </w:r>
      <w:r>
        <w:t>2</w:t>
      </w:r>
      <w:r w:rsidRPr="0052445C">
        <w:t xml:space="preserve"> parts, the likelihood of importation and the likelihood of distribution, which consider pre-border and post-border issues, respectively.</w:t>
      </w:r>
    </w:p>
    <w:p w14:paraId="7C4A4861" w14:textId="77777777" w:rsidR="003438A2" w:rsidRPr="00BE7866" w:rsidRDefault="003438A2" w:rsidP="00C25EA7">
      <w:pPr>
        <w:pStyle w:val="Heading5"/>
      </w:pPr>
      <w:r w:rsidRPr="00BE7866">
        <w:t xml:space="preserve">Likelihood of importation </w:t>
      </w:r>
    </w:p>
    <w:p w14:paraId="48C7B244" w14:textId="77777777" w:rsidR="003438A2" w:rsidRPr="0094682F" w:rsidRDefault="003438A2" w:rsidP="00C25EA7">
      <w:r w:rsidRPr="0094682F">
        <w:t xml:space="preserve">The likelihood that </w:t>
      </w:r>
      <w:r>
        <w:rPr>
          <w:i/>
        </w:rPr>
        <w:t>R. pomonella</w:t>
      </w:r>
      <w:r w:rsidRPr="0094682F">
        <w:t xml:space="preserve"> will arrive in Australia with the importation of </w:t>
      </w:r>
      <w:r>
        <w:t>apples from the PNW-USA is assessed as High.</w:t>
      </w:r>
    </w:p>
    <w:p w14:paraId="300EAC74" w14:textId="77777777" w:rsidR="003438A2" w:rsidRDefault="003438A2" w:rsidP="00C25EA7">
      <w:r>
        <w:t>The following information provides supporting evidence for this assessment.</w:t>
      </w:r>
    </w:p>
    <w:p w14:paraId="3DFA9823" w14:textId="77777777" w:rsidR="003438A2" w:rsidRPr="00BF2D11" w:rsidRDefault="003438A2" w:rsidP="00C25EA7">
      <w:r>
        <w:rPr>
          <w:i/>
        </w:rPr>
        <w:t xml:space="preserve">Rhagoletis pomonella </w:t>
      </w:r>
      <w:r>
        <w:t>is a pest of apple fruit in PNW-USA.</w:t>
      </w:r>
    </w:p>
    <w:p w14:paraId="51AB40D1" w14:textId="77777777" w:rsidR="003438A2" w:rsidRDefault="003438A2" w:rsidP="003438A2">
      <w:pPr>
        <w:pStyle w:val="ListBullet"/>
        <w:numPr>
          <w:ilvl w:val="0"/>
          <w:numId w:val="15"/>
        </w:numPr>
      </w:pPr>
      <w:r w:rsidRPr="000E0DD6">
        <w:rPr>
          <w:i/>
        </w:rPr>
        <w:t>Rhagoletis pomonella</w:t>
      </w:r>
      <w:r w:rsidRPr="000E0DD6">
        <w:t xml:space="preserve"> is present in the </w:t>
      </w:r>
      <w:r>
        <w:t>three</w:t>
      </w:r>
      <w:r w:rsidRPr="000E0DD6">
        <w:t xml:space="preserve"> PNW states </w:t>
      </w:r>
      <w:r>
        <w:t xml:space="preserve">of the USA </w:t>
      </w:r>
      <w:r>
        <w:rPr>
          <w:noProof/>
        </w:rPr>
        <w:t>(PNW Handbooks 2019c; Sansford, Mastro &amp; Reynolds 2016; Thornburg 2003; White &amp; Elson-Harris 1992; Yee &amp; Goughnour 2006)</w:t>
      </w:r>
      <w:r>
        <w:t>.</w:t>
      </w:r>
    </w:p>
    <w:p w14:paraId="31E2846B" w14:textId="77777777" w:rsidR="003438A2" w:rsidRDefault="003438A2" w:rsidP="003438A2">
      <w:pPr>
        <w:pStyle w:val="ListBullet"/>
        <w:numPr>
          <w:ilvl w:val="0"/>
          <w:numId w:val="15"/>
        </w:numPr>
      </w:pPr>
      <w:r w:rsidRPr="00D001B2">
        <w:t xml:space="preserve">Apple </w:t>
      </w:r>
      <w:r>
        <w:t>is a</w:t>
      </w:r>
      <w:r w:rsidRPr="00D001B2">
        <w:t xml:space="preserve"> preferred host</w:t>
      </w:r>
      <w:r>
        <w:t xml:space="preserve"> for</w:t>
      </w:r>
      <w:r w:rsidRPr="00D001B2">
        <w:t xml:space="preserve"> </w:t>
      </w:r>
      <w:r w:rsidRPr="00A7283C">
        <w:rPr>
          <w:i/>
        </w:rPr>
        <w:t>R. pomonella</w:t>
      </w:r>
      <w:r w:rsidRPr="00D001B2">
        <w:t xml:space="preserve"> </w:t>
      </w:r>
      <w:r>
        <w:rPr>
          <w:noProof/>
        </w:rPr>
        <w:t>(Sansford, Mastro &amp; Reynolds 2016)</w:t>
      </w:r>
      <w:r>
        <w:t>, providing</w:t>
      </w:r>
      <w:r w:rsidRPr="000E0DD6">
        <w:t xml:space="preserve"> suitable host material for the survival and development of </w:t>
      </w:r>
      <w:r w:rsidRPr="00A7283C">
        <w:rPr>
          <w:i/>
        </w:rPr>
        <w:t>R</w:t>
      </w:r>
      <w:r w:rsidRPr="000E0DD6">
        <w:t>. </w:t>
      </w:r>
      <w:r w:rsidRPr="00A7283C">
        <w:rPr>
          <w:i/>
        </w:rPr>
        <w:t>pomonella</w:t>
      </w:r>
      <w:r w:rsidRPr="000E0DD6">
        <w:t xml:space="preserve"> eggs and larvae</w:t>
      </w:r>
      <w:r>
        <w:t xml:space="preserve"> </w:t>
      </w:r>
      <w:r>
        <w:rPr>
          <w:noProof/>
        </w:rPr>
        <w:t>(Weems &amp; Fasulo 2021; Yee 2007)</w:t>
      </w:r>
      <w:r>
        <w:t xml:space="preserve">. </w:t>
      </w:r>
    </w:p>
    <w:p w14:paraId="59FEC553" w14:textId="77777777" w:rsidR="003438A2" w:rsidRPr="0052716F" w:rsidRDefault="003438A2" w:rsidP="003438A2">
      <w:pPr>
        <w:pStyle w:val="ListBullet"/>
        <w:numPr>
          <w:ilvl w:val="0"/>
          <w:numId w:val="15"/>
        </w:numPr>
      </w:pPr>
      <w:r w:rsidRPr="0052716F">
        <w:t xml:space="preserve">Host material can be </w:t>
      </w:r>
      <w:r w:rsidRPr="0020725E">
        <w:t>green (Weems &amp; Fasulo 2021)</w:t>
      </w:r>
      <w:r>
        <w:t xml:space="preserve"> </w:t>
      </w:r>
      <w:r w:rsidRPr="0052716F">
        <w:t xml:space="preserve">or ripening fruit </w:t>
      </w:r>
      <w:r w:rsidRPr="0052716F">
        <w:rPr>
          <w:noProof/>
        </w:rPr>
        <w:t>(McPheron, Smith &amp; Berlocher 1988)</w:t>
      </w:r>
      <w:r w:rsidRPr="0052716F">
        <w:t xml:space="preserve">, however larval </w:t>
      </w:r>
      <w:r w:rsidRPr="0052716F">
        <w:rPr>
          <w:lang w:val="en"/>
        </w:rPr>
        <w:t>mortality is lower in earlier-maturing, soft cultivars than in firmer fleshed, later-ripening apples</w:t>
      </w:r>
      <w:r w:rsidRPr="0052716F">
        <w:t xml:space="preserve"> </w:t>
      </w:r>
      <w:r w:rsidRPr="0052716F">
        <w:rPr>
          <w:noProof/>
        </w:rPr>
        <w:t>(Michigan State University 2019)</w:t>
      </w:r>
      <w:r w:rsidRPr="0052716F">
        <w:rPr>
          <w:lang w:val="en"/>
        </w:rPr>
        <w:t>.</w:t>
      </w:r>
    </w:p>
    <w:p w14:paraId="1DE4F3CC" w14:textId="77777777" w:rsidR="003438A2" w:rsidRPr="0052716F" w:rsidRDefault="003438A2" w:rsidP="003438A2">
      <w:pPr>
        <w:pStyle w:val="ListBullet"/>
        <w:numPr>
          <w:ilvl w:val="0"/>
          <w:numId w:val="15"/>
        </w:numPr>
      </w:pPr>
      <w:r w:rsidRPr="0052716F">
        <w:rPr>
          <w:i/>
        </w:rPr>
        <w:lastRenderedPageBreak/>
        <w:t>Rhagoletis pomonella</w:t>
      </w:r>
      <w:r w:rsidRPr="0052716F">
        <w:t xml:space="preserve"> is under official control in the PNW-USA states of Washington, Oregon and Idaho where some counties or parts of counties</w:t>
      </w:r>
      <w:r>
        <w:t xml:space="preserve"> </w:t>
      </w:r>
      <w:r w:rsidRPr="0052716F">
        <w:t xml:space="preserve">are declared and maintained as pest free areas </w:t>
      </w:r>
      <w:r w:rsidRPr="0052716F">
        <w:rPr>
          <w:noProof/>
        </w:rPr>
        <w:t>(Sansford, Mastro &amp; Reynolds 2016)</w:t>
      </w:r>
      <w:r w:rsidRPr="0052716F">
        <w:t>.</w:t>
      </w:r>
    </w:p>
    <w:p w14:paraId="73698923" w14:textId="77777777" w:rsidR="003438A2" w:rsidRDefault="003438A2" w:rsidP="003438A2">
      <w:pPr>
        <w:pStyle w:val="ListBullet"/>
        <w:numPr>
          <w:ilvl w:val="0"/>
          <w:numId w:val="15"/>
        </w:numPr>
      </w:pPr>
      <w:r w:rsidRPr="0052716F">
        <w:t xml:space="preserve">Not all apple production areas in the PNW-USA are free of </w:t>
      </w:r>
      <w:r w:rsidRPr="0052716F">
        <w:rPr>
          <w:i/>
        </w:rPr>
        <w:t>R. pomonella</w:t>
      </w:r>
      <w:r w:rsidRPr="0052716F">
        <w:rPr>
          <w:iCs/>
        </w:rPr>
        <w:t>,</w:t>
      </w:r>
      <w:r w:rsidRPr="0052716F">
        <w:t xml:space="preserve"> and where the pest </w:t>
      </w:r>
      <w:r>
        <w:t>is</w:t>
      </w:r>
      <w:r w:rsidRPr="00D001B2">
        <w:t xml:space="preserve"> present</w:t>
      </w:r>
      <w:r>
        <w:t xml:space="preserve"> </w:t>
      </w:r>
      <w:r w:rsidRPr="00D001B2">
        <w:t xml:space="preserve">in Washington, populations of </w:t>
      </w:r>
      <w:r w:rsidRPr="00D001B2">
        <w:rPr>
          <w:i/>
        </w:rPr>
        <w:t xml:space="preserve">R. pomonella </w:t>
      </w:r>
      <w:r>
        <w:t>can be</w:t>
      </w:r>
      <w:r w:rsidRPr="00D001B2">
        <w:t xml:space="preserve"> common in both a</w:t>
      </w:r>
      <w:r>
        <w:t>pple orchards and wild hawthorn</w:t>
      </w:r>
      <w:r w:rsidRPr="00D001B2">
        <w:t xml:space="preserve"> </w:t>
      </w:r>
      <w:r>
        <w:rPr>
          <w:noProof/>
        </w:rPr>
        <w:t>(Yee et al. 2012)</w:t>
      </w:r>
      <w:r w:rsidRPr="00D001B2">
        <w:t>.</w:t>
      </w:r>
    </w:p>
    <w:p w14:paraId="32BEEE1D" w14:textId="77777777" w:rsidR="003438A2" w:rsidRPr="00F4578C" w:rsidRDefault="003438A2" w:rsidP="003438A2">
      <w:pPr>
        <w:pStyle w:val="ListBullet"/>
        <w:numPr>
          <w:ilvl w:val="0"/>
          <w:numId w:val="15"/>
        </w:numPr>
      </w:pPr>
      <w:r w:rsidRPr="00F4578C">
        <w:t xml:space="preserve">Infestation levels were reported to be significant </w:t>
      </w:r>
      <w:r>
        <w:rPr>
          <w:noProof/>
        </w:rPr>
        <w:t>(Yee et al. 2012)</w:t>
      </w:r>
      <w:r w:rsidRPr="00F4578C">
        <w:t xml:space="preserve">, however, Sansford </w:t>
      </w:r>
      <w:r>
        <w:t xml:space="preserve">et al. </w:t>
      </w:r>
      <w:r>
        <w:rPr>
          <w:noProof/>
        </w:rPr>
        <w:t>(2016)</w:t>
      </w:r>
      <w:r w:rsidRPr="00F4578C">
        <w:t xml:space="preserve"> reported infestation to be less than 5% of orchards </w:t>
      </w:r>
      <w:r>
        <w:t>surveyed</w:t>
      </w:r>
      <w:r w:rsidRPr="00F4578C">
        <w:t xml:space="preserve"> from 2005 to 2015.</w:t>
      </w:r>
    </w:p>
    <w:p w14:paraId="61C1A5AD" w14:textId="77777777" w:rsidR="003438A2" w:rsidRDefault="003438A2" w:rsidP="00C25EA7">
      <w:r w:rsidRPr="000E0DD6">
        <w:rPr>
          <w:i/>
        </w:rPr>
        <w:t>R</w:t>
      </w:r>
      <w:r>
        <w:rPr>
          <w:i/>
        </w:rPr>
        <w:t>hagoletis</w:t>
      </w:r>
      <w:r w:rsidRPr="000E0DD6">
        <w:rPr>
          <w:i/>
        </w:rPr>
        <w:t xml:space="preserve"> pomonella</w:t>
      </w:r>
      <w:r>
        <w:rPr>
          <w:i/>
        </w:rPr>
        <w:t xml:space="preserve"> </w:t>
      </w:r>
      <w:r>
        <w:t>is active in apple orchards prior to and at the time of harvest</w:t>
      </w:r>
    </w:p>
    <w:p w14:paraId="5CFDC133" w14:textId="77777777" w:rsidR="003438A2" w:rsidRDefault="003438A2" w:rsidP="003438A2">
      <w:pPr>
        <w:pStyle w:val="ListBullet"/>
        <w:numPr>
          <w:ilvl w:val="0"/>
          <w:numId w:val="15"/>
        </w:numPr>
      </w:pPr>
      <w:r>
        <w:t xml:space="preserve">Adult emergence </w:t>
      </w:r>
      <w:r w:rsidRPr="000E0DD6">
        <w:t xml:space="preserve">from </w:t>
      </w:r>
      <w:r>
        <w:t>pupae in</w:t>
      </w:r>
      <w:r w:rsidRPr="000E0DD6">
        <w:t xml:space="preserve"> soil </w:t>
      </w:r>
      <w:r>
        <w:t xml:space="preserve">commences </w:t>
      </w:r>
      <w:r>
        <w:rPr>
          <w:lang w:val="en"/>
        </w:rPr>
        <w:t>from mid-June to early July.</w:t>
      </w:r>
      <w:r w:rsidRPr="000E0DD6">
        <w:t xml:space="preserve"> </w:t>
      </w:r>
      <w:r>
        <w:rPr>
          <w:lang w:val="en"/>
        </w:rPr>
        <w:t xml:space="preserve">Peak emergence occurs during mid- to late July and is usually completed by the end of August </w:t>
      </w:r>
      <w:r>
        <w:rPr>
          <w:noProof/>
        </w:rPr>
        <w:t>(Michigan State University 2019)</w:t>
      </w:r>
      <w:r>
        <w:t>. Adults</w:t>
      </w:r>
      <w:r w:rsidRPr="000E0DD6">
        <w:t xml:space="preserve"> may survive for up to 30 days.</w:t>
      </w:r>
      <w:r>
        <w:t xml:space="preserve"> </w:t>
      </w:r>
    </w:p>
    <w:p w14:paraId="0DE9BC30" w14:textId="77777777" w:rsidR="003438A2" w:rsidRDefault="003438A2" w:rsidP="003438A2">
      <w:pPr>
        <w:pStyle w:val="ListBullet"/>
        <w:numPr>
          <w:ilvl w:val="0"/>
          <w:numId w:val="15"/>
        </w:numPr>
        <w:rPr>
          <w:sz w:val="23"/>
          <w:szCs w:val="23"/>
        </w:rPr>
      </w:pPr>
      <w:r w:rsidRPr="000E0DD6">
        <w:t xml:space="preserve">Adults are </w:t>
      </w:r>
      <w:r>
        <w:t xml:space="preserve">expected to be </w:t>
      </w:r>
      <w:r w:rsidRPr="000E0DD6">
        <w:t xml:space="preserve">present in the field from June to October </w:t>
      </w:r>
      <w:r>
        <w:rPr>
          <w:noProof/>
        </w:rPr>
        <w:t>(Fisher &amp; Olsen 2009)</w:t>
      </w:r>
      <w:r w:rsidRPr="000E0DD6">
        <w:t>. During these months, commercial apple trees in the PNW</w:t>
      </w:r>
      <w:r>
        <w:t>-USA</w:t>
      </w:r>
      <w:r w:rsidRPr="000E0DD6">
        <w:t xml:space="preserve"> are bearing</w:t>
      </w:r>
      <w:r>
        <w:t xml:space="preserve"> fruit </w:t>
      </w:r>
      <w:r>
        <w:rPr>
          <w:noProof/>
        </w:rPr>
        <w:t>(USDA-NASS 2006)</w:t>
      </w:r>
      <w:r w:rsidRPr="00C16901">
        <w:t>.</w:t>
      </w:r>
    </w:p>
    <w:p w14:paraId="5AE53E2D" w14:textId="4E9FEFF8" w:rsidR="003438A2" w:rsidRPr="003B2BC8" w:rsidRDefault="003438A2" w:rsidP="003438A2">
      <w:pPr>
        <w:pStyle w:val="ListBullet"/>
        <w:numPr>
          <w:ilvl w:val="0"/>
          <w:numId w:val="15"/>
        </w:numPr>
      </w:pPr>
      <w:r>
        <w:t>A</w:t>
      </w:r>
      <w:r w:rsidRPr="003B2BC8">
        <w:t xml:space="preserve">dult flies </w:t>
      </w:r>
      <w:r>
        <w:t xml:space="preserve">of </w:t>
      </w:r>
      <w:r w:rsidRPr="00D001B2">
        <w:rPr>
          <w:i/>
        </w:rPr>
        <w:t>R. pomonella</w:t>
      </w:r>
      <w:r w:rsidRPr="00D001B2">
        <w:t xml:space="preserve"> </w:t>
      </w:r>
      <w:r w:rsidRPr="003B2BC8">
        <w:t>congregate on fruit, where</w:t>
      </w:r>
      <w:r w:rsidRPr="003B2BC8">
        <w:rPr>
          <w:lang w:val="en"/>
        </w:rPr>
        <w:t xml:space="preserve"> mating occurs. </w:t>
      </w:r>
      <w:r>
        <w:rPr>
          <w:lang w:val="en"/>
        </w:rPr>
        <w:t>F</w:t>
      </w:r>
      <w:r w:rsidRPr="003B2BC8">
        <w:rPr>
          <w:lang w:val="en"/>
        </w:rPr>
        <w:t>emale</w:t>
      </w:r>
      <w:r>
        <w:rPr>
          <w:lang w:val="en"/>
        </w:rPr>
        <w:t>s</w:t>
      </w:r>
      <w:r w:rsidRPr="003B2BC8">
        <w:rPr>
          <w:lang w:val="en"/>
        </w:rPr>
        <w:t xml:space="preserve"> puncture the apple skin with </w:t>
      </w:r>
      <w:r>
        <w:rPr>
          <w:lang w:val="en"/>
        </w:rPr>
        <w:t>t</w:t>
      </w:r>
      <w:r w:rsidRPr="003B2BC8">
        <w:rPr>
          <w:lang w:val="en"/>
        </w:rPr>
        <w:t>he</w:t>
      </w:r>
      <w:r>
        <w:rPr>
          <w:lang w:val="en"/>
        </w:rPr>
        <w:t>i</w:t>
      </w:r>
      <w:r w:rsidRPr="003B2BC8">
        <w:rPr>
          <w:lang w:val="en"/>
        </w:rPr>
        <w:t>r ovipositor</w:t>
      </w:r>
      <w:r>
        <w:rPr>
          <w:lang w:val="en"/>
        </w:rPr>
        <w:t>s</w:t>
      </w:r>
      <w:r w:rsidRPr="003B2BC8">
        <w:rPr>
          <w:lang w:val="en"/>
        </w:rPr>
        <w:t xml:space="preserve"> to lay eggs and can lay an average of about 300 eggs over a 30-day life span </w:t>
      </w:r>
      <w:bookmarkStart w:id="226" w:name="_Hlk108950582"/>
      <w:r>
        <w:rPr>
          <w:noProof/>
        </w:rPr>
        <w:t>(Brunner 2016; Dupont &amp; Brunner 2016; Michigan State University 2019)</w:t>
      </w:r>
      <w:r>
        <w:t>.</w:t>
      </w:r>
      <w:bookmarkEnd w:id="226"/>
    </w:p>
    <w:p w14:paraId="278F1BCA" w14:textId="77777777" w:rsidR="003438A2" w:rsidRDefault="003438A2" w:rsidP="003438A2">
      <w:pPr>
        <w:pStyle w:val="ListBullet"/>
        <w:numPr>
          <w:ilvl w:val="0"/>
          <w:numId w:val="15"/>
        </w:numPr>
      </w:pPr>
      <w:r w:rsidRPr="00012F4E">
        <w:t>A large degree of variability in level</w:t>
      </w:r>
      <w:r>
        <w:t>s</w:t>
      </w:r>
      <w:r w:rsidRPr="00012F4E">
        <w:t xml:space="preserve"> of infestation per apple is reported</w:t>
      </w:r>
      <w:r>
        <w:t xml:space="preserve"> </w:t>
      </w:r>
      <w:r>
        <w:rPr>
          <w:noProof/>
        </w:rPr>
        <w:t>(Chapman &amp; Hess 1941; Prokopy &amp; Boller 1976)</w:t>
      </w:r>
      <w:r>
        <w:t xml:space="preserve">, </w:t>
      </w:r>
      <w:r w:rsidRPr="00012F4E">
        <w:t xml:space="preserve">ranging from </w:t>
      </w:r>
      <w:r>
        <w:t>one</w:t>
      </w:r>
      <w:r w:rsidRPr="00012F4E">
        <w:t xml:space="preserve"> to 89 punctures per fruit with a single egg associated with each puncture.</w:t>
      </w:r>
    </w:p>
    <w:p w14:paraId="3829ED40" w14:textId="77777777" w:rsidR="003438A2" w:rsidRPr="00A4414C" w:rsidRDefault="003438A2" w:rsidP="003438A2">
      <w:pPr>
        <w:pStyle w:val="ListBullet"/>
        <w:numPr>
          <w:ilvl w:val="0"/>
          <w:numId w:val="15"/>
        </w:numPr>
      </w:pPr>
      <w:r w:rsidRPr="00A4414C">
        <w:rPr>
          <w:lang w:val="en"/>
        </w:rPr>
        <w:t xml:space="preserve">Eggs hatch after a </w:t>
      </w:r>
      <w:r>
        <w:rPr>
          <w:lang w:val="en"/>
        </w:rPr>
        <w:t>2</w:t>
      </w:r>
      <w:r w:rsidRPr="00A4414C">
        <w:rPr>
          <w:lang w:val="en"/>
        </w:rPr>
        <w:t xml:space="preserve"> to 10-day incubation period at ambient temperatures </w:t>
      </w:r>
      <w:r>
        <w:rPr>
          <w:noProof/>
        </w:rPr>
        <w:t>(Michigan State University 2019)</w:t>
      </w:r>
      <w:r w:rsidRPr="00E57DBF">
        <w:t xml:space="preserve">, which will be hot summer temperatures in </w:t>
      </w:r>
      <w:r>
        <w:t xml:space="preserve">July to </w:t>
      </w:r>
      <w:r w:rsidRPr="00AC7C4B">
        <w:t>August in the PNW-USA ranging from 30</w:t>
      </w:r>
      <w:r w:rsidRPr="00A4414C">
        <w:rPr>
          <w:rFonts w:cstheme="minorHAnsi"/>
        </w:rPr>
        <w:t>°</w:t>
      </w:r>
      <w:r>
        <w:rPr>
          <w:rFonts w:cstheme="minorHAnsi"/>
        </w:rPr>
        <w:t>C</w:t>
      </w:r>
      <w:r w:rsidRPr="00A4414C">
        <w:t xml:space="preserve"> to 38</w:t>
      </w:r>
      <w:r w:rsidRPr="00A4414C">
        <w:rPr>
          <w:rFonts w:cstheme="minorHAnsi"/>
        </w:rPr>
        <w:t>°</w:t>
      </w:r>
      <w:r w:rsidRPr="00A4414C">
        <w:t>C.</w:t>
      </w:r>
    </w:p>
    <w:p w14:paraId="3B7F7410" w14:textId="77777777" w:rsidR="003438A2" w:rsidRDefault="003438A2" w:rsidP="003438A2">
      <w:pPr>
        <w:pStyle w:val="ListBullet"/>
        <w:numPr>
          <w:ilvl w:val="0"/>
          <w:numId w:val="15"/>
        </w:numPr>
      </w:pPr>
      <w:r>
        <w:t>L</w:t>
      </w:r>
      <w:r w:rsidRPr="003B1E34">
        <w:t>arvae develop</w:t>
      </w:r>
      <w:r>
        <w:t xml:space="preserve"> rapidly while tunnelling through the apple fruit;</w:t>
      </w:r>
      <w:r w:rsidRPr="003B1E34">
        <w:t xml:space="preserve"> </w:t>
      </w:r>
      <w:r>
        <w:t xml:space="preserve">total larval </w:t>
      </w:r>
      <w:r w:rsidRPr="003B1E34">
        <w:t xml:space="preserve">development times range from </w:t>
      </w:r>
      <w:r>
        <w:t>two</w:t>
      </w:r>
      <w:r w:rsidRPr="003B1E34">
        <w:t xml:space="preserve"> weeks to several months</w:t>
      </w:r>
      <w:r>
        <w:t xml:space="preserve"> </w:t>
      </w:r>
      <w:r>
        <w:rPr>
          <w:noProof/>
        </w:rPr>
        <w:t>(Beers, Antonelli &amp; LaGasa 1996; Weems &amp; Fasulo 2021)</w:t>
      </w:r>
      <w:r w:rsidRPr="00854272">
        <w:t>.</w:t>
      </w:r>
      <w:r>
        <w:t xml:space="preserve"> </w:t>
      </w:r>
      <w:bookmarkStart w:id="227" w:name="_Hlk108950620"/>
    </w:p>
    <w:bookmarkEnd w:id="227"/>
    <w:p w14:paraId="23944C0D" w14:textId="76C04883" w:rsidR="003438A2" w:rsidRDefault="003438A2" w:rsidP="003438A2">
      <w:pPr>
        <w:pStyle w:val="ListBullet"/>
        <w:numPr>
          <w:ilvl w:val="0"/>
          <w:numId w:val="15"/>
        </w:numPr>
        <w:rPr>
          <w:lang w:eastAsia="en-AU"/>
        </w:rPr>
      </w:pPr>
      <w:r w:rsidRPr="00934187">
        <w:t>Due to the fact that</w:t>
      </w:r>
      <w:r>
        <w:rPr>
          <w:i/>
        </w:rPr>
        <w:t xml:space="preserve"> </w:t>
      </w:r>
      <w:r w:rsidRPr="000E0DD6">
        <w:rPr>
          <w:i/>
        </w:rPr>
        <w:t>R</w:t>
      </w:r>
      <w:r>
        <w:rPr>
          <w:i/>
        </w:rPr>
        <w:t>. </w:t>
      </w:r>
      <w:r w:rsidRPr="000B4619">
        <w:rPr>
          <w:i/>
        </w:rPr>
        <w:t>pomonella</w:t>
      </w:r>
      <w:r w:rsidRPr="000B4619">
        <w:t xml:space="preserve"> may undergo a second generation with adults emerging in late summer or early autumn</w:t>
      </w:r>
      <w:r>
        <w:t xml:space="preserve"> </w:t>
      </w:r>
      <w:r>
        <w:rPr>
          <w:noProof/>
        </w:rPr>
        <w:t>(PNW Handbooks 2019c; Weems &amp; Fasulo 2021)</w:t>
      </w:r>
      <w:r>
        <w:t>, c</w:t>
      </w:r>
      <w:r w:rsidRPr="000E0DD6">
        <w:t>ommercial app</w:t>
      </w:r>
      <w:r>
        <w:t>les are</w:t>
      </w:r>
      <w:r w:rsidRPr="000E0DD6">
        <w:t xml:space="preserve"> susceptible to attack </w:t>
      </w:r>
      <w:r>
        <w:t>and can become infested</w:t>
      </w:r>
      <w:r w:rsidRPr="000E0DD6">
        <w:t xml:space="preserve"> </w:t>
      </w:r>
      <w:r>
        <w:t>throughout</w:t>
      </w:r>
      <w:r w:rsidRPr="000E0DD6">
        <w:t xml:space="preserve"> the harvest period</w:t>
      </w:r>
      <w:r>
        <w:t xml:space="preserve"> (August to November)</w:t>
      </w:r>
      <w:r w:rsidRPr="000E0DD6">
        <w:t>.</w:t>
      </w:r>
    </w:p>
    <w:p w14:paraId="0B365815" w14:textId="77777777" w:rsidR="003438A2" w:rsidRPr="00F977BC" w:rsidRDefault="003438A2" w:rsidP="00C25EA7">
      <w:pPr>
        <w:pStyle w:val="ListBullet"/>
        <w:numPr>
          <w:ilvl w:val="0"/>
          <w:numId w:val="0"/>
        </w:numPr>
      </w:pPr>
      <w:r>
        <w:t xml:space="preserve">Infestation of </w:t>
      </w:r>
      <w:r w:rsidRPr="0094682F">
        <w:t>fruit</w:t>
      </w:r>
      <w:r>
        <w:t xml:space="preserve"> may not be detected dur</w:t>
      </w:r>
      <w:r w:rsidRPr="00F977BC">
        <w:t>ing harvesting</w:t>
      </w:r>
      <w:r>
        <w:t xml:space="preserve"> and post-harvest handling </w:t>
      </w:r>
      <w:r w:rsidRPr="00F977BC">
        <w:t>processes.</w:t>
      </w:r>
    </w:p>
    <w:p w14:paraId="3EDDCA70" w14:textId="77777777" w:rsidR="003438A2" w:rsidRPr="00010798" w:rsidRDefault="003438A2" w:rsidP="003438A2">
      <w:pPr>
        <w:pStyle w:val="ListBullet"/>
        <w:numPr>
          <w:ilvl w:val="0"/>
          <w:numId w:val="15"/>
        </w:numPr>
      </w:pPr>
      <w:r>
        <w:rPr>
          <w:i/>
        </w:rPr>
        <w:t xml:space="preserve">Rhagoletis pomonella </w:t>
      </w:r>
      <w:r>
        <w:t xml:space="preserve">lays its eggs under the skin of the apple. Cells around the minute ovipositor punctures show decay and </w:t>
      </w:r>
      <w:r w:rsidRPr="00CA20A5">
        <w:t xml:space="preserve">browning </w:t>
      </w:r>
      <w:r w:rsidRPr="00CA20A5">
        <w:rPr>
          <w:noProof/>
        </w:rPr>
        <w:t>(Brunner &amp; Klaus 1993; Michigan State University 2019; Porter 1928)</w:t>
      </w:r>
      <w:r>
        <w:t>.</w:t>
      </w:r>
      <w:bookmarkStart w:id="228" w:name="_Hlk108950651"/>
    </w:p>
    <w:bookmarkEnd w:id="228"/>
    <w:p w14:paraId="5DABF5FD" w14:textId="77777777" w:rsidR="003438A2" w:rsidRPr="00BF2D11" w:rsidRDefault="003438A2" w:rsidP="003438A2">
      <w:pPr>
        <w:pStyle w:val="ListBullet"/>
        <w:numPr>
          <w:ilvl w:val="0"/>
          <w:numId w:val="15"/>
        </w:numPr>
      </w:pPr>
      <w:r w:rsidRPr="00BF2D11">
        <w:t>Fruit containing late instar larvae may show obvious signs of infestation</w:t>
      </w:r>
      <w:r>
        <w:t>; in some cases,</w:t>
      </w:r>
      <w:r w:rsidRPr="00BF2D11">
        <w:t xml:space="preserve"> </w:t>
      </w:r>
      <w:r>
        <w:t xml:space="preserve">as the apple develops it becomes dimpled </w:t>
      </w:r>
      <w:r>
        <w:rPr>
          <w:noProof/>
        </w:rPr>
        <w:t>(Beers, Antonelli &amp; LaGasa 1996)</w:t>
      </w:r>
      <w:r>
        <w:t xml:space="preserve"> and distorted. These fruit may </w:t>
      </w:r>
      <w:r w:rsidRPr="00BF2D11">
        <w:t>be culled during harvesting.</w:t>
      </w:r>
    </w:p>
    <w:p w14:paraId="2908D9CE" w14:textId="77777777" w:rsidR="003438A2" w:rsidRDefault="003438A2" w:rsidP="003438A2">
      <w:pPr>
        <w:pStyle w:val="ListBullet"/>
        <w:numPr>
          <w:ilvl w:val="0"/>
          <w:numId w:val="15"/>
        </w:numPr>
        <w:rPr>
          <w:rFonts w:eastAsia="Times New Roman" w:cs="Times New Roman"/>
          <w:color w:val="000000"/>
          <w:szCs w:val="24"/>
        </w:rPr>
      </w:pPr>
      <w:r>
        <w:rPr>
          <w:rFonts w:eastAsia="Times New Roman" w:cs="Times New Roman"/>
          <w:color w:val="000000"/>
          <w:szCs w:val="24"/>
        </w:rPr>
        <w:t>P</w:t>
      </w:r>
      <w:r w:rsidRPr="000E0DD6">
        <w:rPr>
          <w:rFonts w:eastAsia="Times New Roman" w:cs="Times New Roman"/>
          <w:color w:val="000000"/>
          <w:szCs w:val="24"/>
        </w:rPr>
        <w:t>ost-harvest sorting</w:t>
      </w:r>
      <w:r>
        <w:rPr>
          <w:rFonts w:eastAsia="Times New Roman" w:cs="Times New Roman"/>
          <w:color w:val="000000"/>
          <w:szCs w:val="24"/>
        </w:rPr>
        <w:t>, grading and inspection procedures in the</w:t>
      </w:r>
      <w:r w:rsidRPr="000E0DD6">
        <w:rPr>
          <w:rFonts w:eastAsia="Times New Roman" w:cs="Times New Roman"/>
          <w:color w:val="000000"/>
          <w:szCs w:val="24"/>
        </w:rPr>
        <w:t xml:space="preserve"> </w:t>
      </w:r>
      <w:r>
        <w:rPr>
          <w:rFonts w:eastAsia="Times New Roman" w:cs="Times New Roman"/>
          <w:color w:val="000000"/>
          <w:szCs w:val="24"/>
        </w:rPr>
        <w:t>packing house</w:t>
      </w:r>
      <w:r w:rsidRPr="000E0DD6">
        <w:rPr>
          <w:rFonts w:eastAsia="Times New Roman" w:cs="Times New Roman"/>
          <w:color w:val="000000"/>
          <w:szCs w:val="24"/>
        </w:rPr>
        <w:t xml:space="preserve"> are </w:t>
      </w:r>
      <w:r>
        <w:rPr>
          <w:rFonts w:eastAsia="Times New Roman" w:cs="Times New Roman"/>
          <w:color w:val="000000"/>
          <w:szCs w:val="24"/>
        </w:rPr>
        <w:t xml:space="preserve">also </w:t>
      </w:r>
      <w:r w:rsidRPr="000E0DD6">
        <w:rPr>
          <w:rFonts w:eastAsia="Times New Roman" w:cs="Times New Roman"/>
          <w:color w:val="000000"/>
          <w:szCs w:val="24"/>
        </w:rPr>
        <w:t>likely to cull fruit showing obvious symptoms of infestation with late instar larvae.</w:t>
      </w:r>
    </w:p>
    <w:p w14:paraId="53988715" w14:textId="77777777" w:rsidR="003438A2" w:rsidRDefault="003438A2" w:rsidP="003438A2">
      <w:pPr>
        <w:pStyle w:val="ListBullet"/>
        <w:numPr>
          <w:ilvl w:val="0"/>
          <w:numId w:val="15"/>
        </w:numPr>
        <w:rPr>
          <w:rFonts w:eastAsia="Times New Roman" w:cs="Times New Roman"/>
          <w:color w:val="000000"/>
          <w:szCs w:val="24"/>
        </w:rPr>
      </w:pPr>
      <w:r>
        <w:rPr>
          <w:rFonts w:eastAsia="Times New Roman" w:cs="Times New Roman"/>
          <w:color w:val="000000"/>
          <w:szCs w:val="24"/>
        </w:rPr>
        <w:t>Fruit with low levels of infestation, or infested with</w:t>
      </w:r>
      <w:r w:rsidRPr="000E0DD6">
        <w:rPr>
          <w:rFonts w:eastAsia="Times New Roman" w:cs="Times New Roman"/>
          <w:color w:val="000000"/>
          <w:szCs w:val="24"/>
        </w:rPr>
        <w:t xml:space="preserve"> eggs and early instar larvae </w:t>
      </w:r>
      <w:r>
        <w:rPr>
          <w:rFonts w:eastAsia="Times New Roman" w:cs="Times New Roman"/>
          <w:color w:val="000000"/>
          <w:szCs w:val="24"/>
        </w:rPr>
        <w:t>may not show obvious symptoms and are unlikely to</w:t>
      </w:r>
      <w:r w:rsidRPr="000E0DD6">
        <w:rPr>
          <w:rFonts w:eastAsia="Times New Roman" w:cs="Times New Roman"/>
          <w:color w:val="000000"/>
          <w:szCs w:val="24"/>
        </w:rPr>
        <w:t xml:space="preserve"> be detected during these process</w:t>
      </w:r>
      <w:r>
        <w:rPr>
          <w:rFonts w:eastAsia="Times New Roman" w:cs="Times New Roman"/>
          <w:color w:val="000000"/>
          <w:szCs w:val="24"/>
        </w:rPr>
        <w:t>es.</w:t>
      </w:r>
    </w:p>
    <w:p w14:paraId="1D8302E7" w14:textId="77777777" w:rsidR="003438A2" w:rsidRDefault="003438A2">
      <w:pPr>
        <w:spacing w:after="0" w:line="240" w:lineRule="auto"/>
      </w:pPr>
      <w:r>
        <w:br w:type="page"/>
      </w:r>
    </w:p>
    <w:p w14:paraId="46131C54" w14:textId="77777777" w:rsidR="003438A2" w:rsidRDefault="003438A2" w:rsidP="00C25EA7">
      <w:r>
        <w:lastRenderedPageBreak/>
        <w:t xml:space="preserve">Some eggs and larvae of </w:t>
      </w:r>
      <w:r>
        <w:rPr>
          <w:i/>
        </w:rPr>
        <w:t xml:space="preserve">R. pomonella </w:t>
      </w:r>
      <w:r>
        <w:t>may survive cold temperatures during storage in the PNW-USA and transport to Australia.</w:t>
      </w:r>
    </w:p>
    <w:p w14:paraId="66329622" w14:textId="77777777" w:rsidR="003438A2" w:rsidRDefault="003438A2" w:rsidP="003438A2">
      <w:pPr>
        <w:pStyle w:val="ListBullet"/>
        <w:numPr>
          <w:ilvl w:val="0"/>
          <w:numId w:val="15"/>
        </w:numPr>
      </w:pPr>
      <w:r w:rsidRPr="000E0DD6">
        <w:t xml:space="preserve">Following harvest, apples may be stored </w:t>
      </w:r>
      <w:r>
        <w:t xml:space="preserve">prior to or after </w:t>
      </w:r>
      <w:r w:rsidRPr="000E0DD6">
        <w:t>sort</w:t>
      </w:r>
      <w:r>
        <w:t>ing</w:t>
      </w:r>
      <w:r w:rsidRPr="000E0DD6">
        <w:t xml:space="preserve"> and pack</w:t>
      </w:r>
      <w:r>
        <w:t xml:space="preserve">ing. </w:t>
      </w:r>
      <w:r w:rsidRPr="000E0DD6">
        <w:t xml:space="preserve">Storage time may vary from </w:t>
      </w:r>
      <w:r>
        <w:t>one</w:t>
      </w:r>
      <w:r w:rsidRPr="000E0DD6">
        <w:t xml:space="preserve"> day to more than </w:t>
      </w:r>
      <w:r>
        <w:t>11</w:t>
      </w:r>
      <w:r w:rsidRPr="000E0DD6">
        <w:t xml:space="preserve"> months </w:t>
      </w:r>
      <w:r>
        <w:rPr>
          <w:noProof/>
        </w:rPr>
        <w:t>(Kupferman 1996)</w:t>
      </w:r>
      <w:r w:rsidRPr="000E0DD6">
        <w:t xml:space="preserve">. </w:t>
      </w:r>
      <w:r>
        <w:t xml:space="preserve">Apples </w:t>
      </w:r>
      <w:r w:rsidRPr="000E0DD6">
        <w:t>may be kept in refrigerated storage (</w:t>
      </w:r>
      <w:r>
        <w:t>0</w:t>
      </w:r>
      <w:r w:rsidRPr="00826514">
        <w:rPr>
          <w:rFonts w:cstheme="minorHAnsi"/>
        </w:rPr>
        <w:t>°</w:t>
      </w:r>
      <w:r>
        <w:rPr>
          <w:rFonts w:cstheme="minorHAnsi"/>
        </w:rPr>
        <w:t>C</w:t>
      </w:r>
      <w:r w:rsidRPr="00826514" w:rsidDel="008771AC">
        <w:rPr>
          <w:vertAlign w:val="superscript"/>
        </w:rPr>
        <w:t xml:space="preserve"> </w:t>
      </w:r>
      <w:r>
        <w:t xml:space="preserve">to </w:t>
      </w:r>
      <w:r w:rsidRPr="000E0DD6">
        <w:t>2</w:t>
      </w:r>
      <w:r w:rsidRPr="00826514">
        <w:rPr>
          <w:rFonts w:cstheme="minorHAnsi"/>
        </w:rPr>
        <w:t>°</w:t>
      </w:r>
      <w:r w:rsidRPr="00654D57">
        <w:t>C</w:t>
      </w:r>
      <w:r w:rsidRPr="000E0DD6">
        <w:t>, depending on variety)</w:t>
      </w:r>
      <w:r>
        <w:t xml:space="preserve"> </w:t>
      </w:r>
      <w:r>
        <w:rPr>
          <w:noProof/>
        </w:rPr>
        <w:t>(Good Fruit Grower 2014; Iowa State University Extension and Outreach 2008; University of Maine 2020)</w:t>
      </w:r>
      <w:r>
        <w:t xml:space="preserve"> </w:t>
      </w:r>
      <w:r w:rsidRPr="000E0DD6">
        <w:t xml:space="preserve">or in controlled atmosphere (CA) storage </w:t>
      </w:r>
      <w:r>
        <w:t xml:space="preserve">with 0.7 to </w:t>
      </w:r>
      <w:r w:rsidRPr="00B70066">
        <w:t>2</w:t>
      </w:r>
      <w:r>
        <w:t xml:space="preserve">.5% </w:t>
      </w:r>
      <w:r w:rsidRPr="00B70066">
        <w:t>oxygen</w:t>
      </w:r>
      <w:r>
        <w:t>,</w:t>
      </w:r>
      <w:r w:rsidRPr="00B70066">
        <w:t xml:space="preserve"> </w:t>
      </w:r>
      <w:r>
        <w:t>0</w:t>
      </w:r>
      <w:r w:rsidRPr="00B70066">
        <w:t>.</w:t>
      </w:r>
      <w:r>
        <w:t>03 to 4.0%</w:t>
      </w:r>
      <w:r w:rsidRPr="00B70066">
        <w:t xml:space="preserve"> carbon dioxide </w:t>
      </w:r>
      <w:r>
        <w:rPr>
          <w:noProof/>
        </w:rPr>
        <w:t>(Kupferman 1996)</w:t>
      </w:r>
      <w:r>
        <w:t xml:space="preserve"> and the rest as nitrogen</w:t>
      </w:r>
      <w:r w:rsidRPr="000E0DD6">
        <w:t xml:space="preserve">. </w:t>
      </w:r>
      <w:r w:rsidRPr="00B70066">
        <w:t xml:space="preserve">Optimum </w:t>
      </w:r>
      <w:r>
        <w:t>temperatures</w:t>
      </w:r>
      <w:r w:rsidRPr="00B70066">
        <w:t xml:space="preserve"> for CA storage in Washington were reported to be 0</w:t>
      </w:r>
      <w:r w:rsidRPr="00826514">
        <w:rPr>
          <w:rFonts w:cstheme="minorHAnsi"/>
        </w:rPr>
        <w:t>°</w:t>
      </w:r>
      <w:r>
        <w:rPr>
          <w:rFonts w:cstheme="minorHAnsi"/>
        </w:rPr>
        <w:t>C</w:t>
      </w:r>
      <w:r>
        <w:t xml:space="preserve"> to </w:t>
      </w:r>
      <w:r w:rsidRPr="00B70066">
        <w:t>1</w:t>
      </w:r>
      <w:r w:rsidRPr="00826514">
        <w:rPr>
          <w:rFonts w:cstheme="minorHAnsi"/>
        </w:rPr>
        <w:t>°</w:t>
      </w:r>
      <w:r w:rsidRPr="00654D57">
        <w:t>C</w:t>
      </w:r>
      <w:r w:rsidRPr="00B70066">
        <w:t xml:space="preserve"> </w:t>
      </w:r>
      <w:r>
        <w:rPr>
          <w:noProof/>
        </w:rPr>
        <w:t>(Kupferman 2001)</w:t>
      </w:r>
      <w:r w:rsidRPr="00B70066">
        <w:t>.</w:t>
      </w:r>
    </w:p>
    <w:p w14:paraId="3DB68B77" w14:textId="77777777" w:rsidR="003438A2" w:rsidRPr="00C23DA5" w:rsidRDefault="003438A2" w:rsidP="003438A2">
      <w:pPr>
        <w:pStyle w:val="ListBullet"/>
        <w:numPr>
          <w:ilvl w:val="0"/>
          <w:numId w:val="15"/>
        </w:numPr>
      </w:pPr>
      <w:r w:rsidRPr="00C23DA5">
        <w:t xml:space="preserve">Options for cold treatment against </w:t>
      </w:r>
      <w:r w:rsidRPr="00C23DA5">
        <w:rPr>
          <w:i/>
        </w:rPr>
        <w:t>R. pomonella</w:t>
      </w:r>
      <w:r w:rsidRPr="00C23DA5">
        <w:t xml:space="preserve"> are reported </w:t>
      </w:r>
      <w:r w:rsidRPr="00C23DA5">
        <w:rPr>
          <w:noProof/>
        </w:rPr>
        <w:t>(Sansford, Mastro &amp; Reynolds 2016)</w:t>
      </w:r>
      <w:r w:rsidRPr="00C23DA5">
        <w:t xml:space="preserve"> as being a continuous period of at least 90 days at 3.3</w:t>
      </w:r>
      <w:r w:rsidRPr="00C23DA5">
        <w:rPr>
          <w:rFonts w:cstheme="minorHAnsi"/>
        </w:rPr>
        <w:t>°</w:t>
      </w:r>
      <w:r w:rsidRPr="00C23DA5">
        <w:t xml:space="preserve">C or less, or as </w:t>
      </w:r>
      <w:r w:rsidRPr="00C23DA5">
        <w:rPr>
          <w:iCs/>
        </w:rPr>
        <w:t>a continuous period of 40 days or more at 0</w:t>
      </w:r>
      <w:r w:rsidRPr="00C23DA5">
        <w:rPr>
          <w:rFonts w:cstheme="minorHAnsi"/>
        </w:rPr>
        <w:t>°</w:t>
      </w:r>
      <w:r w:rsidRPr="00C23DA5">
        <w:t>C</w:t>
      </w:r>
      <w:r w:rsidRPr="00C23DA5">
        <w:rPr>
          <w:iCs/>
        </w:rPr>
        <w:t xml:space="preserve"> or lower </w:t>
      </w:r>
      <w:r w:rsidRPr="00C23DA5">
        <w:rPr>
          <w:iCs/>
          <w:noProof/>
        </w:rPr>
        <w:t>(Hallman 2004)</w:t>
      </w:r>
      <w:r w:rsidRPr="00C23DA5">
        <w:rPr>
          <w:iCs/>
        </w:rPr>
        <w:t>. Both of these cold treatment schedules are currently mandated options for certain fruit movements from non-regulated to regulated areas in the PNW-USA.</w:t>
      </w:r>
      <w:r>
        <w:rPr>
          <w:iCs/>
        </w:rPr>
        <w:t xml:space="preserve"> </w:t>
      </w:r>
    </w:p>
    <w:p w14:paraId="1F112A66" w14:textId="77777777" w:rsidR="003438A2" w:rsidRPr="00C23DA5" w:rsidRDefault="003438A2" w:rsidP="003438A2">
      <w:pPr>
        <w:pStyle w:val="ListBullet"/>
        <w:numPr>
          <w:ilvl w:val="0"/>
          <w:numId w:val="15"/>
        </w:numPr>
      </w:pPr>
      <w:r w:rsidRPr="00C23DA5">
        <w:t>Elevated levels of carbon dioxide have been shown to be effective in killing the immature life stages of</w:t>
      </w:r>
      <w:r w:rsidRPr="00C23DA5">
        <w:rPr>
          <w:i/>
        </w:rPr>
        <w:t xml:space="preserve"> R</w:t>
      </w:r>
      <w:r w:rsidRPr="00C23DA5">
        <w:t>. </w:t>
      </w:r>
      <w:r w:rsidRPr="00C23DA5">
        <w:rPr>
          <w:i/>
        </w:rPr>
        <w:t>pomonella</w:t>
      </w:r>
      <w:r w:rsidRPr="00C23DA5">
        <w:t xml:space="preserve"> </w:t>
      </w:r>
      <w:r w:rsidRPr="00C23DA5">
        <w:rPr>
          <w:noProof/>
        </w:rPr>
        <w:t>(Agnello et al. 2002)</w:t>
      </w:r>
      <w:r w:rsidRPr="00C23DA5">
        <w:t>.</w:t>
      </w:r>
    </w:p>
    <w:p w14:paraId="7094608C" w14:textId="77777777" w:rsidR="003438A2" w:rsidRPr="00383438" w:rsidRDefault="003438A2" w:rsidP="003438A2">
      <w:pPr>
        <w:pStyle w:val="ListBullet"/>
        <w:numPr>
          <w:ilvl w:val="0"/>
          <w:numId w:val="15"/>
        </w:numPr>
      </w:pPr>
      <w:r w:rsidRPr="00383438">
        <w:t xml:space="preserve">Sea freight of about 5 weeks’ duration is the most likely mode of transportation to Australia. The duration of the sea voyage and the cold storage temperatures during sea freight may not cause complete mortality of immature life stages of </w:t>
      </w:r>
      <w:r w:rsidRPr="00383438">
        <w:rPr>
          <w:i/>
          <w:iCs/>
        </w:rPr>
        <w:t>R. pomonella</w:t>
      </w:r>
      <w:r w:rsidRPr="00383438">
        <w:t>.</w:t>
      </w:r>
    </w:p>
    <w:p w14:paraId="0748BE5E" w14:textId="77777777" w:rsidR="003438A2" w:rsidRPr="00613E6D" w:rsidRDefault="003438A2" w:rsidP="00EA3A4B">
      <w:r w:rsidRPr="000A7B3B">
        <w:t>Where</w:t>
      </w:r>
      <w:r>
        <w:rPr>
          <w:i/>
        </w:rPr>
        <w:t xml:space="preserve"> R. pomonella </w:t>
      </w:r>
      <w:r w:rsidRPr="00862093">
        <w:t>is</w:t>
      </w:r>
      <w:r>
        <w:t xml:space="preserve"> present in the PNW-USA, it is a major economic pest of apples. Mature a</w:t>
      </w:r>
      <w:r w:rsidRPr="000E0DD6">
        <w:t>pple fruit</w:t>
      </w:r>
      <w:r>
        <w:t xml:space="preserve"> </w:t>
      </w:r>
      <w:r w:rsidRPr="000E0DD6">
        <w:t xml:space="preserve">provides </w:t>
      </w:r>
      <w:r>
        <w:t xml:space="preserve">a </w:t>
      </w:r>
      <w:r w:rsidRPr="000E0DD6">
        <w:t xml:space="preserve">suitable host for survival and development of </w:t>
      </w:r>
      <w:r w:rsidRPr="000E0DD6">
        <w:rPr>
          <w:i/>
        </w:rPr>
        <w:t>R</w:t>
      </w:r>
      <w:r w:rsidRPr="000E0DD6">
        <w:t>. </w:t>
      </w:r>
      <w:r w:rsidRPr="000E0DD6">
        <w:rPr>
          <w:i/>
        </w:rPr>
        <w:t>pomonella</w:t>
      </w:r>
      <w:r w:rsidRPr="000E0DD6">
        <w:t xml:space="preserve"> eggs and larvae</w:t>
      </w:r>
      <w:r>
        <w:t>.</w:t>
      </w:r>
      <w:r w:rsidRPr="000E0DD6">
        <w:t xml:space="preserve"> Eggs </w:t>
      </w:r>
      <w:r>
        <w:t xml:space="preserve">are laid </w:t>
      </w:r>
      <w:r w:rsidRPr="000E0DD6">
        <w:t xml:space="preserve">under the skin </w:t>
      </w:r>
      <w:r>
        <w:t xml:space="preserve">of the fruit </w:t>
      </w:r>
      <w:r w:rsidRPr="000E0DD6">
        <w:t xml:space="preserve">and </w:t>
      </w:r>
      <w:r>
        <w:t xml:space="preserve">developing larvae tunnel through the </w:t>
      </w:r>
      <w:r w:rsidRPr="00E65DBC">
        <w:t xml:space="preserve">pulp </w:t>
      </w:r>
      <w:r>
        <w:rPr>
          <w:noProof/>
        </w:rPr>
        <w:t>(Dupont &amp; Brunner 2016)</w:t>
      </w:r>
      <w:r w:rsidRPr="00E65DBC">
        <w:t xml:space="preserve">. </w:t>
      </w:r>
      <w:r>
        <w:t>Eggs and early larval infestations in fruit are unlikely to be detected during harvesting or</w:t>
      </w:r>
      <w:r w:rsidRPr="000E0DD6">
        <w:t xml:space="preserve"> </w:t>
      </w:r>
      <w:r>
        <w:t xml:space="preserve">post-harvest packing house </w:t>
      </w:r>
      <w:r w:rsidRPr="000E0DD6">
        <w:t>procedures</w:t>
      </w:r>
      <w:r>
        <w:t xml:space="preserve">. Some </w:t>
      </w:r>
      <w:r>
        <w:rPr>
          <w:i/>
        </w:rPr>
        <w:t xml:space="preserve">R. pomonella </w:t>
      </w:r>
      <w:r>
        <w:t xml:space="preserve">may survive long periods of cold temperatures while apples are being stored or transported. For the </w:t>
      </w:r>
      <w:r w:rsidRPr="00613E6D">
        <w:t xml:space="preserve">reasons outlined, the likelihood estimate for importation of </w:t>
      </w:r>
      <w:r w:rsidRPr="00613E6D">
        <w:rPr>
          <w:i/>
        </w:rPr>
        <w:t>R</w:t>
      </w:r>
      <w:r w:rsidRPr="00613E6D">
        <w:t>. </w:t>
      </w:r>
      <w:r w:rsidRPr="00613E6D">
        <w:rPr>
          <w:i/>
        </w:rPr>
        <w:t>pomonella</w:t>
      </w:r>
      <w:r w:rsidRPr="00613E6D">
        <w:t xml:space="preserve"> on the PNW-USA apple pathway is assessed as High.</w:t>
      </w:r>
    </w:p>
    <w:p w14:paraId="0CBBD805" w14:textId="77777777" w:rsidR="003438A2" w:rsidRPr="00613E6D" w:rsidRDefault="003438A2" w:rsidP="00C25EA7">
      <w:pPr>
        <w:pStyle w:val="Heading5"/>
      </w:pPr>
      <w:r w:rsidRPr="00613E6D">
        <w:t>Likelihood of distribution</w:t>
      </w:r>
    </w:p>
    <w:p w14:paraId="1D5AF051" w14:textId="77777777" w:rsidR="003438A2" w:rsidRPr="00613E6D" w:rsidRDefault="003438A2" w:rsidP="00C25EA7">
      <w:r w:rsidRPr="00613E6D">
        <w:t xml:space="preserve">The likelihood that </w:t>
      </w:r>
      <w:r w:rsidRPr="00613E6D">
        <w:rPr>
          <w:i/>
          <w:iCs/>
        </w:rPr>
        <w:t>R. pomonella</w:t>
      </w:r>
      <w:r w:rsidRPr="00613E6D">
        <w:t xml:space="preserve"> will be distributed within Australia in a viable state as a result of the processing, sale or disposal of apples from the PNW-USA, and subsequently transfer to a susceptible part of a host is considered to be similar to </w:t>
      </w:r>
      <w:r w:rsidRPr="00613E6D">
        <w:rPr>
          <w:i/>
          <w:iCs/>
        </w:rPr>
        <w:t>R. pomonella</w:t>
      </w:r>
      <w:r w:rsidRPr="00613E6D">
        <w:rPr>
          <w:i/>
        </w:rPr>
        <w:t xml:space="preserve"> </w:t>
      </w:r>
      <w:r w:rsidRPr="00613E6D">
        <w:rPr>
          <w:iCs/>
        </w:rPr>
        <w:t xml:space="preserve">on </w:t>
      </w:r>
      <w:r w:rsidRPr="00613E6D">
        <w:t xml:space="preserve">fresh stone fruit (plums and apricots) from California, Idaho, Oregon and Washington. Therefore, the same rating of Moderate for the likelihood of distribution previously assessed for </w:t>
      </w:r>
      <w:r w:rsidRPr="00613E6D">
        <w:rPr>
          <w:i/>
          <w:iCs/>
        </w:rPr>
        <w:t>R. pomonella</w:t>
      </w:r>
      <w:r w:rsidRPr="00613E6D">
        <w:t xml:space="preserve"> </w:t>
      </w:r>
      <w:r w:rsidRPr="00613E6D">
        <w:rPr>
          <w:iCs/>
        </w:rPr>
        <w:t xml:space="preserve">on the </w:t>
      </w:r>
      <w:r w:rsidRPr="00613E6D">
        <w:t>fresh stone fruit (plums and apricots) from California, Idaho, Oregon and Washington</w:t>
      </w:r>
      <w:r w:rsidRPr="00613E6D">
        <w:rPr>
          <w:iCs/>
        </w:rPr>
        <w:t xml:space="preserve"> pathway is adopted for </w:t>
      </w:r>
      <w:r w:rsidRPr="00613E6D">
        <w:rPr>
          <w:i/>
          <w:iCs/>
        </w:rPr>
        <w:t>R. pomonella</w:t>
      </w:r>
      <w:r w:rsidRPr="00613E6D">
        <w:t xml:space="preserve"> </w:t>
      </w:r>
      <w:r w:rsidRPr="00613E6D">
        <w:rPr>
          <w:iCs/>
        </w:rPr>
        <w:t xml:space="preserve">on </w:t>
      </w:r>
      <w:r>
        <w:rPr>
          <w:iCs/>
        </w:rPr>
        <w:t xml:space="preserve">the </w:t>
      </w:r>
      <w:r w:rsidRPr="00613E6D">
        <w:rPr>
          <w:iCs/>
        </w:rPr>
        <w:t xml:space="preserve">apples from PNW-USA pathway. </w:t>
      </w:r>
    </w:p>
    <w:p w14:paraId="44C20541" w14:textId="77777777" w:rsidR="003438A2" w:rsidRPr="00A3009B" w:rsidRDefault="003438A2" w:rsidP="00C25EA7">
      <w:pPr>
        <w:pStyle w:val="Heading5"/>
      </w:pPr>
      <w:r w:rsidRPr="00A3009B">
        <w:t>Overall likelihood of entry</w:t>
      </w:r>
    </w:p>
    <w:p w14:paraId="6250606F" w14:textId="77777777" w:rsidR="003438A2" w:rsidRPr="003A0CF6" w:rsidRDefault="003438A2" w:rsidP="00C25EA7">
      <w:r>
        <w:t xml:space="preserve">The overall likelihood of entry is determined as Moderate by combining the assessed likelihood of importation of High with the adopted likelihood of distribution of Moderate, </w:t>
      </w:r>
      <w:r w:rsidRPr="00945121">
        <w:rPr>
          <w:rFonts w:cstheme="minorHAnsi"/>
        </w:rPr>
        <w:t xml:space="preserve">using the matrix of rules in </w:t>
      </w:r>
      <w:r>
        <w:rPr>
          <w:rFonts w:cstheme="minorHAnsi"/>
        </w:rPr>
        <w:fldChar w:fldCharType="begin" w:fldLock="1"/>
      </w:r>
      <w:r>
        <w:rPr>
          <w:rFonts w:cstheme="minorHAnsi"/>
        </w:rPr>
        <w:instrText xml:space="preserve"> REF _Ref457826328 \h </w:instrText>
      </w:r>
      <w:r>
        <w:rPr>
          <w:rFonts w:cstheme="minorHAnsi"/>
        </w:rPr>
      </w:r>
      <w:r>
        <w:rPr>
          <w:rFonts w:cstheme="minorHAnsi"/>
        </w:rPr>
        <w:fldChar w:fldCharType="separate"/>
      </w:r>
      <w:r w:rsidRPr="00DB5F8D">
        <w:t xml:space="preserve">Table </w:t>
      </w:r>
      <w:r>
        <w:rPr>
          <w:noProof/>
        </w:rPr>
        <w:t>2</w:t>
      </w:r>
      <w:r>
        <w:t>.</w:t>
      </w:r>
      <w:r>
        <w:rPr>
          <w:noProof/>
        </w:rPr>
        <w:t>2</w:t>
      </w:r>
      <w:r>
        <w:rPr>
          <w:rFonts w:cstheme="minorHAnsi"/>
        </w:rPr>
        <w:fldChar w:fldCharType="end"/>
      </w:r>
      <w:r>
        <w:t>.</w:t>
      </w:r>
    </w:p>
    <w:p w14:paraId="409069A7" w14:textId="77777777" w:rsidR="003438A2" w:rsidRPr="00826514" w:rsidRDefault="003438A2" w:rsidP="00C25EA7">
      <w:pPr>
        <w:pStyle w:val="Heading4"/>
      </w:pPr>
      <w:r w:rsidRPr="00826514">
        <w:t>Likelihood</w:t>
      </w:r>
      <w:r>
        <w:t>s</w:t>
      </w:r>
      <w:r w:rsidRPr="00826514">
        <w:t xml:space="preserve"> of establishment and spread</w:t>
      </w:r>
    </w:p>
    <w:p w14:paraId="7F31F1A6" w14:textId="77777777" w:rsidR="003438A2" w:rsidRPr="00A3009B" w:rsidRDefault="003438A2" w:rsidP="00C25EA7">
      <w:pPr>
        <w:autoSpaceDE w:val="0"/>
        <w:autoSpaceDN w:val="0"/>
        <w:adjustRightInd w:val="0"/>
        <w:rPr>
          <w:rFonts w:cstheme="minorHAnsi"/>
        </w:rPr>
      </w:pPr>
      <w:r w:rsidRPr="00A3009B">
        <w:rPr>
          <w:rFonts w:cstheme="minorHAnsi"/>
        </w:rPr>
        <w:t xml:space="preserve">The likelihoods of establishment and spread for </w:t>
      </w:r>
      <w:r>
        <w:rPr>
          <w:i/>
          <w:iCs/>
        </w:rPr>
        <w:t>R. pomonella</w:t>
      </w:r>
      <w:r w:rsidRPr="00A3009B">
        <w:rPr>
          <w:i/>
        </w:rPr>
        <w:t xml:space="preserve"> </w:t>
      </w:r>
      <w:r w:rsidRPr="00A3009B">
        <w:rPr>
          <w:rFonts w:cstheme="minorHAnsi"/>
        </w:rPr>
        <w:t xml:space="preserve">are independent of the import pathway and are considered similar to those previously assessed for </w:t>
      </w:r>
      <w:r>
        <w:rPr>
          <w:rFonts w:cstheme="minorHAnsi"/>
        </w:rPr>
        <w:t xml:space="preserve">the </w:t>
      </w:r>
      <w:r w:rsidRPr="00AA0BFC">
        <w:t>fresh stone fruit from California, Idaho, Oregon and Washington</w:t>
      </w:r>
      <w:r w:rsidRPr="00A3009B">
        <w:rPr>
          <w:iCs/>
        </w:rPr>
        <w:t xml:space="preserve"> </w:t>
      </w:r>
      <w:r w:rsidRPr="00A3009B">
        <w:rPr>
          <w:rFonts w:cstheme="minorHAnsi"/>
        </w:rPr>
        <w:t>pathway.</w:t>
      </w:r>
    </w:p>
    <w:p w14:paraId="3A10602C" w14:textId="77777777" w:rsidR="003438A2" w:rsidRPr="00A3009B" w:rsidRDefault="003438A2" w:rsidP="00C25EA7">
      <w:pPr>
        <w:autoSpaceDE w:val="0"/>
        <w:autoSpaceDN w:val="0"/>
        <w:adjustRightInd w:val="0"/>
      </w:pPr>
      <w:r w:rsidRPr="00A3009B">
        <w:rPr>
          <w:rFonts w:cstheme="minorHAnsi"/>
        </w:rPr>
        <w:lastRenderedPageBreak/>
        <w:t xml:space="preserve">Based on the previous assessment for </w:t>
      </w:r>
      <w:r w:rsidRPr="00AA0BFC">
        <w:t xml:space="preserve">fresh stone fruit from California, Idaho, Oregon and </w:t>
      </w:r>
      <w:r w:rsidRPr="00DC62A3">
        <w:t xml:space="preserve">Washington </w:t>
      </w:r>
      <w:r w:rsidRPr="00DC62A3">
        <w:rPr>
          <w:noProof/>
        </w:rPr>
        <w:t xml:space="preserve">(Biosecurity Australia 2010b), </w:t>
      </w:r>
      <w:r w:rsidRPr="00DC62A3">
        <w:rPr>
          <w:rFonts w:cstheme="minorHAnsi"/>
        </w:rPr>
        <w:t xml:space="preserve">the likelihoods of establishment and spread for </w:t>
      </w:r>
      <w:r w:rsidRPr="00DC62A3">
        <w:rPr>
          <w:rFonts w:cstheme="minorHAnsi"/>
          <w:i/>
          <w:iCs/>
        </w:rPr>
        <w:t>R.</w:t>
      </w:r>
      <w:r>
        <w:rPr>
          <w:rFonts w:cstheme="minorHAnsi"/>
          <w:i/>
          <w:iCs/>
        </w:rPr>
        <w:t xml:space="preserve"> pomonella</w:t>
      </w:r>
      <w:r w:rsidRPr="00A3009B">
        <w:rPr>
          <w:rFonts w:cstheme="minorHAnsi"/>
        </w:rPr>
        <w:t xml:space="preserve"> are assessed as </w:t>
      </w:r>
      <w:r>
        <w:rPr>
          <w:rFonts w:cstheme="minorHAnsi"/>
        </w:rPr>
        <w:t>High</w:t>
      </w:r>
      <w:r w:rsidRPr="00A3009B">
        <w:rPr>
          <w:rFonts w:cstheme="minorHAnsi"/>
        </w:rPr>
        <w:t xml:space="preserve"> and Moderate, respectively.</w:t>
      </w:r>
    </w:p>
    <w:p w14:paraId="21463CFF" w14:textId="77777777" w:rsidR="003438A2" w:rsidRPr="002306B4" w:rsidRDefault="003438A2" w:rsidP="00C25EA7">
      <w:pPr>
        <w:pStyle w:val="Heading4"/>
      </w:pPr>
      <w:r w:rsidRPr="002306B4">
        <w:t>Overall likelihood of entry, establishment and spread</w:t>
      </w:r>
    </w:p>
    <w:p w14:paraId="1E9EC147" w14:textId="77777777" w:rsidR="003438A2" w:rsidRPr="004A09D1" w:rsidRDefault="003438A2" w:rsidP="00C25EA7">
      <w:pPr>
        <w:autoSpaceDE w:val="0"/>
        <w:autoSpaceDN w:val="0"/>
        <w:adjustRightInd w:val="0"/>
      </w:pPr>
      <w:r w:rsidRPr="002306B4">
        <w:t xml:space="preserve">The overall likelihood of entry, establishment and spread is determined by combining the likelihoods of entry, of establishment and of spread using the matrix of rules shown in </w:t>
      </w:r>
      <w:r>
        <w:fldChar w:fldCharType="begin" w:fldLock="1"/>
      </w:r>
      <w:r>
        <w:instrText xml:space="preserve"> REF _Ref457826328 \h </w:instrText>
      </w:r>
      <w:r>
        <w:fldChar w:fldCharType="separate"/>
      </w:r>
      <w:r w:rsidRPr="00DB5F8D">
        <w:t xml:space="preserve">Table </w:t>
      </w:r>
      <w:r>
        <w:rPr>
          <w:noProof/>
        </w:rPr>
        <w:t>2</w:t>
      </w:r>
      <w:r>
        <w:t>.</w:t>
      </w:r>
      <w:r>
        <w:rPr>
          <w:noProof/>
        </w:rPr>
        <w:t>2</w:t>
      </w:r>
      <w:r>
        <w:fldChar w:fldCharType="end"/>
      </w:r>
      <w:r w:rsidRPr="004A09D1">
        <w:t>.</w:t>
      </w:r>
    </w:p>
    <w:p w14:paraId="4B6994F0" w14:textId="77777777" w:rsidR="003438A2" w:rsidRPr="002306B4" w:rsidRDefault="003438A2" w:rsidP="00C25EA7">
      <w:pPr>
        <w:autoSpaceDE w:val="0"/>
        <w:autoSpaceDN w:val="0"/>
        <w:adjustRightInd w:val="0"/>
        <w:rPr>
          <w:rFonts w:cstheme="minorHAnsi"/>
        </w:rPr>
      </w:pPr>
      <w:r w:rsidRPr="002306B4">
        <w:t xml:space="preserve">The overall likelihood that </w:t>
      </w:r>
      <w:r>
        <w:rPr>
          <w:i/>
          <w:iCs/>
        </w:rPr>
        <w:t>R. pomonella</w:t>
      </w:r>
      <w:r w:rsidRPr="002306B4">
        <w:t xml:space="preserve"> will enter Australia as a result of trade in apples from the PNW-USA, be distributed in a viable state to a susceptible part of a host, establish in Australia and subsequently spread within Australia is assessed as </w:t>
      </w:r>
      <w:r>
        <w:t>L</w:t>
      </w:r>
      <w:r w:rsidRPr="002306B4">
        <w:t>ow</w:t>
      </w:r>
      <w:r w:rsidRPr="002306B4">
        <w:rPr>
          <w:rFonts w:cstheme="minorHAnsi"/>
        </w:rPr>
        <w:t>.</w:t>
      </w:r>
    </w:p>
    <w:p w14:paraId="2C83945B" w14:textId="77777777" w:rsidR="003438A2" w:rsidRPr="00A3009B" w:rsidRDefault="003438A2" w:rsidP="00C25EA7">
      <w:pPr>
        <w:pStyle w:val="Heading4"/>
      </w:pPr>
      <w:r w:rsidRPr="00A3009B">
        <w:t>Consequences</w:t>
      </w:r>
    </w:p>
    <w:p w14:paraId="4EDF2061" w14:textId="77777777" w:rsidR="003438A2" w:rsidRPr="00A3009B" w:rsidRDefault="003438A2" w:rsidP="00C25EA7">
      <w:pPr>
        <w:autoSpaceDE w:val="0"/>
        <w:autoSpaceDN w:val="0"/>
        <w:adjustRightInd w:val="0"/>
        <w:rPr>
          <w:rFonts w:cstheme="minorHAnsi"/>
        </w:rPr>
      </w:pPr>
      <w:r w:rsidRPr="00A3009B">
        <w:t xml:space="preserve">The potential consequences of the entry, establishment and spread of </w:t>
      </w:r>
      <w:r>
        <w:rPr>
          <w:i/>
          <w:iCs/>
        </w:rPr>
        <w:t>R. pomonella</w:t>
      </w:r>
      <w:r w:rsidRPr="00A3009B">
        <w:t xml:space="preserve"> in Australia are similar to those in the previous assessment for </w:t>
      </w:r>
      <w:r>
        <w:rPr>
          <w:i/>
          <w:iCs/>
        </w:rPr>
        <w:t>R. pomonella</w:t>
      </w:r>
      <w:r w:rsidRPr="00A3009B">
        <w:t xml:space="preserve"> on </w:t>
      </w:r>
      <w:r>
        <w:t xml:space="preserve">the </w:t>
      </w:r>
      <w:r w:rsidRPr="00AA0BFC">
        <w:t>stone fruit from California, Idaho, Oregon and Washington</w:t>
      </w:r>
      <w:r w:rsidRPr="00A3009B">
        <w:t xml:space="preserve"> pathway, which were assessed as </w:t>
      </w:r>
      <w:r>
        <w:t xml:space="preserve">High </w:t>
      </w:r>
      <w:r w:rsidDel="00E07E28">
        <w:rPr>
          <w:rFonts w:cs="Arial"/>
          <w:noProof/>
        </w:rPr>
        <w:t>(Biosecurity Australia 2010b)</w:t>
      </w:r>
      <w:r>
        <w:rPr>
          <w:rFonts w:cs="Arial"/>
        </w:rPr>
        <w:t xml:space="preserve">. </w:t>
      </w:r>
      <w:r w:rsidRPr="00A3009B">
        <w:t xml:space="preserve">The overall consequences for </w:t>
      </w:r>
      <w:r>
        <w:rPr>
          <w:i/>
          <w:iCs/>
        </w:rPr>
        <w:t>R. pomonella</w:t>
      </w:r>
      <w:r w:rsidRPr="00A3009B">
        <w:t xml:space="preserve"> on </w:t>
      </w:r>
      <w:r>
        <w:t xml:space="preserve">the </w:t>
      </w:r>
      <w:r w:rsidRPr="00A3009B">
        <w:t xml:space="preserve">apples from PNW-USA pathway are also assessed as </w:t>
      </w:r>
      <w:r>
        <w:t>High</w:t>
      </w:r>
      <w:r w:rsidRPr="00A3009B">
        <w:t>.</w:t>
      </w:r>
    </w:p>
    <w:p w14:paraId="60EA015A" w14:textId="77777777" w:rsidR="003438A2" w:rsidRPr="00C35FD7" w:rsidRDefault="003438A2" w:rsidP="00C25EA7">
      <w:pPr>
        <w:pStyle w:val="Heading4"/>
      </w:pPr>
      <w:r w:rsidRPr="00C35FD7">
        <w:t>Unrestricted risk estimate</w:t>
      </w:r>
    </w:p>
    <w:p w14:paraId="0C42CAEA" w14:textId="77777777" w:rsidR="003438A2" w:rsidRPr="00945121" w:rsidRDefault="003438A2" w:rsidP="00C25EA7">
      <w:r w:rsidRPr="00945121">
        <w:t xml:space="preserve">Unrestricted risk is the result of combining the </w:t>
      </w:r>
      <w:r>
        <w:t>overall likelihood</w:t>
      </w:r>
      <w:r w:rsidRPr="00945121">
        <w:t xml:space="preserve"> of entry, establishment and spread with the outcome of overall consequences. </w:t>
      </w:r>
      <w:r>
        <w:t>The overall l</w:t>
      </w:r>
      <w:r w:rsidRPr="00945121">
        <w:t xml:space="preserve">ikelihood and consequences are combined using the risk estimation matrix shown in </w:t>
      </w:r>
      <w:r>
        <w:fldChar w:fldCharType="begin" w:fldLock="1"/>
      </w:r>
      <w:r>
        <w:instrText xml:space="preserve"> REF _Ref457826369 \h </w:instrText>
      </w:r>
      <w:r>
        <w:fldChar w:fldCharType="separate"/>
      </w:r>
      <w:r>
        <w:t xml:space="preserve">Table </w:t>
      </w:r>
      <w:r>
        <w:rPr>
          <w:noProof/>
        </w:rPr>
        <w:t>2</w:t>
      </w:r>
      <w:r>
        <w:t>.</w:t>
      </w:r>
      <w:r>
        <w:rPr>
          <w:noProof/>
        </w:rPr>
        <w:t>5</w:t>
      </w:r>
      <w:r>
        <w:fldChar w:fldCharType="end"/>
      </w:r>
      <w:r w:rsidRPr="00945121">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85"/>
        <w:gridCol w:w="2860"/>
        <w:gridCol w:w="25"/>
      </w:tblGrid>
      <w:tr w:rsidR="003438A2" w:rsidRPr="00A3009B" w14:paraId="3AC7B654" w14:textId="77777777" w:rsidTr="005F2743">
        <w:trPr>
          <w:gridAfter w:val="1"/>
          <w:wAfter w:w="44" w:type="dxa"/>
          <w:trHeight w:val="423"/>
        </w:trPr>
        <w:tc>
          <w:tcPr>
            <w:tcW w:w="5000" w:type="pct"/>
            <w:gridSpan w:val="2"/>
            <w:tcBorders>
              <w:top w:val="single" w:sz="4" w:space="0" w:color="auto"/>
              <w:bottom w:val="single" w:sz="4" w:space="0" w:color="auto"/>
            </w:tcBorders>
            <w:shd w:val="clear" w:color="auto" w:fill="auto"/>
          </w:tcPr>
          <w:p w14:paraId="796F3817" w14:textId="77777777" w:rsidR="003438A2" w:rsidRPr="00A3009B" w:rsidRDefault="003438A2" w:rsidP="005F2743">
            <w:pPr>
              <w:pStyle w:val="TableHeading"/>
            </w:pPr>
            <w:r w:rsidRPr="00A3009B">
              <w:t xml:space="preserve">Unrestricted risk estimate for </w:t>
            </w:r>
            <w:r>
              <w:rPr>
                <w:i/>
                <w:iCs/>
              </w:rPr>
              <w:t>R. pomonella</w:t>
            </w:r>
          </w:p>
        </w:tc>
      </w:tr>
      <w:tr w:rsidR="003438A2" w:rsidRPr="00A3009B" w14:paraId="2DFABB8A" w14:textId="77777777" w:rsidTr="005F2743">
        <w:trPr>
          <w:trHeight w:val="273"/>
        </w:trPr>
        <w:tc>
          <w:tcPr>
            <w:tcW w:w="3417" w:type="pct"/>
            <w:tcBorders>
              <w:top w:val="single" w:sz="4" w:space="0" w:color="auto"/>
              <w:bottom w:val="nil"/>
            </w:tcBorders>
            <w:shd w:val="clear" w:color="auto" w:fill="auto"/>
          </w:tcPr>
          <w:p w14:paraId="1AAA849E" w14:textId="77777777" w:rsidR="003438A2" w:rsidRPr="00A3009B" w:rsidRDefault="003438A2" w:rsidP="005F2743">
            <w:pPr>
              <w:pStyle w:val="TableText"/>
            </w:pPr>
            <w:r w:rsidRPr="00A3009B">
              <w:t>Overall likelihood of entry, establishment and spread</w:t>
            </w:r>
          </w:p>
        </w:tc>
        <w:tc>
          <w:tcPr>
            <w:tcW w:w="1583" w:type="pct"/>
            <w:gridSpan w:val="2"/>
            <w:tcBorders>
              <w:top w:val="single" w:sz="4" w:space="0" w:color="auto"/>
              <w:bottom w:val="nil"/>
            </w:tcBorders>
            <w:shd w:val="clear" w:color="auto" w:fill="auto"/>
          </w:tcPr>
          <w:p w14:paraId="1AAE5B8C" w14:textId="77777777" w:rsidR="003438A2" w:rsidRPr="00A3009B" w:rsidRDefault="003438A2" w:rsidP="005F2743">
            <w:pPr>
              <w:pStyle w:val="TableText"/>
            </w:pPr>
            <w:r>
              <w:t>Low</w:t>
            </w:r>
          </w:p>
        </w:tc>
      </w:tr>
      <w:tr w:rsidR="003438A2" w:rsidRPr="00A3009B" w14:paraId="66B89969" w14:textId="77777777" w:rsidTr="005F2743">
        <w:trPr>
          <w:trHeight w:val="284"/>
        </w:trPr>
        <w:tc>
          <w:tcPr>
            <w:tcW w:w="3417" w:type="pct"/>
            <w:tcBorders>
              <w:top w:val="nil"/>
              <w:bottom w:val="nil"/>
            </w:tcBorders>
            <w:shd w:val="clear" w:color="auto" w:fill="auto"/>
          </w:tcPr>
          <w:p w14:paraId="06F96106" w14:textId="77777777" w:rsidR="003438A2" w:rsidRPr="00A3009B" w:rsidRDefault="003438A2" w:rsidP="005F2743">
            <w:pPr>
              <w:pStyle w:val="TableText"/>
            </w:pPr>
            <w:r w:rsidRPr="00A3009B">
              <w:t>Consequences</w:t>
            </w:r>
          </w:p>
        </w:tc>
        <w:tc>
          <w:tcPr>
            <w:tcW w:w="1583" w:type="pct"/>
            <w:gridSpan w:val="2"/>
            <w:tcBorders>
              <w:top w:val="nil"/>
              <w:bottom w:val="nil"/>
            </w:tcBorders>
            <w:shd w:val="clear" w:color="auto" w:fill="auto"/>
          </w:tcPr>
          <w:p w14:paraId="280BC606" w14:textId="77777777" w:rsidR="003438A2" w:rsidRPr="00A3009B" w:rsidRDefault="003438A2" w:rsidP="005F2743">
            <w:pPr>
              <w:pStyle w:val="TableText"/>
            </w:pPr>
            <w:r>
              <w:t>High</w:t>
            </w:r>
          </w:p>
        </w:tc>
      </w:tr>
      <w:tr w:rsidR="003438A2" w:rsidRPr="00A3009B" w14:paraId="3EE161F0" w14:textId="77777777" w:rsidTr="005F2743">
        <w:trPr>
          <w:trHeight w:val="284"/>
        </w:trPr>
        <w:tc>
          <w:tcPr>
            <w:tcW w:w="3417" w:type="pct"/>
            <w:tcBorders>
              <w:top w:val="nil"/>
              <w:bottom w:val="single" w:sz="4" w:space="0" w:color="auto"/>
            </w:tcBorders>
            <w:shd w:val="clear" w:color="auto" w:fill="auto"/>
          </w:tcPr>
          <w:p w14:paraId="52E24B0D" w14:textId="77777777" w:rsidR="003438A2" w:rsidRPr="00A3009B" w:rsidRDefault="003438A2" w:rsidP="005F2743">
            <w:pPr>
              <w:pStyle w:val="TableText"/>
            </w:pPr>
            <w:r w:rsidRPr="00A3009B">
              <w:t>Unrestricted risk</w:t>
            </w:r>
          </w:p>
        </w:tc>
        <w:tc>
          <w:tcPr>
            <w:tcW w:w="1583" w:type="pct"/>
            <w:gridSpan w:val="2"/>
            <w:tcBorders>
              <w:top w:val="nil"/>
              <w:bottom w:val="single" w:sz="4" w:space="0" w:color="auto"/>
            </w:tcBorders>
            <w:shd w:val="clear" w:color="auto" w:fill="auto"/>
          </w:tcPr>
          <w:p w14:paraId="4E661FDE" w14:textId="77777777" w:rsidR="003438A2" w:rsidRPr="00A3009B" w:rsidRDefault="003438A2" w:rsidP="005F2743">
            <w:pPr>
              <w:pStyle w:val="TableText"/>
            </w:pPr>
            <w:r>
              <w:t>Moderate</w:t>
            </w:r>
          </w:p>
        </w:tc>
      </w:tr>
    </w:tbl>
    <w:p w14:paraId="6777094E" w14:textId="77777777" w:rsidR="003438A2" w:rsidRDefault="003438A2" w:rsidP="00C25EA7">
      <w:pPr>
        <w:spacing w:before="120"/>
      </w:pPr>
      <w:r>
        <w:t>T</w:t>
      </w:r>
      <w:r w:rsidRPr="0094682F">
        <w:t xml:space="preserve">he unrestricted risk estimate for </w:t>
      </w:r>
      <w:r>
        <w:rPr>
          <w:i/>
        </w:rPr>
        <w:t>R. pomonella</w:t>
      </w:r>
      <w:r w:rsidRPr="0094682F">
        <w:t xml:space="preserve"> </w:t>
      </w:r>
      <w:r>
        <w:t xml:space="preserve">on apples from the PNW-USA has been assessed </w:t>
      </w:r>
      <w:r w:rsidRPr="0094682F">
        <w:t xml:space="preserve">as </w:t>
      </w:r>
      <w:r>
        <w:t>Moderate</w:t>
      </w:r>
      <w:r w:rsidRPr="0094682F">
        <w:t xml:space="preserve">, which </w:t>
      </w:r>
      <w:r>
        <w:t>does not achieve</w:t>
      </w:r>
      <w:r w:rsidRPr="0094682F">
        <w:t xml:space="preserve"> </w:t>
      </w:r>
      <w:r>
        <w:t xml:space="preserve">the ALOP for Australia. Therefore, </w:t>
      </w:r>
      <w:r w:rsidRPr="0094682F">
        <w:t xml:space="preserve">specific risk management measures are required for </w:t>
      </w:r>
      <w:r>
        <w:rPr>
          <w:i/>
        </w:rPr>
        <w:t>R. pomonella</w:t>
      </w:r>
      <w:r w:rsidRPr="0094682F">
        <w:t xml:space="preserve"> </w:t>
      </w:r>
      <w:r>
        <w:t>on the PNW-USA apple pathway</w:t>
      </w:r>
      <w:r w:rsidRPr="0094682F">
        <w:t>.</w:t>
      </w:r>
    </w:p>
    <w:bookmarkEnd w:id="214"/>
    <w:p w14:paraId="5CACDC5C" w14:textId="77777777" w:rsidR="003438A2" w:rsidRDefault="003438A2" w:rsidP="00C25EA7"/>
    <w:p w14:paraId="6E8EAC41" w14:textId="77777777" w:rsidR="003438A2" w:rsidRDefault="003438A2" w:rsidP="00C25EA7"/>
    <w:p w14:paraId="72733CF6" w14:textId="77777777" w:rsidR="003438A2" w:rsidRDefault="003438A2" w:rsidP="00C25EA7"/>
    <w:p w14:paraId="49F6933E" w14:textId="77777777" w:rsidR="003438A2" w:rsidRDefault="003438A2" w:rsidP="00C25EA7"/>
    <w:p w14:paraId="137B7E54" w14:textId="77777777" w:rsidR="003438A2" w:rsidRDefault="003438A2">
      <w:pPr>
        <w:spacing w:after="0" w:line="240" w:lineRule="auto"/>
        <w:rPr>
          <w:rFonts w:ascii="Calibri" w:hAnsi="Calibri"/>
          <w:b/>
          <w:bCs/>
          <w:color w:val="773141"/>
          <w:sz w:val="28"/>
        </w:rPr>
      </w:pPr>
      <w:bookmarkStart w:id="229" w:name="_Ref108441894"/>
      <w:bookmarkStart w:id="230" w:name="_Toc257729652"/>
      <w:bookmarkStart w:id="231" w:name="_Toc256600538"/>
      <w:bookmarkStart w:id="232" w:name="_Toc232831058"/>
      <w:r>
        <w:br w:type="page"/>
      </w:r>
    </w:p>
    <w:p w14:paraId="03AA16F7" w14:textId="77777777" w:rsidR="003438A2" w:rsidRPr="00BE7866" w:rsidRDefault="003438A2" w:rsidP="00C67856">
      <w:pPr>
        <w:pStyle w:val="Heading3"/>
      </w:pPr>
      <w:bookmarkStart w:id="233" w:name="_Toc112769006"/>
      <w:bookmarkEnd w:id="215"/>
      <w:r w:rsidRPr="00BE7866">
        <w:lastRenderedPageBreak/>
        <w:t>Chaff scale</w:t>
      </w:r>
      <w:bookmarkEnd w:id="229"/>
      <w:bookmarkEnd w:id="233"/>
    </w:p>
    <w:p w14:paraId="2F3FA8EB" w14:textId="77777777" w:rsidR="003438A2" w:rsidRPr="00A86BF2" w:rsidRDefault="003438A2" w:rsidP="00C67856">
      <w:pPr>
        <w:pStyle w:val="Heading4"/>
        <w:numPr>
          <w:ilvl w:val="0"/>
          <w:numId w:val="0"/>
        </w:numPr>
      </w:pPr>
      <w:r w:rsidRPr="00A86BF2">
        <w:rPr>
          <w:i/>
        </w:rPr>
        <w:t xml:space="preserve">Parlatoria pergandii </w:t>
      </w:r>
      <w:r w:rsidRPr="00A86BF2">
        <w:t>(GP, WA)</w:t>
      </w:r>
    </w:p>
    <w:p w14:paraId="38401923" w14:textId="77777777" w:rsidR="003438A2" w:rsidRPr="00A86BF2" w:rsidRDefault="003438A2" w:rsidP="00C67856">
      <w:r w:rsidRPr="00924ADD">
        <w:rPr>
          <w:i/>
          <w:iCs/>
        </w:rPr>
        <w:t>Parlatoria pergandii</w:t>
      </w:r>
      <w:r>
        <w:t xml:space="preserve"> (chaff scale), a</w:t>
      </w:r>
      <w:r w:rsidRPr="00A86BF2">
        <w:t xml:space="preserve"> hard scale species</w:t>
      </w:r>
      <w:r>
        <w:t>,</w:t>
      </w:r>
      <w:r w:rsidRPr="00A86BF2">
        <w:t xml:space="preserve"> was identified </w:t>
      </w:r>
      <w:r>
        <w:t>as a pest of</w:t>
      </w:r>
      <w:r w:rsidRPr="00A86BF2">
        <w:t xml:space="preserve"> apple</w:t>
      </w:r>
      <w:r>
        <w:t>s</w:t>
      </w:r>
      <w:r w:rsidRPr="00A86BF2">
        <w:t xml:space="preserve"> </w:t>
      </w:r>
      <w:r>
        <w:t>in the</w:t>
      </w:r>
      <w:r w:rsidRPr="00A86BF2">
        <w:t xml:space="preserve"> PNW-USA</w:t>
      </w:r>
      <w:r>
        <w:t xml:space="preserve">. </w:t>
      </w:r>
      <w:r w:rsidRPr="00A86BF2">
        <w:rPr>
          <w:rFonts w:eastAsia="Calibri" w:cs="Times New Roman"/>
          <w:i/>
        </w:rPr>
        <w:t>Parlatoria pergandii</w:t>
      </w:r>
      <w:r w:rsidRPr="00A86BF2">
        <w:t xml:space="preserve"> is not present in Western Australia and is a regional quarantine </w:t>
      </w:r>
      <w:r>
        <w:t>pest</w:t>
      </w:r>
      <w:r w:rsidRPr="00A86BF2">
        <w:t xml:space="preserve"> for that state. </w:t>
      </w:r>
    </w:p>
    <w:p w14:paraId="0E111E6C" w14:textId="77777777" w:rsidR="003438A2" w:rsidRPr="00A86BF2" w:rsidRDefault="003438A2" w:rsidP="00C67856">
      <w:pPr>
        <w:rPr>
          <w:bCs/>
        </w:rPr>
      </w:pPr>
      <w:r w:rsidRPr="00A86BF2">
        <w:t xml:space="preserve">The indicative likelihood of entry for all hard scales is assessed in the scales Group </w:t>
      </w:r>
      <w:r w:rsidRPr="00BE477E">
        <w:t xml:space="preserve">PRA </w:t>
      </w:r>
      <w:r w:rsidRPr="00BE477E">
        <w:rPr>
          <w:rFonts w:asciiTheme="majorHAnsi" w:hAnsiTheme="majorHAnsi"/>
          <w:iCs/>
          <w:noProof/>
        </w:rPr>
        <w:t>(DAWE 2021)</w:t>
      </w:r>
      <w:r w:rsidRPr="00BE477E">
        <w:t xml:space="preserve"> as </w:t>
      </w:r>
      <w:r w:rsidRPr="00BE477E">
        <w:rPr>
          <w:bCs/>
        </w:rPr>
        <w:t>Moderate, which is comprised of indicative likelihoods of importation and distribution of High and Moderate, respectively. The indicative likelihood of importation of High m</w:t>
      </w:r>
      <w:r w:rsidRPr="00AE6667">
        <w:rPr>
          <w:bCs/>
        </w:rPr>
        <w:t>ay not be appropriate</w:t>
      </w:r>
      <w:r>
        <w:rPr>
          <w:bCs/>
        </w:rPr>
        <w:t xml:space="preserve"> for </w:t>
      </w:r>
      <w:r w:rsidRPr="00AE6667">
        <w:rPr>
          <w:bCs/>
          <w:i/>
          <w:iCs/>
        </w:rPr>
        <w:t>P. pergandii</w:t>
      </w:r>
      <w:r>
        <w:rPr>
          <w:bCs/>
        </w:rPr>
        <w:t xml:space="preserve"> on the PNW-USA apple pathway because apple is a minor host for </w:t>
      </w:r>
      <w:r w:rsidRPr="00BA5E2B">
        <w:rPr>
          <w:bCs/>
          <w:i/>
          <w:iCs/>
        </w:rPr>
        <w:t>P. pergandii</w:t>
      </w:r>
      <w:r>
        <w:rPr>
          <w:bCs/>
        </w:rPr>
        <w:t xml:space="preserve"> and commercial production practices, in orchards and packing houses, for apples in the PNW-USA are likely to reduce the likelihood of this pest being associated with apples for export. Therefore, the </w:t>
      </w:r>
      <w:r w:rsidRPr="00AE6667">
        <w:rPr>
          <w:bCs/>
        </w:rPr>
        <w:t xml:space="preserve">likelihood of importation of </w:t>
      </w:r>
      <w:r w:rsidRPr="00AE6667">
        <w:rPr>
          <w:rFonts w:eastAsia="Calibri" w:cs="Times New Roman"/>
          <w:i/>
        </w:rPr>
        <w:t>P. pergandii</w:t>
      </w:r>
      <w:r w:rsidRPr="00AE6667">
        <w:t xml:space="preserve"> </w:t>
      </w:r>
      <w:r w:rsidRPr="00AE6667">
        <w:rPr>
          <w:bCs/>
        </w:rPr>
        <w:t>on apples from the PNW-USA is assessed here.</w:t>
      </w:r>
      <w:r w:rsidRPr="00A86BF2">
        <w:rPr>
          <w:bCs/>
        </w:rPr>
        <w:t xml:space="preserve"> </w:t>
      </w:r>
    </w:p>
    <w:p w14:paraId="41C8CC62" w14:textId="77777777" w:rsidR="003438A2" w:rsidRPr="007F7799" w:rsidRDefault="003438A2" w:rsidP="00F843A1">
      <w:pPr>
        <w:pStyle w:val="Heading4"/>
        <w:numPr>
          <w:ilvl w:val="2"/>
          <w:numId w:val="31"/>
        </w:numPr>
        <w:tabs>
          <w:tab w:val="num" w:pos="1786"/>
        </w:tabs>
        <w:ind w:left="1191" w:hanging="284"/>
      </w:pPr>
      <w:r w:rsidRPr="007F7799">
        <w:t xml:space="preserve">Likelihood of </w:t>
      </w:r>
      <w:r>
        <w:t>entry</w:t>
      </w:r>
    </w:p>
    <w:p w14:paraId="4F559974" w14:textId="77777777" w:rsidR="003438A2" w:rsidRPr="00C779A5" w:rsidRDefault="003438A2" w:rsidP="00C67856">
      <w:r w:rsidRPr="0052445C">
        <w:t xml:space="preserve">The likelihood of entry is considered in </w:t>
      </w:r>
      <w:r>
        <w:t>2</w:t>
      </w:r>
      <w:r w:rsidRPr="0052445C">
        <w:t xml:space="preserve"> parts, the likelihood of importation and the likelihood of distribution, which consider pre-border and post-border issues, respectively.</w:t>
      </w:r>
    </w:p>
    <w:p w14:paraId="21ECC66B" w14:textId="77777777" w:rsidR="003438A2" w:rsidRPr="00BE7866" w:rsidRDefault="003438A2" w:rsidP="00C67856">
      <w:pPr>
        <w:pStyle w:val="Heading5"/>
      </w:pPr>
      <w:r w:rsidRPr="00BE7866">
        <w:t>Likelihood of importation</w:t>
      </w:r>
    </w:p>
    <w:p w14:paraId="1384B118" w14:textId="77777777" w:rsidR="003438A2" w:rsidRPr="007F7799" w:rsidRDefault="003438A2" w:rsidP="00C67856">
      <w:r w:rsidRPr="007F7799">
        <w:t xml:space="preserve">The likelihood that </w:t>
      </w:r>
      <w:r w:rsidRPr="007F7799">
        <w:rPr>
          <w:i/>
        </w:rPr>
        <w:t>P. pergandii</w:t>
      </w:r>
      <w:r w:rsidRPr="007F7799">
        <w:t xml:space="preserve"> will arrive in Western Australia with the importation of apples from the PNW-USA is assessed as Low.</w:t>
      </w:r>
    </w:p>
    <w:p w14:paraId="648A9E5D" w14:textId="77777777" w:rsidR="003438A2" w:rsidRPr="007F7799" w:rsidRDefault="003438A2" w:rsidP="00C67856">
      <w:r w:rsidRPr="007F7799">
        <w:t>The following information provides supporting evidence for this assessment.</w:t>
      </w:r>
    </w:p>
    <w:p w14:paraId="34EA3BEA" w14:textId="77777777" w:rsidR="003438A2" w:rsidRPr="007F7799" w:rsidRDefault="003438A2" w:rsidP="00C67856">
      <w:r w:rsidRPr="007F7799">
        <w:rPr>
          <w:i/>
        </w:rPr>
        <w:t xml:space="preserve">Parlatoria pergandii </w:t>
      </w:r>
      <w:r w:rsidRPr="007F7799">
        <w:t>is present in the PNW-USA</w:t>
      </w:r>
      <w:r>
        <w:t xml:space="preserve"> and apple is a minor host</w:t>
      </w:r>
      <w:r w:rsidRPr="007F7799">
        <w:t>.</w:t>
      </w:r>
    </w:p>
    <w:p w14:paraId="19094997" w14:textId="77777777" w:rsidR="003438A2" w:rsidRPr="007F7799" w:rsidRDefault="003438A2" w:rsidP="003438A2">
      <w:pPr>
        <w:pStyle w:val="ListBullet"/>
        <w:numPr>
          <w:ilvl w:val="0"/>
          <w:numId w:val="15"/>
        </w:numPr>
      </w:pPr>
      <w:r w:rsidRPr="007F7799">
        <w:rPr>
          <w:i/>
        </w:rPr>
        <w:t>Parlatoria pergandii</w:t>
      </w:r>
      <w:r w:rsidRPr="007F7799">
        <w:t xml:space="preserve"> is widespread in the USA and has been recorded in the state of Washington in the PNW</w:t>
      </w:r>
      <w:r>
        <w:t xml:space="preserve">-USA </w:t>
      </w:r>
      <w:r>
        <w:rPr>
          <w:noProof/>
        </w:rPr>
        <w:t>(Davidson &amp; Miller 1990; Miller &amp; Davidson 2005; Miller &amp; Gimpel 2009)</w:t>
      </w:r>
      <w:r>
        <w:t>. There are no reports of this pest in Oregon or Idaho.</w:t>
      </w:r>
    </w:p>
    <w:p w14:paraId="1458E792" w14:textId="77777777" w:rsidR="003438A2" w:rsidRPr="000D4A78" w:rsidRDefault="003438A2" w:rsidP="003438A2">
      <w:pPr>
        <w:pStyle w:val="ListBullet"/>
        <w:numPr>
          <w:ilvl w:val="0"/>
          <w:numId w:val="15"/>
        </w:numPr>
      </w:pPr>
      <w:r w:rsidRPr="007F7799">
        <w:rPr>
          <w:i/>
        </w:rPr>
        <w:t>Parlatoria pergandii</w:t>
      </w:r>
      <w:r w:rsidRPr="007F7799">
        <w:t xml:space="preserve"> </w:t>
      </w:r>
      <w:r>
        <w:t>has been recorded feeding on sp</w:t>
      </w:r>
      <w:r w:rsidRPr="007F7799">
        <w:t>ecies from more than 30 plant families</w:t>
      </w:r>
      <w:r>
        <w:t>, with</w:t>
      </w:r>
      <w:r w:rsidRPr="007F7799">
        <w:t xml:space="preserve"> </w:t>
      </w:r>
      <w:r w:rsidRPr="00F9327D">
        <w:rPr>
          <w:i/>
          <w:iCs/>
        </w:rPr>
        <w:t>Citrus</w:t>
      </w:r>
      <w:r>
        <w:t xml:space="preserve"> spp. being </w:t>
      </w:r>
      <w:r w:rsidRPr="007F7799">
        <w:t>pri</w:t>
      </w:r>
      <w:r>
        <w:t>mary</w:t>
      </w:r>
      <w:r w:rsidRPr="007F7799">
        <w:t xml:space="preserve"> host</w:t>
      </w:r>
      <w:r>
        <w:t xml:space="preserve">s </w:t>
      </w:r>
      <w:r>
        <w:rPr>
          <w:noProof/>
        </w:rPr>
        <w:t>(Miller &amp; Gimpel 2009; Watson 2022)</w:t>
      </w:r>
      <w:r w:rsidRPr="007F7799">
        <w:t>.</w:t>
      </w:r>
    </w:p>
    <w:p w14:paraId="31B88AFB" w14:textId="77777777" w:rsidR="003438A2" w:rsidRPr="000D4A78" w:rsidRDefault="003438A2" w:rsidP="003438A2">
      <w:pPr>
        <w:pStyle w:val="ListBullet"/>
        <w:numPr>
          <w:ilvl w:val="0"/>
          <w:numId w:val="15"/>
        </w:numPr>
        <w:rPr>
          <w:iCs/>
        </w:rPr>
      </w:pPr>
      <w:r w:rsidRPr="000D4A78">
        <w:rPr>
          <w:iCs/>
        </w:rPr>
        <w:t xml:space="preserve">Apple is </w:t>
      </w:r>
      <w:r>
        <w:rPr>
          <w:iCs/>
        </w:rPr>
        <w:t xml:space="preserve">recorded as a host for </w:t>
      </w:r>
      <w:r w:rsidRPr="000D4A78">
        <w:rPr>
          <w:i/>
        </w:rPr>
        <w:t>P. pergandii</w:t>
      </w:r>
      <w:r>
        <w:rPr>
          <w:i/>
        </w:rPr>
        <w:t>,</w:t>
      </w:r>
      <w:r>
        <w:rPr>
          <w:iCs/>
        </w:rPr>
        <w:t xml:space="preserve"> but is not considered a primary host </w:t>
      </w:r>
      <w:r w:rsidRPr="00A00283">
        <w:rPr>
          <w:noProof/>
          <w:lang w:eastAsia="en-AU"/>
        </w:rPr>
        <w:t>(CABI 2022)</w:t>
      </w:r>
      <w:r>
        <w:rPr>
          <w:lang w:eastAsia="en-AU"/>
        </w:rPr>
        <w:t>.</w:t>
      </w:r>
      <w:r w:rsidRPr="000D4A78">
        <w:rPr>
          <w:iCs/>
        </w:rPr>
        <w:t xml:space="preserve"> </w:t>
      </w:r>
    </w:p>
    <w:p w14:paraId="0FB888D7" w14:textId="77777777" w:rsidR="003438A2" w:rsidRPr="007F7799" w:rsidRDefault="003438A2" w:rsidP="003438A2">
      <w:pPr>
        <w:pStyle w:val="ListBullet"/>
        <w:numPr>
          <w:ilvl w:val="0"/>
          <w:numId w:val="15"/>
        </w:numPr>
      </w:pPr>
      <w:r w:rsidRPr="007F7799">
        <w:rPr>
          <w:i/>
        </w:rPr>
        <w:t>Parlatoria pergandii</w:t>
      </w:r>
      <w:r w:rsidRPr="007F7799">
        <w:t xml:space="preserve"> </w:t>
      </w:r>
      <w:r>
        <w:t>is not</w:t>
      </w:r>
      <w:r w:rsidRPr="007F7799">
        <w:t xml:space="preserve"> listed as a pest of apples in the PNW-USA</w:t>
      </w:r>
      <w:r>
        <w:t xml:space="preserve"> </w:t>
      </w:r>
      <w:r w:rsidRPr="00840ED3">
        <w:rPr>
          <w:noProof/>
        </w:rPr>
        <w:t>(Wiman &amp; Stoven 2022)</w:t>
      </w:r>
      <w:r>
        <w:t xml:space="preserve">, </w:t>
      </w:r>
      <w:r w:rsidRPr="007F7799">
        <w:t>suggesting that its incidence on apple fruit is likely to be relatively low.</w:t>
      </w:r>
    </w:p>
    <w:p w14:paraId="356668C9" w14:textId="77777777" w:rsidR="003438A2" w:rsidRPr="007F7799" w:rsidRDefault="003438A2" w:rsidP="00C67856">
      <w:r w:rsidRPr="00D172D8">
        <w:rPr>
          <w:i/>
        </w:rPr>
        <w:t xml:space="preserve">Parlatoria pergandii </w:t>
      </w:r>
      <w:r w:rsidRPr="00D172D8">
        <w:t>will be managed in orchards. Infested fruit are likely to be detected and/or removed during post-harvest processing, but some infested fruit may survive post-harvest processing.</w:t>
      </w:r>
    </w:p>
    <w:p w14:paraId="34CEC834" w14:textId="77777777" w:rsidR="003438A2" w:rsidRPr="007F7799" w:rsidRDefault="003438A2" w:rsidP="003438A2">
      <w:pPr>
        <w:pStyle w:val="ListBullet"/>
        <w:numPr>
          <w:ilvl w:val="0"/>
          <w:numId w:val="15"/>
        </w:numPr>
      </w:pPr>
      <w:r w:rsidRPr="007F7799">
        <w:t xml:space="preserve">The principal scale pest in most PNW-USA production regions is </w:t>
      </w:r>
      <w:r w:rsidRPr="007F7799">
        <w:rPr>
          <w:i/>
        </w:rPr>
        <w:t>Diaspidiotus</w:t>
      </w:r>
      <w:r w:rsidRPr="007F7799">
        <w:t> </w:t>
      </w:r>
      <w:r w:rsidRPr="007F7799">
        <w:rPr>
          <w:i/>
        </w:rPr>
        <w:t>perniciosus</w:t>
      </w:r>
      <w:r w:rsidRPr="007F7799">
        <w:t xml:space="preserve">, which is a non-quarantine pest for Australia. </w:t>
      </w:r>
      <w:r>
        <w:t>Insecticide</w:t>
      </w:r>
      <w:r w:rsidRPr="007F7799">
        <w:t xml:space="preserve"> sprays and biological control are generally effective in controlling this </w:t>
      </w:r>
      <w:r>
        <w:t xml:space="preserve">pest and other species of scale insects, </w:t>
      </w:r>
      <w:r w:rsidRPr="007F7799">
        <w:t xml:space="preserve">including </w:t>
      </w:r>
      <w:r w:rsidRPr="007F7799">
        <w:rPr>
          <w:i/>
        </w:rPr>
        <w:t>P. pergandii</w:t>
      </w:r>
      <w:r w:rsidRPr="007F7799">
        <w:t>.</w:t>
      </w:r>
    </w:p>
    <w:p w14:paraId="7BE33CEB" w14:textId="77777777" w:rsidR="003438A2" w:rsidRPr="007F7799" w:rsidRDefault="003438A2" w:rsidP="003438A2">
      <w:pPr>
        <w:pStyle w:val="ListBullet"/>
        <w:numPr>
          <w:ilvl w:val="0"/>
          <w:numId w:val="15"/>
        </w:numPr>
      </w:pPr>
      <w:r>
        <w:t>S</w:t>
      </w:r>
      <w:r w:rsidRPr="007F7799">
        <w:t>cales cause blemishing</w:t>
      </w:r>
      <w:r w:rsidRPr="000D4A78">
        <w:t xml:space="preserve"> </w:t>
      </w:r>
      <w:r w:rsidRPr="007F7799">
        <w:t xml:space="preserve">on fruit, particularly if infestation takes place during development of the fruit </w:t>
      </w:r>
      <w:r w:rsidRPr="007F7799">
        <w:rPr>
          <w:noProof/>
        </w:rPr>
        <w:t>(Manners 2016)</w:t>
      </w:r>
      <w:r w:rsidRPr="007F7799">
        <w:t>. Infested apples could therefore be readily distinguished from healthy unaffected fruit, and discarded during packing house processes.</w:t>
      </w:r>
    </w:p>
    <w:p w14:paraId="57A4EEE4" w14:textId="77777777" w:rsidR="003438A2" w:rsidRPr="00DC62A3" w:rsidRDefault="003438A2" w:rsidP="003438A2">
      <w:pPr>
        <w:pStyle w:val="ListBullet"/>
        <w:numPr>
          <w:ilvl w:val="0"/>
          <w:numId w:val="15"/>
        </w:numPr>
      </w:pPr>
      <w:r w:rsidRPr="007F7799">
        <w:lastRenderedPageBreak/>
        <w:t xml:space="preserve">On fruit, </w:t>
      </w:r>
      <w:r w:rsidRPr="007F7799">
        <w:rPr>
          <w:i/>
        </w:rPr>
        <w:t>P. pergandii</w:t>
      </w:r>
      <w:r w:rsidRPr="007F7799">
        <w:t xml:space="preserve"> is also readily visually detected through its purple-coloured body and irregular oval-shaped scale cover </w:t>
      </w:r>
      <w:r w:rsidRPr="007F7799">
        <w:rPr>
          <w:noProof/>
        </w:rPr>
        <w:t>(García Morales et al. 2020)</w:t>
      </w:r>
      <w:r w:rsidRPr="007F7799">
        <w:t xml:space="preserve">, which will be likely noticed </w:t>
      </w:r>
      <w:r>
        <w:t>dur</w:t>
      </w:r>
      <w:r w:rsidRPr="007F7799">
        <w:t>in</w:t>
      </w:r>
      <w:r>
        <w:t>g</w:t>
      </w:r>
      <w:r w:rsidRPr="007F7799">
        <w:t xml:space="preserve"> packing house </w:t>
      </w:r>
      <w:r>
        <w:t>inspections</w:t>
      </w:r>
      <w:r w:rsidRPr="007F7799">
        <w:t xml:space="preserve"> and the </w:t>
      </w:r>
      <w:r w:rsidRPr="00DC62A3">
        <w:t>infested fruit discarded.</w:t>
      </w:r>
    </w:p>
    <w:p w14:paraId="6D6D93D7" w14:textId="77777777" w:rsidR="003438A2" w:rsidRPr="00DC62A3" w:rsidRDefault="003438A2" w:rsidP="003438A2">
      <w:pPr>
        <w:pStyle w:val="ListBullet"/>
        <w:numPr>
          <w:ilvl w:val="0"/>
          <w:numId w:val="15"/>
        </w:numPr>
        <w:rPr>
          <w:color w:val="000000"/>
        </w:rPr>
      </w:pPr>
      <w:r w:rsidRPr="00DC62A3">
        <w:rPr>
          <w:color w:val="000000"/>
        </w:rPr>
        <w:t xml:space="preserve">The washing and brushing processes would likely dislodge the earliest life stages (‘crawlers’) that may be present on the surface of fruit or associated fruit parts. </w:t>
      </w:r>
    </w:p>
    <w:p w14:paraId="1FCD9857" w14:textId="77777777" w:rsidR="003438A2" w:rsidRPr="0005544A" w:rsidRDefault="003438A2" w:rsidP="003438A2">
      <w:pPr>
        <w:pStyle w:val="ListBullet"/>
        <w:numPr>
          <w:ilvl w:val="0"/>
          <w:numId w:val="15"/>
        </w:numPr>
        <w:rPr>
          <w:color w:val="000000"/>
        </w:rPr>
      </w:pPr>
      <w:r w:rsidRPr="00DC62A3">
        <w:rPr>
          <w:color w:val="000000"/>
        </w:rPr>
        <w:t>Adult scales are unlikely to be killed by the washing</w:t>
      </w:r>
      <w:r w:rsidRPr="007F7799">
        <w:rPr>
          <w:color w:val="000000"/>
        </w:rPr>
        <w:t xml:space="preserve"> solution, as the physical properties of their protective covers provide an effective barrier against contact toxicants </w:t>
      </w:r>
      <w:r w:rsidRPr="007F7799">
        <w:rPr>
          <w:noProof/>
          <w:color w:val="000000"/>
        </w:rPr>
        <w:t>(Foldi 1990)</w:t>
      </w:r>
      <w:r w:rsidRPr="007F7799">
        <w:rPr>
          <w:color w:val="000000"/>
        </w:rPr>
        <w:t>.</w:t>
      </w:r>
    </w:p>
    <w:p w14:paraId="2D5A178D" w14:textId="77777777" w:rsidR="003438A2" w:rsidRPr="007F7799" w:rsidRDefault="003438A2" w:rsidP="00C67856">
      <w:pPr>
        <w:rPr>
          <w:color w:val="000000"/>
        </w:rPr>
      </w:pPr>
      <w:r w:rsidRPr="007F7799">
        <w:rPr>
          <w:i/>
          <w:color w:val="000000"/>
        </w:rPr>
        <w:t>Parlatoria</w:t>
      </w:r>
      <w:r w:rsidRPr="007F7799">
        <w:rPr>
          <w:color w:val="000000"/>
        </w:rPr>
        <w:t xml:space="preserve"> </w:t>
      </w:r>
      <w:r w:rsidRPr="007F7799">
        <w:rPr>
          <w:i/>
          <w:color w:val="000000"/>
        </w:rPr>
        <w:t>pergandii</w:t>
      </w:r>
      <w:r w:rsidRPr="007F7799">
        <w:rPr>
          <w:color w:val="000000"/>
        </w:rPr>
        <w:t xml:space="preserve"> </w:t>
      </w:r>
      <w:r w:rsidRPr="007F7799">
        <w:t xml:space="preserve">may survive cold </w:t>
      </w:r>
      <w:r>
        <w:t xml:space="preserve">temperatures during </w:t>
      </w:r>
      <w:r w:rsidRPr="007F7799">
        <w:t>storage in PNW-USA and transport to Australia.</w:t>
      </w:r>
    </w:p>
    <w:p w14:paraId="74463CCF" w14:textId="77777777" w:rsidR="003438A2" w:rsidRDefault="003438A2" w:rsidP="003438A2">
      <w:pPr>
        <w:pStyle w:val="ListBullet"/>
        <w:numPr>
          <w:ilvl w:val="0"/>
          <w:numId w:val="15"/>
        </w:numPr>
      </w:pPr>
      <w:r>
        <w:t>H</w:t>
      </w:r>
      <w:r w:rsidRPr="00C34976">
        <w:t>arvested apples are normally cold-stored at 0° to 2°C</w:t>
      </w:r>
      <w:r>
        <w:t xml:space="preserve"> </w:t>
      </w:r>
      <w:r>
        <w:rPr>
          <w:noProof/>
        </w:rPr>
        <w:t>(Good Fruit Grower 2014; Iowa State University Extension and Outreach 2008; Kupferman 1996; University of Maine 2020; Washington Apple Commission 2020)</w:t>
      </w:r>
      <w:r>
        <w:t xml:space="preserve"> </w:t>
      </w:r>
      <w:r>
        <w:rPr>
          <w:color w:val="000000"/>
        </w:rPr>
        <w:t xml:space="preserve">prior to export. The storage period may vary </w:t>
      </w:r>
      <w:r w:rsidRPr="00806799">
        <w:rPr>
          <w:color w:val="000000"/>
        </w:rPr>
        <w:t>from 1 day to more than 11 months (</w:t>
      </w:r>
      <w:hyperlink w:anchor="_ENREF_451" w:tooltip="Kupferman, 1996 #4887" w:history="1">
        <w:r>
          <w:rPr>
            <w:noProof/>
          </w:rPr>
          <w:t>Kupferman 1996</w:t>
        </w:r>
      </w:hyperlink>
      <w:r>
        <w:rPr>
          <w:noProof/>
        </w:rPr>
        <w:t>)</w:t>
      </w:r>
      <w:r w:rsidRPr="003C69C9">
        <w:t>.</w:t>
      </w:r>
      <w:r>
        <w:t xml:space="preserve"> </w:t>
      </w:r>
    </w:p>
    <w:p w14:paraId="4597C111" w14:textId="77777777" w:rsidR="003438A2" w:rsidRDefault="003438A2" w:rsidP="003438A2">
      <w:pPr>
        <w:pStyle w:val="ListBullet"/>
        <w:numPr>
          <w:ilvl w:val="0"/>
          <w:numId w:val="15"/>
        </w:numPr>
      </w:pPr>
      <w:r>
        <w:t>S</w:t>
      </w:r>
      <w:r w:rsidRPr="00256DB0">
        <w:t>ea freight</w:t>
      </w:r>
      <w:r>
        <w:t>,</w:t>
      </w:r>
      <w:r w:rsidRPr="00256DB0">
        <w:t xml:space="preserve"> </w:t>
      </w:r>
      <w:r>
        <w:t xml:space="preserve">which takes about five weeks, is likely to be </w:t>
      </w:r>
      <w:r w:rsidRPr="00256DB0">
        <w:t>the preferred method of transport</w:t>
      </w:r>
      <w:r>
        <w:t xml:space="preserve"> of apples from the PNW-USA to Australia and</w:t>
      </w:r>
      <w:r w:rsidRPr="003C69C9">
        <w:t xml:space="preserve"> the fruit will be maintained at low temperatures to maintain fruit quality</w:t>
      </w:r>
      <w:r>
        <w:t xml:space="preserve"> </w:t>
      </w:r>
      <w:r>
        <w:rPr>
          <w:noProof/>
        </w:rPr>
        <w:t>(Iowa State University Extension and Outreach 2008; University of Maine 2020; WSU Tree Fruit 2021c)</w:t>
      </w:r>
      <w:r w:rsidRPr="003C69C9">
        <w:t>.</w:t>
      </w:r>
    </w:p>
    <w:p w14:paraId="69D68A5B" w14:textId="77777777" w:rsidR="003438A2" w:rsidRPr="007F7799" w:rsidRDefault="003438A2" w:rsidP="003438A2">
      <w:pPr>
        <w:pStyle w:val="ListBullet"/>
        <w:numPr>
          <w:ilvl w:val="0"/>
          <w:numId w:val="15"/>
        </w:numPr>
      </w:pPr>
      <w:r w:rsidRPr="007F7799">
        <w:rPr>
          <w:i/>
        </w:rPr>
        <w:t>Parlatoria pergandii</w:t>
      </w:r>
      <w:r w:rsidRPr="007F7799">
        <w:t xml:space="preserve"> is likely to survive </w:t>
      </w:r>
      <w:r>
        <w:t xml:space="preserve">extended periods at </w:t>
      </w:r>
      <w:r w:rsidRPr="007F7799">
        <w:t xml:space="preserve">cold </w:t>
      </w:r>
      <w:r>
        <w:t>temperatures</w:t>
      </w:r>
      <w:r w:rsidRPr="007F7799">
        <w:t xml:space="preserve"> as the </w:t>
      </w:r>
      <w:r>
        <w:t xml:space="preserve">species </w:t>
      </w:r>
      <w:r w:rsidRPr="007F7799">
        <w:t>overwinters for extended periods at sub-zero temperatures in the PNW-USA.</w:t>
      </w:r>
    </w:p>
    <w:p w14:paraId="6686B573" w14:textId="77777777" w:rsidR="003438A2" w:rsidRPr="007F7799" w:rsidRDefault="003438A2" w:rsidP="003438A2">
      <w:pPr>
        <w:pStyle w:val="ListBullet"/>
        <w:numPr>
          <w:ilvl w:val="0"/>
          <w:numId w:val="15"/>
        </w:numPr>
      </w:pPr>
      <w:r w:rsidRPr="007F7799">
        <w:t>In</w:t>
      </w:r>
      <w:r w:rsidRPr="007F7799">
        <w:rPr>
          <w:color w:val="000000"/>
        </w:rPr>
        <w:t xml:space="preserve"> Italy</w:t>
      </w:r>
      <w:r>
        <w:rPr>
          <w:color w:val="000000"/>
        </w:rPr>
        <w:t>,</w:t>
      </w:r>
      <w:r w:rsidRPr="007F7799">
        <w:rPr>
          <w:color w:val="000000"/>
        </w:rPr>
        <w:t xml:space="preserve"> </w:t>
      </w:r>
      <w:r w:rsidRPr="007F7799">
        <w:rPr>
          <w:i/>
          <w:color w:val="000000"/>
        </w:rPr>
        <w:t>P. pergandii</w:t>
      </w:r>
      <w:r w:rsidRPr="007F7799">
        <w:rPr>
          <w:color w:val="000000"/>
        </w:rPr>
        <w:t xml:space="preserve"> has been reported to overwinter as adult females </w:t>
      </w:r>
      <w:r w:rsidRPr="007F7799">
        <w:rPr>
          <w:noProof/>
          <w:color w:val="000000"/>
        </w:rPr>
        <w:t>(Miller &amp; Davidson 2005)</w:t>
      </w:r>
      <w:r w:rsidRPr="007F7799">
        <w:rPr>
          <w:color w:val="000000"/>
        </w:rPr>
        <w:t>. Depending on the area, winter temperatures in Italy can be as low as -15</w:t>
      </w:r>
      <w:r w:rsidRPr="007F7799">
        <w:rPr>
          <w:rFonts w:cstheme="minorHAnsi"/>
        </w:rPr>
        <w:t>°</w:t>
      </w:r>
      <w:r w:rsidRPr="007F7799">
        <w:t>C</w:t>
      </w:r>
      <w:r>
        <w:t>.</w:t>
      </w:r>
    </w:p>
    <w:p w14:paraId="58EBE84C" w14:textId="77777777" w:rsidR="003438A2" w:rsidRPr="007F7799" w:rsidRDefault="003438A2" w:rsidP="003438A2">
      <w:pPr>
        <w:pStyle w:val="ListBullet"/>
        <w:numPr>
          <w:ilvl w:val="0"/>
          <w:numId w:val="15"/>
        </w:numPr>
      </w:pPr>
      <w:r w:rsidRPr="007F7799">
        <w:rPr>
          <w:i/>
          <w:color w:val="000000"/>
        </w:rPr>
        <w:t>P</w:t>
      </w:r>
      <w:r>
        <w:rPr>
          <w:i/>
          <w:color w:val="000000"/>
        </w:rPr>
        <w:t>arlatoria</w:t>
      </w:r>
      <w:r w:rsidRPr="007F7799">
        <w:rPr>
          <w:color w:val="000000"/>
        </w:rPr>
        <w:t> </w:t>
      </w:r>
      <w:r w:rsidRPr="007F7799">
        <w:rPr>
          <w:i/>
          <w:color w:val="000000"/>
        </w:rPr>
        <w:t>pergandii</w:t>
      </w:r>
      <w:r w:rsidRPr="007F7799">
        <w:rPr>
          <w:color w:val="000000"/>
        </w:rPr>
        <w:t xml:space="preserve"> </w:t>
      </w:r>
      <w:r>
        <w:rPr>
          <w:color w:val="000000"/>
        </w:rPr>
        <w:t>occurs in</w:t>
      </w:r>
      <w:r w:rsidRPr="007F7799">
        <w:rPr>
          <w:color w:val="000000"/>
        </w:rPr>
        <w:t xml:space="preserve"> regions with cold climates</w:t>
      </w:r>
      <w:r>
        <w:rPr>
          <w:color w:val="000000"/>
        </w:rPr>
        <w:t>, which</w:t>
      </w:r>
      <w:r w:rsidRPr="007F7799">
        <w:rPr>
          <w:color w:val="000000"/>
        </w:rPr>
        <w:t xml:space="preserve"> suggest</w:t>
      </w:r>
      <w:r>
        <w:rPr>
          <w:color w:val="000000"/>
        </w:rPr>
        <w:t>s</w:t>
      </w:r>
      <w:r w:rsidRPr="007F7799">
        <w:rPr>
          <w:color w:val="000000"/>
        </w:rPr>
        <w:t xml:space="preserve"> that some life stages are likely to be able to survive cold </w:t>
      </w:r>
      <w:r>
        <w:rPr>
          <w:color w:val="000000"/>
        </w:rPr>
        <w:t xml:space="preserve">temperatures during </w:t>
      </w:r>
      <w:r w:rsidRPr="007F7799">
        <w:rPr>
          <w:color w:val="000000"/>
        </w:rPr>
        <w:t>storage and transport.</w:t>
      </w:r>
    </w:p>
    <w:p w14:paraId="6D3B9E8C" w14:textId="77777777" w:rsidR="003438A2" w:rsidRDefault="003438A2" w:rsidP="00C67856">
      <w:r w:rsidRPr="008B2405">
        <w:rPr>
          <w:i/>
        </w:rPr>
        <w:t>Parlatoria pergandii</w:t>
      </w:r>
      <w:r>
        <w:t xml:space="preserve"> is present in Washington in the PNW-USA, but apple is considered a minor host for the species.</w:t>
      </w:r>
      <w:r w:rsidRPr="007F7799">
        <w:t xml:space="preserve"> </w:t>
      </w:r>
      <w:r w:rsidRPr="00B47B0C">
        <w:t xml:space="preserve">Standard commercial practices for management of scales in the PNW-USA would lower the prevalence of </w:t>
      </w:r>
      <w:r w:rsidRPr="00B47B0C">
        <w:rPr>
          <w:i/>
          <w:iCs/>
        </w:rPr>
        <w:t>P. pergandii</w:t>
      </w:r>
      <w:r w:rsidRPr="00B47B0C">
        <w:t xml:space="preserve"> in apple orchards in PNW-USA. Infested fruit, which have obvious symptoms such as blemishing, would be easily detected and discarded during harvesting and packing house procedures. In addition, packing house processes of washing, brushing and waxing would remove or kill a proportion of scales on fruit. </w:t>
      </w:r>
      <w:r w:rsidRPr="007F7799">
        <w:rPr>
          <w:color w:val="000000"/>
        </w:rPr>
        <w:t xml:space="preserve">For the reasons outlined, </w:t>
      </w:r>
      <w:r w:rsidRPr="007F7799">
        <w:t xml:space="preserve">the </w:t>
      </w:r>
      <w:r>
        <w:t xml:space="preserve">indicative </w:t>
      </w:r>
      <w:r w:rsidRPr="007F7799">
        <w:t xml:space="preserve">likelihood </w:t>
      </w:r>
      <w:r>
        <w:t>of</w:t>
      </w:r>
      <w:r w:rsidRPr="007F7799">
        <w:t xml:space="preserve"> importation </w:t>
      </w:r>
      <w:r>
        <w:t>of High for all hard scales is not considered to be appropriate for</w:t>
      </w:r>
      <w:r w:rsidRPr="007F7799">
        <w:t xml:space="preserve"> </w:t>
      </w:r>
      <w:r w:rsidRPr="007F7799">
        <w:rPr>
          <w:i/>
        </w:rPr>
        <w:t>P. pergandii</w:t>
      </w:r>
      <w:r w:rsidRPr="007F7799">
        <w:t xml:space="preserve"> on the PNW-USA apple pathway</w:t>
      </w:r>
      <w:r>
        <w:t>. T</w:t>
      </w:r>
      <w:r w:rsidRPr="00613E6D">
        <w:t xml:space="preserve">he likelihood estimate for importation of </w:t>
      </w:r>
      <w:r w:rsidRPr="007F7799">
        <w:rPr>
          <w:i/>
        </w:rPr>
        <w:t>P. pergandii</w:t>
      </w:r>
      <w:r w:rsidRPr="007F7799">
        <w:t xml:space="preserve"> </w:t>
      </w:r>
      <w:r w:rsidRPr="00613E6D">
        <w:t xml:space="preserve">on the PNW-USA apple pathway is assessed as </w:t>
      </w:r>
      <w:r w:rsidRPr="007F7799">
        <w:t>Low.</w:t>
      </w:r>
    </w:p>
    <w:p w14:paraId="233E5321" w14:textId="77777777" w:rsidR="003438A2" w:rsidRPr="00613E6D" w:rsidRDefault="003438A2" w:rsidP="00C67856">
      <w:pPr>
        <w:pStyle w:val="Heading5"/>
      </w:pPr>
      <w:r w:rsidRPr="00613E6D">
        <w:t>Likelihood of distribution</w:t>
      </w:r>
    </w:p>
    <w:p w14:paraId="2907CC9E" w14:textId="77777777" w:rsidR="003438A2" w:rsidRPr="00613E6D" w:rsidRDefault="003438A2" w:rsidP="00C67856">
      <w:r>
        <w:t>T</w:t>
      </w:r>
      <w:r w:rsidRPr="00A3009B">
        <w:t xml:space="preserve">he </w:t>
      </w:r>
      <w:r>
        <w:t xml:space="preserve">indicative </w:t>
      </w:r>
      <w:r w:rsidRPr="00A3009B">
        <w:t>likelihood</w:t>
      </w:r>
      <w:r>
        <w:t xml:space="preserve"> of distribution for all hard scales is assessed as Moderate in the scales Group PRA. T</w:t>
      </w:r>
      <w:r w:rsidRPr="0007164A">
        <w:t xml:space="preserve">he likelihood that </w:t>
      </w:r>
      <w:r w:rsidRPr="00057B70">
        <w:rPr>
          <w:i/>
          <w:iCs/>
        </w:rPr>
        <w:t>P. pergandii</w:t>
      </w:r>
      <w:r w:rsidRPr="0007164A">
        <w:t xml:space="preserve"> will be distributed within Australia in a viable state as a result of the processing, sale or disposal of apples from the PNW-USA, and subsequently transfer to a susceptible part of a host is considered to be similar to hard scale insects on fresh fruit, vegetable, cut-flower and foliage imports.</w:t>
      </w:r>
      <w:r>
        <w:t xml:space="preserve"> T</w:t>
      </w:r>
      <w:r w:rsidRPr="00161CCF">
        <w:t xml:space="preserve">he likelihood of </w:t>
      </w:r>
      <w:r>
        <w:t>distribution</w:t>
      </w:r>
      <w:r w:rsidRPr="00161CCF">
        <w:t xml:space="preserve"> of Moderate was verified as appropriate for </w:t>
      </w:r>
      <w:r>
        <w:rPr>
          <w:i/>
          <w:iCs/>
        </w:rPr>
        <w:t>P. pergandii</w:t>
      </w:r>
      <w:r w:rsidRPr="00161CCF">
        <w:t xml:space="preserve"> on this pathway (</w:t>
      </w:r>
      <w:r>
        <w:fldChar w:fldCharType="begin" w:fldLock="1"/>
      </w:r>
      <w:r>
        <w:instrText xml:space="preserve"> REF _Ref89348952 \h </w:instrText>
      </w:r>
      <w:r>
        <w:fldChar w:fldCharType="separate"/>
      </w:r>
      <w:r w:rsidRPr="00156DC6">
        <w:t xml:space="preserve">Table </w:t>
      </w:r>
      <w:r>
        <w:rPr>
          <w:noProof/>
        </w:rPr>
        <w:t>4</w:t>
      </w:r>
      <w:r>
        <w:t>.</w:t>
      </w:r>
      <w:r>
        <w:rPr>
          <w:noProof/>
        </w:rPr>
        <w:t>2</w:t>
      </w:r>
      <w:r>
        <w:fldChar w:fldCharType="end"/>
      </w:r>
      <w:r w:rsidRPr="00161CCF">
        <w:t>).</w:t>
      </w:r>
    </w:p>
    <w:p w14:paraId="2B4182A5" w14:textId="77777777" w:rsidR="003438A2" w:rsidRPr="00A3009B" w:rsidRDefault="003438A2" w:rsidP="00C67856">
      <w:pPr>
        <w:pStyle w:val="Heading5"/>
      </w:pPr>
      <w:r w:rsidRPr="00A3009B">
        <w:t>Overall likelihood of entry</w:t>
      </w:r>
    </w:p>
    <w:p w14:paraId="0B3DC518" w14:textId="77777777" w:rsidR="003438A2" w:rsidRPr="003A0CF6" w:rsidRDefault="003438A2" w:rsidP="00C67856">
      <w:r>
        <w:t xml:space="preserve">The overall likelihood of entry is determined as Low by combining the assessed likelihood of importation of Low with the verified likelihood of distribution of Moderate, </w:t>
      </w:r>
      <w:r w:rsidRPr="00945121">
        <w:rPr>
          <w:rFonts w:cstheme="minorHAnsi"/>
        </w:rPr>
        <w:t xml:space="preserve">using the matrix of rules in </w:t>
      </w:r>
      <w:r>
        <w:rPr>
          <w:rFonts w:cstheme="minorHAnsi"/>
        </w:rPr>
        <w:fldChar w:fldCharType="begin" w:fldLock="1"/>
      </w:r>
      <w:r>
        <w:rPr>
          <w:rFonts w:cstheme="minorHAnsi"/>
        </w:rPr>
        <w:instrText xml:space="preserve"> REF _Ref457826328 \h </w:instrText>
      </w:r>
      <w:r>
        <w:rPr>
          <w:rFonts w:cstheme="minorHAnsi"/>
        </w:rPr>
      </w:r>
      <w:r>
        <w:rPr>
          <w:rFonts w:cstheme="minorHAnsi"/>
        </w:rPr>
        <w:fldChar w:fldCharType="separate"/>
      </w:r>
      <w:r w:rsidRPr="00DB5F8D">
        <w:t xml:space="preserve">Table </w:t>
      </w:r>
      <w:r>
        <w:rPr>
          <w:noProof/>
        </w:rPr>
        <w:t>2</w:t>
      </w:r>
      <w:r>
        <w:t>.</w:t>
      </w:r>
      <w:r>
        <w:rPr>
          <w:noProof/>
        </w:rPr>
        <w:t>2</w:t>
      </w:r>
      <w:r>
        <w:rPr>
          <w:rFonts w:cstheme="minorHAnsi"/>
        </w:rPr>
        <w:fldChar w:fldCharType="end"/>
      </w:r>
      <w:r>
        <w:t>.</w:t>
      </w:r>
    </w:p>
    <w:p w14:paraId="5BBED254" w14:textId="77777777" w:rsidR="003438A2" w:rsidRPr="00A86BF2" w:rsidRDefault="003438A2" w:rsidP="00C67856">
      <w:pPr>
        <w:spacing w:before="240"/>
      </w:pPr>
      <w:r w:rsidRPr="00A86BF2">
        <w:lastRenderedPageBreak/>
        <w:t xml:space="preserve">A summary of the risk assessment for this quarantine hard scale is presented in </w:t>
      </w:r>
      <w:r w:rsidRPr="00A86BF2">
        <w:fldChar w:fldCharType="begin" w:fldLock="1"/>
      </w:r>
      <w:r w:rsidRPr="00A86BF2">
        <w:instrText xml:space="preserve"> REF _Ref89348952 \h </w:instrText>
      </w:r>
      <w:r>
        <w:instrText xml:space="preserve"> \* MERGEFORMAT </w:instrText>
      </w:r>
      <w:r w:rsidRPr="00A86BF2">
        <w:fldChar w:fldCharType="separate"/>
      </w:r>
      <w:r w:rsidRPr="00156DC6">
        <w:t xml:space="preserve">Table </w:t>
      </w:r>
      <w:r>
        <w:rPr>
          <w:noProof/>
        </w:rPr>
        <w:t>4.2</w:t>
      </w:r>
      <w:r w:rsidRPr="00A86BF2">
        <w:fldChar w:fldCharType="end"/>
      </w:r>
      <w:r w:rsidRPr="00A86BF2">
        <w:t xml:space="preserve"> for convenience.</w:t>
      </w:r>
    </w:p>
    <w:p w14:paraId="4297CB97" w14:textId="77777777" w:rsidR="003438A2" w:rsidRPr="00156DC6" w:rsidRDefault="003438A2" w:rsidP="00156DC6">
      <w:pPr>
        <w:pStyle w:val="Caption"/>
      </w:pPr>
      <w:bookmarkStart w:id="234" w:name="_Ref89348952"/>
      <w:bookmarkStart w:id="235" w:name="_Toc112770163"/>
      <w:r w:rsidRPr="00156DC6">
        <w:t xml:space="preserve">Table </w:t>
      </w:r>
      <w:fldSimple w:instr=" STYLEREF 2 \s " w:fldLock="1">
        <w:r>
          <w:rPr>
            <w:noProof/>
          </w:rPr>
          <w:t>4</w:t>
        </w:r>
      </w:fldSimple>
      <w:r>
        <w:t>.</w:t>
      </w:r>
      <w:fldSimple w:instr=" SEQ Table \* ARABIC \s 2 " w:fldLock="1">
        <w:r>
          <w:rPr>
            <w:noProof/>
          </w:rPr>
          <w:t>2</w:t>
        </w:r>
      </w:fldSimple>
      <w:bookmarkEnd w:id="234"/>
      <w:r w:rsidRPr="00156DC6">
        <w:t xml:space="preserve"> Risk estimates for chaff scale, </w:t>
      </w:r>
      <w:r w:rsidRPr="00357C7D">
        <w:rPr>
          <w:i/>
          <w:iCs/>
        </w:rPr>
        <w:t>Parlatoria pergandii</w:t>
      </w:r>
      <w:bookmarkEnd w:id="235"/>
    </w:p>
    <w:tbl>
      <w:tblPr>
        <w:tblStyle w:val="TableGrid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6"/>
        <w:gridCol w:w="2476"/>
        <w:gridCol w:w="2774"/>
      </w:tblGrid>
      <w:tr w:rsidR="003438A2" w:rsidRPr="00A86BF2" w14:paraId="7F8F8EDB" w14:textId="77777777" w:rsidTr="00EF0A05">
        <w:trPr>
          <w:cantSplit/>
        </w:trPr>
        <w:tc>
          <w:tcPr>
            <w:tcW w:w="3776" w:type="dxa"/>
            <w:tcBorders>
              <w:top w:val="single" w:sz="4" w:space="0" w:color="auto"/>
              <w:bottom w:val="single" w:sz="4" w:space="0" w:color="auto"/>
            </w:tcBorders>
          </w:tcPr>
          <w:p w14:paraId="546A28FC" w14:textId="77777777" w:rsidR="003438A2" w:rsidRPr="00A86BF2" w:rsidRDefault="003438A2" w:rsidP="00EF0A05">
            <w:pPr>
              <w:pStyle w:val="TableHeading"/>
            </w:pPr>
            <w:r w:rsidRPr="00A86BF2">
              <w:t>Risk component</w:t>
            </w:r>
          </w:p>
        </w:tc>
        <w:tc>
          <w:tcPr>
            <w:tcW w:w="2476" w:type="dxa"/>
            <w:tcBorders>
              <w:top w:val="single" w:sz="4" w:space="0" w:color="auto"/>
              <w:bottom w:val="single" w:sz="4" w:space="0" w:color="auto"/>
            </w:tcBorders>
          </w:tcPr>
          <w:p w14:paraId="07B3302E" w14:textId="77777777" w:rsidR="003438A2" w:rsidRPr="00A86BF2" w:rsidRDefault="003438A2" w:rsidP="00EF0A05">
            <w:pPr>
              <w:pStyle w:val="TableHeading"/>
            </w:pPr>
            <w:r>
              <w:t>Rating for scales in the scales Group PRA</w:t>
            </w:r>
          </w:p>
        </w:tc>
        <w:tc>
          <w:tcPr>
            <w:tcW w:w="2774" w:type="dxa"/>
            <w:tcBorders>
              <w:top w:val="single" w:sz="4" w:space="0" w:color="auto"/>
              <w:bottom w:val="single" w:sz="4" w:space="0" w:color="auto"/>
            </w:tcBorders>
          </w:tcPr>
          <w:p w14:paraId="004C0605" w14:textId="77777777" w:rsidR="003438A2" w:rsidRPr="00A86BF2" w:rsidRDefault="003438A2" w:rsidP="00EF0A05">
            <w:pPr>
              <w:pStyle w:val="TableHeading"/>
            </w:pPr>
            <w:r w:rsidRPr="00A86BF2">
              <w:t xml:space="preserve">Rating for </w:t>
            </w:r>
            <w:r>
              <w:t>chaff</w:t>
            </w:r>
            <w:r w:rsidRPr="00A86BF2">
              <w:t xml:space="preserve"> scale</w:t>
            </w:r>
            <w:r>
              <w:t xml:space="preserve"> on apples from PNW-USA</w:t>
            </w:r>
          </w:p>
        </w:tc>
      </w:tr>
      <w:tr w:rsidR="003438A2" w:rsidRPr="00A86BF2" w14:paraId="02B93764" w14:textId="77777777" w:rsidTr="00EF0A05">
        <w:trPr>
          <w:cantSplit/>
        </w:trPr>
        <w:tc>
          <w:tcPr>
            <w:tcW w:w="3776" w:type="dxa"/>
            <w:tcBorders>
              <w:top w:val="single" w:sz="4" w:space="0" w:color="auto"/>
            </w:tcBorders>
          </w:tcPr>
          <w:p w14:paraId="41686BBC" w14:textId="77777777" w:rsidR="003438A2" w:rsidRPr="00A86BF2" w:rsidRDefault="003438A2" w:rsidP="00EF0A05">
            <w:pPr>
              <w:pStyle w:val="TableText"/>
            </w:pPr>
            <w:r w:rsidRPr="00A86BF2">
              <w:t>Likelihood of entry (importation x distribution)</w:t>
            </w:r>
          </w:p>
        </w:tc>
        <w:tc>
          <w:tcPr>
            <w:tcW w:w="2476" w:type="dxa"/>
            <w:tcBorders>
              <w:top w:val="single" w:sz="4" w:space="0" w:color="auto"/>
            </w:tcBorders>
          </w:tcPr>
          <w:p w14:paraId="5DF9DD0B" w14:textId="77777777" w:rsidR="003438A2" w:rsidRDefault="003438A2" w:rsidP="00EF0A05">
            <w:pPr>
              <w:pStyle w:val="TableText"/>
            </w:pPr>
            <w:r>
              <w:t xml:space="preserve">Moderate (High </w:t>
            </w:r>
            <w:r w:rsidRPr="00A86BF2">
              <w:t>x Moderate)</w:t>
            </w:r>
          </w:p>
          <w:p w14:paraId="55A1CF5A" w14:textId="77777777" w:rsidR="003438A2" w:rsidRPr="00A86BF2" w:rsidRDefault="003438A2" w:rsidP="00EF0A05">
            <w:pPr>
              <w:pStyle w:val="TableText"/>
            </w:pPr>
            <w:r>
              <w:t>(indicative)</w:t>
            </w:r>
          </w:p>
        </w:tc>
        <w:tc>
          <w:tcPr>
            <w:tcW w:w="2774" w:type="dxa"/>
            <w:tcBorders>
              <w:top w:val="single" w:sz="4" w:space="0" w:color="auto"/>
            </w:tcBorders>
          </w:tcPr>
          <w:p w14:paraId="3B9CA02A" w14:textId="77777777" w:rsidR="003438A2" w:rsidRPr="00A86BF2" w:rsidRDefault="003438A2" w:rsidP="00EF0A05">
            <w:pPr>
              <w:pStyle w:val="TableText"/>
            </w:pPr>
            <w:r w:rsidRPr="00A86BF2">
              <w:t>Low (Low x Moderate)</w:t>
            </w:r>
          </w:p>
        </w:tc>
      </w:tr>
      <w:tr w:rsidR="003438A2" w:rsidRPr="00A86BF2" w14:paraId="327B4AE1" w14:textId="77777777" w:rsidTr="00EF0A05">
        <w:trPr>
          <w:cantSplit/>
        </w:trPr>
        <w:tc>
          <w:tcPr>
            <w:tcW w:w="3776" w:type="dxa"/>
          </w:tcPr>
          <w:p w14:paraId="168E996C" w14:textId="77777777" w:rsidR="003438A2" w:rsidRPr="00A86BF2" w:rsidRDefault="003438A2" w:rsidP="00EF0A05">
            <w:pPr>
              <w:pStyle w:val="TableText"/>
            </w:pPr>
            <w:r w:rsidRPr="00A86BF2">
              <w:t>Likelihood of establishment</w:t>
            </w:r>
          </w:p>
        </w:tc>
        <w:tc>
          <w:tcPr>
            <w:tcW w:w="2476" w:type="dxa"/>
          </w:tcPr>
          <w:p w14:paraId="77A09083" w14:textId="77777777" w:rsidR="003438A2" w:rsidRPr="00A86BF2" w:rsidRDefault="003438A2" w:rsidP="00EF0A05">
            <w:pPr>
              <w:pStyle w:val="TableText"/>
            </w:pPr>
            <w:r>
              <w:t>High</w:t>
            </w:r>
          </w:p>
        </w:tc>
        <w:tc>
          <w:tcPr>
            <w:tcW w:w="2774" w:type="dxa"/>
          </w:tcPr>
          <w:p w14:paraId="65D4DEFC" w14:textId="77777777" w:rsidR="003438A2" w:rsidRPr="00A86BF2" w:rsidRDefault="003438A2" w:rsidP="00EF0A05">
            <w:pPr>
              <w:pStyle w:val="TableText"/>
            </w:pPr>
            <w:r w:rsidRPr="00A86BF2">
              <w:t>High (a)</w:t>
            </w:r>
          </w:p>
        </w:tc>
      </w:tr>
      <w:tr w:rsidR="003438A2" w:rsidRPr="00A86BF2" w14:paraId="6BC7486B" w14:textId="77777777" w:rsidTr="00EF0A05">
        <w:trPr>
          <w:cantSplit/>
        </w:trPr>
        <w:tc>
          <w:tcPr>
            <w:tcW w:w="3776" w:type="dxa"/>
          </w:tcPr>
          <w:p w14:paraId="3EF471B4" w14:textId="77777777" w:rsidR="003438A2" w:rsidRPr="00A86BF2" w:rsidRDefault="003438A2" w:rsidP="00EF0A05">
            <w:pPr>
              <w:pStyle w:val="TableText"/>
            </w:pPr>
            <w:r w:rsidRPr="00A86BF2">
              <w:t>Likelihood of spread</w:t>
            </w:r>
          </w:p>
        </w:tc>
        <w:tc>
          <w:tcPr>
            <w:tcW w:w="2476" w:type="dxa"/>
          </w:tcPr>
          <w:p w14:paraId="42BAE9AC" w14:textId="77777777" w:rsidR="003438A2" w:rsidRPr="00A86BF2" w:rsidRDefault="003438A2" w:rsidP="00EF0A05">
            <w:pPr>
              <w:pStyle w:val="TableText"/>
            </w:pPr>
            <w:r>
              <w:t>High</w:t>
            </w:r>
          </w:p>
        </w:tc>
        <w:tc>
          <w:tcPr>
            <w:tcW w:w="2774" w:type="dxa"/>
          </w:tcPr>
          <w:p w14:paraId="17A338D0" w14:textId="77777777" w:rsidR="003438A2" w:rsidRPr="00A86BF2" w:rsidRDefault="003438A2" w:rsidP="00EF0A05">
            <w:pPr>
              <w:pStyle w:val="TableText"/>
            </w:pPr>
            <w:r w:rsidRPr="00727CFB">
              <w:t>High (a)</w:t>
            </w:r>
          </w:p>
        </w:tc>
      </w:tr>
      <w:tr w:rsidR="003438A2" w:rsidRPr="00A86BF2" w14:paraId="79AD453F" w14:textId="77777777" w:rsidTr="00EF0A05">
        <w:trPr>
          <w:cantSplit/>
        </w:trPr>
        <w:tc>
          <w:tcPr>
            <w:tcW w:w="3776" w:type="dxa"/>
          </w:tcPr>
          <w:p w14:paraId="57322E4D" w14:textId="77777777" w:rsidR="003438A2" w:rsidRPr="00A86BF2" w:rsidRDefault="003438A2" w:rsidP="00EF0A05">
            <w:pPr>
              <w:pStyle w:val="TableText"/>
            </w:pPr>
            <w:r w:rsidRPr="00A86BF2">
              <w:t>Overall likelihood of entry, establishment and spread</w:t>
            </w:r>
          </w:p>
        </w:tc>
        <w:tc>
          <w:tcPr>
            <w:tcW w:w="2476" w:type="dxa"/>
          </w:tcPr>
          <w:p w14:paraId="3B271C82" w14:textId="77777777" w:rsidR="003438A2" w:rsidRPr="00A86BF2" w:rsidRDefault="003438A2" w:rsidP="00EF0A05">
            <w:pPr>
              <w:pStyle w:val="TableText"/>
            </w:pPr>
            <w:r>
              <w:t>Low</w:t>
            </w:r>
          </w:p>
        </w:tc>
        <w:tc>
          <w:tcPr>
            <w:tcW w:w="2774" w:type="dxa"/>
          </w:tcPr>
          <w:p w14:paraId="667D8D94" w14:textId="77777777" w:rsidR="003438A2" w:rsidRPr="00A86BF2" w:rsidRDefault="003438A2" w:rsidP="00EF0A05">
            <w:pPr>
              <w:pStyle w:val="TableText"/>
              <w:rPr>
                <w:strike/>
              </w:rPr>
            </w:pPr>
            <w:r w:rsidRPr="00A86BF2">
              <w:t>Low</w:t>
            </w:r>
          </w:p>
        </w:tc>
      </w:tr>
      <w:tr w:rsidR="003438A2" w:rsidRPr="00A86BF2" w14:paraId="2F98931F" w14:textId="77777777" w:rsidTr="00EF0A05">
        <w:trPr>
          <w:cantSplit/>
        </w:trPr>
        <w:tc>
          <w:tcPr>
            <w:tcW w:w="3776" w:type="dxa"/>
            <w:tcBorders>
              <w:bottom w:val="single" w:sz="4" w:space="0" w:color="auto"/>
            </w:tcBorders>
          </w:tcPr>
          <w:p w14:paraId="074683F7" w14:textId="77777777" w:rsidR="003438A2" w:rsidRPr="00A86BF2" w:rsidRDefault="003438A2" w:rsidP="00EF0A05">
            <w:pPr>
              <w:pStyle w:val="TableText"/>
            </w:pPr>
            <w:r w:rsidRPr="00A86BF2">
              <w:t>Consequences</w:t>
            </w:r>
          </w:p>
        </w:tc>
        <w:tc>
          <w:tcPr>
            <w:tcW w:w="2476" w:type="dxa"/>
            <w:tcBorders>
              <w:bottom w:val="single" w:sz="4" w:space="0" w:color="auto"/>
            </w:tcBorders>
          </w:tcPr>
          <w:p w14:paraId="37415ACC" w14:textId="77777777" w:rsidR="003438A2" w:rsidRPr="00A86BF2" w:rsidRDefault="003438A2" w:rsidP="00EF0A05">
            <w:pPr>
              <w:pStyle w:val="TableText"/>
            </w:pPr>
            <w:r>
              <w:t>Low</w:t>
            </w:r>
          </w:p>
        </w:tc>
        <w:tc>
          <w:tcPr>
            <w:tcW w:w="2774" w:type="dxa"/>
            <w:tcBorders>
              <w:bottom w:val="single" w:sz="4" w:space="0" w:color="auto"/>
            </w:tcBorders>
          </w:tcPr>
          <w:p w14:paraId="61450333" w14:textId="77777777" w:rsidR="003438A2" w:rsidRPr="00A86BF2" w:rsidRDefault="003438A2" w:rsidP="00EF0A05">
            <w:pPr>
              <w:pStyle w:val="TableText"/>
            </w:pPr>
            <w:r w:rsidRPr="00A86BF2">
              <w:t>Low (a)</w:t>
            </w:r>
          </w:p>
        </w:tc>
      </w:tr>
      <w:tr w:rsidR="003438A2" w:rsidRPr="00A86BF2" w14:paraId="43E5D55F" w14:textId="77777777" w:rsidTr="00EF0A05">
        <w:tblPrEx>
          <w:tblBorders>
            <w:left w:val="single" w:sz="4" w:space="0" w:color="auto"/>
            <w:right w:val="single" w:sz="4" w:space="0" w:color="auto"/>
            <w:insideH w:val="single" w:sz="4" w:space="0" w:color="auto"/>
            <w:insideV w:val="single" w:sz="4" w:space="0" w:color="auto"/>
          </w:tblBorders>
        </w:tblPrEx>
        <w:tc>
          <w:tcPr>
            <w:tcW w:w="3776" w:type="dxa"/>
            <w:tcBorders>
              <w:top w:val="single" w:sz="4" w:space="0" w:color="auto"/>
              <w:left w:val="nil"/>
              <w:bottom w:val="single" w:sz="4" w:space="0" w:color="auto"/>
              <w:right w:val="nil"/>
            </w:tcBorders>
          </w:tcPr>
          <w:p w14:paraId="0B50CCB4" w14:textId="77777777" w:rsidR="003438A2" w:rsidRPr="00A86BF2" w:rsidRDefault="003438A2" w:rsidP="00EF0A05">
            <w:pPr>
              <w:pStyle w:val="TableText"/>
              <w:rPr>
                <w:b/>
              </w:rPr>
            </w:pPr>
            <w:r w:rsidRPr="00A86BF2">
              <w:rPr>
                <w:b/>
              </w:rPr>
              <w:t>Unrestricted risk</w:t>
            </w:r>
          </w:p>
        </w:tc>
        <w:tc>
          <w:tcPr>
            <w:tcW w:w="2476" w:type="dxa"/>
            <w:tcBorders>
              <w:top w:val="single" w:sz="4" w:space="0" w:color="auto"/>
              <w:left w:val="nil"/>
              <w:bottom w:val="single" w:sz="4" w:space="0" w:color="auto"/>
              <w:right w:val="nil"/>
            </w:tcBorders>
          </w:tcPr>
          <w:p w14:paraId="35C9D0F6" w14:textId="77777777" w:rsidR="003438A2" w:rsidRPr="00A86BF2" w:rsidRDefault="003438A2" w:rsidP="00EF0A05">
            <w:pPr>
              <w:pStyle w:val="TableText"/>
              <w:rPr>
                <w:b/>
              </w:rPr>
            </w:pPr>
            <w:r>
              <w:rPr>
                <w:b/>
              </w:rPr>
              <w:t>Low</w:t>
            </w:r>
          </w:p>
        </w:tc>
        <w:tc>
          <w:tcPr>
            <w:tcW w:w="2774" w:type="dxa"/>
            <w:tcBorders>
              <w:top w:val="single" w:sz="4" w:space="0" w:color="auto"/>
              <w:left w:val="nil"/>
              <w:bottom w:val="single" w:sz="4" w:space="0" w:color="auto"/>
              <w:right w:val="nil"/>
            </w:tcBorders>
          </w:tcPr>
          <w:p w14:paraId="1A62305B" w14:textId="77777777" w:rsidR="003438A2" w:rsidRPr="00A86BF2" w:rsidRDefault="003438A2" w:rsidP="00EF0A05">
            <w:pPr>
              <w:pStyle w:val="TableText"/>
              <w:rPr>
                <w:b/>
              </w:rPr>
            </w:pPr>
            <w:r w:rsidRPr="00A86BF2">
              <w:rPr>
                <w:b/>
              </w:rPr>
              <w:t>Very Low</w:t>
            </w:r>
          </w:p>
        </w:tc>
      </w:tr>
    </w:tbl>
    <w:p w14:paraId="63376DD5" w14:textId="77777777" w:rsidR="003438A2" w:rsidRPr="00A86BF2" w:rsidRDefault="003438A2" w:rsidP="00C67856">
      <w:r w:rsidRPr="00A86BF2">
        <w:rPr>
          <w:rFonts w:ascii="Calibri" w:eastAsia="Calibri" w:hAnsi="Calibri" w:cs="Times New Roman"/>
          <w:b/>
          <w:bCs/>
          <w:sz w:val="18"/>
        </w:rPr>
        <w:t>(a):</w:t>
      </w:r>
      <w:r w:rsidRPr="00A86BF2">
        <w:rPr>
          <w:rFonts w:ascii="Calibri" w:eastAsia="Calibri" w:hAnsi="Calibri" w:cs="Times New Roman"/>
          <w:sz w:val="18"/>
        </w:rPr>
        <w:t xml:space="preserve"> risk estimates adopted from the scales Group PRA </w:t>
      </w:r>
      <w:r w:rsidRPr="00A86BF2">
        <w:rPr>
          <w:rFonts w:ascii="Calibri" w:eastAsia="Calibri" w:hAnsi="Calibri" w:cs="Times New Roman"/>
          <w:noProof/>
          <w:sz w:val="18"/>
        </w:rPr>
        <w:t>(DAWR 2019)</w:t>
      </w:r>
      <w:r w:rsidRPr="00A86BF2">
        <w:rPr>
          <w:rFonts w:ascii="Calibri" w:eastAsia="Calibri" w:hAnsi="Calibri" w:cs="Times New Roman"/>
          <w:sz w:val="18"/>
        </w:rPr>
        <w:t>.</w:t>
      </w:r>
    </w:p>
    <w:p w14:paraId="607D79CA" w14:textId="77777777" w:rsidR="003438A2" w:rsidRDefault="003438A2" w:rsidP="00C67856">
      <w:r w:rsidRPr="00A86BF2">
        <w:t>The indicative unrestricted risk estimate for all hard scales is assessed as Low in the scales Group PRA</w:t>
      </w:r>
      <w:r>
        <w:t>, which does not achieve the ALOP for Australia and therefore specific risk management measures are required</w:t>
      </w:r>
      <w:r w:rsidRPr="00A86BF2">
        <w:t xml:space="preserve">. </w:t>
      </w:r>
      <w:r>
        <w:rPr>
          <w:rFonts w:eastAsia="Calibri" w:cs="Times New Roman"/>
        </w:rPr>
        <w:t xml:space="preserve">However, based on the likelihood of importation of Low </w:t>
      </w:r>
      <w:r w:rsidRPr="00A86BF2">
        <w:rPr>
          <w:rFonts w:eastAsia="Calibri" w:cs="Times New Roman"/>
        </w:rPr>
        <w:t xml:space="preserve">for </w:t>
      </w:r>
      <w:r w:rsidRPr="00281D7A">
        <w:rPr>
          <w:rFonts w:eastAsia="Calibri" w:cs="Times New Roman"/>
          <w:i/>
          <w:iCs/>
        </w:rPr>
        <w:t>P. pergandii</w:t>
      </w:r>
      <w:r w:rsidRPr="00A86BF2">
        <w:rPr>
          <w:rFonts w:eastAsia="Calibri" w:cs="Times New Roman"/>
        </w:rPr>
        <w:t xml:space="preserve"> on </w:t>
      </w:r>
      <w:r w:rsidRPr="00A86BF2">
        <w:t>the fresh apple fruit</w:t>
      </w:r>
      <w:r w:rsidRPr="00A86BF2">
        <w:rPr>
          <w:lang w:eastAsia="ja-JP"/>
        </w:rPr>
        <w:t xml:space="preserve"> from PNW-USA pathway</w:t>
      </w:r>
      <w:r>
        <w:rPr>
          <w:lang w:eastAsia="ja-JP"/>
        </w:rPr>
        <w:t>, the URE of this species on this pathway</w:t>
      </w:r>
      <w:r w:rsidRPr="00A86BF2">
        <w:rPr>
          <w:lang w:eastAsia="ja-JP"/>
        </w:rPr>
        <w:t xml:space="preserve"> is </w:t>
      </w:r>
      <w:r>
        <w:rPr>
          <w:lang w:eastAsia="ja-JP"/>
        </w:rPr>
        <w:t xml:space="preserve">assessed as </w:t>
      </w:r>
      <w:r w:rsidRPr="00A86BF2">
        <w:rPr>
          <w:lang w:eastAsia="ja-JP"/>
        </w:rPr>
        <w:t>Very Low</w:t>
      </w:r>
      <w:r>
        <w:rPr>
          <w:lang w:eastAsia="ja-JP"/>
        </w:rPr>
        <w:t>, which achieves the ALOP for Australia</w:t>
      </w:r>
      <w:r w:rsidRPr="00A86BF2">
        <w:rPr>
          <w:rFonts w:eastAsia="Calibri" w:cs="Times New Roman"/>
        </w:rPr>
        <w:t>.</w:t>
      </w:r>
      <w:r w:rsidRPr="00A86BF2">
        <w:t xml:space="preserve"> Therefore, no specific risk management measures are required for </w:t>
      </w:r>
      <w:r w:rsidRPr="00281D7A">
        <w:rPr>
          <w:i/>
          <w:iCs/>
        </w:rPr>
        <w:t xml:space="preserve">P. pergandii </w:t>
      </w:r>
      <w:r w:rsidRPr="00A86BF2">
        <w:t xml:space="preserve">on </w:t>
      </w:r>
      <w:r>
        <w:t>the PNW-USA apple pathway</w:t>
      </w:r>
      <w:r w:rsidRPr="00A86BF2">
        <w:t xml:space="preserve">. </w:t>
      </w:r>
    </w:p>
    <w:p w14:paraId="48B62C6C" w14:textId="77777777" w:rsidR="003438A2" w:rsidRDefault="003438A2" w:rsidP="00C67856"/>
    <w:p w14:paraId="0FD3169C" w14:textId="77777777" w:rsidR="003438A2" w:rsidRDefault="003438A2">
      <w:pPr>
        <w:spacing w:after="0" w:line="240" w:lineRule="auto"/>
        <w:rPr>
          <w:strike/>
        </w:rPr>
      </w:pPr>
    </w:p>
    <w:p w14:paraId="30171D50" w14:textId="77777777" w:rsidR="003438A2" w:rsidRDefault="003438A2">
      <w:pPr>
        <w:spacing w:after="0" w:line="240" w:lineRule="auto"/>
        <w:rPr>
          <w:rFonts w:ascii="Calibri" w:hAnsi="Calibri"/>
          <w:b/>
          <w:bCs/>
          <w:color w:val="773141"/>
          <w:sz w:val="28"/>
        </w:rPr>
      </w:pPr>
      <w:r>
        <w:br w:type="page"/>
      </w:r>
    </w:p>
    <w:p w14:paraId="01CC5A36" w14:textId="77777777" w:rsidR="003438A2" w:rsidRPr="0097052B" w:rsidRDefault="003438A2" w:rsidP="00C25EA7">
      <w:pPr>
        <w:pStyle w:val="Heading3"/>
      </w:pPr>
      <w:bookmarkStart w:id="236" w:name="_Toc112769007"/>
      <w:r w:rsidRPr="0097052B">
        <w:lastRenderedPageBreak/>
        <w:t>Lygus bugs</w:t>
      </w:r>
      <w:bookmarkEnd w:id="236"/>
    </w:p>
    <w:p w14:paraId="17AD7C6C" w14:textId="77777777" w:rsidR="003438A2" w:rsidRPr="003B04E1" w:rsidRDefault="003438A2" w:rsidP="00C25EA7">
      <w:pPr>
        <w:pStyle w:val="Heading4"/>
        <w:numPr>
          <w:ilvl w:val="0"/>
          <w:numId w:val="0"/>
        </w:numPr>
        <w:ind w:left="794" w:hanging="794"/>
      </w:pPr>
      <w:r w:rsidRPr="003B04E1">
        <w:rPr>
          <w:i/>
        </w:rPr>
        <w:t xml:space="preserve">Lygus elisus </w:t>
      </w:r>
      <w:r w:rsidRPr="003B04E1">
        <w:t>(EP),</w:t>
      </w:r>
      <w:r w:rsidRPr="003B04E1">
        <w:rPr>
          <w:i/>
        </w:rPr>
        <w:t xml:space="preserve"> Lygus hesperus </w:t>
      </w:r>
      <w:r w:rsidRPr="003B04E1">
        <w:t>(EP)</w:t>
      </w:r>
      <w:r>
        <w:t xml:space="preserve"> and</w:t>
      </w:r>
      <w:r w:rsidRPr="003B04E1">
        <w:rPr>
          <w:i/>
        </w:rPr>
        <w:t xml:space="preserve"> Lygus lineolaris </w:t>
      </w:r>
      <w:r w:rsidRPr="003B04E1">
        <w:t>(EP)</w:t>
      </w:r>
    </w:p>
    <w:p w14:paraId="758AF48E" w14:textId="77777777" w:rsidR="003438A2" w:rsidRPr="00F17487" w:rsidRDefault="003438A2" w:rsidP="00C25EA7">
      <w:r w:rsidRPr="00D23675">
        <w:rPr>
          <w:i/>
        </w:rPr>
        <w:t xml:space="preserve">Lygus elisus </w:t>
      </w:r>
      <w:r w:rsidRPr="00D23675">
        <w:t>(lucerne plant bug</w:t>
      </w:r>
      <w:r>
        <w:t xml:space="preserve"> or the green lygus bug</w:t>
      </w:r>
      <w:r w:rsidRPr="00D23675">
        <w:t>),</w:t>
      </w:r>
      <w:r>
        <w:rPr>
          <w:i/>
        </w:rPr>
        <w:t xml:space="preserve"> L. h</w:t>
      </w:r>
      <w:r w:rsidRPr="00D23675">
        <w:rPr>
          <w:i/>
        </w:rPr>
        <w:t xml:space="preserve">esperus </w:t>
      </w:r>
      <w:r w:rsidRPr="00D23675">
        <w:t>(</w:t>
      </w:r>
      <w:r>
        <w:t>w</w:t>
      </w:r>
      <w:r w:rsidRPr="00D23675">
        <w:t>estern tarnished plant bug</w:t>
      </w:r>
      <w:r>
        <w:t xml:space="preserve"> or the brown lygus bug</w:t>
      </w:r>
      <w:r w:rsidRPr="00D23675">
        <w:t>) and</w:t>
      </w:r>
      <w:r>
        <w:rPr>
          <w:i/>
        </w:rPr>
        <w:t xml:space="preserve"> L. </w:t>
      </w:r>
      <w:r w:rsidRPr="00D23675">
        <w:rPr>
          <w:i/>
        </w:rPr>
        <w:t>lineolaris</w:t>
      </w:r>
      <w:r w:rsidRPr="00D23675">
        <w:t xml:space="preserve"> (tarnished plant bug) belong to the Miridae family. </w:t>
      </w:r>
      <w:r w:rsidRPr="00F17487">
        <w:t xml:space="preserve">These </w:t>
      </w:r>
      <w:r>
        <w:t>three</w:t>
      </w:r>
      <w:r w:rsidRPr="00F17487">
        <w:t xml:space="preserve"> species have been grouped together </w:t>
      </w:r>
      <w:r>
        <w:t xml:space="preserve">on the basis of </w:t>
      </w:r>
      <w:r w:rsidRPr="00F17487">
        <w:t>their related biolog</w:t>
      </w:r>
      <w:r>
        <w:t xml:space="preserve">ies and </w:t>
      </w:r>
      <w:r w:rsidRPr="00F17487">
        <w:t>are predicted to pose</w:t>
      </w:r>
      <w:r>
        <w:t xml:space="preserve"> </w:t>
      </w:r>
      <w:r w:rsidRPr="00F17487">
        <w:t xml:space="preserve">similar </w:t>
      </w:r>
      <w:r>
        <w:t xml:space="preserve">biosecurity </w:t>
      </w:r>
      <w:r w:rsidRPr="00F17487">
        <w:t>risk</w:t>
      </w:r>
      <w:r>
        <w:t>s. In this assessment, the term Lygus bugs is used to refer to these three species collectively; a scientific name is used when the information relates to a specific species.</w:t>
      </w:r>
    </w:p>
    <w:p w14:paraId="6ED4DAB4" w14:textId="77777777" w:rsidR="003438A2" w:rsidRDefault="003438A2" w:rsidP="00C25EA7">
      <w:r w:rsidRPr="00D23675">
        <w:rPr>
          <w:i/>
        </w:rPr>
        <w:t>Lygus elisus</w:t>
      </w:r>
      <w:r>
        <w:rPr>
          <w:i/>
        </w:rPr>
        <w:t>, L. hesperus</w:t>
      </w:r>
      <w:r w:rsidRPr="00D23675">
        <w:t xml:space="preserve"> and</w:t>
      </w:r>
      <w:r>
        <w:rPr>
          <w:i/>
        </w:rPr>
        <w:t xml:space="preserve"> L. </w:t>
      </w:r>
      <w:r w:rsidRPr="00D23675">
        <w:rPr>
          <w:i/>
        </w:rPr>
        <w:t>lineolaris</w:t>
      </w:r>
      <w:r w:rsidRPr="00D23675">
        <w:t xml:space="preserve"> </w:t>
      </w:r>
      <w:r>
        <w:t xml:space="preserve">are present </w:t>
      </w:r>
      <w:r w:rsidRPr="0060705B">
        <w:t>throughout the United States</w:t>
      </w:r>
      <w:r>
        <w:t xml:space="preserve"> </w:t>
      </w:r>
      <w:r>
        <w:rPr>
          <w:rFonts w:cs="Arial"/>
          <w:noProof/>
        </w:rPr>
        <w:t>(Antwi &amp; Rondon 2018)</w:t>
      </w:r>
      <w:r>
        <w:rPr>
          <w:rFonts w:cs="Arial"/>
        </w:rPr>
        <w:t>,</w:t>
      </w:r>
      <w:r w:rsidRPr="0060705B">
        <w:rPr>
          <w:rFonts w:cs="Arial"/>
        </w:rPr>
        <w:t xml:space="preserve"> and are </w:t>
      </w:r>
      <w:r w:rsidRPr="00127F0D">
        <w:t>recognised as pests of apple in the PNW</w:t>
      </w:r>
      <w:r>
        <w:t>-USA</w:t>
      </w:r>
      <w:r w:rsidRPr="00127F0D">
        <w:t xml:space="preserve"> states</w:t>
      </w:r>
      <w:r>
        <w:t xml:space="preserve"> </w:t>
      </w:r>
      <w:r>
        <w:rPr>
          <w:noProof/>
        </w:rPr>
        <w:t>(Anthon 1993a; Wiman &amp; Stoven 2022)</w:t>
      </w:r>
      <w:r>
        <w:t>.</w:t>
      </w:r>
      <w:bookmarkStart w:id="237" w:name="_Hlk37257909"/>
      <w:r w:rsidRPr="007A7DB6">
        <w:t xml:space="preserve"> Lygus</w:t>
      </w:r>
      <w:r w:rsidRPr="0060705B">
        <w:t xml:space="preserve"> bugs are </w:t>
      </w:r>
      <w:r>
        <w:t>also present</w:t>
      </w:r>
      <w:r w:rsidRPr="0060705B">
        <w:t xml:space="preserve"> in Europe, Asia</w:t>
      </w:r>
      <w:r>
        <w:t xml:space="preserve"> </w:t>
      </w:r>
      <w:r w:rsidRPr="0060705B">
        <w:t>and southern Canada</w:t>
      </w:r>
      <w:r>
        <w:t xml:space="preserve"> </w:t>
      </w:r>
      <w:r>
        <w:rPr>
          <w:noProof/>
        </w:rPr>
        <w:t>(Anthon 1993a)</w:t>
      </w:r>
      <w:r w:rsidRPr="0060705B">
        <w:t>.</w:t>
      </w:r>
      <w:bookmarkEnd w:id="237"/>
    </w:p>
    <w:p w14:paraId="76D7139D" w14:textId="77777777" w:rsidR="003438A2" w:rsidRPr="00A0529D" w:rsidRDefault="003438A2" w:rsidP="00C25EA7">
      <w:r>
        <w:t>Members of t</w:t>
      </w:r>
      <w:r w:rsidRPr="00D23675">
        <w:t xml:space="preserve">he </w:t>
      </w:r>
      <w:r w:rsidRPr="00A0529D">
        <w:t xml:space="preserve">genus </w:t>
      </w:r>
      <w:r w:rsidRPr="00A0529D">
        <w:rPr>
          <w:i/>
        </w:rPr>
        <w:t>Lygus</w:t>
      </w:r>
      <w:r w:rsidRPr="00A0529D">
        <w:t xml:space="preserve"> are pests of more than 130 economically important plants, including a wide range of field and vegetable crops, and fruit trees</w:t>
      </w:r>
      <w:r>
        <w:t xml:space="preserve"> </w:t>
      </w:r>
      <w:r>
        <w:rPr>
          <w:noProof/>
        </w:rPr>
        <w:t>(Anthon 1993a; Broadbent et al. 2006)</w:t>
      </w:r>
      <w:r w:rsidRPr="007D41F9">
        <w:t>.</w:t>
      </w:r>
      <w:r w:rsidRPr="00A0529D">
        <w:t xml:space="preserve"> Lygus bugs are found in areas near uncultivated land or lucerne fields</w:t>
      </w:r>
      <w:r>
        <w:t xml:space="preserve"> </w:t>
      </w:r>
      <w:r w:rsidRPr="00840ED3">
        <w:rPr>
          <w:rFonts w:eastAsia="Calibri" w:cs="Times New Roman"/>
          <w:noProof/>
        </w:rPr>
        <w:t>(Wiman &amp; Stoven 2022)</w:t>
      </w:r>
      <w:r>
        <w:rPr>
          <w:rFonts w:eastAsia="Calibri" w:cs="Times New Roman"/>
        </w:rPr>
        <w:t xml:space="preserve">, </w:t>
      </w:r>
      <w:r w:rsidRPr="00A0529D">
        <w:t xml:space="preserve">and feed on developing leaves, flowers and fruit. Lygus bugs can cause damage to their host plants in multiple ways, including by leaf maceration, browning and discolouration of tissue, and premature drop of buds, flowers and fruitlets; they </w:t>
      </w:r>
      <w:r>
        <w:t xml:space="preserve">can also cause </w:t>
      </w:r>
      <w:r w:rsidRPr="00F17487">
        <w:t>increased number</w:t>
      </w:r>
      <w:r>
        <w:t>s</w:t>
      </w:r>
      <w:r w:rsidRPr="00F17487">
        <w:t xml:space="preserve"> of vegetative branches</w:t>
      </w:r>
      <w:r>
        <w:t>,</w:t>
      </w:r>
      <w:r w:rsidRPr="00F17487">
        <w:t xml:space="preserve"> </w:t>
      </w:r>
      <w:r>
        <w:t xml:space="preserve">formation of </w:t>
      </w:r>
      <w:r w:rsidRPr="00F17487">
        <w:t>multiple crowns</w:t>
      </w:r>
      <w:r>
        <w:t>,</w:t>
      </w:r>
      <w:r w:rsidRPr="00F17487">
        <w:t xml:space="preserve"> elongation of internodes</w:t>
      </w:r>
      <w:r>
        <w:t>,</w:t>
      </w:r>
      <w:r w:rsidRPr="00F17487">
        <w:t xml:space="preserve"> split stem lesions</w:t>
      </w:r>
      <w:r>
        <w:t>,</w:t>
      </w:r>
      <w:r w:rsidRPr="00F17487">
        <w:t xml:space="preserve"> swollen nodes</w:t>
      </w:r>
      <w:r>
        <w:t>,</w:t>
      </w:r>
      <w:r w:rsidRPr="00F17487">
        <w:t xml:space="preserve"> leaf crinkling</w:t>
      </w:r>
      <w:r>
        <w:t xml:space="preserve"> and reductions in meristematic tissue </w:t>
      </w:r>
      <w:r>
        <w:rPr>
          <w:noProof/>
        </w:rPr>
        <w:t>(Tingey &amp; Pillemer 1977)</w:t>
      </w:r>
      <w:r>
        <w:t xml:space="preserve"> and secondary stems </w:t>
      </w:r>
      <w:bookmarkStart w:id="238" w:name="_Hlk108985506"/>
      <w:r>
        <w:rPr>
          <w:noProof/>
        </w:rPr>
        <w:t>(Conti &amp; Bin 2001; Mirab-balou &amp; Khanjani 2008)</w:t>
      </w:r>
      <w:r>
        <w:t>.</w:t>
      </w:r>
      <w:bookmarkEnd w:id="238"/>
      <w:r>
        <w:t xml:space="preserve"> </w:t>
      </w:r>
      <w:r w:rsidRPr="007C64DE">
        <w:t>Most fruit damage occurs on fruitlets shortly after bloom</w:t>
      </w:r>
      <w:r>
        <w:t>.</w:t>
      </w:r>
      <w:r w:rsidRPr="007C64DE">
        <w:t xml:space="preserve"> Dimpling and deep pitting of fruit are indications of early feeding damage</w:t>
      </w:r>
      <w:r>
        <w:t xml:space="preserve">, which can develop into </w:t>
      </w:r>
      <w:r w:rsidRPr="007C64DE">
        <w:t>fruit deformit</w:t>
      </w:r>
      <w:r>
        <w:t>ies</w:t>
      </w:r>
      <w:r w:rsidRPr="007C64DE">
        <w:t xml:space="preserve"> that occur when</w:t>
      </w:r>
      <w:r>
        <w:t xml:space="preserve"> the</w:t>
      </w:r>
      <w:r w:rsidRPr="007C64DE">
        <w:t xml:space="preserve"> cells surrounding dead cells at the feeding site continue to grow as the fruit </w:t>
      </w:r>
      <w:r w:rsidRPr="00A0529D">
        <w:t>matures</w:t>
      </w:r>
      <w:r>
        <w:t xml:space="preserve"> </w:t>
      </w:r>
      <w:r w:rsidRPr="00840ED3">
        <w:rPr>
          <w:rFonts w:eastAsia="Calibri" w:cs="Times New Roman"/>
          <w:noProof/>
        </w:rPr>
        <w:t>(Wiman &amp; Stoven 2022)</w:t>
      </w:r>
      <w:r>
        <w:rPr>
          <w:rFonts w:eastAsia="Calibri" w:cs="Times New Roman"/>
        </w:rPr>
        <w:t>.</w:t>
      </w:r>
    </w:p>
    <w:p w14:paraId="3418615A" w14:textId="77777777" w:rsidR="003438A2" w:rsidRPr="00B344BC" w:rsidRDefault="003438A2" w:rsidP="00E31574">
      <w:r>
        <w:t>Lygus bugs have three life stages: egg, nymph (five instars) and adult. Lygus bugs</w:t>
      </w:r>
      <w:r w:rsidRPr="00F17487">
        <w:t xml:space="preserve"> overwinter as adults </w:t>
      </w:r>
      <w:r w:rsidRPr="009B133D">
        <w:t>in protected areas such as leaf debris, in bark cracks</w:t>
      </w:r>
      <w:r>
        <w:t>,</w:t>
      </w:r>
      <w:r w:rsidRPr="009B133D">
        <w:t xml:space="preserve"> </w:t>
      </w:r>
      <w:r>
        <w:t xml:space="preserve">or </w:t>
      </w:r>
      <w:r w:rsidRPr="0060705B">
        <w:t xml:space="preserve">beneath weeds </w:t>
      </w:r>
      <w:r>
        <w:rPr>
          <w:noProof/>
        </w:rPr>
        <w:t>(Fye 1982)</w:t>
      </w:r>
      <w:r>
        <w:t xml:space="preserve"> or litter</w:t>
      </w:r>
      <w:r w:rsidRPr="0060705B">
        <w:t xml:space="preserve"> on the orchard floor or in nearby</w:t>
      </w:r>
      <w:r>
        <w:t xml:space="preserve"> </w:t>
      </w:r>
      <w:r w:rsidRPr="0060705B">
        <w:t>uncultivated areas</w:t>
      </w:r>
      <w:r>
        <w:t xml:space="preserve"> </w:t>
      </w:r>
      <w:r>
        <w:rPr>
          <w:noProof/>
        </w:rPr>
        <w:t>(Anthon 1993a; Wiman &amp; Stoven 2022)</w:t>
      </w:r>
      <w:r>
        <w:t xml:space="preserve">. </w:t>
      </w:r>
      <w:r w:rsidRPr="00F17487">
        <w:t xml:space="preserve">During spring, </w:t>
      </w:r>
      <w:r w:rsidRPr="00D16EBA">
        <w:t>a</w:t>
      </w:r>
      <w:r w:rsidRPr="0060705B">
        <w:t>dults become active</w:t>
      </w:r>
      <w:r>
        <w:t xml:space="preserve"> </w:t>
      </w:r>
      <w:r w:rsidRPr="0060705B">
        <w:t>and fly to fruit trees, where</w:t>
      </w:r>
      <w:r>
        <w:t xml:space="preserve"> </w:t>
      </w:r>
      <w:r w:rsidRPr="0060705B">
        <w:t>they</w:t>
      </w:r>
      <w:r w:rsidRPr="00D16EBA">
        <w:t xml:space="preserve"> feed on developing flower buds</w:t>
      </w:r>
      <w:r>
        <w:t xml:space="preserve"> </w:t>
      </w:r>
      <w:bookmarkStart w:id="239" w:name="_Hlk108985700"/>
      <w:r>
        <w:rPr>
          <w:noProof/>
        </w:rPr>
        <w:t>(Anthon 1993a; Caprile et al. 2009a)</w:t>
      </w:r>
      <w:r w:rsidRPr="00894E6A">
        <w:t>.</w:t>
      </w:r>
      <w:bookmarkEnd w:id="239"/>
      <w:r w:rsidRPr="007C0A3C">
        <w:t xml:space="preserve"> </w:t>
      </w:r>
      <w:r>
        <w:t>Adult f</w:t>
      </w:r>
      <w:r w:rsidRPr="00F17487">
        <w:t>emale</w:t>
      </w:r>
      <w:r>
        <w:t xml:space="preserve">s </w:t>
      </w:r>
      <w:r w:rsidRPr="00F17487">
        <w:t>lay eggs</w:t>
      </w:r>
      <w:r w:rsidRPr="00F60599">
        <w:t xml:space="preserve"> </w:t>
      </w:r>
      <w:r w:rsidRPr="009B133D">
        <w:t xml:space="preserve">in stems and other tissues </w:t>
      </w:r>
      <w:r w:rsidRPr="00F17487">
        <w:t>on a wide variety of plants</w:t>
      </w:r>
      <w:r>
        <w:t xml:space="preserve"> after mating, beginning about 10 days after emerging from the final nymphal stage. </w:t>
      </w:r>
      <w:r w:rsidRPr="00F34C1F">
        <w:t xml:space="preserve">Lygus bugs prefer to lay eggs on plants about to flower, and thus move from host to host according to the timing of bloom </w:t>
      </w:r>
      <w:r>
        <w:rPr>
          <w:noProof/>
        </w:rPr>
        <w:t>(Anthon 1993a)</w:t>
      </w:r>
      <w:r w:rsidRPr="00F34C1F">
        <w:t xml:space="preserve">. Females are known to occasionally deposit eggs in young </w:t>
      </w:r>
      <w:r>
        <w:t xml:space="preserve">pome </w:t>
      </w:r>
      <w:r w:rsidRPr="00F34C1F">
        <w:t>fruit, causing shallo</w:t>
      </w:r>
      <w:r>
        <w:t xml:space="preserve">w pitting and deformities </w:t>
      </w:r>
      <w:r>
        <w:rPr>
          <w:noProof/>
        </w:rPr>
        <w:t>(Anthon 1993a)</w:t>
      </w:r>
      <w:r w:rsidRPr="00F34C1F">
        <w:t>.</w:t>
      </w:r>
      <w:r>
        <w:t xml:space="preserve"> </w:t>
      </w:r>
      <w:r w:rsidRPr="004409E5">
        <w:t>Apples are most susceptible to damage</w:t>
      </w:r>
      <w:r>
        <w:t xml:space="preserve"> from</w:t>
      </w:r>
      <w:r w:rsidRPr="004409E5">
        <w:t xml:space="preserve"> early pink stage of bud</w:t>
      </w:r>
      <w:r>
        <w:t xml:space="preserve"> </w:t>
      </w:r>
      <w:r w:rsidRPr="009B133D">
        <w:t xml:space="preserve">development through </w:t>
      </w:r>
      <w:r>
        <w:t>to two</w:t>
      </w:r>
      <w:r w:rsidRPr="009B133D">
        <w:t xml:space="preserve"> weeks after petal fall </w:t>
      </w:r>
      <w:r>
        <w:rPr>
          <w:noProof/>
        </w:rPr>
        <w:t>(Anthon 1993a)</w:t>
      </w:r>
      <w:r w:rsidRPr="009B133D">
        <w:t>.</w:t>
      </w:r>
      <w:r>
        <w:t xml:space="preserve"> </w:t>
      </w:r>
      <w:r w:rsidRPr="009B133D">
        <w:t xml:space="preserve">Lygus </w:t>
      </w:r>
      <w:r>
        <w:t>bugs</w:t>
      </w:r>
      <w:r w:rsidRPr="009B133D">
        <w:t xml:space="preserve"> are primarily generalis</w:t>
      </w:r>
      <w:r>
        <w:t>t</w:t>
      </w:r>
      <w:r w:rsidRPr="009B133D">
        <w:t xml:space="preserve"> herbivores</w:t>
      </w:r>
      <w:r>
        <w:t>,</w:t>
      </w:r>
      <w:r w:rsidRPr="009B133D">
        <w:t xml:space="preserve"> but are also known to be facultative predators </w:t>
      </w:r>
      <w:r>
        <w:rPr>
          <w:noProof/>
        </w:rPr>
        <w:t>(Hagler, Jackson &amp; Blackmer 2010)</w:t>
      </w:r>
      <w:r w:rsidRPr="006600F9">
        <w:t>.</w:t>
      </w:r>
      <w:r w:rsidRPr="00F17487">
        <w:t xml:space="preserve"> </w:t>
      </w:r>
      <w:r w:rsidRPr="00383515">
        <w:rPr>
          <w:i/>
        </w:rPr>
        <w:t>Lygus lineolaris</w:t>
      </w:r>
      <w:r w:rsidRPr="00383515">
        <w:t xml:space="preserve"> has a lifespan of around 30 days</w:t>
      </w:r>
      <w:r>
        <w:t>,</w:t>
      </w:r>
      <w:r w:rsidRPr="00383515">
        <w:t xml:space="preserve"> usually with </w:t>
      </w:r>
      <w:r>
        <w:t>three to four</w:t>
      </w:r>
      <w:r w:rsidRPr="00383515">
        <w:t xml:space="preserve"> generations per year</w:t>
      </w:r>
      <w:r w:rsidRPr="00F17487">
        <w:t xml:space="preserve"> </w:t>
      </w:r>
      <w:r>
        <w:t xml:space="preserve">in crop plants in the PNW-USA </w:t>
      </w:r>
      <w:r w:rsidRPr="00B344BC">
        <w:rPr>
          <w:noProof/>
        </w:rPr>
        <w:t>(Anthon 1993a)</w:t>
      </w:r>
      <w:r w:rsidRPr="00B344BC">
        <w:t xml:space="preserve"> and two to three generations in lucerne</w:t>
      </w:r>
      <w:r>
        <w:t xml:space="preserve"> </w:t>
      </w:r>
      <w:r>
        <w:rPr>
          <w:noProof/>
        </w:rPr>
        <w:t>(Broadbent et al. 2006; CABI 2019)</w:t>
      </w:r>
      <w:r w:rsidRPr="00B344BC">
        <w:t>.</w:t>
      </w:r>
    </w:p>
    <w:p w14:paraId="265B8227" w14:textId="77777777" w:rsidR="003438A2" w:rsidRPr="00B344BC" w:rsidRDefault="003438A2" w:rsidP="00E31574">
      <w:r w:rsidRPr="00B344BC">
        <w:t>The risk scenario of biosecurity concern is that nymphs and/or adults of Lygus bugs may be imported</w:t>
      </w:r>
      <w:r>
        <w:t xml:space="preserve"> with</w:t>
      </w:r>
      <w:r w:rsidRPr="00B344BC">
        <w:t xml:space="preserve"> apple fruit from the PNW-USA.</w:t>
      </w:r>
    </w:p>
    <w:p w14:paraId="1F9CDE73" w14:textId="77777777" w:rsidR="003438A2" w:rsidRDefault="003438A2" w:rsidP="00C25EA7">
      <w:pPr>
        <w:rPr>
          <w:rFonts w:cs="Arial"/>
        </w:rPr>
      </w:pPr>
      <w:r>
        <w:rPr>
          <w:rFonts w:cs="Arial"/>
        </w:rPr>
        <w:lastRenderedPageBreak/>
        <w:t xml:space="preserve">The three Lygus bugs assessed here have been assessed previously in the existing import policy for stone fruit from </w:t>
      </w:r>
      <w:r>
        <w:rPr>
          <w:rFonts w:eastAsia="Times New Roman" w:cs="Times New Roman"/>
          <w:color w:val="000000"/>
        </w:rPr>
        <w:t xml:space="preserve">California, </w:t>
      </w:r>
      <w:r w:rsidRPr="0068550A">
        <w:rPr>
          <w:rFonts w:eastAsia="Times New Roman" w:cs="Times New Roman"/>
          <w:color w:val="000000"/>
        </w:rPr>
        <w:t>Idaho, Oregon and Washington</w:t>
      </w:r>
      <w:r>
        <w:rPr>
          <w:rFonts w:eastAsia="Times New Roman" w:cs="Times New Roman"/>
          <w:color w:val="000000"/>
        </w:rPr>
        <w:t xml:space="preserve"> </w:t>
      </w:r>
      <w:r>
        <w:rPr>
          <w:rFonts w:cs="Arial"/>
          <w:noProof/>
        </w:rPr>
        <w:t>(Biosecurity Australia 2010b)</w:t>
      </w:r>
      <w:r>
        <w:rPr>
          <w:rFonts w:cs="Arial"/>
        </w:rPr>
        <w:t xml:space="preserve">, and Californian table grapes to Western Australia </w:t>
      </w:r>
      <w:r>
        <w:rPr>
          <w:rFonts w:cs="Arial"/>
          <w:noProof/>
        </w:rPr>
        <w:t>(DAFF 2013a)</w:t>
      </w:r>
      <w:r>
        <w:rPr>
          <w:rFonts w:cs="Arial"/>
        </w:rPr>
        <w:t>. In these existing policies, the unrestricted risk estimate for Lygus bugs was assessed as Very Low, which achieves the ALOP for Australia. Therefore, no specific risk management measures are required for these pests on those pathways.</w:t>
      </w:r>
    </w:p>
    <w:p w14:paraId="600E91CE" w14:textId="77777777" w:rsidR="003438A2" w:rsidRPr="00346245" w:rsidDel="00E07E28" w:rsidRDefault="003438A2" w:rsidP="00C25EA7">
      <w:r w:rsidDel="00E07E28">
        <w:t xml:space="preserve">The department has assessed the likelihood of importation of Lygus bugs on the PNW-USA apple pathway as being similar to the previous assessment of Very Low for </w:t>
      </w:r>
      <w:r w:rsidDel="00E07E28">
        <w:rPr>
          <w:rFonts w:cs="Arial"/>
        </w:rPr>
        <w:t xml:space="preserve">stone fruit from </w:t>
      </w:r>
      <w:r w:rsidDel="00E07E28">
        <w:rPr>
          <w:rFonts w:eastAsia="Times New Roman" w:cs="Times New Roman"/>
          <w:color w:val="000000"/>
        </w:rPr>
        <w:t xml:space="preserve">California, </w:t>
      </w:r>
      <w:r w:rsidRPr="0068550A" w:rsidDel="00E07E28">
        <w:rPr>
          <w:rFonts w:eastAsia="Times New Roman" w:cs="Times New Roman"/>
          <w:color w:val="000000"/>
        </w:rPr>
        <w:t>Idaho, Oregon and Washington</w:t>
      </w:r>
      <w:r w:rsidDel="00E07E28">
        <w:rPr>
          <w:rFonts w:eastAsia="Times New Roman" w:cs="Times New Roman"/>
          <w:color w:val="000000"/>
        </w:rPr>
        <w:t xml:space="preserve"> </w:t>
      </w:r>
      <w:r w:rsidDel="00E07E28">
        <w:rPr>
          <w:rFonts w:cs="Arial"/>
          <w:noProof/>
        </w:rPr>
        <w:t>(Biosecurity Australia 2010b)</w:t>
      </w:r>
      <w:r w:rsidDel="00E07E28">
        <w:t xml:space="preserve">. </w:t>
      </w:r>
      <w:r>
        <w:t xml:space="preserve">While both adult and </w:t>
      </w:r>
      <w:r w:rsidRPr="00A65F85">
        <w:t>nymphal Lygus bugs</w:t>
      </w:r>
      <w:r>
        <w:t xml:space="preserve"> may feed on fruit of their hosts, they are highly mobile, easily disturbed and unlikely to remain on fruit during </w:t>
      </w:r>
      <w:r w:rsidRPr="002C3183">
        <w:t>fruit picking, processing and transportation.</w:t>
      </w:r>
      <w:r>
        <w:t xml:space="preserve"> </w:t>
      </w:r>
      <w:r w:rsidRPr="002C3183" w:rsidDel="00E07E28">
        <w:t xml:space="preserve">Apple fruit </w:t>
      </w:r>
      <w:r>
        <w:t>are</w:t>
      </w:r>
      <w:r w:rsidRPr="002C3183" w:rsidDel="00E07E28">
        <w:t xml:space="preserve"> not a preferred substrate for oviposition</w:t>
      </w:r>
      <w:r w:rsidRPr="002C3183">
        <w:t>.</w:t>
      </w:r>
      <w:r w:rsidRPr="002C3183" w:rsidDel="00E07E28">
        <w:t xml:space="preserve"> </w:t>
      </w:r>
      <w:r w:rsidRPr="002C3183">
        <w:t>F</w:t>
      </w:r>
      <w:r w:rsidRPr="002C3183" w:rsidDel="00E07E28">
        <w:t>emales preferentially lay their eggs on plant parts of flowering vegetable crops and field plants</w:t>
      </w:r>
      <w:r w:rsidRPr="002C3183">
        <w:t xml:space="preserve"> and only occasionally lay eggs in young fruit, causing pitting and deformities</w:t>
      </w:r>
      <w:r w:rsidRPr="002C3183" w:rsidDel="00E07E28">
        <w:t xml:space="preserve"> </w:t>
      </w:r>
      <w:r w:rsidRPr="002C3183" w:rsidDel="00E07E28">
        <w:rPr>
          <w:noProof/>
        </w:rPr>
        <w:t>(Anthon 1993a)</w:t>
      </w:r>
      <w:r w:rsidRPr="002C3183" w:rsidDel="00E07E28">
        <w:t xml:space="preserve">. </w:t>
      </w:r>
      <w:r w:rsidRPr="002C3183">
        <w:t>D</w:t>
      </w:r>
      <w:r w:rsidRPr="002C3183" w:rsidDel="00E07E28">
        <w:t xml:space="preserve">eformed fruits do not develop further </w:t>
      </w:r>
      <w:r>
        <w:rPr>
          <w:noProof/>
        </w:rPr>
        <w:t>(Anthon 1993a)</w:t>
      </w:r>
      <w:r w:rsidRPr="002C3183">
        <w:t xml:space="preserve"> </w:t>
      </w:r>
      <w:r w:rsidRPr="002C3183" w:rsidDel="00E07E28">
        <w:t xml:space="preserve">and </w:t>
      </w:r>
      <w:r w:rsidRPr="002C3183">
        <w:t>are</w:t>
      </w:r>
      <w:r w:rsidRPr="002C3183" w:rsidDel="00E07E28">
        <w:t xml:space="preserve"> expected to be </w:t>
      </w:r>
      <w:r w:rsidRPr="002C3183">
        <w:t>removed</w:t>
      </w:r>
      <w:r w:rsidRPr="002C3183" w:rsidDel="00E07E28">
        <w:t xml:space="preserve"> during harvesting and packing</w:t>
      </w:r>
      <w:r>
        <w:t xml:space="preserve"> </w:t>
      </w:r>
      <w:r w:rsidRPr="002C3183">
        <w:t>house</w:t>
      </w:r>
      <w:r w:rsidRPr="002C3183" w:rsidDel="00E07E28">
        <w:t xml:space="preserve"> processes. There is no information to suggest that the pest status of the three species of Lygus bugs in the PNW-USA has changed since the previous assessment for stone </w:t>
      </w:r>
      <w:r w:rsidRPr="00346245" w:rsidDel="00E07E28">
        <w:t xml:space="preserve">fruit from </w:t>
      </w:r>
      <w:r w:rsidRPr="00346245" w:rsidDel="00E07E28">
        <w:rPr>
          <w:rFonts w:eastAsia="Times New Roman" w:cs="Times New Roman"/>
          <w:color w:val="000000"/>
        </w:rPr>
        <w:t>California, Idaho, Oregon and Washington</w:t>
      </w:r>
      <w:r w:rsidRPr="00346245" w:rsidDel="00E07E28">
        <w:t>. For these reasons, the previous assessment of Very Low in the existing policy for the likelihood of importation of Lygus bugs is adopted for the PNW-USA apple pathway.</w:t>
      </w:r>
    </w:p>
    <w:p w14:paraId="29FC763C" w14:textId="77777777" w:rsidR="003438A2" w:rsidRPr="001A65C8" w:rsidDel="00786CBF" w:rsidRDefault="003438A2" w:rsidP="00C25EA7">
      <w:r w:rsidRPr="00346245" w:rsidDel="00786CBF">
        <w:rPr>
          <w:rFonts w:cs="Arial"/>
        </w:rPr>
        <w:t xml:space="preserve">Previous assessment of Lygus bugs on the stone fruit from </w:t>
      </w:r>
      <w:r w:rsidRPr="00346245" w:rsidDel="00786CBF">
        <w:rPr>
          <w:rFonts w:eastAsia="Times New Roman" w:cs="Times New Roman"/>
          <w:color w:val="000000"/>
        </w:rPr>
        <w:t>California, Idaho, Oregon</w:t>
      </w:r>
      <w:r w:rsidRPr="0068550A" w:rsidDel="00786CBF">
        <w:rPr>
          <w:rFonts w:eastAsia="Times New Roman" w:cs="Times New Roman"/>
          <w:color w:val="000000"/>
        </w:rPr>
        <w:t xml:space="preserve"> and Washington</w:t>
      </w:r>
      <w:r w:rsidDel="00786CBF">
        <w:rPr>
          <w:rFonts w:eastAsia="Times New Roman" w:cs="Times New Roman"/>
          <w:color w:val="000000"/>
        </w:rPr>
        <w:t xml:space="preserve"> </w:t>
      </w:r>
      <w:r w:rsidDel="00786CBF">
        <w:rPr>
          <w:rFonts w:cs="Arial"/>
        </w:rPr>
        <w:t xml:space="preserve">pathway </w:t>
      </w:r>
      <w:r w:rsidDel="00786CBF">
        <w:rPr>
          <w:rFonts w:cs="Arial"/>
          <w:noProof/>
        </w:rPr>
        <w:t>(Biosecurity Australia 2010b)</w:t>
      </w:r>
      <w:r w:rsidDel="00786CBF">
        <w:rPr>
          <w:rFonts w:cs="Arial"/>
        </w:rPr>
        <w:t xml:space="preserve"> rated the likelihood of distribution as Moderate. Apples from the PNW-USA are expected to be distributed in Australia</w:t>
      </w:r>
      <w:r>
        <w:rPr>
          <w:rFonts w:cs="Arial"/>
        </w:rPr>
        <w:t xml:space="preserve">, as a result of </w:t>
      </w:r>
      <w:r w:rsidRPr="00945121">
        <w:rPr>
          <w:color w:val="000000" w:themeColor="text1"/>
        </w:rPr>
        <w:t>processing, sale or disposal</w:t>
      </w:r>
      <w:r>
        <w:rPr>
          <w:color w:val="000000" w:themeColor="text1"/>
        </w:rPr>
        <w:t>,</w:t>
      </w:r>
      <w:r w:rsidDel="00786CBF">
        <w:rPr>
          <w:rFonts w:cs="Arial"/>
        </w:rPr>
        <w:t xml:space="preserve"> in a similar way to stone fruit from the </w:t>
      </w:r>
      <w:r w:rsidDel="00786CBF">
        <w:rPr>
          <w:rFonts w:eastAsia="Times New Roman" w:cs="Times New Roman"/>
          <w:color w:val="000000"/>
        </w:rPr>
        <w:t xml:space="preserve">California, </w:t>
      </w:r>
      <w:r w:rsidRPr="0068550A" w:rsidDel="00786CBF">
        <w:rPr>
          <w:rFonts w:eastAsia="Times New Roman" w:cs="Times New Roman"/>
          <w:color w:val="000000"/>
        </w:rPr>
        <w:t>Idaho, Oregon and Washington</w:t>
      </w:r>
      <w:r w:rsidDel="00786CBF">
        <w:rPr>
          <w:rFonts w:eastAsia="Times New Roman" w:cs="Times New Roman"/>
          <w:color w:val="000000"/>
        </w:rPr>
        <w:t xml:space="preserve"> </w:t>
      </w:r>
      <w:r w:rsidDel="00786CBF">
        <w:rPr>
          <w:rFonts w:cs="Arial"/>
        </w:rPr>
        <w:t xml:space="preserve">pathway </w:t>
      </w:r>
      <w:r w:rsidDel="00786CBF">
        <w:rPr>
          <w:rFonts w:cs="Arial"/>
          <w:noProof/>
        </w:rPr>
        <w:t>(Biosecurity Australia 2010b)</w:t>
      </w:r>
      <w:r w:rsidDel="00786CBF">
        <w:rPr>
          <w:rFonts w:cs="Arial"/>
        </w:rPr>
        <w:t xml:space="preserve">. Lygus bugs have a wide host range, and host material is likely to be continuously available in Australia. </w:t>
      </w:r>
      <w:r>
        <w:t>T</w:t>
      </w:r>
      <w:r w:rsidRPr="00B81F41">
        <w:t>here</w:t>
      </w:r>
      <w:r>
        <w:t xml:space="preserve">fore, any differences in time of year when imports of these 2 pathways occur </w:t>
      </w:r>
      <w:r w:rsidRPr="00B81F41">
        <w:t xml:space="preserve">would </w:t>
      </w:r>
      <w:r>
        <w:t xml:space="preserve">have very little impact on the availability and susceptibility of hosts at the time of imports to </w:t>
      </w:r>
      <w:r w:rsidRPr="00B81F41">
        <w:t>contribute to variation in the risk rating for likelihood of distribution</w:t>
      </w:r>
      <w:r>
        <w:t>.</w:t>
      </w:r>
      <w:r w:rsidRPr="000816D9" w:rsidDel="005A0915">
        <w:t xml:space="preserve"> </w:t>
      </w:r>
      <w:r>
        <w:t>Imported apples disposed of as waste through managed waste systems are considered unlikely to distribute Lygus bugs</w:t>
      </w:r>
      <w:r>
        <w:rPr>
          <w:i/>
        </w:rPr>
        <w:t xml:space="preserve"> </w:t>
      </w:r>
      <w:r>
        <w:t xml:space="preserve">into the environment. However, a small proportion of apple waste may be disposed of as litter throughout Australia in urban, peri-urban and agricultural situations, as well as areas of natural vegetation. </w:t>
      </w:r>
      <w:r w:rsidDel="00786CBF">
        <w:rPr>
          <w:rFonts w:cs="Arial"/>
        </w:rPr>
        <w:t>Lygus bugs</w:t>
      </w:r>
      <w:r>
        <w:rPr>
          <w:rFonts w:cs="Arial"/>
        </w:rPr>
        <w:t>, if present</w:t>
      </w:r>
      <w:r w:rsidDel="00786CBF">
        <w:rPr>
          <w:rFonts w:cs="Arial"/>
        </w:rPr>
        <w:t xml:space="preserve"> </w:t>
      </w:r>
      <w:r>
        <w:rPr>
          <w:rFonts w:cs="Arial"/>
        </w:rPr>
        <w:t>in fruit waste</w:t>
      </w:r>
      <w:r w:rsidDel="00786CBF">
        <w:rPr>
          <w:rFonts w:cs="Arial"/>
        </w:rPr>
        <w:t xml:space="preserve"> discarded in the environment, </w:t>
      </w:r>
      <w:r>
        <w:rPr>
          <w:rFonts w:cs="Arial"/>
        </w:rPr>
        <w:t>may</w:t>
      </w:r>
      <w:r w:rsidDel="00786CBF">
        <w:rPr>
          <w:rFonts w:cs="Arial"/>
        </w:rPr>
        <w:t xml:space="preserve"> be capable of finding </w:t>
      </w:r>
      <w:r w:rsidRPr="00431A98" w:rsidDel="00786CBF">
        <w:t xml:space="preserve">suitable hosts and laying eggs to start the life cycle. </w:t>
      </w:r>
      <w:r w:rsidDel="00786CBF">
        <w:t>For these reasons</w:t>
      </w:r>
      <w:r w:rsidRPr="00431A98" w:rsidDel="00786CBF">
        <w:t xml:space="preserve">, the same rating of Moderate for the likelihood of distribution </w:t>
      </w:r>
      <w:r w:rsidDel="00786CBF">
        <w:t>for</w:t>
      </w:r>
      <w:r w:rsidRPr="00431A98" w:rsidDel="00786CBF">
        <w:t xml:space="preserve"> Lygus bugs </w:t>
      </w:r>
      <w:r w:rsidDel="00786CBF">
        <w:t xml:space="preserve">on the stone fruit from California, Idaho, Oregon and </w:t>
      </w:r>
      <w:r w:rsidRPr="001A65C8" w:rsidDel="00786CBF">
        <w:t>Washington pathway is adopted for the PNW-USA apple pathway.</w:t>
      </w:r>
    </w:p>
    <w:p w14:paraId="5550B2F0" w14:textId="77777777" w:rsidR="003438A2" w:rsidRPr="001A65C8" w:rsidDel="00AC4A2F" w:rsidRDefault="003438A2" w:rsidP="00C25EA7">
      <w:r w:rsidRPr="001A65C8" w:rsidDel="00AC4A2F">
        <w:t xml:space="preserve">The likelihoods of establishment and spread of Lygus bugs in Australia from the PNW-USA apple pathway have been assessed as similar to those of the previous assessments, which were rated as High and Moderate respectively, for </w:t>
      </w:r>
      <w:r w:rsidRPr="001A65C8">
        <w:t xml:space="preserve">the </w:t>
      </w:r>
      <w:r w:rsidRPr="001A65C8" w:rsidDel="00AC4A2F">
        <w:rPr>
          <w:rFonts w:cs="Arial"/>
        </w:rPr>
        <w:t xml:space="preserve">stone fruit from </w:t>
      </w:r>
      <w:r w:rsidRPr="001A65C8" w:rsidDel="00AC4A2F">
        <w:rPr>
          <w:rFonts w:eastAsia="Times New Roman" w:cs="Times New Roman"/>
          <w:color w:val="000000"/>
        </w:rPr>
        <w:t xml:space="preserve">California, Idaho, Oregon and Washington pathway </w:t>
      </w:r>
      <w:r w:rsidRPr="001A65C8" w:rsidDel="00AC4A2F">
        <w:rPr>
          <w:rFonts w:cs="Arial"/>
          <w:noProof/>
        </w:rPr>
        <w:t>(Biosecurity Australia 2010b)</w:t>
      </w:r>
      <w:r w:rsidRPr="001A65C8" w:rsidDel="00AC4A2F">
        <w:t xml:space="preserve">. These likelihoods relate specifically to events that occur in Australia and are principally independent of the import pathway. The consequences of entry, establishment and spread of Lygus bugs are also independent of the import pathway and are considered to be similar between pest risk assessments, and rated as Moderate. Therefore, the existing ratings for the likelihoods of entry, </w:t>
      </w:r>
      <w:r>
        <w:t xml:space="preserve">of </w:t>
      </w:r>
      <w:r w:rsidRPr="001A65C8" w:rsidDel="00AC4A2F">
        <w:t xml:space="preserve">establishment and </w:t>
      </w:r>
      <w:r>
        <w:t xml:space="preserve">of </w:t>
      </w:r>
      <w:r w:rsidRPr="001A65C8" w:rsidDel="00AC4A2F">
        <w:t>spread, and the rating for the overall consequence of the three species of Lygus bugs have been adopted for the PNW-USA apple pathway.</w:t>
      </w:r>
    </w:p>
    <w:p w14:paraId="13ED848C" w14:textId="77777777" w:rsidR="003438A2" w:rsidRDefault="003438A2" w:rsidP="00C25EA7">
      <w:pPr>
        <w:rPr>
          <w:rFonts w:cs="Arial"/>
        </w:rPr>
      </w:pPr>
      <w:r w:rsidRPr="00B35575">
        <w:rPr>
          <w:rFonts w:cs="Arial"/>
        </w:rPr>
        <w:lastRenderedPageBreak/>
        <w:t>In addition, the department has reviewed the lat</w:t>
      </w:r>
      <w:r w:rsidRPr="00C92804">
        <w:rPr>
          <w:rFonts w:cs="Arial"/>
        </w:rPr>
        <w:t>est literature—for example,</w:t>
      </w:r>
      <w:r>
        <w:rPr>
          <w:rFonts w:cs="Arial"/>
        </w:rPr>
        <w:t xml:space="preserve"> </w:t>
      </w:r>
      <w:r>
        <w:rPr>
          <w:rFonts w:cs="Arial"/>
          <w:noProof/>
        </w:rPr>
        <w:t>Allen et al. (2018); Antwi and Rondon (2018); Cooper and Spurgeon (2015); EPPO (2019); Hagler, Jackson and Blackmer (2010) and Ugine (2012)</w:t>
      </w:r>
      <w:r>
        <w:rPr>
          <w:rFonts w:cs="Arial"/>
        </w:rPr>
        <w:t>. N</w:t>
      </w:r>
      <w:r w:rsidRPr="00B35575">
        <w:rPr>
          <w:rFonts w:cs="Arial"/>
        </w:rPr>
        <w:t xml:space="preserve">o new information </w:t>
      </w:r>
      <w:r>
        <w:rPr>
          <w:rFonts w:cs="Arial"/>
        </w:rPr>
        <w:t>has been identified that would</w:t>
      </w:r>
      <w:r w:rsidRPr="00B35575">
        <w:rPr>
          <w:rFonts w:cs="Arial"/>
        </w:rPr>
        <w:t xml:space="preserve"> significantly change the risk ratings for </w:t>
      </w:r>
      <w:r>
        <w:rPr>
          <w:rFonts w:cs="Arial"/>
        </w:rPr>
        <w:t xml:space="preserve">importation, </w:t>
      </w:r>
      <w:r w:rsidRPr="00B35575">
        <w:rPr>
          <w:rFonts w:cs="Arial"/>
        </w:rPr>
        <w:t xml:space="preserve">distribution, establishment, spread </w:t>
      </w:r>
      <w:r>
        <w:rPr>
          <w:rFonts w:cs="Arial"/>
        </w:rPr>
        <w:t>and</w:t>
      </w:r>
      <w:r w:rsidRPr="00B35575">
        <w:rPr>
          <w:rFonts w:cs="Arial"/>
        </w:rPr>
        <w:t xml:space="preserve"> conseq</w:t>
      </w:r>
      <w:r>
        <w:rPr>
          <w:rFonts w:cs="Arial"/>
        </w:rPr>
        <w:t>uences as set out for Lygus bugs</w:t>
      </w:r>
      <w:r w:rsidRPr="00B35575">
        <w:rPr>
          <w:rFonts w:cs="Arial"/>
        </w:rPr>
        <w:t xml:space="preserve"> in existing polic</w:t>
      </w:r>
      <w:r>
        <w:rPr>
          <w:rFonts w:cs="Arial"/>
        </w:rPr>
        <w:t>y</w:t>
      </w:r>
      <w:r w:rsidRPr="00B35575">
        <w:rPr>
          <w:rFonts w:cs="Arial"/>
        </w:rPr>
        <w:t>.</w:t>
      </w:r>
    </w:p>
    <w:p w14:paraId="1A029CCB" w14:textId="77777777" w:rsidR="003438A2" w:rsidRPr="0061441B" w:rsidRDefault="003438A2" w:rsidP="00C25EA7">
      <w:pPr>
        <w:pStyle w:val="Heading4"/>
      </w:pPr>
      <w:r w:rsidRPr="0061441B">
        <w:t>Likelihood of entry</w:t>
      </w:r>
    </w:p>
    <w:p w14:paraId="7145D87B" w14:textId="77777777" w:rsidR="003438A2" w:rsidRDefault="003438A2" w:rsidP="00C25EA7">
      <w:r w:rsidRPr="0052445C">
        <w:t xml:space="preserve">The likelihood of entry is considered in </w:t>
      </w:r>
      <w:r>
        <w:t>2</w:t>
      </w:r>
      <w:r w:rsidRPr="0052445C">
        <w:t xml:space="preserve"> parts, the likelihood of importation and the likelihood of distribution, which consider pre-border and post-border issues, respectively.</w:t>
      </w:r>
    </w:p>
    <w:p w14:paraId="1F8EE47E" w14:textId="77777777" w:rsidR="003438A2" w:rsidRPr="00F65A85" w:rsidRDefault="003438A2" w:rsidP="00F65A85">
      <w:pPr>
        <w:rPr>
          <w:rFonts w:ascii="Calibri" w:hAnsi="Calibri"/>
          <w:b/>
        </w:rPr>
      </w:pPr>
      <w:r w:rsidRPr="00F65A85">
        <w:rPr>
          <w:rFonts w:ascii="Calibri" w:hAnsi="Calibri"/>
          <w:b/>
        </w:rPr>
        <w:t>Likelihood of importation</w:t>
      </w:r>
    </w:p>
    <w:p w14:paraId="47E0685A" w14:textId="77777777" w:rsidR="003438A2" w:rsidRPr="003316E7" w:rsidRDefault="003438A2" w:rsidP="00C25EA7">
      <w:pPr>
        <w:rPr>
          <w:rFonts w:asciiTheme="majorHAnsi" w:hAnsiTheme="majorHAnsi"/>
          <w:bCs/>
        </w:rPr>
      </w:pPr>
      <w:r w:rsidRPr="00A3009B">
        <w:t xml:space="preserve">The likelihood that </w:t>
      </w:r>
      <w:r>
        <w:t xml:space="preserve">Lygus bugs </w:t>
      </w:r>
      <w:r w:rsidRPr="00A3009B">
        <w:t xml:space="preserve">will be </w:t>
      </w:r>
      <w:r>
        <w:t>imported into</w:t>
      </w:r>
      <w:r w:rsidRPr="00A3009B">
        <w:t xml:space="preserve"> Australia in a viable state </w:t>
      </w:r>
      <w:r>
        <w:t xml:space="preserve">on </w:t>
      </w:r>
      <w:r w:rsidRPr="00A3009B">
        <w:t xml:space="preserve">apples from the PNW-USA is considered to be similar to </w:t>
      </w:r>
      <w:r>
        <w:t xml:space="preserve">Lygus bugs </w:t>
      </w:r>
      <w:r w:rsidRPr="00A3009B">
        <w:rPr>
          <w:iCs/>
        </w:rPr>
        <w:t xml:space="preserve">on </w:t>
      </w:r>
      <w:r w:rsidRPr="00AA0BFC">
        <w:t>fresh stone fruit from California, Idaho, Oregon and Washington</w:t>
      </w:r>
      <w:r w:rsidRPr="00A3009B">
        <w:t xml:space="preserve">. Therefore, the same rating of </w:t>
      </w:r>
      <w:r>
        <w:t>Very Low</w:t>
      </w:r>
      <w:r w:rsidRPr="00A3009B">
        <w:t xml:space="preserve"> for the likelihood of </w:t>
      </w:r>
      <w:r>
        <w:t>importation</w:t>
      </w:r>
      <w:r w:rsidRPr="00A3009B">
        <w:t xml:space="preserve"> previously assessed for </w:t>
      </w:r>
      <w:r>
        <w:t xml:space="preserve">Lygus bugs </w:t>
      </w:r>
      <w:r w:rsidRPr="00A3009B">
        <w:rPr>
          <w:iCs/>
        </w:rPr>
        <w:t>on</w:t>
      </w:r>
      <w:r>
        <w:rPr>
          <w:iCs/>
        </w:rPr>
        <w:t xml:space="preserve"> the</w:t>
      </w:r>
      <w:r w:rsidRPr="00A3009B">
        <w:rPr>
          <w:iCs/>
        </w:rPr>
        <w:t xml:space="preserve"> </w:t>
      </w:r>
      <w:r w:rsidRPr="00AA0BFC">
        <w:t>fresh stone fruit from California, Idaho, Oregon and Washington</w:t>
      </w:r>
      <w:r w:rsidRPr="00A3009B">
        <w:rPr>
          <w:iCs/>
        </w:rPr>
        <w:t xml:space="preserve"> pathway is adopted for </w:t>
      </w:r>
      <w:r>
        <w:rPr>
          <w:iCs/>
        </w:rPr>
        <w:t xml:space="preserve">Lygus bugs </w:t>
      </w:r>
      <w:r w:rsidRPr="00A3009B">
        <w:rPr>
          <w:iCs/>
        </w:rPr>
        <w:t xml:space="preserve">on </w:t>
      </w:r>
      <w:r>
        <w:rPr>
          <w:iCs/>
        </w:rPr>
        <w:t xml:space="preserve">the </w:t>
      </w:r>
      <w:r w:rsidRPr="00A3009B">
        <w:rPr>
          <w:iCs/>
        </w:rPr>
        <w:t xml:space="preserve">apples from PNW-USA pathway. </w:t>
      </w:r>
    </w:p>
    <w:p w14:paraId="07100F7A" w14:textId="77777777" w:rsidR="003438A2" w:rsidRDefault="003438A2" w:rsidP="00C25EA7">
      <w:pPr>
        <w:pStyle w:val="Heading5"/>
        <w:rPr>
          <w:rFonts w:asciiTheme="majorHAnsi" w:hAnsiTheme="majorHAnsi"/>
          <w:b w:val="0"/>
          <w:bCs/>
        </w:rPr>
      </w:pPr>
      <w:r w:rsidRPr="00A3009B">
        <w:t>Likelihood of distribution</w:t>
      </w:r>
    </w:p>
    <w:p w14:paraId="0E2E7970" w14:textId="77777777" w:rsidR="003438A2" w:rsidRPr="00175958" w:rsidRDefault="003438A2" w:rsidP="00C25EA7">
      <w:r w:rsidRPr="00A3009B">
        <w:t xml:space="preserve">The likelihood that </w:t>
      </w:r>
      <w:r>
        <w:t xml:space="preserve">Lygus bugs </w:t>
      </w:r>
      <w:r w:rsidRPr="00A3009B">
        <w:t xml:space="preserve">will be distributed within Australia in a viable state as a result of the processing, sale or disposal of apples from the PNW-USA, and subsequently transfer to a susceptible part of a host is considered to be similar to </w:t>
      </w:r>
      <w:r>
        <w:t xml:space="preserve">Lygus bugs </w:t>
      </w:r>
      <w:r w:rsidRPr="00A3009B">
        <w:rPr>
          <w:iCs/>
        </w:rPr>
        <w:t xml:space="preserve">on </w:t>
      </w:r>
      <w:r w:rsidRPr="00AA0BFC">
        <w:t>fresh stone fruit from California, Idaho, Oregon and Washington</w:t>
      </w:r>
      <w:r w:rsidRPr="00A3009B">
        <w:t xml:space="preserve">. Therefore, the same rating of </w:t>
      </w:r>
      <w:r>
        <w:t>Moderate</w:t>
      </w:r>
      <w:r w:rsidRPr="00A3009B">
        <w:t xml:space="preserve"> for the likelihood of distribution previously assessed for </w:t>
      </w:r>
      <w:r>
        <w:t xml:space="preserve">Lygus bugs </w:t>
      </w:r>
      <w:r w:rsidRPr="00A3009B">
        <w:rPr>
          <w:iCs/>
        </w:rPr>
        <w:t>on</w:t>
      </w:r>
      <w:r>
        <w:rPr>
          <w:iCs/>
        </w:rPr>
        <w:t xml:space="preserve"> the</w:t>
      </w:r>
      <w:r w:rsidRPr="00A3009B">
        <w:rPr>
          <w:iCs/>
        </w:rPr>
        <w:t xml:space="preserve"> </w:t>
      </w:r>
      <w:r w:rsidRPr="00AA0BFC">
        <w:t>fresh stone fruit from California, Idaho, Oregon and Washington</w:t>
      </w:r>
      <w:r w:rsidRPr="00A3009B">
        <w:rPr>
          <w:iCs/>
        </w:rPr>
        <w:t xml:space="preserve"> pathway is adopted for </w:t>
      </w:r>
      <w:r>
        <w:rPr>
          <w:iCs/>
        </w:rPr>
        <w:t xml:space="preserve">Lygus bugs </w:t>
      </w:r>
      <w:r w:rsidRPr="00A3009B">
        <w:rPr>
          <w:iCs/>
        </w:rPr>
        <w:t xml:space="preserve">on </w:t>
      </w:r>
      <w:r>
        <w:rPr>
          <w:iCs/>
        </w:rPr>
        <w:t xml:space="preserve">the </w:t>
      </w:r>
      <w:r w:rsidRPr="00A3009B">
        <w:rPr>
          <w:iCs/>
        </w:rPr>
        <w:t xml:space="preserve">apples from PNW-USA pathway. </w:t>
      </w:r>
    </w:p>
    <w:p w14:paraId="27F5876B" w14:textId="77777777" w:rsidR="003438A2" w:rsidRPr="00A3009B" w:rsidRDefault="003438A2" w:rsidP="00C25EA7">
      <w:pPr>
        <w:pStyle w:val="Heading5"/>
      </w:pPr>
      <w:r w:rsidRPr="00A3009B">
        <w:t>Overall likelihood of entry</w:t>
      </w:r>
    </w:p>
    <w:p w14:paraId="1158E386" w14:textId="77777777" w:rsidR="003438A2" w:rsidRDefault="003438A2" w:rsidP="00C25EA7">
      <w:r>
        <w:t xml:space="preserve">The overall likelihood of entry is determined as Very Low by combining the adopted likelihood of importation of Very Low with the adopted likelihood of distribution of Moderate, </w:t>
      </w:r>
      <w:r w:rsidRPr="00945121">
        <w:rPr>
          <w:rFonts w:cstheme="minorHAnsi"/>
        </w:rPr>
        <w:t xml:space="preserve">using the matrix of rules in </w:t>
      </w:r>
      <w:r>
        <w:rPr>
          <w:rFonts w:cstheme="minorHAnsi"/>
        </w:rPr>
        <w:fldChar w:fldCharType="begin" w:fldLock="1"/>
      </w:r>
      <w:r>
        <w:rPr>
          <w:rFonts w:cstheme="minorHAnsi"/>
        </w:rPr>
        <w:instrText xml:space="preserve"> REF _Ref457826328 \h </w:instrText>
      </w:r>
      <w:r>
        <w:rPr>
          <w:rFonts w:cstheme="minorHAnsi"/>
        </w:rPr>
      </w:r>
      <w:r>
        <w:rPr>
          <w:rFonts w:cstheme="minorHAnsi"/>
        </w:rPr>
        <w:fldChar w:fldCharType="separate"/>
      </w:r>
      <w:r w:rsidRPr="00DB5F8D">
        <w:t xml:space="preserve">Table </w:t>
      </w:r>
      <w:r>
        <w:rPr>
          <w:noProof/>
        </w:rPr>
        <w:t>2</w:t>
      </w:r>
      <w:r>
        <w:t>.</w:t>
      </w:r>
      <w:r>
        <w:rPr>
          <w:noProof/>
        </w:rPr>
        <w:t>2</w:t>
      </w:r>
      <w:r>
        <w:rPr>
          <w:rFonts w:cstheme="minorHAnsi"/>
        </w:rPr>
        <w:fldChar w:fldCharType="end"/>
      </w:r>
      <w:r>
        <w:t>.</w:t>
      </w:r>
    </w:p>
    <w:p w14:paraId="1A1D4261" w14:textId="77777777" w:rsidR="003438A2" w:rsidRDefault="003438A2" w:rsidP="00C25EA7">
      <w:pPr>
        <w:pStyle w:val="Heading4"/>
      </w:pPr>
      <w:r w:rsidRPr="00826514">
        <w:t>Likelihood</w:t>
      </w:r>
      <w:r>
        <w:t>s</w:t>
      </w:r>
      <w:r w:rsidRPr="00826514">
        <w:t xml:space="preserve"> of establishment and spread</w:t>
      </w:r>
    </w:p>
    <w:p w14:paraId="6F884DA4" w14:textId="77777777" w:rsidR="003438A2" w:rsidRPr="00DC62A3" w:rsidRDefault="003438A2" w:rsidP="00C25EA7">
      <w:pPr>
        <w:autoSpaceDE w:val="0"/>
        <w:autoSpaceDN w:val="0"/>
        <w:adjustRightInd w:val="0"/>
        <w:rPr>
          <w:rFonts w:cstheme="minorHAnsi"/>
        </w:rPr>
      </w:pPr>
      <w:r w:rsidRPr="00A3009B">
        <w:rPr>
          <w:rFonts w:cstheme="minorHAnsi"/>
        </w:rPr>
        <w:t xml:space="preserve">The likelihoods of establishment and spread for </w:t>
      </w:r>
      <w:r>
        <w:rPr>
          <w:rFonts w:cstheme="minorHAnsi"/>
        </w:rPr>
        <w:t xml:space="preserve">Lygus bugs </w:t>
      </w:r>
      <w:r w:rsidRPr="00A3009B">
        <w:rPr>
          <w:rFonts w:cstheme="minorHAnsi"/>
        </w:rPr>
        <w:t xml:space="preserve">are independent of the import pathway and are considered similar to those previously assessed for </w:t>
      </w:r>
      <w:r>
        <w:rPr>
          <w:rFonts w:cstheme="minorHAnsi"/>
        </w:rPr>
        <w:t xml:space="preserve">the </w:t>
      </w:r>
      <w:r w:rsidRPr="00AA0BFC">
        <w:t xml:space="preserve">fresh stone fruit from California, Idaho, Oregon and </w:t>
      </w:r>
      <w:r w:rsidRPr="00DC62A3">
        <w:t>Washington</w:t>
      </w:r>
      <w:r w:rsidRPr="00DC62A3">
        <w:rPr>
          <w:iCs/>
        </w:rPr>
        <w:t xml:space="preserve"> </w:t>
      </w:r>
      <w:r w:rsidRPr="00DC62A3">
        <w:rPr>
          <w:rFonts w:cstheme="minorHAnsi"/>
        </w:rPr>
        <w:t>pathway.</w:t>
      </w:r>
    </w:p>
    <w:p w14:paraId="5B177494" w14:textId="77777777" w:rsidR="003438A2" w:rsidRPr="00A3009B" w:rsidRDefault="003438A2" w:rsidP="00C25EA7">
      <w:pPr>
        <w:autoSpaceDE w:val="0"/>
        <w:autoSpaceDN w:val="0"/>
        <w:adjustRightInd w:val="0"/>
      </w:pPr>
      <w:r w:rsidRPr="00DC62A3">
        <w:rPr>
          <w:rFonts w:cstheme="minorHAnsi"/>
        </w:rPr>
        <w:t xml:space="preserve">Based on the previous assessment for </w:t>
      </w:r>
      <w:r w:rsidRPr="00DC62A3">
        <w:t xml:space="preserve">fresh stone fruit from California, Idaho, Oregon and Washington </w:t>
      </w:r>
      <w:r w:rsidRPr="00DC62A3">
        <w:rPr>
          <w:noProof/>
        </w:rPr>
        <w:t xml:space="preserve">(Biosecurity Australia 2010b), </w:t>
      </w:r>
      <w:r w:rsidRPr="00DC62A3">
        <w:rPr>
          <w:rFonts w:cstheme="minorHAnsi"/>
        </w:rPr>
        <w:t>the likelihoods of establishment and spread for Lygus bugs are assessed as High and Moderate, respectively</w:t>
      </w:r>
      <w:r w:rsidRPr="00A3009B">
        <w:rPr>
          <w:rFonts w:cstheme="minorHAnsi"/>
        </w:rPr>
        <w:t>.</w:t>
      </w:r>
    </w:p>
    <w:p w14:paraId="2DE0301A" w14:textId="77777777" w:rsidR="003438A2" w:rsidRPr="002306B4" w:rsidRDefault="003438A2" w:rsidP="00C25EA7">
      <w:pPr>
        <w:pStyle w:val="Heading4"/>
      </w:pPr>
      <w:r w:rsidRPr="002306B4">
        <w:t>Overall likelihood of entry, establishment and spread</w:t>
      </w:r>
    </w:p>
    <w:p w14:paraId="0CA22339" w14:textId="77777777" w:rsidR="003438A2" w:rsidRPr="002306B4" w:rsidRDefault="003438A2" w:rsidP="00C25EA7">
      <w:pPr>
        <w:autoSpaceDE w:val="0"/>
        <w:autoSpaceDN w:val="0"/>
        <w:adjustRightInd w:val="0"/>
      </w:pPr>
      <w:r w:rsidRPr="002306B4">
        <w:t xml:space="preserve">The overall likelihood of entry, establishment and spread is determined by combining the likelihoods of entry, of establishment and of spread using the matrix of rules shown in </w:t>
      </w:r>
      <w:r>
        <w:fldChar w:fldCharType="begin" w:fldLock="1"/>
      </w:r>
      <w:r>
        <w:instrText xml:space="preserve"> REF _Ref457826328 \h </w:instrText>
      </w:r>
      <w:r>
        <w:fldChar w:fldCharType="separate"/>
      </w:r>
      <w:r w:rsidRPr="00DB5F8D">
        <w:t xml:space="preserve">Table </w:t>
      </w:r>
      <w:r>
        <w:rPr>
          <w:noProof/>
        </w:rPr>
        <w:t>2</w:t>
      </w:r>
      <w:r>
        <w:t>.</w:t>
      </w:r>
      <w:r>
        <w:rPr>
          <w:noProof/>
        </w:rPr>
        <w:t>2</w:t>
      </w:r>
      <w:r>
        <w:fldChar w:fldCharType="end"/>
      </w:r>
      <w:r w:rsidRPr="002306B4">
        <w:t>.</w:t>
      </w:r>
    </w:p>
    <w:p w14:paraId="432E0A03" w14:textId="77777777" w:rsidR="003438A2" w:rsidRPr="002306B4" w:rsidRDefault="003438A2" w:rsidP="00C25EA7">
      <w:pPr>
        <w:autoSpaceDE w:val="0"/>
        <w:autoSpaceDN w:val="0"/>
        <w:adjustRightInd w:val="0"/>
        <w:rPr>
          <w:rFonts w:cstheme="minorHAnsi"/>
        </w:rPr>
      </w:pPr>
      <w:r w:rsidRPr="002306B4">
        <w:lastRenderedPageBreak/>
        <w:t xml:space="preserve">The overall likelihood that </w:t>
      </w:r>
      <w:r>
        <w:t xml:space="preserve">Lygus bugs </w:t>
      </w:r>
      <w:r w:rsidRPr="002306B4">
        <w:t xml:space="preserve">will enter Australia as a result of trade in apples from the PNW-USA, be distributed in a viable state to a susceptible part of a host, establish in Australia and subsequently spread within Australia is assessed as </w:t>
      </w:r>
      <w:r>
        <w:t>Very L</w:t>
      </w:r>
      <w:r w:rsidRPr="002306B4">
        <w:t>ow</w:t>
      </w:r>
      <w:r w:rsidRPr="002306B4">
        <w:rPr>
          <w:rFonts w:cstheme="minorHAnsi"/>
        </w:rPr>
        <w:t>.</w:t>
      </w:r>
    </w:p>
    <w:p w14:paraId="5842F9CB" w14:textId="77777777" w:rsidR="003438A2" w:rsidRPr="00A3009B" w:rsidRDefault="003438A2" w:rsidP="00C25EA7">
      <w:pPr>
        <w:pStyle w:val="Heading4"/>
      </w:pPr>
      <w:r w:rsidRPr="00A3009B">
        <w:t>Consequences</w:t>
      </w:r>
    </w:p>
    <w:p w14:paraId="1C75BF62" w14:textId="77777777" w:rsidR="003438A2" w:rsidRPr="00A3009B" w:rsidRDefault="003438A2" w:rsidP="00C25EA7">
      <w:pPr>
        <w:autoSpaceDE w:val="0"/>
        <w:autoSpaceDN w:val="0"/>
        <w:adjustRightInd w:val="0"/>
        <w:rPr>
          <w:rFonts w:cstheme="minorHAnsi"/>
        </w:rPr>
      </w:pPr>
      <w:r w:rsidRPr="00A3009B">
        <w:t xml:space="preserve">The potential consequences of the entry, establishment and spread of </w:t>
      </w:r>
      <w:r>
        <w:t xml:space="preserve">Lygus bugs </w:t>
      </w:r>
      <w:r w:rsidRPr="00A3009B">
        <w:t xml:space="preserve">in Australia are similar to those in the previous assessment for </w:t>
      </w:r>
      <w:r w:rsidRPr="003316E7">
        <w:t>Lygus bugs</w:t>
      </w:r>
      <w:r w:rsidRPr="00A3009B">
        <w:t xml:space="preserve"> on </w:t>
      </w:r>
      <w:r>
        <w:t xml:space="preserve">the </w:t>
      </w:r>
      <w:r w:rsidRPr="00AA0BFC">
        <w:t>stone fruit from California, Idaho, Oregon and Washington</w:t>
      </w:r>
      <w:r w:rsidRPr="00A3009B">
        <w:t xml:space="preserve"> pathway, which were assessed as </w:t>
      </w:r>
      <w:r>
        <w:t xml:space="preserve">High </w:t>
      </w:r>
      <w:r w:rsidDel="00E07E28">
        <w:rPr>
          <w:rFonts w:cs="Arial"/>
          <w:noProof/>
        </w:rPr>
        <w:t>(Biosecurity Australia 2010b)</w:t>
      </w:r>
      <w:r>
        <w:rPr>
          <w:rFonts w:cs="Arial"/>
        </w:rPr>
        <w:t xml:space="preserve">. </w:t>
      </w:r>
      <w:r w:rsidRPr="00A3009B">
        <w:t xml:space="preserve">The overall consequences for </w:t>
      </w:r>
      <w:r>
        <w:t xml:space="preserve">Lygus bugs </w:t>
      </w:r>
      <w:r w:rsidRPr="00A3009B">
        <w:t>on</w:t>
      </w:r>
      <w:r>
        <w:t xml:space="preserve"> the</w:t>
      </w:r>
      <w:r w:rsidRPr="00A3009B">
        <w:t xml:space="preserve"> apples from PNW-USA pathway are also assessed as </w:t>
      </w:r>
      <w:r>
        <w:t>Moderate</w:t>
      </w:r>
      <w:r w:rsidRPr="00A3009B">
        <w:t>.</w:t>
      </w:r>
    </w:p>
    <w:p w14:paraId="6C3BD5E3" w14:textId="77777777" w:rsidR="003438A2" w:rsidRPr="00C35FD7" w:rsidRDefault="003438A2" w:rsidP="00C25EA7">
      <w:pPr>
        <w:pStyle w:val="Heading4"/>
      </w:pPr>
      <w:r w:rsidRPr="00C35FD7">
        <w:t>Unrestricted risk estimate</w:t>
      </w:r>
    </w:p>
    <w:p w14:paraId="4E8943A6" w14:textId="77777777" w:rsidR="003438A2" w:rsidRPr="00945121" w:rsidRDefault="003438A2" w:rsidP="00C25EA7">
      <w:r w:rsidRPr="00945121">
        <w:t xml:space="preserve">Unrestricted risk is the result of combining the </w:t>
      </w:r>
      <w:r>
        <w:t>overall likelihood</w:t>
      </w:r>
      <w:r w:rsidRPr="00945121">
        <w:t xml:space="preserve"> of entry, establishment and spread with the outcome of overall consequences. </w:t>
      </w:r>
      <w:r>
        <w:t>The overall l</w:t>
      </w:r>
      <w:r w:rsidRPr="00945121">
        <w:t xml:space="preserve">ikelihood and consequences are combined using the risk estimation matrix shown in </w:t>
      </w:r>
      <w:r>
        <w:fldChar w:fldCharType="begin" w:fldLock="1"/>
      </w:r>
      <w:r>
        <w:instrText xml:space="preserve"> REF _Ref457826369 \h </w:instrText>
      </w:r>
      <w:r>
        <w:fldChar w:fldCharType="separate"/>
      </w:r>
      <w:r>
        <w:t xml:space="preserve">Table </w:t>
      </w:r>
      <w:r>
        <w:rPr>
          <w:noProof/>
        </w:rPr>
        <w:t>2</w:t>
      </w:r>
      <w:r>
        <w:t>.</w:t>
      </w:r>
      <w:r>
        <w:rPr>
          <w:noProof/>
        </w:rPr>
        <w:t>5</w:t>
      </w:r>
      <w:r>
        <w:fldChar w:fldCharType="end"/>
      </w:r>
      <w:r w:rsidRPr="00945121">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3438A2" w:rsidRPr="00A3009B" w14:paraId="107CB4A6" w14:textId="77777777" w:rsidTr="005F2743">
        <w:trPr>
          <w:trHeight w:val="423"/>
        </w:trPr>
        <w:tc>
          <w:tcPr>
            <w:tcW w:w="5000" w:type="pct"/>
            <w:gridSpan w:val="2"/>
            <w:tcBorders>
              <w:top w:val="single" w:sz="4" w:space="0" w:color="auto"/>
              <w:bottom w:val="single" w:sz="4" w:space="0" w:color="auto"/>
            </w:tcBorders>
            <w:shd w:val="clear" w:color="auto" w:fill="auto"/>
          </w:tcPr>
          <w:p w14:paraId="02F51D96" w14:textId="77777777" w:rsidR="003438A2" w:rsidRPr="00A3009B" w:rsidRDefault="003438A2" w:rsidP="005F2743">
            <w:pPr>
              <w:pStyle w:val="TableHeading"/>
            </w:pPr>
            <w:r w:rsidRPr="00A3009B">
              <w:t xml:space="preserve">Unrestricted risk estimate for </w:t>
            </w:r>
            <w:r>
              <w:t>Lygus bugs</w:t>
            </w:r>
          </w:p>
        </w:tc>
      </w:tr>
      <w:tr w:rsidR="003438A2" w:rsidRPr="00A3009B" w14:paraId="232B5075" w14:textId="77777777" w:rsidTr="005F2743">
        <w:trPr>
          <w:trHeight w:val="273"/>
        </w:trPr>
        <w:tc>
          <w:tcPr>
            <w:tcW w:w="3417" w:type="pct"/>
            <w:tcBorders>
              <w:top w:val="single" w:sz="4" w:space="0" w:color="auto"/>
              <w:bottom w:val="nil"/>
            </w:tcBorders>
            <w:shd w:val="clear" w:color="auto" w:fill="auto"/>
          </w:tcPr>
          <w:p w14:paraId="1B2AFDC8" w14:textId="77777777" w:rsidR="003438A2" w:rsidRPr="00A3009B" w:rsidRDefault="003438A2" w:rsidP="005F2743">
            <w:pPr>
              <w:pStyle w:val="TableText"/>
            </w:pPr>
            <w:r w:rsidRPr="00A3009B">
              <w:t>Overall likelihood of entry, establishment and spread</w:t>
            </w:r>
          </w:p>
        </w:tc>
        <w:tc>
          <w:tcPr>
            <w:tcW w:w="1583" w:type="pct"/>
            <w:tcBorders>
              <w:top w:val="single" w:sz="4" w:space="0" w:color="auto"/>
              <w:bottom w:val="nil"/>
            </w:tcBorders>
            <w:shd w:val="clear" w:color="auto" w:fill="auto"/>
          </w:tcPr>
          <w:p w14:paraId="5B5691FC" w14:textId="77777777" w:rsidR="003438A2" w:rsidRPr="00A3009B" w:rsidRDefault="003438A2" w:rsidP="005F2743">
            <w:pPr>
              <w:pStyle w:val="TableText"/>
            </w:pPr>
            <w:r>
              <w:t>Very Low</w:t>
            </w:r>
          </w:p>
        </w:tc>
      </w:tr>
      <w:tr w:rsidR="003438A2" w:rsidRPr="00A3009B" w14:paraId="56E167F5" w14:textId="77777777" w:rsidTr="005F2743">
        <w:trPr>
          <w:trHeight w:val="284"/>
        </w:trPr>
        <w:tc>
          <w:tcPr>
            <w:tcW w:w="3417" w:type="pct"/>
            <w:tcBorders>
              <w:top w:val="nil"/>
              <w:bottom w:val="nil"/>
            </w:tcBorders>
            <w:shd w:val="clear" w:color="auto" w:fill="auto"/>
          </w:tcPr>
          <w:p w14:paraId="4FBA5F29" w14:textId="77777777" w:rsidR="003438A2" w:rsidRPr="00A3009B" w:rsidRDefault="003438A2" w:rsidP="005F2743">
            <w:pPr>
              <w:pStyle w:val="TableText"/>
            </w:pPr>
            <w:r w:rsidRPr="00A3009B">
              <w:t>Consequences</w:t>
            </w:r>
          </w:p>
        </w:tc>
        <w:tc>
          <w:tcPr>
            <w:tcW w:w="1583" w:type="pct"/>
            <w:tcBorders>
              <w:top w:val="nil"/>
              <w:bottom w:val="nil"/>
            </w:tcBorders>
            <w:shd w:val="clear" w:color="auto" w:fill="auto"/>
          </w:tcPr>
          <w:p w14:paraId="3BE18CC0" w14:textId="77777777" w:rsidR="003438A2" w:rsidRPr="00A3009B" w:rsidRDefault="003438A2" w:rsidP="005F2743">
            <w:pPr>
              <w:pStyle w:val="TableText"/>
            </w:pPr>
            <w:r>
              <w:t>Moderate</w:t>
            </w:r>
          </w:p>
        </w:tc>
      </w:tr>
      <w:tr w:rsidR="003438A2" w:rsidRPr="00A3009B" w14:paraId="427D886D" w14:textId="77777777" w:rsidTr="005F2743">
        <w:trPr>
          <w:trHeight w:val="284"/>
        </w:trPr>
        <w:tc>
          <w:tcPr>
            <w:tcW w:w="3417" w:type="pct"/>
            <w:tcBorders>
              <w:top w:val="nil"/>
              <w:bottom w:val="single" w:sz="4" w:space="0" w:color="auto"/>
            </w:tcBorders>
            <w:shd w:val="clear" w:color="auto" w:fill="auto"/>
          </w:tcPr>
          <w:p w14:paraId="205E036A" w14:textId="77777777" w:rsidR="003438A2" w:rsidRPr="00A3009B" w:rsidRDefault="003438A2" w:rsidP="005F2743">
            <w:pPr>
              <w:pStyle w:val="TableText"/>
            </w:pPr>
            <w:r w:rsidRPr="00A3009B">
              <w:t>Unrestricted risk</w:t>
            </w:r>
          </w:p>
        </w:tc>
        <w:tc>
          <w:tcPr>
            <w:tcW w:w="1583" w:type="pct"/>
            <w:tcBorders>
              <w:top w:val="nil"/>
              <w:bottom w:val="single" w:sz="4" w:space="0" w:color="auto"/>
            </w:tcBorders>
            <w:shd w:val="clear" w:color="auto" w:fill="auto"/>
          </w:tcPr>
          <w:p w14:paraId="51B5B214" w14:textId="77777777" w:rsidR="003438A2" w:rsidRPr="00A3009B" w:rsidRDefault="003438A2" w:rsidP="005F2743">
            <w:pPr>
              <w:pStyle w:val="TableText"/>
            </w:pPr>
            <w:r>
              <w:t>Very Low</w:t>
            </w:r>
          </w:p>
        </w:tc>
      </w:tr>
    </w:tbl>
    <w:p w14:paraId="64E78B4C" w14:textId="77777777" w:rsidR="003438A2" w:rsidRPr="003A0CF6" w:rsidRDefault="003438A2" w:rsidP="00C25EA7">
      <w:r>
        <w:t>T</w:t>
      </w:r>
      <w:r w:rsidRPr="0094682F">
        <w:t xml:space="preserve">he unrestricted risk estimate for </w:t>
      </w:r>
      <w:r>
        <w:t xml:space="preserve">Lygus bugs on apples from the PNW-USA has been assessed </w:t>
      </w:r>
      <w:r w:rsidRPr="0094682F">
        <w:t xml:space="preserve">as </w:t>
      </w:r>
      <w:r>
        <w:t>Very Low</w:t>
      </w:r>
      <w:r w:rsidRPr="0094682F">
        <w:t xml:space="preserve">, which </w:t>
      </w:r>
      <w:r>
        <w:t>achieves</w:t>
      </w:r>
      <w:r w:rsidRPr="0094682F">
        <w:t xml:space="preserve"> </w:t>
      </w:r>
      <w:r>
        <w:t xml:space="preserve">the ALOP for Australia. Therefore, no </w:t>
      </w:r>
      <w:r w:rsidRPr="0094682F">
        <w:t xml:space="preserve">specific risk management measures are required for </w:t>
      </w:r>
      <w:r>
        <w:t>Lygus bugs on the PNW-USA apple pathway</w:t>
      </w:r>
      <w:r w:rsidRPr="0094682F">
        <w:t>.</w:t>
      </w:r>
    </w:p>
    <w:p w14:paraId="21D7CA50" w14:textId="77777777" w:rsidR="003438A2" w:rsidRDefault="003438A2" w:rsidP="00C25EA7">
      <w:pPr>
        <w:pStyle w:val="ListParagraph"/>
        <w:keepNext/>
        <w:keepLines/>
        <w:numPr>
          <w:ilvl w:val="2"/>
          <w:numId w:val="11"/>
        </w:numPr>
        <w:tabs>
          <w:tab w:val="num" w:pos="1786"/>
        </w:tabs>
        <w:spacing w:before="120" w:after="120" w:line="240" w:lineRule="auto"/>
        <w:outlineLvl w:val="3"/>
      </w:pPr>
      <w:r>
        <w:br w:type="page"/>
      </w:r>
    </w:p>
    <w:p w14:paraId="6E792185" w14:textId="77777777" w:rsidR="003438A2" w:rsidRPr="00DF4910" w:rsidRDefault="003438A2" w:rsidP="00C25EA7">
      <w:pPr>
        <w:pStyle w:val="Heading3"/>
      </w:pPr>
      <w:bookmarkStart w:id="240" w:name="_Toc112769008"/>
      <w:bookmarkStart w:id="241" w:name="_Hlk89347772"/>
      <w:bookmarkEnd w:id="230"/>
      <w:bookmarkEnd w:id="231"/>
      <w:bookmarkEnd w:id="232"/>
      <w:r w:rsidRPr="00DF4910">
        <w:lastRenderedPageBreak/>
        <w:t>Mealybugs</w:t>
      </w:r>
      <w:bookmarkEnd w:id="240"/>
    </w:p>
    <w:p w14:paraId="3807EFF1" w14:textId="77777777" w:rsidR="003438A2" w:rsidRPr="00561F98" w:rsidRDefault="003438A2" w:rsidP="00C25EA7">
      <w:pPr>
        <w:pStyle w:val="Heading4"/>
        <w:numPr>
          <w:ilvl w:val="0"/>
          <w:numId w:val="0"/>
        </w:numPr>
      </w:pPr>
      <w:r w:rsidRPr="00561F98">
        <w:rPr>
          <w:i/>
          <w:iCs w:val="0"/>
        </w:rPr>
        <w:t>Phenacoccus aceris</w:t>
      </w:r>
      <w:r w:rsidRPr="00561F98">
        <w:t xml:space="preserve"> (GP) and </w:t>
      </w:r>
      <w:r w:rsidRPr="00561F98">
        <w:rPr>
          <w:i/>
          <w:iCs w:val="0"/>
        </w:rPr>
        <w:t>Pseudococcus maritimus</w:t>
      </w:r>
      <w:r w:rsidRPr="00561F98">
        <w:t xml:space="preserve"> (GP)</w:t>
      </w:r>
    </w:p>
    <w:p w14:paraId="238CB783" w14:textId="56861806" w:rsidR="003438A2" w:rsidRDefault="003438A2" w:rsidP="00C25EA7">
      <w:r>
        <w:t>Two</w:t>
      </w:r>
      <w:r w:rsidRPr="00A51F72">
        <w:t xml:space="preserve"> </w:t>
      </w:r>
      <w:r>
        <w:t>mealybug</w:t>
      </w:r>
      <w:r w:rsidRPr="00A51F72">
        <w:t xml:space="preserve"> species were identified on </w:t>
      </w:r>
      <w:r>
        <w:t xml:space="preserve">the </w:t>
      </w:r>
      <w:r w:rsidRPr="00161CCF">
        <w:t xml:space="preserve">fresh apple fruit from </w:t>
      </w:r>
      <w:r>
        <w:t>PNW-USA</w:t>
      </w:r>
      <w:r w:rsidRPr="00A51F72">
        <w:t xml:space="preserve"> </w:t>
      </w:r>
      <w:r w:rsidRPr="008A56FE">
        <w:t>pathway</w:t>
      </w:r>
      <w:r w:rsidRPr="00A51F72">
        <w:t xml:space="preserve"> </w:t>
      </w:r>
      <w:r>
        <w:t>as</w:t>
      </w:r>
      <w:r w:rsidRPr="00A51F72">
        <w:t xml:space="preserve"> quarantine pests for Australia</w:t>
      </w:r>
      <w:r w:rsidR="003830A3">
        <w:t>,</w:t>
      </w:r>
      <w:r w:rsidRPr="00161CCF">
        <w:t xml:space="preserve"> </w:t>
      </w:r>
      <w:r w:rsidRPr="00EB156E">
        <w:rPr>
          <w:i/>
        </w:rPr>
        <w:t>P</w:t>
      </w:r>
      <w:r w:rsidRPr="005C5B3A">
        <w:rPr>
          <w:i/>
        </w:rPr>
        <w:t>henacoccus</w:t>
      </w:r>
      <w:r w:rsidRPr="00EB156E">
        <w:rPr>
          <w:i/>
        </w:rPr>
        <w:t xml:space="preserve"> aceris</w:t>
      </w:r>
      <w:r w:rsidRPr="00EB156E">
        <w:t xml:space="preserve"> </w:t>
      </w:r>
      <w:r>
        <w:t xml:space="preserve">(apple mealybug) </w:t>
      </w:r>
      <w:r w:rsidRPr="00A51F72">
        <w:t xml:space="preserve">and </w:t>
      </w:r>
      <w:r w:rsidRPr="00EB156E">
        <w:rPr>
          <w:i/>
        </w:rPr>
        <w:t>P</w:t>
      </w:r>
      <w:r w:rsidRPr="005C5B3A">
        <w:rPr>
          <w:i/>
        </w:rPr>
        <w:t>seudococcus</w:t>
      </w:r>
      <w:r w:rsidRPr="00EB156E">
        <w:rPr>
          <w:i/>
        </w:rPr>
        <w:t xml:space="preserve"> </w:t>
      </w:r>
      <w:r>
        <w:rPr>
          <w:i/>
        </w:rPr>
        <w:t>maritimus</w:t>
      </w:r>
      <w:r>
        <w:rPr>
          <w:iCs/>
        </w:rPr>
        <w:t xml:space="preserve"> (grape mealybug).</w:t>
      </w:r>
    </w:p>
    <w:p w14:paraId="6868D097" w14:textId="77777777" w:rsidR="003438A2" w:rsidRPr="00161CCF" w:rsidRDefault="003438A2" w:rsidP="00C25EA7">
      <w:bookmarkStart w:id="242" w:name="_Hlk101947804"/>
      <w:r w:rsidRPr="00161CCF">
        <w:t xml:space="preserve">The indicative likelihood of entry for all mealybugs is assessed in the mealybugs Group PRA as </w:t>
      </w:r>
      <w:r w:rsidRPr="003830A3">
        <w:t xml:space="preserve">Moderate </w:t>
      </w:r>
      <w:r w:rsidRPr="003830A3">
        <w:rPr>
          <w:noProof/>
        </w:rPr>
        <w:t>(DAWR 2019)</w:t>
      </w:r>
      <w:r w:rsidRPr="003830A3">
        <w:t>.</w:t>
      </w:r>
      <w:r w:rsidRPr="00161CCF">
        <w:t xml:space="preserve"> </w:t>
      </w:r>
      <w:r w:rsidRPr="00161CCF">
        <w:rPr>
          <w:i/>
        </w:rPr>
        <w:t>Phenacoccus aceris</w:t>
      </w:r>
      <w:r w:rsidRPr="00161CCF">
        <w:t xml:space="preserve"> is reported to be present in Oregon and Washington </w:t>
      </w:r>
      <w:r w:rsidRPr="00161CCF">
        <w:rPr>
          <w:noProof/>
        </w:rPr>
        <w:t>(Beers 2007a, 2008)</w:t>
      </w:r>
      <w:r w:rsidRPr="00161CCF">
        <w:t xml:space="preserve">, and is reported to feed on apple fruit, often in the calyx region </w:t>
      </w:r>
      <w:r w:rsidRPr="00161CCF">
        <w:rPr>
          <w:noProof/>
        </w:rPr>
        <w:t>(Beers</w:t>
      </w:r>
      <w:r>
        <w:rPr>
          <w:noProof/>
        </w:rPr>
        <w:t xml:space="preserve"> </w:t>
      </w:r>
      <w:r w:rsidRPr="00161CCF">
        <w:rPr>
          <w:noProof/>
        </w:rPr>
        <w:t>2007a, 2008)</w:t>
      </w:r>
      <w:r w:rsidRPr="00161CCF">
        <w:t xml:space="preserve">. </w:t>
      </w:r>
      <w:r w:rsidRPr="00161CCF">
        <w:rPr>
          <w:i/>
        </w:rPr>
        <w:t xml:space="preserve">Pseudococcus maritimus </w:t>
      </w:r>
      <w:r w:rsidRPr="00161CCF">
        <w:t>is reported to be present in Idaho, Oregon and Washington</w:t>
      </w:r>
      <w:r>
        <w:t xml:space="preserve"> </w:t>
      </w:r>
      <w:r>
        <w:rPr>
          <w:noProof/>
        </w:rPr>
        <w:t>(APHIS 2007; García Morales et al. 2016)</w:t>
      </w:r>
      <w:r w:rsidRPr="00161CCF">
        <w:t xml:space="preserve">. Standard packing house procedures and transportation are not expected to eliminate </w:t>
      </w:r>
      <w:r w:rsidRPr="00161CCF">
        <w:rPr>
          <w:iCs/>
        </w:rPr>
        <w:t>these mealybugs fro</w:t>
      </w:r>
      <w:r>
        <w:rPr>
          <w:iCs/>
        </w:rPr>
        <w:t>m</w:t>
      </w:r>
      <w:r w:rsidRPr="00161CCF">
        <w:t xml:space="preserve"> the pathway. After assessment of relevant pathway-specific factors (</w:t>
      </w:r>
      <w:r>
        <w:t>S</w:t>
      </w:r>
      <w:r w:rsidRPr="00161CCF">
        <w:t xml:space="preserve">ections </w:t>
      </w:r>
      <w:r>
        <w:fldChar w:fldCharType="begin" w:fldLock="1"/>
      </w:r>
      <w:r>
        <w:instrText xml:space="preserve"> REF _Ref523924726 \n \h </w:instrText>
      </w:r>
      <w:r>
        <w:fldChar w:fldCharType="separate"/>
      </w:r>
      <w:r>
        <w:t>2.2.6</w:t>
      </w:r>
      <w:r>
        <w:fldChar w:fldCharType="end"/>
      </w:r>
      <w:r w:rsidRPr="00161CCF">
        <w:t xml:space="preserve"> and</w:t>
      </w:r>
      <w:r>
        <w:t xml:space="preserve"> </w:t>
      </w:r>
      <w:r>
        <w:fldChar w:fldCharType="begin" w:fldLock="1"/>
      </w:r>
      <w:r>
        <w:instrText xml:space="preserve"> REF _Ref523924658 \n \h </w:instrText>
      </w:r>
      <w:r>
        <w:fldChar w:fldCharType="separate"/>
      </w:r>
      <w:r>
        <w:t>2.2.7</w:t>
      </w:r>
      <w:r>
        <w:fldChar w:fldCharType="end"/>
      </w:r>
      <w:r w:rsidRPr="00161CCF">
        <w:t xml:space="preserve">) for apples from the PNW-USA, the likelihood of entry of Moderate was verified as appropriate for these mealybugs </w:t>
      </w:r>
      <w:bookmarkEnd w:id="242"/>
      <w:r w:rsidRPr="00161CCF">
        <w:t>on this pathway (</w:t>
      </w:r>
      <w:r w:rsidRPr="00161CCF">
        <w:fldChar w:fldCharType="begin" w:fldLock="1"/>
      </w:r>
      <w:r w:rsidRPr="00161CCF">
        <w:instrText xml:space="preserve"> REF _Ref89349259 \h  \* MERGEFORMAT </w:instrText>
      </w:r>
      <w:r w:rsidRPr="00161CCF">
        <w:fldChar w:fldCharType="separate"/>
      </w:r>
      <w:r w:rsidRPr="00161CCF">
        <w:t xml:space="preserve">Table </w:t>
      </w:r>
      <w:r>
        <w:rPr>
          <w:noProof/>
        </w:rPr>
        <w:t>4.3</w:t>
      </w:r>
      <w:r w:rsidRPr="00161CCF">
        <w:fldChar w:fldCharType="end"/>
      </w:r>
      <w:r w:rsidRPr="00161CCF">
        <w:t>).</w:t>
      </w:r>
    </w:p>
    <w:p w14:paraId="18170CF2" w14:textId="77777777" w:rsidR="003438A2" w:rsidRPr="00DA7602" w:rsidRDefault="003438A2" w:rsidP="00DA7602">
      <w:pPr>
        <w:pStyle w:val="Caption"/>
      </w:pPr>
      <w:bookmarkStart w:id="243" w:name="_Ref89349259"/>
      <w:bookmarkStart w:id="244" w:name="_Toc112770164"/>
      <w:r w:rsidRPr="00DA7602">
        <w:t xml:space="preserve">Table </w:t>
      </w:r>
      <w:fldSimple w:instr=" STYLEREF 2 \s " w:fldLock="1">
        <w:r w:rsidRPr="00DA7602">
          <w:t>4</w:t>
        </w:r>
      </w:fldSimple>
      <w:r w:rsidRPr="00DA7602">
        <w:t>.</w:t>
      </w:r>
      <w:fldSimple w:instr=" SEQ Table \* ARABIC \s 2 " w:fldLock="1">
        <w:r w:rsidRPr="00DA7602">
          <w:t>3</w:t>
        </w:r>
      </w:fldSimple>
      <w:bookmarkEnd w:id="243"/>
      <w:r w:rsidRPr="00DA7602">
        <w:t xml:space="preserve"> Quarantine mealybug species for fresh apple fruit from the PNW-USA</w:t>
      </w:r>
      <w:bookmarkEnd w:id="244"/>
    </w:p>
    <w:tbl>
      <w:tblPr>
        <w:tblW w:w="5000" w:type="pct"/>
        <w:tblBorders>
          <w:top w:val="single" w:sz="4" w:space="0" w:color="auto"/>
          <w:bottom w:val="single" w:sz="4" w:space="0" w:color="auto"/>
        </w:tblBorders>
        <w:shd w:val="clear" w:color="auto" w:fill="D5DCE4" w:themeFill="text2" w:themeFillTint="33"/>
        <w:tblLook w:val="00A0" w:firstRow="1" w:lastRow="0" w:firstColumn="1" w:lastColumn="0" w:noHBand="0" w:noVBand="0"/>
      </w:tblPr>
      <w:tblGrid>
        <w:gridCol w:w="2551"/>
        <w:gridCol w:w="1252"/>
        <w:gridCol w:w="1160"/>
        <w:gridCol w:w="1275"/>
        <w:gridCol w:w="2832"/>
      </w:tblGrid>
      <w:tr w:rsidR="003438A2" w:rsidRPr="00161CCF" w14:paraId="11AC3844" w14:textId="77777777" w:rsidTr="0010177E">
        <w:trPr>
          <w:cantSplit/>
        </w:trPr>
        <w:tc>
          <w:tcPr>
            <w:tcW w:w="1407" w:type="pct"/>
            <w:tcBorders>
              <w:top w:val="single" w:sz="4" w:space="0" w:color="auto"/>
              <w:bottom w:val="single" w:sz="4" w:space="0" w:color="auto"/>
            </w:tcBorders>
            <w:shd w:val="clear" w:color="auto" w:fill="auto"/>
            <w:vAlign w:val="center"/>
          </w:tcPr>
          <w:p w14:paraId="47585C75" w14:textId="77777777" w:rsidR="003438A2" w:rsidRPr="00161CCF" w:rsidRDefault="003438A2" w:rsidP="005F2743">
            <w:pPr>
              <w:pStyle w:val="TableHeading"/>
            </w:pPr>
            <w:r w:rsidRPr="00161CCF">
              <w:t>Pest</w:t>
            </w:r>
          </w:p>
        </w:tc>
        <w:tc>
          <w:tcPr>
            <w:tcW w:w="690" w:type="pct"/>
            <w:tcBorders>
              <w:top w:val="single" w:sz="4" w:space="0" w:color="auto"/>
              <w:bottom w:val="single" w:sz="4" w:space="0" w:color="auto"/>
            </w:tcBorders>
          </w:tcPr>
          <w:p w14:paraId="23DFC55B" w14:textId="77777777" w:rsidR="003438A2" w:rsidRPr="00161CCF" w:rsidRDefault="003438A2" w:rsidP="005F2743">
            <w:pPr>
              <w:pStyle w:val="TableHeading"/>
            </w:pPr>
            <w:r w:rsidRPr="00161CCF">
              <w:t>In mealybug Group PRA</w:t>
            </w:r>
          </w:p>
        </w:tc>
        <w:tc>
          <w:tcPr>
            <w:tcW w:w="639" w:type="pct"/>
            <w:tcBorders>
              <w:top w:val="single" w:sz="4" w:space="0" w:color="auto"/>
              <w:bottom w:val="single" w:sz="4" w:space="0" w:color="auto"/>
            </w:tcBorders>
          </w:tcPr>
          <w:p w14:paraId="5AA2E729" w14:textId="77777777" w:rsidR="003438A2" w:rsidRPr="00161CCF" w:rsidRDefault="003438A2" w:rsidP="005F2743">
            <w:pPr>
              <w:pStyle w:val="TableHeading"/>
            </w:pPr>
            <w:r w:rsidRPr="00161CCF">
              <w:t>Quarantine pest</w:t>
            </w:r>
          </w:p>
        </w:tc>
        <w:tc>
          <w:tcPr>
            <w:tcW w:w="703" w:type="pct"/>
            <w:tcBorders>
              <w:top w:val="single" w:sz="4" w:space="0" w:color="auto"/>
              <w:bottom w:val="single" w:sz="4" w:space="0" w:color="auto"/>
            </w:tcBorders>
          </w:tcPr>
          <w:p w14:paraId="368AE517" w14:textId="77777777" w:rsidR="003438A2" w:rsidRPr="00161CCF" w:rsidRDefault="003438A2" w:rsidP="005F2743">
            <w:pPr>
              <w:pStyle w:val="TableHeading"/>
            </w:pPr>
            <w:r w:rsidRPr="00161CCF">
              <w:t>On apple pathway</w:t>
            </w:r>
          </w:p>
        </w:tc>
        <w:tc>
          <w:tcPr>
            <w:tcW w:w="1561" w:type="pct"/>
            <w:tcBorders>
              <w:top w:val="single" w:sz="4" w:space="0" w:color="auto"/>
              <w:bottom w:val="single" w:sz="4" w:space="0" w:color="auto"/>
            </w:tcBorders>
          </w:tcPr>
          <w:p w14:paraId="09836AFE" w14:textId="77777777" w:rsidR="003438A2" w:rsidRPr="00161CCF" w:rsidRDefault="003438A2" w:rsidP="005F2743">
            <w:pPr>
              <w:pStyle w:val="TableHeading"/>
            </w:pPr>
            <w:r w:rsidRPr="00161CCF">
              <w:t xml:space="preserve">Likelihood of entry </w:t>
            </w:r>
          </w:p>
        </w:tc>
      </w:tr>
      <w:tr w:rsidR="003438A2" w:rsidRPr="00161CCF" w14:paraId="107D9C11" w14:textId="77777777" w:rsidTr="0010177E">
        <w:trPr>
          <w:cantSplit/>
          <w:trHeight w:val="75"/>
        </w:trPr>
        <w:tc>
          <w:tcPr>
            <w:tcW w:w="1407" w:type="pct"/>
            <w:tcBorders>
              <w:top w:val="single" w:sz="4" w:space="0" w:color="auto"/>
            </w:tcBorders>
            <w:shd w:val="clear" w:color="auto" w:fill="auto"/>
          </w:tcPr>
          <w:p w14:paraId="16F73FB4" w14:textId="77777777" w:rsidR="003438A2" w:rsidRPr="00161CCF" w:rsidRDefault="003438A2" w:rsidP="005F2743">
            <w:pPr>
              <w:pStyle w:val="TableText"/>
              <w:rPr>
                <w:lang w:val="en-US"/>
              </w:rPr>
            </w:pPr>
            <w:r w:rsidRPr="00161CCF">
              <w:rPr>
                <w:i/>
              </w:rPr>
              <w:t xml:space="preserve">Phenacoccus aceris </w:t>
            </w:r>
          </w:p>
        </w:tc>
        <w:tc>
          <w:tcPr>
            <w:tcW w:w="690" w:type="pct"/>
            <w:tcBorders>
              <w:top w:val="single" w:sz="4" w:space="0" w:color="auto"/>
            </w:tcBorders>
          </w:tcPr>
          <w:p w14:paraId="26539C4E" w14:textId="77777777" w:rsidR="003438A2" w:rsidRPr="00161CCF" w:rsidRDefault="003438A2" w:rsidP="005F2743">
            <w:pPr>
              <w:pStyle w:val="TableText"/>
              <w:rPr>
                <w:lang w:val="en-US"/>
              </w:rPr>
            </w:pPr>
            <w:r w:rsidRPr="00161CCF">
              <w:rPr>
                <w:lang w:val="en-US"/>
              </w:rPr>
              <w:t>Yes</w:t>
            </w:r>
          </w:p>
        </w:tc>
        <w:tc>
          <w:tcPr>
            <w:tcW w:w="639" w:type="pct"/>
            <w:tcBorders>
              <w:top w:val="single" w:sz="4" w:space="0" w:color="auto"/>
            </w:tcBorders>
          </w:tcPr>
          <w:p w14:paraId="70A033D9" w14:textId="77777777" w:rsidR="003438A2" w:rsidRPr="00161CCF" w:rsidRDefault="003438A2" w:rsidP="005F2743">
            <w:pPr>
              <w:pStyle w:val="TableText"/>
              <w:rPr>
                <w:lang w:val="en-US"/>
              </w:rPr>
            </w:pPr>
            <w:r w:rsidRPr="00161CCF">
              <w:rPr>
                <w:lang w:val="en-US"/>
              </w:rPr>
              <w:t>Yes</w:t>
            </w:r>
          </w:p>
        </w:tc>
        <w:tc>
          <w:tcPr>
            <w:tcW w:w="703" w:type="pct"/>
            <w:tcBorders>
              <w:top w:val="single" w:sz="4" w:space="0" w:color="auto"/>
            </w:tcBorders>
          </w:tcPr>
          <w:p w14:paraId="4CF21207" w14:textId="77777777" w:rsidR="003438A2" w:rsidRPr="00161CCF" w:rsidRDefault="003438A2" w:rsidP="005F2743">
            <w:pPr>
              <w:pStyle w:val="TableText"/>
              <w:rPr>
                <w:lang w:val="en-US"/>
              </w:rPr>
            </w:pPr>
            <w:r w:rsidRPr="00161CCF">
              <w:rPr>
                <w:lang w:val="en-US"/>
              </w:rPr>
              <w:t>Yes</w:t>
            </w:r>
          </w:p>
        </w:tc>
        <w:tc>
          <w:tcPr>
            <w:tcW w:w="1561" w:type="pct"/>
            <w:tcBorders>
              <w:top w:val="single" w:sz="4" w:space="0" w:color="auto"/>
            </w:tcBorders>
          </w:tcPr>
          <w:p w14:paraId="7DAA7CAB" w14:textId="77777777" w:rsidR="003438A2" w:rsidRPr="00161CCF" w:rsidRDefault="003438A2" w:rsidP="005F2743">
            <w:pPr>
              <w:pStyle w:val="TableText"/>
              <w:rPr>
                <w:lang w:val="en-US"/>
              </w:rPr>
            </w:pPr>
            <w:r w:rsidRPr="00161CCF">
              <w:rPr>
                <w:lang w:val="en-US"/>
              </w:rPr>
              <w:t>Moderate</w:t>
            </w:r>
          </w:p>
        </w:tc>
      </w:tr>
      <w:tr w:rsidR="003438A2" w:rsidRPr="00161CCF" w14:paraId="4B70F0A5" w14:textId="77777777" w:rsidTr="005F2743">
        <w:trPr>
          <w:cantSplit/>
          <w:trHeight w:val="75"/>
        </w:trPr>
        <w:tc>
          <w:tcPr>
            <w:tcW w:w="1407" w:type="pct"/>
            <w:shd w:val="clear" w:color="auto" w:fill="auto"/>
          </w:tcPr>
          <w:p w14:paraId="3DD8FA0A" w14:textId="77777777" w:rsidR="003438A2" w:rsidRPr="00161CCF" w:rsidRDefault="003438A2" w:rsidP="005F2743">
            <w:pPr>
              <w:pStyle w:val="TableText"/>
              <w:rPr>
                <w:i/>
                <w:lang w:val="en-US"/>
              </w:rPr>
            </w:pPr>
            <w:r w:rsidRPr="00161CCF">
              <w:rPr>
                <w:i/>
              </w:rPr>
              <w:t xml:space="preserve">Pseudococcus maritimus </w:t>
            </w:r>
          </w:p>
        </w:tc>
        <w:tc>
          <w:tcPr>
            <w:tcW w:w="690" w:type="pct"/>
          </w:tcPr>
          <w:p w14:paraId="47FD1E82" w14:textId="77777777" w:rsidR="003438A2" w:rsidRPr="00161CCF" w:rsidRDefault="003438A2" w:rsidP="005F2743">
            <w:pPr>
              <w:pStyle w:val="TableText"/>
              <w:rPr>
                <w:lang w:val="en-US"/>
              </w:rPr>
            </w:pPr>
            <w:r w:rsidRPr="00161CCF">
              <w:rPr>
                <w:lang w:val="en-US"/>
              </w:rPr>
              <w:t>Yes</w:t>
            </w:r>
          </w:p>
        </w:tc>
        <w:tc>
          <w:tcPr>
            <w:tcW w:w="639" w:type="pct"/>
          </w:tcPr>
          <w:p w14:paraId="54884900" w14:textId="77777777" w:rsidR="003438A2" w:rsidRPr="00161CCF" w:rsidRDefault="003438A2" w:rsidP="005F2743">
            <w:pPr>
              <w:pStyle w:val="TableText"/>
              <w:rPr>
                <w:lang w:val="en-US"/>
              </w:rPr>
            </w:pPr>
            <w:r w:rsidRPr="00161CCF">
              <w:rPr>
                <w:lang w:val="en-US"/>
              </w:rPr>
              <w:t xml:space="preserve">Yes </w:t>
            </w:r>
          </w:p>
        </w:tc>
        <w:tc>
          <w:tcPr>
            <w:tcW w:w="703" w:type="pct"/>
          </w:tcPr>
          <w:p w14:paraId="0B6574CC" w14:textId="77777777" w:rsidR="003438A2" w:rsidRPr="00161CCF" w:rsidRDefault="003438A2" w:rsidP="005F2743">
            <w:pPr>
              <w:pStyle w:val="TableText"/>
              <w:rPr>
                <w:lang w:val="en-US"/>
              </w:rPr>
            </w:pPr>
            <w:r w:rsidRPr="00161CCF">
              <w:rPr>
                <w:lang w:val="en-US"/>
              </w:rPr>
              <w:t>Yes</w:t>
            </w:r>
          </w:p>
        </w:tc>
        <w:tc>
          <w:tcPr>
            <w:tcW w:w="1561" w:type="pct"/>
          </w:tcPr>
          <w:p w14:paraId="4E3E69E2" w14:textId="77777777" w:rsidR="003438A2" w:rsidRPr="00161CCF" w:rsidRDefault="003438A2" w:rsidP="005F2743">
            <w:pPr>
              <w:pStyle w:val="TableText"/>
              <w:rPr>
                <w:lang w:val="en-US"/>
              </w:rPr>
            </w:pPr>
            <w:r w:rsidRPr="00161CCF">
              <w:rPr>
                <w:lang w:val="en-US"/>
              </w:rPr>
              <w:t>Moderate</w:t>
            </w:r>
          </w:p>
        </w:tc>
      </w:tr>
    </w:tbl>
    <w:p w14:paraId="46CCD936" w14:textId="77777777" w:rsidR="003438A2" w:rsidRPr="0071555A" w:rsidRDefault="003438A2" w:rsidP="00C25EA7">
      <w:pPr>
        <w:spacing w:before="240"/>
      </w:pPr>
      <w:r w:rsidRPr="00161CCF">
        <w:t xml:space="preserve">A summary of the risk assessment for quarantine mealybugs is presented in </w:t>
      </w:r>
      <w:r w:rsidRPr="00161CCF">
        <w:fldChar w:fldCharType="begin" w:fldLock="1"/>
      </w:r>
      <w:r w:rsidRPr="00161CCF">
        <w:instrText xml:space="preserve"> REF _Ref45009328 \h </w:instrText>
      </w:r>
      <w:r>
        <w:instrText xml:space="preserve"> \* MERGEFORMAT </w:instrText>
      </w:r>
      <w:r w:rsidRPr="00161CCF">
        <w:fldChar w:fldCharType="separate"/>
      </w:r>
      <w:r>
        <w:t xml:space="preserve">Table </w:t>
      </w:r>
      <w:r>
        <w:rPr>
          <w:noProof/>
        </w:rPr>
        <w:t>4.4</w:t>
      </w:r>
      <w:r w:rsidRPr="00161CCF">
        <w:fldChar w:fldCharType="end"/>
      </w:r>
      <w:r w:rsidRPr="00161CCF">
        <w:t xml:space="preserve"> for </w:t>
      </w:r>
      <w:r w:rsidRPr="0071555A">
        <w:t>convenience.</w:t>
      </w:r>
    </w:p>
    <w:p w14:paraId="3BB5BC57" w14:textId="77777777" w:rsidR="003438A2" w:rsidRPr="0071555A" w:rsidRDefault="003438A2" w:rsidP="00C25EA7">
      <w:pPr>
        <w:pStyle w:val="Caption"/>
      </w:pPr>
      <w:bookmarkStart w:id="245" w:name="_Ref45009328"/>
      <w:bookmarkStart w:id="246" w:name="_Toc524599157"/>
      <w:bookmarkStart w:id="247" w:name="_Toc112770165"/>
      <w:r>
        <w:t xml:space="preserve">Table </w:t>
      </w:r>
      <w:fldSimple w:instr=" STYLEREF 2 \s " w:fldLock="1">
        <w:r>
          <w:rPr>
            <w:noProof/>
          </w:rPr>
          <w:t>4</w:t>
        </w:r>
      </w:fldSimple>
      <w:r>
        <w:t>.</w:t>
      </w:r>
      <w:fldSimple w:instr=" SEQ Table \* ARABIC \s 2 " w:fldLock="1">
        <w:r>
          <w:rPr>
            <w:noProof/>
          </w:rPr>
          <w:t>4</w:t>
        </w:r>
      </w:fldSimple>
      <w:bookmarkEnd w:id="245"/>
      <w:r>
        <w:t xml:space="preserve"> </w:t>
      </w:r>
      <w:r w:rsidRPr="0071555A">
        <w:t xml:space="preserve">Risk estimates for quarantine </w:t>
      </w:r>
      <w:bookmarkEnd w:id="246"/>
      <w:r w:rsidRPr="0071555A">
        <w:t>mealybugs</w:t>
      </w:r>
      <w:bookmarkEnd w:id="247"/>
    </w:p>
    <w:tbl>
      <w:tblPr>
        <w:tblW w:w="5000" w:type="pct"/>
        <w:tblLook w:val="01E0" w:firstRow="1" w:lastRow="1" w:firstColumn="1" w:lastColumn="1" w:noHBand="0" w:noVBand="0"/>
      </w:tblPr>
      <w:tblGrid>
        <w:gridCol w:w="5654"/>
        <w:gridCol w:w="3416"/>
      </w:tblGrid>
      <w:tr w:rsidR="003438A2" w:rsidRPr="0071555A" w14:paraId="54F63883" w14:textId="77777777" w:rsidTr="0010177E">
        <w:tc>
          <w:tcPr>
            <w:tcW w:w="3117" w:type="pct"/>
            <w:tcBorders>
              <w:top w:val="single" w:sz="4" w:space="0" w:color="auto"/>
              <w:bottom w:val="single" w:sz="4" w:space="0" w:color="auto"/>
            </w:tcBorders>
            <w:shd w:val="clear" w:color="auto" w:fill="auto"/>
          </w:tcPr>
          <w:p w14:paraId="460739A2" w14:textId="77777777" w:rsidR="003438A2" w:rsidRPr="0071555A" w:rsidRDefault="003438A2" w:rsidP="005F2743">
            <w:pPr>
              <w:pStyle w:val="TableHeading"/>
            </w:pPr>
            <w:r w:rsidRPr="0071555A">
              <w:t xml:space="preserve">Risk component </w:t>
            </w:r>
          </w:p>
        </w:tc>
        <w:tc>
          <w:tcPr>
            <w:tcW w:w="1883" w:type="pct"/>
            <w:tcBorders>
              <w:top w:val="single" w:sz="4" w:space="0" w:color="auto"/>
              <w:bottom w:val="single" w:sz="4" w:space="0" w:color="auto"/>
            </w:tcBorders>
            <w:shd w:val="clear" w:color="auto" w:fill="auto"/>
          </w:tcPr>
          <w:p w14:paraId="1E3AE880" w14:textId="77777777" w:rsidR="003438A2" w:rsidRPr="0071555A" w:rsidRDefault="003438A2" w:rsidP="005F2743">
            <w:pPr>
              <w:pStyle w:val="TableHeading"/>
            </w:pPr>
            <w:r w:rsidRPr="0071555A">
              <w:t>Rating for quarantine mealybugs</w:t>
            </w:r>
          </w:p>
        </w:tc>
      </w:tr>
      <w:tr w:rsidR="003438A2" w:rsidRPr="0071555A" w14:paraId="20AA24D2" w14:textId="77777777" w:rsidTr="0010177E">
        <w:tc>
          <w:tcPr>
            <w:tcW w:w="3117" w:type="pct"/>
            <w:tcBorders>
              <w:top w:val="single" w:sz="4" w:space="0" w:color="auto"/>
            </w:tcBorders>
            <w:shd w:val="clear" w:color="auto" w:fill="auto"/>
          </w:tcPr>
          <w:p w14:paraId="04E2D468" w14:textId="77777777" w:rsidR="003438A2" w:rsidRPr="0071555A" w:rsidRDefault="003438A2" w:rsidP="005F2743">
            <w:pPr>
              <w:pStyle w:val="TableText"/>
            </w:pPr>
            <w:r w:rsidRPr="0071555A">
              <w:t>Likelihood of entry (importation x distribution)</w:t>
            </w:r>
          </w:p>
        </w:tc>
        <w:tc>
          <w:tcPr>
            <w:tcW w:w="1883" w:type="pct"/>
            <w:tcBorders>
              <w:top w:val="single" w:sz="4" w:space="0" w:color="auto"/>
            </w:tcBorders>
            <w:shd w:val="clear" w:color="auto" w:fill="auto"/>
          </w:tcPr>
          <w:p w14:paraId="0CFB52F4" w14:textId="77777777" w:rsidR="003438A2" w:rsidRPr="0071555A" w:rsidRDefault="003438A2" w:rsidP="005F2743">
            <w:pPr>
              <w:pStyle w:val="TableText"/>
            </w:pPr>
            <w:r w:rsidRPr="0071555A">
              <w:t>Moderate (High x Moderate)</w:t>
            </w:r>
          </w:p>
        </w:tc>
      </w:tr>
      <w:tr w:rsidR="003438A2" w:rsidRPr="0071555A" w14:paraId="4693DFA0" w14:textId="77777777" w:rsidTr="005F2743">
        <w:tc>
          <w:tcPr>
            <w:tcW w:w="3117" w:type="pct"/>
            <w:shd w:val="clear" w:color="auto" w:fill="auto"/>
          </w:tcPr>
          <w:p w14:paraId="3A535F63" w14:textId="77777777" w:rsidR="003438A2" w:rsidRPr="0071555A" w:rsidRDefault="003438A2" w:rsidP="005F2743">
            <w:pPr>
              <w:pStyle w:val="TableText"/>
            </w:pPr>
            <w:r w:rsidRPr="0071555A">
              <w:t>Likelihood of establishment</w:t>
            </w:r>
          </w:p>
        </w:tc>
        <w:tc>
          <w:tcPr>
            <w:tcW w:w="1883" w:type="pct"/>
            <w:shd w:val="clear" w:color="auto" w:fill="auto"/>
          </w:tcPr>
          <w:p w14:paraId="2B7F1D4D" w14:textId="77777777" w:rsidR="003438A2" w:rsidRPr="0071555A" w:rsidRDefault="003438A2" w:rsidP="005F2743">
            <w:pPr>
              <w:pStyle w:val="TableText"/>
            </w:pPr>
            <w:r w:rsidRPr="0071555A">
              <w:t>High</w:t>
            </w:r>
          </w:p>
        </w:tc>
      </w:tr>
      <w:tr w:rsidR="003438A2" w:rsidRPr="0071555A" w14:paraId="730C37F9" w14:textId="77777777" w:rsidTr="005F2743">
        <w:tc>
          <w:tcPr>
            <w:tcW w:w="3117" w:type="pct"/>
            <w:shd w:val="clear" w:color="auto" w:fill="auto"/>
          </w:tcPr>
          <w:p w14:paraId="31F6CFFF" w14:textId="77777777" w:rsidR="003438A2" w:rsidRPr="0071555A" w:rsidRDefault="003438A2" w:rsidP="005F2743">
            <w:pPr>
              <w:pStyle w:val="TableText"/>
            </w:pPr>
            <w:r w:rsidRPr="0071555A">
              <w:t>Likelihood of spread</w:t>
            </w:r>
          </w:p>
        </w:tc>
        <w:tc>
          <w:tcPr>
            <w:tcW w:w="1883" w:type="pct"/>
            <w:shd w:val="clear" w:color="auto" w:fill="auto"/>
          </w:tcPr>
          <w:p w14:paraId="64963F6D" w14:textId="77777777" w:rsidR="003438A2" w:rsidRPr="0071555A" w:rsidRDefault="003438A2" w:rsidP="005F2743">
            <w:pPr>
              <w:pStyle w:val="TableText"/>
            </w:pPr>
            <w:r w:rsidRPr="0071555A">
              <w:t>High</w:t>
            </w:r>
          </w:p>
        </w:tc>
      </w:tr>
      <w:tr w:rsidR="003438A2" w:rsidRPr="0071555A" w14:paraId="6A7CED3E" w14:textId="77777777" w:rsidTr="005F2743">
        <w:tc>
          <w:tcPr>
            <w:tcW w:w="3117" w:type="pct"/>
            <w:shd w:val="clear" w:color="auto" w:fill="auto"/>
            <w:hideMark/>
          </w:tcPr>
          <w:p w14:paraId="36CC4391" w14:textId="77777777" w:rsidR="003438A2" w:rsidRPr="0071555A" w:rsidRDefault="003438A2" w:rsidP="005F2743">
            <w:pPr>
              <w:pStyle w:val="TableText"/>
            </w:pPr>
            <w:r w:rsidRPr="0071555A">
              <w:t xml:space="preserve">Overall likelihood of entry, establishment and spread </w:t>
            </w:r>
          </w:p>
        </w:tc>
        <w:tc>
          <w:tcPr>
            <w:tcW w:w="1883" w:type="pct"/>
            <w:shd w:val="clear" w:color="auto" w:fill="auto"/>
            <w:hideMark/>
          </w:tcPr>
          <w:p w14:paraId="5548F21C" w14:textId="77777777" w:rsidR="003438A2" w:rsidRPr="0071555A" w:rsidRDefault="003438A2" w:rsidP="005F2743">
            <w:pPr>
              <w:pStyle w:val="TableText"/>
            </w:pPr>
            <w:r w:rsidRPr="0071555A">
              <w:t>Moderate</w:t>
            </w:r>
          </w:p>
        </w:tc>
      </w:tr>
      <w:tr w:rsidR="003438A2" w:rsidRPr="0071555A" w14:paraId="7168B9EF" w14:textId="77777777" w:rsidTr="005F2743">
        <w:tc>
          <w:tcPr>
            <w:tcW w:w="3117" w:type="pct"/>
            <w:shd w:val="clear" w:color="auto" w:fill="auto"/>
            <w:hideMark/>
          </w:tcPr>
          <w:p w14:paraId="55A651E4" w14:textId="77777777" w:rsidR="003438A2" w:rsidRPr="0071555A" w:rsidRDefault="003438A2" w:rsidP="005F2743">
            <w:pPr>
              <w:pStyle w:val="TableText"/>
            </w:pPr>
            <w:r w:rsidRPr="0071555A">
              <w:t xml:space="preserve">Consequences </w:t>
            </w:r>
          </w:p>
        </w:tc>
        <w:tc>
          <w:tcPr>
            <w:tcW w:w="1883" w:type="pct"/>
            <w:shd w:val="clear" w:color="auto" w:fill="auto"/>
            <w:hideMark/>
          </w:tcPr>
          <w:p w14:paraId="68A08705" w14:textId="77777777" w:rsidR="003438A2" w:rsidRPr="0071555A" w:rsidRDefault="003438A2" w:rsidP="005F2743">
            <w:pPr>
              <w:pStyle w:val="TableText"/>
            </w:pPr>
            <w:r w:rsidRPr="0071555A">
              <w:t>Low</w:t>
            </w:r>
          </w:p>
        </w:tc>
      </w:tr>
      <w:tr w:rsidR="003438A2" w:rsidRPr="0071555A" w14:paraId="0D026C36" w14:textId="77777777" w:rsidTr="005F2743">
        <w:tc>
          <w:tcPr>
            <w:tcW w:w="3117" w:type="pct"/>
            <w:tcBorders>
              <w:bottom w:val="single" w:sz="4" w:space="0" w:color="auto"/>
            </w:tcBorders>
            <w:shd w:val="clear" w:color="auto" w:fill="auto"/>
            <w:hideMark/>
          </w:tcPr>
          <w:p w14:paraId="59B1EDF9" w14:textId="77777777" w:rsidR="003438A2" w:rsidRPr="0071555A" w:rsidRDefault="003438A2" w:rsidP="005F2743">
            <w:pPr>
              <w:pStyle w:val="TableText"/>
              <w:rPr>
                <w:b/>
              </w:rPr>
            </w:pPr>
            <w:r w:rsidRPr="0071555A">
              <w:rPr>
                <w:b/>
              </w:rPr>
              <w:t xml:space="preserve">Unrestricted risk </w:t>
            </w:r>
          </w:p>
        </w:tc>
        <w:tc>
          <w:tcPr>
            <w:tcW w:w="1883" w:type="pct"/>
            <w:tcBorders>
              <w:bottom w:val="single" w:sz="4" w:space="0" w:color="auto"/>
            </w:tcBorders>
            <w:shd w:val="clear" w:color="auto" w:fill="auto"/>
            <w:hideMark/>
          </w:tcPr>
          <w:p w14:paraId="1A0355E2" w14:textId="77777777" w:rsidR="003438A2" w:rsidRPr="0071555A" w:rsidRDefault="003438A2" w:rsidP="005F2743">
            <w:pPr>
              <w:pStyle w:val="TableText"/>
              <w:tabs>
                <w:tab w:val="left" w:pos="810"/>
              </w:tabs>
              <w:rPr>
                <w:b/>
              </w:rPr>
            </w:pPr>
            <w:r w:rsidRPr="0071555A">
              <w:rPr>
                <w:b/>
              </w:rPr>
              <w:t>Low</w:t>
            </w:r>
            <w:r w:rsidRPr="0071555A">
              <w:rPr>
                <w:b/>
              </w:rPr>
              <w:tab/>
            </w:r>
          </w:p>
        </w:tc>
      </w:tr>
    </w:tbl>
    <w:p w14:paraId="30FE146E" w14:textId="77777777" w:rsidR="003438A2" w:rsidRDefault="003438A2" w:rsidP="00C25EA7">
      <w:pPr>
        <w:spacing w:before="240"/>
      </w:pPr>
      <w:r w:rsidRPr="00B335A6">
        <w:t xml:space="preserve">As assessed in the </w:t>
      </w:r>
      <w:r w:rsidRPr="00090FC3">
        <w:t xml:space="preserve">mealybugs </w:t>
      </w:r>
      <w:r w:rsidRPr="00B335A6">
        <w:t>Group PRA,</w:t>
      </w:r>
      <w:r>
        <w:t xml:space="preserve"> t</w:t>
      </w:r>
      <w:r w:rsidRPr="0071555A">
        <w:t xml:space="preserve">he </w:t>
      </w:r>
      <w:r>
        <w:t xml:space="preserve">indicative </w:t>
      </w:r>
      <w:r w:rsidRPr="0071555A">
        <w:t xml:space="preserve">unrestricted risk estimate for mealybugs is </w:t>
      </w:r>
      <w:r>
        <w:t>assessed as Low (</w:t>
      </w:r>
      <w:r>
        <w:fldChar w:fldCharType="begin" w:fldLock="1"/>
      </w:r>
      <w:r>
        <w:instrText xml:space="preserve"> REF _Ref45009328 \h </w:instrText>
      </w:r>
      <w:r>
        <w:fldChar w:fldCharType="separate"/>
      </w:r>
      <w:r>
        <w:t xml:space="preserve">Table </w:t>
      </w:r>
      <w:r>
        <w:rPr>
          <w:noProof/>
        </w:rPr>
        <w:t>4</w:t>
      </w:r>
      <w:r>
        <w:t>.</w:t>
      </w:r>
      <w:r>
        <w:rPr>
          <w:noProof/>
        </w:rPr>
        <w:t>4</w:t>
      </w:r>
      <w:r>
        <w:fldChar w:fldCharType="end"/>
      </w:r>
      <w:r>
        <w:t xml:space="preserve">), </w:t>
      </w:r>
      <w:r w:rsidRPr="0071555A">
        <w:t>which does not achieve the ALOP for Australia</w:t>
      </w:r>
      <w:r>
        <w:t>.</w:t>
      </w:r>
      <w:r w:rsidRPr="008A32CB">
        <w:t xml:space="preserve"> </w:t>
      </w:r>
      <w:r w:rsidRPr="00090FC3">
        <w:t xml:space="preserve">This indicative unrestricted risk estimate is considered to be applicable for the quarantine mealybugs on </w:t>
      </w:r>
      <w:r w:rsidRPr="00B335A6">
        <w:t xml:space="preserve">the </w:t>
      </w:r>
      <w:r>
        <w:t>fresh apple fruit from PNW-USA</w:t>
      </w:r>
      <w:r w:rsidRPr="00090FC3">
        <w:t xml:space="preserve"> </w:t>
      </w:r>
      <w:r w:rsidRPr="00B335A6">
        <w:t>pathway</w:t>
      </w:r>
      <w:r w:rsidRPr="00090FC3">
        <w:t>.</w:t>
      </w:r>
      <w:r w:rsidRPr="00B335A6">
        <w:t xml:space="preserve"> </w:t>
      </w:r>
      <w:r>
        <w:t>Therefore, specific risk management measures are required for these quarantine mealybugs on this pathway.</w:t>
      </w:r>
    </w:p>
    <w:p w14:paraId="1E629E5F" w14:textId="77777777" w:rsidR="003438A2" w:rsidRDefault="003438A2" w:rsidP="00C25EA7">
      <w:r>
        <w:t>This risk assessment, which is based on the mealybugs Group PRA, applies to all quarantine mealybugs</w:t>
      </w:r>
      <w:r w:rsidRPr="002C5105">
        <w:t xml:space="preserve"> </w:t>
      </w:r>
      <w:r>
        <w:t>on the PNW-USA apple pathway, irrespective of the species identification in this document.</w:t>
      </w:r>
      <w:r w:rsidRPr="00713BE7">
        <w:t xml:space="preserve"> </w:t>
      </w:r>
      <w:r>
        <w:t xml:space="preserve">This is explained in Section </w:t>
      </w:r>
      <w:r>
        <w:fldChar w:fldCharType="begin" w:fldLock="1"/>
      </w:r>
      <w:r>
        <w:instrText xml:space="preserve"> REF _Ref523924658 \n \h </w:instrText>
      </w:r>
      <w:r>
        <w:fldChar w:fldCharType="separate"/>
      </w:r>
      <w:r>
        <w:t>2.2.7</w:t>
      </w:r>
      <w:r>
        <w:fldChar w:fldCharType="end"/>
      </w:r>
      <w:r>
        <w:t>.</w:t>
      </w:r>
    </w:p>
    <w:p w14:paraId="48627741" w14:textId="77777777" w:rsidR="003438A2" w:rsidRDefault="003438A2" w:rsidP="00C25EA7">
      <w:r>
        <w:br w:type="page"/>
      </w:r>
    </w:p>
    <w:p w14:paraId="0485E32A" w14:textId="77777777" w:rsidR="003438A2" w:rsidRPr="00CE451F" w:rsidRDefault="003438A2" w:rsidP="00F843A1">
      <w:pPr>
        <w:pStyle w:val="Heading3"/>
        <w:numPr>
          <w:ilvl w:val="1"/>
          <w:numId w:val="32"/>
        </w:numPr>
      </w:pPr>
      <w:bookmarkStart w:id="248" w:name="_Toc112769009"/>
      <w:bookmarkEnd w:id="241"/>
      <w:r w:rsidRPr="00CE451F">
        <w:lastRenderedPageBreak/>
        <w:t>Lacanobia fruitworm</w:t>
      </w:r>
      <w:bookmarkEnd w:id="248"/>
    </w:p>
    <w:p w14:paraId="1F6880FA" w14:textId="77777777" w:rsidR="003438A2" w:rsidRPr="00F07FCE" w:rsidRDefault="003438A2" w:rsidP="00AD1C8F">
      <w:pPr>
        <w:pStyle w:val="Heading4"/>
        <w:numPr>
          <w:ilvl w:val="0"/>
          <w:numId w:val="0"/>
        </w:numPr>
        <w:rPr>
          <w:i/>
        </w:rPr>
      </w:pPr>
      <w:bookmarkStart w:id="249" w:name="_Hlk110854424"/>
      <w:r w:rsidRPr="00F07FCE">
        <w:rPr>
          <w:i/>
        </w:rPr>
        <w:t>Lacanobia subjuncta</w:t>
      </w:r>
    </w:p>
    <w:p w14:paraId="0728AB93" w14:textId="77777777" w:rsidR="003438A2" w:rsidRPr="00F07FCE" w:rsidRDefault="003438A2" w:rsidP="00AD1C8F">
      <w:r w:rsidRPr="00F07FCE">
        <w:rPr>
          <w:i/>
        </w:rPr>
        <w:t>Lacanobia</w:t>
      </w:r>
      <w:r w:rsidRPr="00F07FCE">
        <w:t xml:space="preserve"> </w:t>
      </w:r>
      <w:r w:rsidRPr="00F07FCE">
        <w:rPr>
          <w:i/>
        </w:rPr>
        <w:t>subjuncta</w:t>
      </w:r>
      <w:r w:rsidRPr="00F07FCE">
        <w:t xml:space="preserve"> (Grote &amp; Robinson) belongs to the moth family Noctuidae, which is one of the largest families in the order Lepidoptera.</w:t>
      </w:r>
    </w:p>
    <w:p w14:paraId="3E4AD515" w14:textId="77777777" w:rsidR="003438A2" w:rsidRPr="00F07FCE" w:rsidRDefault="003438A2" w:rsidP="00385CB2">
      <w:r w:rsidRPr="00F07FCE">
        <w:rPr>
          <w:i/>
        </w:rPr>
        <w:t>Lacanobia subjuncta</w:t>
      </w:r>
      <w:r w:rsidRPr="00F07FCE">
        <w:t xml:space="preserve"> is widely distributed in North America</w:t>
      </w:r>
      <w:r>
        <w:t xml:space="preserve"> </w:t>
      </w:r>
      <w:bookmarkStart w:id="250" w:name="_Hlk108986634"/>
      <w:r>
        <w:rPr>
          <w:noProof/>
        </w:rPr>
        <w:t>(Doerr &amp; Brunner 2007; McCabe 1980)</w:t>
      </w:r>
      <w:r w:rsidRPr="00F07FCE">
        <w:t>.</w:t>
      </w:r>
      <w:bookmarkEnd w:id="250"/>
      <w:r w:rsidRPr="00F07FCE">
        <w:t xml:space="preserve"> It is present in Nova Scotia, Canada and the US states from Virginia, Missouri and North Dakota to New Mexico, Arizona and California. It is also present in the PNW-USA in Washington and Oregon </w:t>
      </w:r>
      <w:r w:rsidRPr="00F07FCE">
        <w:rPr>
          <w:noProof/>
        </w:rPr>
        <w:t>(Landolt 1998)</w:t>
      </w:r>
      <w:r w:rsidRPr="00F07FCE">
        <w:t xml:space="preserve">, and in Idaho </w:t>
      </w:r>
      <w:r w:rsidRPr="00F07FCE">
        <w:rPr>
          <w:noProof/>
        </w:rPr>
        <w:t>(Idaho Department of Fish and Game 2020)</w:t>
      </w:r>
      <w:r w:rsidRPr="00F07FCE">
        <w:t xml:space="preserve">. </w:t>
      </w:r>
      <w:r w:rsidRPr="00F07FCE">
        <w:rPr>
          <w:i/>
          <w:iCs/>
        </w:rPr>
        <w:t>Lacanobia</w:t>
      </w:r>
      <w:r w:rsidRPr="00F07FCE">
        <w:rPr>
          <w:i/>
        </w:rPr>
        <w:t xml:space="preserve"> subjuncta</w:t>
      </w:r>
      <w:r w:rsidRPr="00F07FCE">
        <w:t xml:space="preserve"> is reported at low to middle altitudes throughout the Pacific Northwest, including in dry interior steppe habitats and areas west of the coastal range and Cascade Range </w:t>
      </w:r>
      <w:r w:rsidRPr="00F07FCE">
        <w:rPr>
          <w:noProof/>
        </w:rPr>
        <w:t>(Crabo et al. 2019)</w:t>
      </w:r>
      <w:r w:rsidRPr="00F07FCE">
        <w:t xml:space="preserve">. </w:t>
      </w:r>
      <w:r w:rsidRPr="00B47B0C">
        <w:t xml:space="preserve">Although </w:t>
      </w:r>
      <w:r w:rsidRPr="00B47B0C">
        <w:rPr>
          <w:i/>
        </w:rPr>
        <w:t>L. subjuncta</w:t>
      </w:r>
      <w:r w:rsidRPr="00B47B0C">
        <w:t xml:space="preserve"> is native to Washington,</w:t>
      </w:r>
      <w:r w:rsidRPr="00F07FCE">
        <w:t xml:space="preserve"> it was not considered a pest in orchards in the state until the mid-1990s </w:t>
      </w:r>
      <w:r w:rsidRPr="00F07FCE">
        <w:rPr>
          <w:noProof/>
        </w:rPr>
        <w:t>(Doerr &amp; Brunner 2007)</w:t>
      </w:r>
      <w:r w:rsidRPr="00F07FCE">
        <w:t>. During the mid-1990s, it was reported attacking apple orchards in the Columbia basin, and was recognised as a pest of apple orchards causing crop loss in Washington and northeast Oregon</w:t>
      </w:r>
      <w:r>
        <w:t xml:space="preserve"> </w:t>
      </w:r>
      <w:r>
        <w:rPr>
          <w:noProof/>
        </w:rPr>
        <w:t>(Doerr &amp; Brunner 2007; Doerr, Brunner &amp; Schrader 2004)</w:t>
      </w:r>
      <w:r w:rsidRPr="00F07FCE">
        <w:t>.</w:t>
      </w:r>
    </w:p>
    <w:p w14:paraId="57DD66B0" w14:textId="77777777" w:rsidR="003438A2" w:rsidRPr="00F07FCE" w:rsidRDefault="003438A2" w:rsidP="00AD1C8F">
      <w:bookmarkStart w:id="251" w:name="_Hlk103509007"/>
      <w:r w:rsidRPr="00462FE0">
        <w:rPr>
          <w:iCs/>
        </w:rPr>
        <w:t xml:space="preserve">Larvae of </w:t>
      </w:r>
      <w:r w:rsidRPr="00462FE0">
        <w:rPr>
          <w:i/>
        </w:rPr>
        <w:t>L. subjuncta</w:t>
      </w:r>
      <w:r w:rsidRPr="00462FE0">
        <w:rPr>
          <w:iCs/>
        </w:rPr>
        <w:t xml:space="preserve"> have been found to feed and develop on a wide variety of plants, including trees, shrubs and herbaceous plants </w:t>
      </w:r>
      <w:r w:rsidRPr="00462FE0">
        <w:rPr>
          <w:noProof/>
        </w:rPr>
        <w:t>(Crabo et al. 2019)</w:t>
      </w:r>
      <w:r w:rsidRPr="00462FE0">
        <w:t xml:space="preserve">. </w:t>
      </w:r>
      <w:r w:rsidRPr="00462FE0">
        <w:rPr>
          <w:iCs/>
        </w:rPr>
        <w:t xml:space="preserve">Recorded hosts include apple </w:t>
      </w:r>
      <w:r w:rsidRPr="007D41F9">
        <w:rPr>
          <w:noProof/>
        </w:rPr>
        <w:t>(Doerr, Brunner &amp; Jones 2005; Landolt 1998; Sutton et al. 2014; Wistermann et al. 2016)</w:t>
      </w:r>
      <w:r>
        <w:rPr>
          <w:noProof/>
        </w:rPr>
        <w:t>,</w:t>
      </w:r>
      <w:r w:rsidRPr="00462FE0">
        <w:rPr>
          <w:noProof/>
        </w:rPr>
        <w:t xml:space="preserve"> pear and plum</w:t>
      </w:r>
      <w:r>
        <w:rPr>
          <w:noProof/>
        </w:rPr>
        <w:t xml:space="preserve"> (Landolt 1998), </w:t>
      </w:r>
      <w:r w:rsidRPr="00462FE0">
        <w:rPr>
          <w:iCs/>
        </w:rPr>
        <w:t xml:space="preserve">and </w:t>
      </w:r>
      <w:r w:rsidRPr="00462FE0">
        <w:t>various plants in the cabbage family, blueberry, maple, asparagus, strawberry and corn</w:t>
      </w:r>
      <w:r>
        <w:t xml:space="preserve"> </w:t>
      </w:r>
      <w:r>
        <w:rPr>
          <w:noProof/>
        </w:rPr>
        <w:t>(Scott 2006)</w:t>
      </w:r>
      <w:r w:rsidRPr="00462FE0">
        <w:t xml:space="preserve">. Ground cover weed species such as dandelion, sow thistle, mallow and bindweed, which are commonly found in tree fruit orchards, are also hosts of </w:t>
      </w:r>
      <w:r w:rsidRPr="00462FE0">
        <w:rPr>
          <w:i/>
        </w:rPr>
        <w:t>L. subjuncta</w:t>
      </w:r>
      <w:r>
        <w:rPr>
          <w:i/>
        </w:rPr>
        <w:t xml:space="preserve"> </w:t>
      </w:r>
      <w:r>
        <w:rPr>
          <w:noProof/>
        </w:rPr>
        <w:t>(Doerr &amp; Brunner 2007; Landolt 1998, 2002)</w:t>
      </w:r>
      <w:r>
        <w:t xml:space="preserve">, </w:t>
      </w:r>
      <w:r w:rsidRPr="00462FE0">
        <w:t>and on which this pest completes its development cycle.</w:t>
      </w:r>
      <w:r>
        <w:t xml:space="preserve"> </w:t>
      </w:r>
    </w:p>
    <w:bookmarkEnd w:id="251"/>
    <w:p w14:paraId="63B94288" w14:textId="77777777" w:rsidR="003438A2" w:rsidRPr="00F07FCE" w:rsidRDefault="003438A2" w:rsidP="00AD1C8F">
      <w:r w:rsidRPr="00F07FCE">
        <w:rPr>
          <w:i/>
        </w:rPr>
        <w:t>Lacanobia</w:t>
      </w:r>
      <w:r w:rsidRPr="00F07FCE">
        <w:t xml:space="preserve"> </w:t>
      </w:r>
      <w:r w:rsidRPr="00F07FCE">
        <w:rPr>
          <w:i/>
        </w:rPr>
        <w:t>subjuncta</w:t>
      </w:r>
      <w:r w:rsidRPr="00F07FCE">
        <w:t xml:space="preserve"> has </w:t>
      </w:r>
      <w:r w:rsidRPr="00F07FCE">
        <w:rPr>
          <w:rFonts w:eastAsia="Calibri" w:cs="Times New Roman"/>
        </w:rPr>
        <w:t>four life stages: egg, larva</w:t>
      </w:r>
      <w:r w:rsidRPr="00F07FCE">
        <w:rPr>
          <w:rFonts w:eastAsia="Calibri" w:cs="Times New Roman"/>
          <w:b/>
        </w:rPr>
        <w:t xml:space="preserve"> </w:t>
      </w:r>
      <w:r w:rsidRPr="00F07FCE">
        <w:rPr>
          <w:rFonts w:eastAsia="Calibri" w:cs="Times New Roman"/>
        </w:rPr>
        <w:t>(with 6 larval instars</w:t>
      </w:r>
      <w:r>
        <w:rPr>
          <w:rFonts w:eastAsia="Calibri" w:cs="Times New Roman"/>
        </w:rPr>
        <w:t xml:space="preserve">) </w:t>
      </w:r>
      <w:r>
        <w:rPr>
          <w:rFonts w:eastAsia="Calibri" w:cs="Times New Roman"/>
          <w:noProof/>
        </w:rPr>
        <w:t>(Doerr &amp; Brunner 2002)</w:t>
      </w:r>
      <w:r>
        <w:rPr>
          <w:rFonts w:eastAsia="Calibri" w:cs="Times New Roman"/>
        </w:rPr>
        <w:t xml:space="preserve">, </w:t>
      </w:r>
      <w:r w:rsidRPr="00F07FCE">
        <w:rPr>
          <w:rFonts w:eastAsia="Calibri" w:cs="Times New Roman"/>
        </w:rPr>
        <w:t>pupa and adult, and</w:t>
      </w:r>
      <w:r w:rsidRPr="00F07FCE">
        <w:t xml:space="preserve"> has two generations per year</w:t>
      </w:r>
      <w:r>
        <w:t xml:space="preserve"> </w:t>
      </w:r>
      <w:r>
        <w:rPr>
          <w:noProof/>
        </w:rPr>
        <w:t>(Doerr &amp; Brunner 2007; Landolt 1998)</w:t>
      </w:r>
      <w:r w:rsidRPr="008348FE">
        <w:t xml:space="preserve">. </w:t>
      </w:r>
      <w:r w:rsidRPr="00F07FCE">
        <w:t>The first adult flight occurs in North America from late May through to July with a second adult flight from late July to September</w:t>
      </w:r>
      <w:r>
        <w:t xml:space="preserve"> </w:t>
      </w:r>
      <w:r>
        <w:rPr>
          <w:noProof/>
        </w:rPr>
        <w:t>(Brunner et al. 2000; Doerr, Brunner &amp; Jones 2005; Landolt 2002)</w:t>
      </w:r>
      <w:r>
        <w:t>.</w:t>
      </w:r>
      <w:r w:rsidRPr="00F07FCE">
        <w:t xml:space="preserve"> For the first generation, oviposition begins in mid-June and lasts for about 6 weeks. Eggs are laid on the undersides of leaves in masses of around 100 </w:t>
      </w:r>
      <w:r w:rsidRPr="00F07FCE">
        <w:rPr>
          <w:noProof/>
        </w:rPr>
        <w:t>(Doerr &amp; Brunner 2007)</w:t>
      </w:r>
      <w:r w:rsidRPr="00F07FCE">
        <w:t xml:space="preserve">. First generation larvae appear in June and July </w:t>
      </w:r>
      <w:r>
        <w:rPr>
          <w:noProof/>
        </w:rPr>
        <w:t>(Wiman &amp; Stoven 2021a)</w:t>
      </w:r>
      <w:r w:rsidRPr="00F07FCE">
        <w:t xml:space="preserve">. Larvae feed principally on foliage </w:t>
      </w:r>
      <w:r>
        <w:rPr>
          <w:noProof/>
        </w:rPr>
        <w:t>(Wiman &amp; Stoven 2021a)</w:t>
      </w:r>
      <w:r w:rsidRPr="00F07FCE">
        <w:rPr>
          <w:noProof/>
          <w:lang w:eastAsia="en-AU"/>
        </w:rPr>
        <w:t xml:space="preserve">. Larvae are reported to </w:t>
      </w:r>
      <w:r w:rsidRPr="00F07FCE">
        <w:t xml:space="preserve">feed on the lower leaf surfaces and, as they mature, disperse to the lower canopy, then drop and feed on ground cover weed species before pupating in the soil </w:t>
      </w:r>
      <w:r w:rsidRPr="00F07FCE">
        <w:rPr>
          <w:noProof/>
        </w:rPr>
        <w:t>(Doerr &amp; Brunner 2007)</w:t>
      </w:r>
      <w:r w:rsidRPr="00F07FCE">
        <w:t xml:space="preserve">. </w:t>
      </w:r>
    </w:p>
    <w:p w14:paraId="553A3804" w14:textId="77777777" w:rsidR="003438A2" w:rsidRPr="00F07FCE" w:rsidRDefault="003438A2" w:rsidP="00AD1C8F">
      <w:r w:rsidRPr="00F07FCE">
        <w:t>Second generation adults emerge in late July and are active through until October. Second generation larval feeding starts in mid-August and continues until October</w:t>
      </w:r>
      <w:r>
        <w:t xml:space="preserve"> </w:t>
      </w:r>
      <w:bookmarkStart w:id="252" w:name="_Hlk108967087"/>
      <w:r w:rsidRPr="002246AB">
        <w:rPr>
          <w:noProof/>
        </w:rPr>
        <w:t>(Doerr &amp; Brunner 2007; Wiman &amp; Stoven 2021a)</w:t>
      </w:r>
      <w:r w:rsidRPr="002246AB">
        <w:t>.</w:t>
      </w:r>
      <w:bookmarkEnd w:id="252"/>
      <w:r w:rsidRPr="00F07FCE">
        <w:t xml:space="preserve"> The final larval instar grows to approximately 5</w:t>
      </w:r>
      <w:r>
        <w:t xml:space="preserve"> </w:t>
      </w:r>
      <w:r w:rsidRPr="00F07FCE">
        <w:t>cm in length</w:t>
      </w:r>
      <w:r>
        <w:t xml:space="preserve"> </w:t>
      </w:r>
      <w:r w:rsidRPr="00F07FCE">
        <w:rPr>
          <w:noProof/>
        </w:rPr>
        <w:t>(Wiman, Stoven &amp; Bush 2019)</w:t>
      </w:r>
      <w:r>
        <w:t xml:space="preserve">. </w:t>
      </w:r>
      <w:r w:rsidRPr="00F07FCE">
        <w:t xml:space="preserve">Adult </w:t>
      </w:r>
      <w:r w:rsidRPr="00F07FCE">
        <w:rPr>
          <w:i/>
        </w:rPr>
        <w:t>L</w:t>
      </w:r>
      <w:r w:rsidRPr="00F07FCE">
        <w:t>. </w:t>
      </w:r>
      <w:r w:rsidRPr="00F07FCE">
        <w:rPr>
          <w:i/>
        </w:rPr>
        <w:t>subjuncta</w:t>
      </w:r>
      <w:r w:rsidRPr="00F07FCE">
        <w:t xml:space="preserve"> are 2.5</w:t>
      </w:r>
      <w:r>
        <w:t xml:space="preserve"> </w:t>
      </w:r>
      <w:r w:rsidRPr="00F07FCE">
        <w:t xml:space="preserve">cm long </w:t>
      </w:r>
      <w:r w:rsidRPr="00F07FCE">
        <w:rPr>
          <w:noProof/>
        </w:rPr>
        <w:t>(Wiman, Stoven &amp; Bush 2019)</w:t>
      </w:r>
      <w:r w:rsidRPr="00F07FCE">
        <w:t xml:space="preserve"> and have a distinctive light brown to black colour pattern of scales on their wings, and a wing span of 5</w:t>
      </w:r>
      <w:r>
        <w:t xml:space="preserve"> </w:t>
      </w:r>
      <w:r w:rsidRPr="00F07FCE">
        <w:t xml:space="preserve">cm </w:t>
      </w:r>
      <w:r w:rsidRPr="00F07FCE">
        <w:rPr>
          <w:noProof/>
        </w:rPr>
        <w:t>(Doerr &amp; Brunner 2007)</w:t>
      </w:r>
      <w:r w:rsidRPr="00F07FCE">
        <w:t>. This pest is reported to overwinter as pupae in the soil</w:t>
      </w:r>
      <w:r>
        <w:t xml:space="preserve"> </w:t>
      </w:r>
      <w:r>
        <w:rPr>
          <w:noProof/>
        </w:rPr>
        <w:t>(</w:t>
      </w:r>
      <w:bookmarkStart w:id="253" w:name="_Hlk109899858"/>
      <w:r>
        <w:rPr>
          <w:noProof/>
        </w:rPr>
        <w:t>Landolt 2002;</w:t>
      </w:r>
      <w:bookmarkEnd w:id="253"/>
      <w:r>
        <w:rPr>
          <w:noProof/>
        </w:rPr>
        <w:t xml:space="preserve"> Wiman, Stoven &amp; Bush 2019)</w:t>
      </w:r>
      <w:r>
        <w:t xml:space="preserve"> </w:t>
      </w:r>
      <w:r w:rsidRPr="00F07FCE">
        <w:t xml:space="preserve">near the host plant </w:t>
      </w:r>
      <w:r w:rsidRPr="00F07FCE">
        <w:rPr>
          <w:noProof/>
        </w:rPr>
        <w:t>(Doerr &amp; Brunner 2007)</w:t>
      </w:r>
      <w:r w:rsidRPr="00F07FCE">
        <w:t xml:space="preserve">. Pupation in or on fruit under field conditions has not been reported, however, </w:t>
      </w:r>
      <w:r>
        <w:rPr>
          <w:noProof/>
        </w:rPr>
        <w:t>(Doerr &amp; Brunner 2007)</w:t>
      </w:r>
      <w:r w:rsidRPr="00F07FCE">
        <w:t xml:space="preserve"> noted the possibility of larvae remaining on the tree to complete development.</w:t>
      </w:r>
    </w:p>
    <w:p w14:paraId="3583DEC6" w14:textId="77777777" w:rsidR="003438A2" w:rsidRPr="00F07FCE" w:rsidRDefault="003438A2" w:rsidP="00AD1C8F">
      <w:r w:rsidRPr="00F07FCE">
        <w:lastRenderedPageBreak/>
        <w:t xml:space="preserve">The most destructive life stage of </w:t>
      </w:r>
      <w:r w:rsidRPr="00F07FCE">
        <w:rPr>
          <w:i/>
        </w:rPr>
        <w:t xml:space="preserve">L. subjuncta </w:t>
      </w:r>
      <w:r w:rsidRPr="00F07FCE">
        <w:rPr>
          <w:iCs/>
        </w:rPr>
        <w:t>is the larva</w:t>
      </w:r>
      <w:r w:rsidRPr="00F07FCE">
        <w:t>. Larvae primarily feed on apple leaf tissue causing partial defoliation</w:t>
      </w:r>
      <w:r>
        <w:t xml:space="preserve"> </w:t>
      </w:r>
      <w:r>
        <w:rPr>
          <w:noProof/>
        </w:rPr>
        <w:t>(Landolt 2002; Wiman, Stoven &amp; Bush 2019)</w:t>
      </w:r>
      <w:r>
        <w:t xml:space="preserve">, </w:t>
      </w:r>
      <w:r w:rsidRPr="00F07FCE">
        <w:t xml:space="preserve">with fruit damage being incidental to foliage feeding </w:t>
      </w:r>
      <w:r>
        <w:rPr>
          <w:noProof/>
        </w:rPr>
        <w:t>(Doerr &amp; Brunner 2007; Landolt 1998)</w:t>
      </w:r>
      <w:r w:rsidRPr="00F07FCE">
        <w:t xml:space="preserve">. </w:t>
      </w:r>
      <w:r w:rsidRPr="00F07FCE">
        <w:rPr>
          <w:iCs/>
        </w:rPr>
        <w:t>L</w:t>
      </w:r>
      <w:r w:rsidRPr="00F07FCE">
        <w:t xml:space="preserve">arval feeding damage ranges from holes in leaves to consumption of entire leaves leaving the vein </w:t>
      </w:r>
      <w:r w:rsidRPr="00F07FCE">
        <w:rPr>
          <w:noProof/>
        </w:rPr>
        <w:t>(Doerr &amp; Brunner 2007)</w:t>
      </w:r>
      <w:r w:rsidRPr="00F07FCE">
        <w:t xml:space="preserve">. Older larvae may feed on fruit </w:t>
      </w:r>
      <w:r w:rsidRPr="00BE5872">
        <w:rPr>
          <w:noProof/>
        </w:rPr>
        <w:t>(Landolt 2002; Wiman, Stoven &amp; Bush 2019)</w:t>
      </w:r>
      <w:r>
        <w:t>.</w:t>
      </w:r>
      <w:r w:rsidRPr="00F07FCE">
        <w:t xml:space="preserve"> On apple fruit, larval feeding cavities can be as large as a fingertip, appearing as hollowed-out scoops on the fruit surface with severe fruit damage occurring when larval densities are high in the orchard </w:t>
      </w:r>
      <w:r w:rsidRPr="00F07FCE">
        <w:rPr>
          <w:noProof/>
        </w:rPr>
        <w:t>(Doerr &amp; Brunner 2007)</w:t>
      </w:r>
      <w:r w:rsidRPr="00F07FCE">
        <w:t xml:space="preserve">. When larvae feed directly on fruit </w:t>
      </w:r>
      <w:r w:rsidRPr="00F07FCE">
        <w:rPr>
          <w:noProof/>
        </w:rPr>
        <w:t>(Landolt 2002)</w:t>
      </w:r>
      <w:r w:rsidRPr="00F07FCE">
        <w:t xml:space="preserve">, the feeding cavity and </w:t>
      </w:r>
      <w:r w:rsidRPr="00B47B0C">
        <w:t xml:space="preserve">larvae at the stem end </w:t>
      </w:r>
      <w:bookmarkStart w:id="254" w:name="_Hlk107864579"/>
      <w:r>
        <w:rPr>
          <w:noProof/>
        </w:rPr>
        <w:t>(Wiman &amp; Stoven 2021a)</w:t>
      </w:r>
      <w:bookmarkEnd w:id="254"/>
      <w:r w:rsidRPr="00B47B0C">
        <w:rPr>
          <w:noProof/>
          <w:lang w:eastAsia="en-AU"/>
        </w:rPr>
        <w:t>, the calyx end</w:t>
      </w:r>
      <w:r>
        <w:rPr>
          <w:noProof/>
          <w:lang w:eastAsia="en-AU"/>
        </w:rPr>
        <w:t xml:space="preserve"> </w:t>
      </w:r>
      <w:r w:rsidRPr="00F07FCE">
        <w:rPr>
          <w:noProof/>
        </w:rPr>
        <w:t>(Doerr &amp; Brunner 2007)</w:t>
      </w:r>
      <w:r w:rsidRPr="00B47B0C">
        <w:rPr>
          <w:noProof/>
          <w:lang w:eastAsia="en-AU"/>
        </w:rPr>
        <w:t xml:space="preserve"> or on the fruit surface</w:t>
      </w:r>
      <w:r>
        <w:rPr>
          <w:noProof/>
          <w:lang w:eastAsia="en-AU"/>
        </w:rPr>
        <w:t xml:space="preserve"> </w:t>
      </w:r>
      <w:r>
        <w:rPr>
          <w:noProof/>
        </w:rPr>
        <w:t xml:space="preserve">(Sutton et al. 2014) </w:t>
      </w:r>
      <w:r w:rsidRPr="00F07FCE">
        <w:t>are commonly highly visible.</w:t>
      </w:r>
    </w:p>
    <w:p w14:paraId="1F062C4C" w14:textId="77777777" w:rsidR="003438A2" w:rsidRPr="00F07FCE" w:rsidRDefault="003438A2" w:rsidP="00AD1C8F">
      <w:bookmarkStart w:id="255" w:name="_Hlk43417816"/>
      <w:r w:rsidRPr="00F07FCE">
        <w:t xml:space="preserve">The development of </w:t>
      </w:r>
      <w:r w:rsidRPr="00F07FCE">
        <w:rPr>
          <w:i/>
        </w:rPr>
        <w:t xml:space="preserve">L. subjuncta </w:t>
      </w:r>
      <w:r w:rsidRPr="00F07FCE">
        <w:t xml:space="preserve">is temperature-dependant. The lower threshold for development of larvae under laboratory trials is reported to be 6.7°C </w:t>
      </w:r>
      <w:r w:rsidRPr="00F07FCE">
        <w:rPr>
          <w:noProof/>
        </w:rPr>
        <w:t>(Doerr &amp; Brunner 2002)</w:t>
      </w:r>
      <w:r w:rsidRPr="00F07FCE">
        <w:t xml:space="preserve">. Eggs, larvae and pupae of </w:t>
      </w:r>
      <w:r w:rsidRPr="00F07FCE">
        <w:rPr>
          <w:i/>
        </w:rPr>
        <w:t xml:space="preserve">L. subjuncta </w:t>
      </w:r>
      <w:r w:rsidRPr="00F07FCE">
        <w:t xml:space="preserve">have been reared at constant temperatures between 10°C and 30°C </w:t>
      </w:r>
      <w:r w:rsidRPr="00F07FCE">
        <w:rPr>
          <w:noProof/>
        </w:rPr>
        <w:t>(Doerr &amp; Brunner 2002)</w:t>
      </w:r>
      <w:r w:rsidRPr="00F07FCE">
        <w:t xml:space="preserve">. </w:t>
      </w:r>
    </w:p>
    <w:bookmarkEnd w:id="255"/>
    <w:p w14:paraId="4ADE1555" w14:textId="77777777" w:rsidR="003438A2" w:rsidRPr="00F07FCE" w:rsidRDefault="003438A2" w:rsidP="00AD1C8F">
      <w:r w:rsidRPr="00F07FCE">
        <w:t xml:space="preserve">The risk scenario of biosecurity concern is that larvae of </w:t>
      </w:r>
      <w:r w:rsidRPr="00F07FCE">
        <w:rPr>
          <w:i/>
        </w:rPr>
        <w:t>L. subjuncta</w:t>
      </w:r>
      <w:r w:rsidRPr="00F07FCE">
        <w:t xml:space="preserve"> may be present on imported apple fruit from the PNW-USA.</w:t>
      </w:r>
    </w:p>
    <w:p w14:paraId="44E540C9" w14:textId="77777777" w:rsidR="003438A2" w:rsidRPr="00F07FCE" w:rsidRDefault="003438A2" w:rsidP="00AD1C8F">
      <w:pPr>
        <w:pStyle w:val="Heading4"/>
      </w:pPr>
      <w:r w:rsidRPr="00F07FCE">
        <w:t>Likelihood of entry</w:t>
      </w:r>
    </w:p>
    <w:p w14:paraId="29F32FDE" w14:textId="77777777" w:rsidR="003438A2" w:rsidRPr="00F07FCE" w:rsidRDefault="003438A2" w:rsidP="00AD1C8F">
      <w:r w:rsidRPr="00F07FCE">
        <w:t>The likelihood of entry is considered in two parts, the likelihood of importation and the likelihood of distribution, which consider pre-border and post-border issues, respectively.</w:t>
      </w:r>
    </w:p>
    <w:p w14:paraId="7180311C" w14:textId="77777777" w:rsidR="003438A2" w:rsidRPr="00F07FCE" w:rsidRDefault="003438A2" w:rsidP="00AD1C8F">
      <w:pPr>
        <w:pStyle w:val="Heading5"/>
      </w:pPr>
      <w:r w:rsidRPr="00F07FCE">
        <w:t>Likelihood of importation</w:t>
      </w:r>
    </w:p>
    <w:p w14:paraId="5DE8FABA" w14:textId="77777777" w:rsidR="003438A2" w:rsidRPr="00F07FCE" w:rsidRDefault="003438A2" w:rsidP="00AD1C8F">
      <w:pPr>
        <w:spacing w:before="120" w:after="120"/>
      </w:pPr>
      <w:r w:rsidRPr="00F07FCE">
        <w:t xml:space="preserve">The likelihood that </w:t>
      </w:r>
      <w:r w:rsidRPr="00F07FCE">
        <w:rPr>
          <w:i/>
          <w:iCs/>
        </w:rPr>
        <w:t xml:space="preserve">L. subjuncta </w:t>
      </w:r>
      <w:r w:rsidRPr="00F07FCE">
        <w:t>will arrive in Australia with the importation of apples from the PNW-USA is assessed as Low.</w:t>
      </w:r>
    </w:p>
    <w:p w14:paraId="4DE79FA4" w14:textId="77777777" w:rsidR="003438A2" w:rsidRPr="00F07FCE" w:rsidRDefault="003438A2" w:rsidP="00AD1C8F">
      <w:pPr>
        <w:spacing w:before="120" w:after="120"/>
      </w:pPr>
      <w:r w:rsidRPr="00F07FCE">
        <w:t>The following information provides supporting evidence for this assessment.</w:t>
      </w:r>
    </w:p>
    <w:p w14:paraId="49E429E6" w14:textId="77777777" w:rsidR="003438A2" w:rsidRPr="00F07FCE" w:rsidRDefault="003438A2" w:rsidP="00AD1C8F">
      <w:pPr>
        <w:spacing w:before="120" w:after="120"/>
      </w:pPr>
      <w:r w:rsidRPr="00F07FCE">
        <w:rPr>
          <w:i/>
        </w:rPr>
        <w:t xml:space="preserve">Lacanobia subjuncta </w:t>
      </w:r>
      <w:r w:rsidRPr="00F07FCE">
        <w:t>is a common pest across the PNW-USA and apple is a host.</w:t>
      </w:r>
    </w:p>
    <w:p w14:paraId="512835CB" w14:textId="77777777" w:rsidR="003438A2" w:rsidRPr="00F07FCE" w:rsidRDefault="003438A2" w:rsidP="003438A2">
      <w:pPr>
        <w:pStyle w:val="ListBullet"/>
        <w:numPr>
          <w:ilvl w:val="0"/>
          <w:numId w:val="15"/>
        </w:numPr>
      </w:pPr>
      <w:r w:rsidRPr="00F07FCE">
        <w:rPr>
          <w:i/>
        </w:rPr>
        <w:t xml:space="preserve">Lacanobia subjuncta </w:t>
      </w:r>
      <w:r w:rsidRPr="00F07FCE">
        <w:t>is native to North America and since the mid-1990s</w:t>
      </w:r>
      <w:r>
        <w:t xml:space="preserve"> </w:t>
      </w:r>
      <w:r>
        <w:rPr>
          <w:noProof/>
        </w:rPr>
        <w:t>(Doerr &amp; Brunner 2007; Landolt et al. 2011)</w:t>
      </w:r>
      <w:r>
        <w:t xml:space="preserve"> </w:t>
      </w:r>
      <w:r w:rsidRPr="00F07FCE">
        <w:t>it has become an important pest of apple in central Washington,</w:t>
      </w:r>
      <w:r>
        <w:t xml:space="preserve"> </w:t>
      </w:r>
      <w:r w:rsidRPr="00F07FCE">
        <w:t xml:space="preserve">north-east Oregon </w:t>
      </w:r>
      <w:r w:rsidRPr="00F07FCE">
        <w:rPr>
          <w:noProof/>
        </w:rPr>
        <w:t>(Doerr, Brunner &amp; Jones 2005)</w:t>
      </w:r>
      <w:r w:rsidRPr="00F07FCE">
        <w:t xml:space="preserve"> and Idaho </w:t>
      </w:r>
      <w:r w:rsidRPr="00F07FCE">
        <w:rPr>
          <w:noProof/>
        </w:rPr>
        <w:t>(Colt et al. 2001)</w:t>
      </w:r>
      <w:r w:rsidRPr="00F07FCE">
        <w:t>.</w:t>
      </w:r>
    </w:p>
    <w:p w14:paraId="0EA49367" w14:textId="77777777" w:rsidR="003438A2" w:rsidRPr="00F07FCE" w:rsidRDefault="003438A2" w:rsidP="003438A2">
      <w:pPr>
        <w:pStyle w:val="ListBullet"/>
        <w:numPr>
          <w:ilvl w:val="0"/>
          <w:numId w:val="15"/>
        </w:numPr>
      </w:pPr>
      <w:r w:rsidRPr="00F07FCE">
        <w:rPr>
          <w:i/>
          <w:iCs/>
        </w:rPr>
        <w:t>Lacanobia subjuncta</w:t>
      </w:r>
      <w:r w:rsidRPr="00F07FCE">
        <w:t xml:space="preserve"> is also reported to feed on other crop species as well as several ground cover</w:t>
      </w:r>
      <w:r>
        <w:t xml:space="preserve"> </w:t>
      </w:r>
      <w:r w:rsidRPr="00F07FCE">
        <w:t>weed species in orchards</w:t>
      </w:r>
      <w:r>
        <w:t xml:space="preserve"> </w:t>
      </w:r>
      <w:r w:rsidRPr="00F07FCE">
        <w:rPr>
          <w:noProof/>
        </w:rPr>
        <w:t>(Doerr &amp; Brunner 2007)</w:t>
      </w:r>
      <w:r>
        <w:t xml:space="preserve">. </w:t>
      </w:r>
    </w:p>
    <w:p w14:paraId="5AB7840C" w14:textId="77777777" w:rsidR="003438A2" w:rsidRPr="00F07FCE" w:rsidRDefault="003438A2" w:rsidP="003438A2">
      <w:pPr>
        <w:pStyle w:val="ListBullet"/>
        <w:numPr>
          <w:ilvl w:val="0"/>
          <w:numId w:val="15"/>
        </w:numPr>
        <w:rPr>
          <w:color w:val="1F497D"/>
        </w:rPr>
      </w:pPr>
      <w:r>
        <w:t>T</w:t>
      </w:r>
      <w:r w:rsidRPr="00F07FCE">
        <w:t>he first generation of larvae occurs from early June through to July, with the second generation occurring from mid-August through to October</w:t>
      </w:r>
      <w:r>
        <w:t xml:space="preserve"> </w:t>
      </w:r>
      <w:r w:rsidRPr="002246AB">
        <w:rPr>
          <w:noProof/>
        </w:rPr>
        <w:t>(Doerr &amp; Brunner 2007; Wiman &amp; Stoven 2021a)</w:t>
      </w:r>
      <w:r w:rsidRPr="002246AB">
        <w:t>.</w:t>
      </w:r>
      <w:r w:rsidRPr="00F07FCE">
        <w:t xml:space="preserve"> In the PNW-USA, apple fruit development generally occurs during May to August and harvest occurs from August until early November, depending on the variety and the environmental conditions in the region </w:t>
      </w:r>
      <w:r>
        <w:rPr>
          <w:noProof/>
        </w:rPr>
        <w:t>(Washington Apple Commission 2019)</w:t>
      </w:r>
      <w:r w:rsidRPr="00F07FCE">
        <w:t>. Therefore, it is likely that larvae could be present in apple orchards during the fruit development and harvest periods.</w:t>
      </w:r>
    </w:p>
    <w:p w14:paraId="4D51B1F3" w14:textId="77777777" w:rsidR="003438A2" w:rsidRPr="00F07FCE" w:rsidRDefault="003438A2" w:rsidP="00AD1C8F">
      <w:r w:rsidRPr="00F07FCE">
        <w:rPr>
          <w:i/>
        </w:rPr>
        <w:t>Lacanobia</w:t>
      </w:r>
      <w:r w:rsidRPr="00F07FCE">
        <w:t xml:space="preserve"> </w:t>
      </w:r>
      <w:r w:rsidRPr="00F07FCE">
        <w:rPr>
          <w:i/>
        </w:rPr>
        <w:t xml:space="preserve">subjuncta </w:t>
      </w:r>
      <w:r w:rsidRPr="00F07FCE">
        <w:t>is primarily associated with apple foliage and only incidentally feeds on fruit.</w:t>
      </w:r>
    </w:p>
    <w:p w14:paraId="52249F34" w14:textId="77777777" w:rsidR="003438A2" w:rsidRPr="00F07FCE" w:rsidRDefault="003438A2" w:rsidP="003438A2">
      <w:pPr>
        <w:pStyle w:val="ListBullet"/>
        <w:numPr>
          <w:ilvl w:val="0"/>
          <w:numId w:val="15"/>
        </w:numPr>
      </w:pPr>
      <w:r w:rsidRPr="00F07FCE">
        <w:t xml:space="preserve">Larvae are primarily foliage feeders </w:t>
      </w:r>
      <w:r>
        <w:rPr>
          <w:noProof/>
        </w:rPr>
        <w:t>(Wiman &amp; Stoven 2021a)</w:t>
      </w:r>
      <w:r w:rsidRPr="00F07FCE">
        <w:rPr>
          <w:noProof/>
          <w:color w:val="00B050"/>
          <w:lang w:eastAsia="en-AU"/>
        </w:rPr>
        <w:t xml:space="preserve"> </w:t>
      </w:r>
      <w:r w:rsidRPr="00F07FCE">
        <w:t>and fruit feeding is considered incidental to foliage feeding</w:t>
      </w:r>
      <w:r>
        <w:t xml:space="preserve"> </w:t>
      </w:r>
      <w:r>
        <w:rPr>
          <w:noProof/>
        </w:rPr>
        <w:t>(Doerr &amp; Brunner 2002, 2007; Landolt 2002)</w:t>
      </w:r>
      <w:r w:rsidRPr="00F07FCE">
        <w:t>.</w:t>
      </w:r>
    </w:p>
    <w:p w14:paraId="61FC6541" w14:textId="77777777" w:rsidR="003438A2" w:rsidRPr="00F07FCE" w:rsidRDefault="003438A2" w:rsidP="003438A2">
      <w:pPr>
        <w:pStyle w:val="ListBullet"/>
        <w:numPr>
          <w:ilvl w:val="0"/>
          <w:numId w:val="15"/>
        </w:numPr>
      </w:pPr>
      <w:r w:rsidRPr="00F07FCE">
        <w:lastRenderedPageBreak/>
        <w:t>When population densities of the larvae are high in orchards, or when the fruit cluster is in close proximity to dense foliage or tall growing weeds, fruit damage may occur and may be severe</w:t>
      </w:r>
      <w:r>
        <w:t xml:space="preserve"> </w:t>
      </w:r>
      <w:r>
        <w:rPr>
          <w:rFonts w:eastAsia="Calibri" w:cs="Times New Roman"/>
          <w:noProof/>
        </w:rPr>
        <w:t>(Brunner et al. 2000; Doerr &amp; Brunner 2007)</w:t>
      </w:r>
      <w:r>
        <w:rPr>
          <w:rFonts w:eastAsia="Calibri" w:cs="Times New Roman"/>
        </w:rPr>
        <w:t>.</w:t>
      </w:r>
    </w:p>
    <w:p w14:paraId="2AC566E0" w14:textId="77777777" w:rsidR="003438A2" w:rsidRPr="00F07FCE" w:rsidRDefault="003438A2" w:rsidP="00AD1C8F">
      <w:r w:rsidRPr="00F07FCE">
        <w:t xml:space="preserve">Fruit infested by </w:t>
      </w:r>
      <w:r w:rsidRPr="00F07FCE">
        <w:rPr>
          <w:i/>
        </w:rPr>
        <w:t xml:space="preserve">L. subjuncta </w:t>
      </w:r>
      <w:r w:rsidRPr="00F07FCE">
        <w:t>larvae are likely to be removed during production, harvest and post-harvest processing.</w:t>
      </w:r>
    </w:p>
    <w:p w14:paraId="7208674E" w14:textId="77777777" w:rsidR="003438A2" w:rsidRDefault="003438A2" w:rsidP="003438A2">
      <w:pPr>
        <w:pStyle w:val="ListBullet"/>
        <w:numPr>
          <w:ilvl w:val="0"/>
          <w:numId w:val="15"/>
        </w:numPr>
      </w:pPr>
      <w:r w:rsidRPr="00F07FCE">
        <w:t xml:space="preserve">Orchards in PNW-USA have standard in-field management practices for control of </w:t>
      </w:r>
      <w:r w:rsidRPr="00F07FCE">
        <w:rPr>
          <w:i/>
        </w:rPr>
        <w:t>L. subjuncta</w:t>
      </w:r>
      <w:r w:rsidRPr="00F07FCE">
        <w:rPr>
          <w:rFonts w:eastAsia="Calibri" w:cs="Times New Roman"/>
        </w:rPr>
        <w:t xml:space="preserve"> </w:t>
      </w:r>
      <w:r>
        <w:rPr>
          <w:noProof/>
        </w:rPr>
        <w:t>(Wiman &amp; Stoven 2021a)</w:t>
      </w:r>
      <w:r>
        <w:t>.</w:t>
      </w:r>
    </w:p>
    <w:p w14:paraId="47700390" w14:textId="77777777" w:rsidR="003438A2" w:rsidRPr="00F07FCE" w:rsidRDefault="003438A2" w:rsidP="003438A2">
      <w:pPr>
        <w:pStyle w:val="ListBullet"/>
        <w:numPr>
          <w:ilvl w:val="0"/>
          <w:numId w:val="15"/>
        </w:numPr>
      </w:pPr>
      <w:r w:rsidRPr="00F07FCE">
        <w:t>First generation larvae present in June and July may attack early</w:t>
      </w:r>
      <w:r>
        <w:t>-</w:t>
      </w:r>
      <w:r w:rsidRPr="00F07FCE">
        <w:t xml:space="preserve">stage immature fruits </w:t>
      </w:r>
      <w:r w:rsidRPr="002246AB">
        <w:rPr>
          <w:noProof/>
        </w:rPr>
        <w:t>(Doerr &amp; Brunner 2007; Wiman &amp; Stoven 2021a)</w:t>
      </w:r>
      <w:r w:rsidRPr="002246AB">
        <w:t>.</w:t>
      </w:r>
      <w:r w:rsidRPr="00F07FCE">
        <w:t xml:space="preserve"> It is likely that infested immature fruits will fall from trees or will be removed from apple orchards during routine inspections of the commercial orchards.</w:t>
      </w:r>
    </w:p>
    <w:p w14:paraId="2F457844" w14:textId="77777777" w:rsidR="003438A2" w:rsidRPr="00F07FCE" w:rsidRDefault="003438A2" w:rsidP="003438A2">
      <w:pPr>
        <w:pStyle w:val="ListBullet"/>
        <w:numPr>
          <w:ilvl w:val="0"/>
          <w:numId w:val="15"/>
        </w:numPr>
      </w:pPr>
      <w:r w:rsidRPr="00F07FCE">
        <w:t xml:space="preserve">Feeding on the fruit by second generation larvae could occur during mid-August through to October </w:t>
      </w:r>
      <w:r w:rsidRPr="00AD377E">
        <w:t xml:space="preserve">when fruit are harvested. Feeding by larvae results in a highly visible hollowed-out scoop, approximately the size of a fingertip, on the surface of apple fruit </w:t>
      </w:r>
      <w:r w:rsidRPr="00AD377E">
        <w:rPr>
          <w:noProof/>
        </w:rPr>
        <w:t>(Doerr &amp; Brunner 2007; Landolt 2002)</w:t>
      </w:r>
      <w:r w:rsidRPr="00AD377E">
        <w:t xml:space="preserve">. Although larvae may feed at the calyx end </w:t>
      </w:r>
      <w:r w:rsidRPr="00AD377E">
        <w:rPr>
          <w:noProof/>
        </w:rPr>
        <w:t>(</w:t>
      </w:r>
      <w:hyperlink w:anchor="_ENREF_221" w:tooltip="Doerr, 2007 #5821" w:history="1">
        <w:r w:rsidRPr="00AD377E">
          <w:rPr>
            <w:noProof/>
          </w:rPr>
          <w:t>Doerr &amp; Brunner 2007</w:t>
        </w:r>
      </w:hyperlink>
      <w:r w:rsidRPr="00AD377E">
        <w:rPr>
          <w:noProof/>
        </w:rPr>
        <w:t xml:space="preserve">), </w:t>
      </w:r>
      <w:r w:rsidRPr="00AD377E">
        <w:t xml:space="preserve">or the stem end </w:t>
      </w:r>
      <w:r w:rsidRPr="00AD377E">
        <w:rPr>
          <w:noProof/>
        </w:rPr>
        <w:t>(Wiman &amp; Stoven 2021a)</w:t>
      </w:r>
      <w:r w:rsidRPr="00AD377E">
        <w:t xml:space="preserve"> of the fruit, damage is highly visible and there is no evidence to indicate larvae</w:t>
      </w:r>
      <w:r>
        <w:t xml:space="preserve"> hide and feed deep within the calyx</w:t>
      </w:r>
      <w:r w:rsidRPr="00602240">
        <w:t>.</w:t>
      </w:r>
      <w:r w:rsidRPr="00F07FCE">
        <w:t xml:space="preserve"> It is likely that infested fruit will be detected and removed during harvest and packing house procedures. </w:t>
      </w:r>
    </w:p>
    <w:p w14:paraId="17239116" w14:textId="77777777" w:rsidR="003438A2" w:rsidRPr="00F07FCE" w:rsidRDefault="003438A2" w:rsidP="003438A2">
      <w:pPr>
        <w:pStyle w:val="ListBullet"/>
        <w:numPr>
          <w:ilvl w:val="0"/>
          <w:numId w:val="15"/>
        </w:numPr>
      </w:pPr>
      <w:r w:rsidRPr="00F07FCE">
        <w:t>Secondary rots often follow initial damage caused by surface feeding, and affected fruit are likely to be detected and removed during harvest and packing house procedures.</w:t>
      </w:r>
    </w:p>
    <w:p w14:paraId="4A81BE4D" w14:textId="77777777" w:rsidR="003438A2" w:rsidRPr="00F07FCE" w:rsidRDefault="003438A2" w:rsidP="003438A2">
      <w:pPr>
        <w:pStyle w:val="ListBullet"/>
        <w:numPr>
          <w:ilvl w:val="0"/>
          <w:numId w:val="15"/>
        </w:numPr>
      </w:pPr>
      <w:r w:rsidRPr="00F07FCE">
        <w:t>Post-harvest cleaning processes including washing and brushing of the fruit are likely to remove any larvae present on the external surface of the apple.</w:t>
      </w:r>
    </w:p>
    <w:p w14:paraId="6E6E6A7C" w14:textId="77777777" w:rsidR="003438A2" w:rsidRPr="00F07FCE" w:rsidRDefault="003438A2" w:rsidP="00AD1C8F">
      <w:r>
        <w:t>L</w:t>
      </w:r>
      <w:r w:rsidRPr="00F07FCE">
        <w:t xml:space="preserve">arvae </w:t>
      </w:r>
      <w:r>
        <w:t xml:space="preserve">that are not detected or </w:t>
      </w:r>
      <w:r w:rsidRPr="00DC62A3">
        <w:t>removed during packing house processes will not develop and are likely to experience high rates of mortality at cold temperatures during</w:t>
      </w:r>
      <w:r w:rsidRPr="00F07FCE">
        <w:t xml:space="preserve"> storage and transport to Australia.</w:t>
      </w:r>
    </w:p>
    <w:p w14:paraId="1CF80113" w14:textId="77777777" w:rsidR="003438A2" w:rsidRPr="00F07FCE" w:rsidRDefault="003438A2" w:rsidP="003438A2">
      <w:pPr>
        <w:pStyle w:val="ListBullet"/>
        <w:numPr>
          <w:ilvl w:val="0"/>
          <w:numId w:val="15"/>
        </w:numPr>
      </w:pPr>
      <w:r w:rsidRPr="00F07FCE">
        <w:t>Harvested apples are normally cold stored at 0°</w:t>
      </w:r>
      <w:r>
        <w:t>C</w:t>
      </w:r>
      <w:r w:rsidRPr="00F07FCE">
        <w:t xml:space="preserve"> to 2°C, depending on variety</w:t>
      </w:r>
      <w:r>
        <w:t xml:space="preserve"> </w:t>
      </w:r>
      <w:r>
        <w:rPr>
          <w:noProof/>
        </w:rPr>
        <w:t>(Good Fruit Grower 2014; Iowa State University Extension and Outreach 2008; Kupferman 1996; University of Maine 2020)</w:t>
      </w:r>
      <w:r w:rsidRPr="00F07FCE">
        <w:t>. Sea freight, which takes about five weeks, is likely to be the preferred method of transport of apples from the PNW-USA to Australia</w:t>
      </w:r>
      <w:r>
        <w:t>, during which fruit will be maintained at similar temperatures</w:t>
      </w:r>
      <w:r w:rsidRPr="00F07FCE">
        <w:t>.</w:t>
      </w:r>
    </w:p>
    <w:p w14:paraId="714DEA46" w14:textId="77777777" w:rsidR="003438A2" w:rsidRPr="00F07FCE" w:rsidRDefault="003438A2" w:rsidP="003438A2">
      <w:pPr>
        <w:pStyle w:val="ListBullet"/>
        <w:numPr>
          <w:ilvl w:val="0"/>
          <w:numId w:val="15"/>
        </w:numPr>
      </w:pPr>
      <w:r w:rsidRPr="00F07FCE">
        <w:t xml:space="preserve">The development of </w:t>
      </w:r>
      <w:r w:rsidRPr="00F07FCE">
        <w:rPr>
          <w:i/>
        </w:rPr>
        <w:t xml:space="preserve">L. subjuncta </w:t>
      </w:r>
      <w:r w:rsidRPr="00F07FCE">
        <w:t xml:space="preserve">is temperature-dependant </w:t>
      </w:r>
      <w:r w:rsidRPr="00F07FCE">
        <w:rPr>
          <w:noProof/>
        </w:rPr>
        <w:t>(Doerr &amp; Brunner 2002)</w:t>
      </w:r>
      <w:r w:rsidRPr="00F07FCE">
        <w:t xml:space="preserve"> and the lower threshold for larval development is reported to be 6.7°C </w:t>
      </w:r>
      <w:r w:rsidRPr="00F07FCE">
        <w:rPr>
          <w:noProof/>
        </w:rPr>
        <w:t>(Doerr &amp; Brunner 2007)</w:t>
      </w:r>
      <w:r w:rsidRPr="00F07FCE">
        <w:t>.</w:t>
      </w:r>
    </w:p>
    <w:p w14:paraId="55217E5B" w14:textId="77777777" w:rsidR="003438A2" w:rsidRPr="00F07FCE" w:rsidRDefault="003438A2" w:rsidP="003438A2">
      <w:pPr>
        <w:pStyle w:val="ListBullet"/>
        <w:numPr>
          <w:ilvl w:val="0"/>
          <w:numId w:val="15"/>
        </w:numPr>
      </w:pPr>
      <w:r w:rsidRPr="00F07FCE">
        <w:t>In laboratory studies, the larval mortality rate was greatest (91.3%) when reared at a constant 10°C compared to mortality rates of 12.5</w:t>
      </w:r>
      <w:r>
        <w:t xml:space="preserve"> to </w:t>
      </w:r>
      <w:r w:rsidRPr="00F07FCE">
        <w:t xml:space="preserve">47.1% at higher constant temperatures between 12.5°C and 30.0°C </w:t>
      </w:r>
      <w:r>
        <w:rPr>
          <w:noProof/>
        </w:rPr>
        <w:t>(Doerr &amp; Brunner 2002)</w:t>
      </w:r>
      <w:r w:rsidRPr="00F07FCE">
        <w:t xml:space="preserve">. This indicates that cold temperatures during storage and transport to Australia are likely to adversely affect the </w:t>
      </w:r>
      <w:r>
        <w:t>survival</w:t>
      </w:r>
      <w:r w:rsidRPr="00F07FCE">
        <w:t xml:space="preserve"> of larvae. However, some larvae may survive.</w:t>
      </w:r>
    </w:p>
    <w:p w14:paraId="00F95DE0" w14:textId="77777777" w:rsidR="003438A2" w:rsidRPr="00F07FCE" w:rsidRDefault="003438A2" w:rsidP="00AD1C8F">
      <w:r w:rsidRPr="00F07FCE">
        <w:rPr>
          <w:i/>
        </w:rPr>
        <w:t>Lacanobia subjuncta</w:t>
      </w:r>
      <w:r w:rsidRPr="00F07FCE">
        <w:t xml:space="preserve"> is recognised as an abundant pest of apple in PNW-USA. However, this pest is primarily a foliage feeder. Larvae feeding on apple foliage disperse as they mature, and leave the trees in favour of ground cover preceding pupation, which occurs in soil. Larval feeding on fruit is incidental and leaves obvious symptoms. The highly visible nature of larvae and feeding holes on mature apples are easily detected during harvest and post-harvest processes, so that infested fruit are likely to be removed from the pathway. Any larvae present on apples are likely to experience high rates of mortality at cold temperatures during storage and transport of apples to Australia. For the reasons outlined, the likelihood estimate for importation of </w:t>
      </w:r>
      <w:r w:rsidRPr="00F07FCE">
        <w:rPr>
          <w:i/>
        </w:rPr>
        <w:t>L. subjuncta</w:t>
      </w:r>
      <w:r w:rsidRPr="00F07FCE">
        <w:t xml:space="preserve"> on the PNW-USA apple pathway is assessed as Low.</w:t>
      </w:r>
    </w:p>
    <w:p w14:paraId="799314AB" w14:textId="77777777" w:rsidR="003438A2" w:rsidRPr="00F07FCE" w:rsidRDefault="003438A2" w:rsidP="00AD1C8F">
      <w:pPr>
        <w:pStyle w:val="Heading5"/>
      </w:pPr>
      <w:r w:rsidRPr="00F07FCE">
        <w:lastRenderedPageBreak/>
        <w:t>Likelihood of distribution</w:t>
      </w:r>
    </w:p>
    <w:p w14:paraId="1A8CCA1A" w14:textId="77777777" w:rsidR="003438A2" w:rsidRPr="00F07FCE" w:rsidRDefault="003438A2" w:rsidP="00AD1C8F">
      <w:r w:rsidRPr="00F07FCE">
        <w:t xml:space="preserve">The likelihood that larvae of </w:t>
      </w:r>
      <w:r w:rsidRPr="00F07FCE">
        <w:rPr>
          <w:i/>
          <w:iCs/>
        </w:rPr>
        <w:t xml:space="preserve">L. subjuncta </w:t>
      </w:r>
      <w:r w:rsidRPr="00F07FCE">
        <w:t>will be distributed within Australia in a viable state</w:t>
      </w:r>
      <w:r>
        <w:t>,</w:t>
      </w:r>
      <w:r w:rsidRPr="00F07FCE">
        <w:t xml:space="preserve"> as a result of the processing, sale or disposal of apples from the PNW-USA</w:t>
      </w:r>
      <w:r>
        <w:t>,</w:t>
      </w:r>
      <w:r w:rsidRPr="00F07FCE">
        <w:t xml:space="preserve"> and subsequently transfer to a susceptible part of a host is assessed as Moderate.</w:t>
      </w:r>
    </w:p>
    <w:p w14:paraId="26320EB4" w14:textId="77777777" w:rsidR="003438A2" w:rsidRPr="00A148CB" w:rsidRDefault="003438A2" w:rsidP="00AD1C8F">
      <w:r w:rsidRPr="00F07FCE">
        <w:t xml:space="preserve">The </w:t>
      </w:r>
      <w:r w:rsidRPr="00A148CB">
        <w:t>following information provides supporting evidence for this assessment:</w:t>
      </w:r>
    </w:p>
    <w:p w14:paraId="696ADF43" w14:textId="77777777" w:rsidR="003438A2" w:rsidRPr="00A148CB" w:rsidRDefault="003438A2" w:rsidP="00E13D20">
      <w:r w:rsidRPr="00A148CB">
        <w:t>Apples imported from PNW-USA will likely be distributed throughout Australia for retail sale. Cold temperatures during storage and transport of fresh apple in Australia are unsuitable for larval development and survival. Fruit showing signs of infestation are likely to be removed from further distribution. Some infested fruit may not be detected.</w:t>
      </w:r>
    </w:p>
    <w:p w14:paraId="4403FF4E" w14:textId="77777777" w:rsidR="003438A2" w:rsidRPr="00A148CB" w:rsidRDefault="003438A2" w:rsidP="003438A2">
      <w:pPr>
        <w:pStyle w:val="ListBullet"/>
        <w:numPr>
          <w:ilvl w:val="0"/>
          <w:numId w:val="15"/>
        </w:numPr>
      </w:pPr>
      <w:r w:rsidRPr="00A148CB">
        <w:t>It is expected that fresh apples imported from PNW-USA into Australia will be distributed for retail sale in many areas in Australia. Major population centres are likely to receive the majority of the imported apples.</w:t>
      </w:r>
    </w:p>
    <w:p w14:paraId="686637BD" w14:textId="77777777" w:rsidR="003438A2" w:rsidRPr="00A148CB" w:rsidRDefault="003438A2" w:rsidP="003438A2">
      <w:pPr>
        <w:pStyle w:val="ListBullet"/>
        <w:numPr>
          <w:ilvl w:val="0"/>
          <w:numId w:val="15"/>
        </w:numPr>
      </w:pPr>
      <w:r w:rsidRPr="00A148CB">
        <w:rPr>
          <w:i/>
        </w:rPr>
        <w:t>Lacanobia</w:t>
      </w:r>
      <w:r w:rsidRPr="00A148CB">
        <w:t xml:space="preserve"> </w:t>
      </w:r>
      <w:r w:rsidRPr="00A148CB">
        <w:rPr>
          <w:i/>
        </w:rPr>
        <w:t xml:space="preserve">subjuncta </w:t>
      </w:r>
      <w:r w:rsidRPr="00A148CB">
        <w:t>larval development ceases</w:t>
      </w:r>
      <w:r w:rsidRPr="00A148CB">
        <w:rPr>
          <w:i/>
          <w:iCs/>
        </w:rPr>
        <w:t xml:space="preserve"> </w:t>
      </w:r>
      <w:r w:rsidRPr="00A148CB">
        <w:t xml:space="preserve">at temperatures around 6°C </w:t>
      </w:r>
      <w:r w:rsidRPr="00A148CB">
        <w:rPr>
          <w:noProof/>
        </w:rPr>
        <w:t>(Doerr &amp; Brunner 2002)</w:t>
      </w:r>
      <w:r w:rsidRPr="00A148CB">
        <w:t xml:space="preserve">. In laboratory studies, larval mortality was 91.3% when reared at a constant 10°C </w:t>
      </w:r>
      <w:r w:rsidRPr="00A148CB">
        <w:rPr>
          <w:noProof/>
        </w:rPr>
        <w:t>(Doerr &amp; Brunner 2002; Doerr, Brunner &amp; Jones 2002)</w:t>
      </w:r>
      <w:r w:rsidRPr="00A148CB">
        <w:t xml:space="preserve">. It is likely that similar cold temperatures of 0°C to 2°C will be used during storage and transport of PNW-USA apples in Australia. Cold temperatures during storage and transport within Australia are likely to adversely affect the viability of larvae. However, some larvae may survive. </w:t>
      </w:r>
    </w:p>
    <w:p w14:paraId="347536C9" w14:textId="77777777" w:rsidR="003438A2" w:rsidRPr="00A148CB" w:rsidRDefault="003438A2" w:rsidP="003438A2">
      <w:pPr>
        <w:pStyle w:val="ListBullet"/>
        <w:numPr>
          <w:ilvl w:val="0"/>
          <w:numId w:val="15"/>
        </w:numPr>
      </w:pPr>
      <w:r w:rsidRPr="00A148CB">
        <w:t xml:space="preserve">Packed apple fruit may not be processed or handled until they arrive at retail points. Once in retail stores, fruit are likely to be kept at room temperature for some of the time which could allow some </w:t>
      </w:r>
      <w:r w:rsidRPr="00A148CB">
        <w:rPr>
          <w:i/>
          <w:iCs/>
        </w:rPr>
        <w:t>L.</w:t>
      </w:r>
      <w:r w:rsidRPr="00A148CB">
        <w:t xml:space="preserve"> </w:t>
      </w:r>
      <w:r w:rsidRPr="00A148CB">
        <w:rPr>
          <w:i/>
        </w:rPr>
        <w:t>subjuncta</w:t>
      </w:r>
      <w:r w:rsidRPr="00A148CB">
        <w:t xml:space="preserve"> to survive and resume development. Any fruit showing symptoms of infestation at this point are likely to be removed from further distribution and discarded into managed waste systems.</w:t>
      </w:r>
    </w:p>
    <w:p w14:paraId="0FC390CB" w14:textId="77777777" w:rsidR="003438A2" w:rsidRPr="00A148CB" w:rsidRDefault="003438A2" w:rsidP="003438A2">
      <w:pPr>
        <w:pStyle w:val="ListBullet"/>
        <w:numPr>
          <w:ilvl w:val="0"/>
          <w:numId w:val="15"/>
        </w:numPr>
      </w:pPr>
      <w:r w:rsidRPr="00A148CB">
        <w:t>Apple fruit with no obvious signs of infestation are unlikely to be removed and may be sold to consumers.</w:t>
      </w:r>
      <w:r w:rsidRPr="00A148CB">
        <w:rPr>
          <w:iCs/>
        </w:rPr>
        <w:t xml:space="preserve"> </w:t>
      </w:r>
    </w:p>
    <w:p w14:paraId="5C967211" w14:textId="77777777" w:rsidR="003438A2" w:rsidRPr="00A148CB" w:rsidRDefault="003438A2" w:rsidP="00AD1C8F">
      <w:r w:rsidRPr="00A148CB">
        <w:t xml:space="preserve">Distribution of imported apples will be for retail sale for human consumption. A small proportion of apple fruit waste may be discarded into the environment. </w:t>
      </w:r>
    </w:p>
    <w:p w14:paraId="12A2EA78" w14:textId="77777777" w:rsidR="003438A2" w:rsidRPr="00A148CB" w:rsidRDefault="003438A2" w:rsidP="003438A2">
      <w:pPr>
        <w:pStyle w:val="ListBullet"/>
        <w:numPr>
          <w:ilvl w:val="0"/>
          <w:numId w:val="15"/>
        </w:numPr>
      </w:pPr>
      <w:r w:rsidRPr="00A148CB">
        <w:t xml:space="preserve">Commercial waste of imported fresh apples may be generated prior to, or during, retail sale. Most commercial waste will be discarded into managed waste systems, from where </w:t>
      </w:r>
      <w:r w:rsidRPr="00A148CB">
        <w:rPr>
          <w:i/>
          <w:iCs/>
        </w:rPr>
        <w:t xml:space="preserve">L. subjuncta </w:t>
      </w:r>
      <w:r w:rsidRPr="00A148CB">
        <w:t>would be unlikely to transfer to a suitable host or reach a suitable pupation site.</w:t>
      </w:r>
    </w:p>
    <w:p w14:paraId="0F09AD7A" w14:textId="77777777" w:rsidR="003438A2" w:rsidRPr="00A148CB" w:rsidRDefault="003438A2" w:rsidP="003438A2">
      <w:pPr>
        <w:pStyle w:val="ListBullet"/>
        <w:numPr>
          <w:ilvl w:val="0"/>
          <w:numId w:val="15"/>
        </w:numPr>
      </w:pPr>
      <w:r w:rsidRPr="00A148CB">
        <w:t xml:space="preserve">Most of the fruit, other than the core and seed, will be consumed. Fruit waste may be discarded in managed residential waste systems, from where </w:t>
      </w:r>
      <w:r w:rsidRPr="00A148CB">
        <w:rPr>
          <w:i/>
          <w:iCs/>
        </w:rPr>
        <w:t>L. subjuncta</w:t>
      </w:r>
      <w:r w:rsidRPr="00A148CB">
        <w:t xml:space="preserve"> would be unlikely to transfer to a suitable host or reach a suitable pupation site. </w:t>
      </w:r>
    </w:p>
    <w:p w14:paraId="0150D76C" w14:textId="77777777" w:rsidR="003438A2" w:rsidRPr="00A148CB" w:rsidRDefault="003438A2" w:rsidP="003438A2">
      <w:pPr>
        <w:pStyle w:val="ListBullet"/>
        <w:numPr>
          <w:ilvl w:val="0"/>
          <w:numId w:val="15"/>
        </w:numPr>
      </w:pPr>
      <w:r w:rsidRPr="00A148CB">
        <w:t xml:space="preserve">Some fruit waste may be discarded into domestic compost where the larvae may leave the discarded fruit and pupate in the ground </w:t>
      </w:r>
      <w:r w:rsidRPr="00A148CB">
        <w:rPr>
          <w:noProof/>
        </w:rPr>
        <w:t>(Doerr &amp; Brunner 2007)</w:t>
      </w:r>
      <w:r w:rsidRPr="00A148CB">
        <w:t xml:space="preserve">. </w:t>
      </w:r>
    </w:p>
    <w:p w14:paraId="15650342" w14:textId="77777777" w:rsidR="003438A2" w:rsidRPr="00A148CB" w:rsidRDefault="003438A2" w:rsidP="003438A2">
      <w:pPr>
        <w:pStyle w:val="ListBullet"/>
        <w:numPr>
          <w:ilvl w:val="0"/>
          <w:numId w:val="15"/>
        </w:numPr>
      </w:pPr>
      <w:r w:rsidRPr="00A148CB">
        <w:t>A small proportion of fruit waste may be discarded as litter in urban, rural or natural environments near suitable host plants, including commercially grown, household or wild host plants.</w:t>
      </w:r>
    </w:p>
    <w:p w14:paraId="5F3AB738" w14:textId="77777777" w:rsidR="003438A2" w:rsidRPr="00A148CB" w:rsidRDefault="003438A2" w:rsidP="003438A2">
      <w:pPr>
        <w:pStyle w:val="ListBullet"/>
        <w:numPr>
          <w:ilvl w:val="0"/>
          <w:numId w:val="15"/>
        </w:numPr>
      </w:pPr>
      <w:r w:rsidRPr="00A148CB">
        <w:t xml:space="preserve">Damaged, infested fruit are particularly susceptible to colonisation by microorganisms. Colonisation of discarded, infested fruit by saprophytic fungi or bacteria would quickly rot the fruit, depleting the food source potentially needed for larvae to survive. However, if larvae come into contact with suitable weed hosts, there is a possibility they could complete their development and pupate in the ground </w:t>
      </w:r>
      <w:r w:rsidRPr="00A148CB">
        <w:rPr>
          <w:noProof/>
        </w:rPr>
        <w:t>(Doerr &amp; Brunner 2007)</w:t>
      </w:r>
      <w:r w:rsidRPr="00A148CB">
        <w:rPr>
          <w:iCs/>
        </w:rPr>
        <w:t>. Pupation may also occur if f</w:t>
      </w:r>
      <w:r w:rsidRPr="00A148CB">
        <w:t>ruit infested by late instar larvae are discarded near suitable pupation sites. Adults may emerge and move to suitable hosts given their capacity of independent flight.</w:t>
      </w:r>
    </w:p>
    <w:p w14:paraId="6A93C62E" w14:textId="77777777" w:rsidR="003438A2" w:rsidRPr="00F07FCE" w:rsidRDefault="003438A2" w:rsidP="0024373C">
      <w:r w:rsidRPr="00A148CB">
        <w:lastRenderedPageBreak/>
        <w:t>Warm to hot summer temperatures in Australia are unsuitable for larval</w:t>
      </w:r>
      <w:r w:rsidRPr="00F07FCE">
        <w:t xml:space="preserve"> development and survival.</w:t>
      </w:r>
    </w:p>
    <w:p w14:paraId="4226CB58" w14:textId="77777777" w:rsidR="003438A2" w:rsidRPr="00F07FCE" w:rsidRDefault="003438A2" w:rsidP="003438A2">
      <w:pPr>
        <w:pStyle w:val="ListBullet"/>
        <w:numPr>
          <w:ilvl w:val="0"/>
          <w:numId w:val="15"/>
        </w:numPr>
      </w:pPr>
      <w:r w:rsidRPr="00F07FCE">
        <w:rPr>
          <w:iCs/>
        </w:rPr>
        <w:t>Although importation of PNW-USA apples is likely to occur throughout the year, apple imports during the hot, dry summer months may not be suitable for larval development,</w:t>
      </w:r>
      <w:r w:rsidRPr="00F07FCE">
        <w:rPr>
          <w:rFonts w:eastAsia="Calibri" w:cs="Times New Roman"/>
        </w:rPr>
        <w:t xml:space="preserve"> as </w:t>
      </w:r>
      <w:r w:rsidRPr="00F07FCE">
        <w:t xml:space="preserve">complete larval mortality has been observed in the laboratory at or above constant temperatures of 32.5°C </w:t>
      </w:r>
      <w:r w:rsidRPr="00F07FCE">
        <w:rPr>
          <w:noProof/>
        </w:rPr>
        <w:t>(Doerr &amp; Brunner 2002)</w:t>
      </w:r>
      <w:r w:rsidRPr="00F07FCE">
        <w:t>. Larvae in infested fruit discarded during times of h</w:t>
      </w:r>
      <w:r>
        <w:t>igh</w:t>
      </w:r>
      <w:r w:rsidRPr="00F07FCE">
        <w:t xml:space="preserve"> temperature</w:t>
      </w:r>
      <w:r>
        <w:t>s</w:t>
      </w:r>
      <w:r w:rsidRPr="00F07FCE">
        <w:t xml:space="preserve"> in summer may not survive. However, due to the wide range of temperatures that the pest can tolerate (estimated lower and upper development thresholds of 6.7°C and 32.2°C, respectively), most Australian regions could support further development of larvae throughout large parts of the year.</w:t>
      </w:r>
    </w:p>
    <w:p w14:paraId="6553D9BD" w14:textId="77777777" w:rsidR="003438A2" w:rsidRPr="00F07FCE" w:rsidRDefault="003438A2" w:rsidP="00AD1C8F">
      <w:r w:rsidRPr="00F07FCE">
        <w:rPr>
          <w:iCs/>
        </w:rPr>
        <w:t xml:space="preserve">Suitable hosts for </w:t>
      </w:r>
      <w:r w:rsidRPr="00F07FCE">
        <w:rPr>
          <w:i/>
        </w:rPr>
        <w:t>Lacanobia</w:t>
      </w:r>
      <w:r w:rsidRPr="00F07FCE" w:rsidDel="009E04C5">
        <w:rPr>
          <w:i/>
        </w:rPr>
        <w:t xml:space="preserve"> </w:t>
      </w:r>
      <w:r w:rsidRPr="00F07FCE">
        <w:rPr>
          <w:i/>
        </w:rPr>
        <w:t xml:space="preserve">subjuncta </w:t>
      </w:r>
      <w:r w:rsidRPr="00F07FCE">
        <w:t>are widely available in Australia.</w:t>
      </w:r>
    </w:p>
    <w:p w14:paraId="5CD521A4" w14:textId="77777777" w:rsidR="003438A2" w:rsidRPr="0024373C" w:rsidRDefault="003438A2" w:rsidP="003438A2">
      <w:pPr>
        <w:pStyle w:val="ListBullet"/>
        <w:numPr>
          <w:ilvl w:val="0"/>
          <w:numId w:val="15"/>
        </w:numPr>
      </w:pPr>
      <w:r w:rsidRPr="0024373C">
        <w:rPr>
          <w:i/>
        </w:rPr>
        <w:t>Lacanobia subjuncta</w:t>
      </w:r>
      <w:r w:rsidRPr="0024373C">
        <w:t xml:space="preserve"> ha</w:t>
      </w:r>
      <w:r>
        <w:t>s</w:t>
      </w:r>
      <w:r w:rsidRPr="0024373C">
        <w:t xml:space="preserve"> a wide variety of host plants, including trees, shrubs and herbaceous plants </w:t>
      </w:r>
      <w:r w:rsidRPr="0024373C">
        <w:rPr>
          <w:noProof/>
        </w:rPr>
        <w:t xml:space="preserve">(Landolt 2002). </w:t>
      </w:r>
      <w:r w:rsidRPr="0024373C">
        <w:t>Recorded hosts include apple, cherry, blueberry, cabbage, asparagus, corn and strawberry</w:t>
      </w:r>
      <w:r>
        <w:t xml:space="preserve"> </w:t>
      </w:r>
      <w:r w:rsidRPr="0024373C">
        <w:rPr>
          <w:noProof/>
        </w:rPr>
        <w:t>(Landolt 2002)</w:t>
      </w:r>
      <w:r>
        <w:rPr>
          <w:noProof/>
        </w:rPr>
        <w:t xml:space="preserve">. </w:t>
      </w:r>
    </w:p>
    <w:p w14:paraId="777885B0" w14:textId="77777777" w:rsidR="003438A2" w:rsidRPr="0050735C" w:rsidRDefault="003438A2" w:rsidP="003438A2">
      <w:pPr>
        <w:pStyle w:val="ListBullet"/>
        <w:numPr>
          <w:ilvl w:val="0"/>
          <w:numId w:val="15"/>
        </w:numPr>
      </w:pPr>
      <w:r w:rsidRPr="00F07FCE">
        <w:rPr>
          <w:i/>
        </w:rPr>
        <w:t>Lacanobia subjuncta</w:t>
      </w:r>
      <w:r w:rsidRPr="00F07FCE">
        <w:t xml:space="preserve"> is also reported to </w:t>
      </w:r>
      <w:r w:rsidRPr="0050735C">
        <w:t xml:space="preserve">feed on a wide variety of weed species such as dandelion, mallow and bindweed that are common ground cover species in tree fruit orchards </w:t>
      </w:r>
      <w:r w:rsidRPr="0050735C">
        <w:rPr>
          <w:iCs/>
          <w:noProof/>
        </w:rPr>
        <w:t>(Doerr &amp; Brunner 2007)</w:t>
      </w:r>
      <w:r w:rsidRPr="0050735C">
        <w:rPr>
          <w:iCs/>
        </w:rPr>
        <w:t xml:space="preserve"> and </w:t>
      </w:r>
      <w:r w:rsidRPr="0050735C">
        <w:t>sowthistle</w:t>
      </w:r>
      <w:r w:rsidRPr="0050735C">
        <w:rPr>
          <w:iCs/>
        </w:rPr>
        <w:t xml:space="preserve"> </w:t>
      </w:r>
      <w:r w:rsidRPr="0050735C">
        <w:rPr>
          <w:noProof/>
        </w:rPr>
        <w:t>(Landolt 2002)</w:t>
      </w:r>
      <w:r w:rsidRPr="0050735C">
        <w:t>.</w:t>
      </w:r>
      <w:r w:rsidRPr="0050735C">
        <w:rPr>
          <w:iCs/>
        </w:rPr>
        <w:t xml:space="preserve"> </w:t>
      </w:r>
    </w:p>
    <w:p w14:paraId="65ADAD77" w14:textId="77777777" w:rsidR="003438A2" w:rsidRPr="0050735C" w:rsidRDefault="003438A2" w:rsidP="003438A2">
      <w:pPr>
        <w:pStyle w:val="ListBullet"/>
        <w:numPr>
          <w:ilvl w:val="0"/>
          <w:numId w:val="15"/>
        </w:numPr>
      </w:pPr>
      <w:r w:rsidRPr="0050735C">
        <w:t>Host plants, including weed hosts, are widely distributed throughout Australia in domestic, commercial and natural environments and are likely to be available throughout the year.</w:t>
      </w:r>
    </w:p>
    <w:p w14:paraId="52E4AA3C" w14:textId="77777777" w:rsidR="003438A2" w:rsidRPr="00F07FCE" w:rsidRDefault="003438A2" w:rsidP="00AD1C8F">
      <w:pPr>
        <w:pStyle w:val="ListBullet"/>
        <w:numPr>
          <w:ilvl w:val="0"/>
          <w:numId w:val="0"/>
        </w:numPr>
        <w:spacing w:before="0" w:after="200" w:line="276" w:lineRule="auto"/>
      </w:pPr>
      <w:r w:rsidRPr="0050735C">
        <w:t xml:space="preserve">Suitable hosts for </w:t>
      </w:r>
      <w:r w:rsidRPr="0050735C">
        <w:rPr>
          <w:i/>
        </w:rPr>
        <w:t>L. subjuncta</w:t>
      </w:r>
      <w:r w:rsidRPr="0050735C">
        <w:t xml:space="preserve"> are widely available in Australia and infested fruit discarded near potential hosts or potential pupation sites may assist the distribution</w:t>
      </w:r>
      <w:r w:rsidRPr="00F07FCE">
        <w:t xml:space="preserve"> of the pest. However, decomposition of infested, discarded fruit and adverse effects due to cold storage and transport as well as hot temperatures during summer are likely to reduce the survival and successful development of the pest. For the reasons outlined, the likelihood of distribution of </w:t>
      </w:r>
      <w:r w:rsidRPr="00F07FCE">
        <w:rPr>
          <w:i/>
        </w:rPr>
        <w:t>L. subjuncta</w:t>
      </w:r>
      <w:r w:rsidRPr="00F07FCE">
        <w:t xml:space="preserve"> on the PNW-USA apple pathway is assessed as Moderate.</w:t>
      </w:r>
    </w:p>
    <w:p w14:paraId="2963B13D" w14:textId="77777777" w:rsidR="003438A2" w:rsidRPr="00F07FCE" w:rsidRDefault="003438A2" w:rsidP="00AD1C8F">
      <w:pPr>
        <w:pStyle w:val="Heading5"/>
      </w:pPr>
      <w:r w:rsidRPr="00F07FCE">
        <w:t>Overall likelihood of entry</w:t>
      </w:r>
    </w:p>
    <w:p w14:paraId="70934B25" w14:textId="77777777" w:rsidR="003438A2" w:rsidRPr="00F07FCE" w:rsidRDefault="003438A2" w:rsidP="00AD1C8F">
      <w:r w:rsidRPr="00F07FCE">
        <w:t xml:space="preserve">The overall likelihood of entry is determined by combining the likelihood of importation with the likelihood of distribution using the matrix of rules shown in </w:t>
      </w:r>
      <w:r w:rsidRPr="00F07FCE">
        <w:fldChar w:fldCharType="begin" w:fldLock="1"/>
      </w:r>
      <w:r w:rsidRPr="00F07FCE">
        <w:instrText xml:space="preserve"> REF _Ref457826328 \h  \* MERGEFORMAT </w:instrText>
      </w:r>
      <w:r w:rsidRPr="00F07FCE">
        <w:fldChar w:fldCharType="separate"/>
      </w:r>
      <w:r w:rsidRPr="00DB5F8D">
        <w:t xml:space="preserve">Table </w:t>
      </w:r>
      <w:r>
        <w:rPr>
          <w:noProof/>
        </w:rPr>
        <w:t>2.2</w:t>
      </w:r>
      <w:r w:rsidRPr="00F07FCE">
        <w:fldChar w:fldCharType="end"/>
      </w:r>
      <w:r w:rsidRPr="00F07FCE">
        <w:t>.</w:t>
      </w:r>
    </w:p>
    <w:p w14:paraId="5DB6D069" w14:textId="77777777" w:rsidR="003438A2" w:rsidRPr="00F07FCE" w:rsidRDefault="003438A2" w:rsidP="00AD1C8F">
      <w:r w:rsidRPr="00F07FCE">
        <w:t xml:space="preserve">The likelihood that </w:t>
      </w:r>
      <w:r w:rsidRPr="00F07FCE">
        <w:rPr>
          <w:i/>
          <w:iCs/>
        </w:rPr>
        <w:t xml:space="preserve">L. subjuncta </w:t>
      </w:r>
      <w:r w:rsidRPr="00F07FCE">
        <w:t>will enter Australia as a result of trade in apples from the PNW-USA and be distributed in a viable state to a susceptible host is assessed as Low.</w:t>
      </w:r>
    </w:p>
    <w:p w14:paraId="496643A8" w14:textId="77777777" w:rsidR="003438A2" w:rsidRPr="00F07FCE" w:rsidRDefault="003438A2" w:rsidP="00AD1C8F">
      <w:pPr>
        <w:pStyle w:val="Heading4"/>
      </w:pPr>
      <w:r w:rsidRPr="00F07FCE">
        <w:t>Likelihood of establishment</w:t>
      </w:r>
    </w:p>
    <w:p w14:paraId="733E5301" w14:textId="77777777" w:rsidR="003438A2" w:rsidRPr="00F07FCE" w:rsidRDefault="003438A2" w:rsidP="00AD1C8F">
      <w:r w:rsidRPr="00F07FCE">
        <w:t xml:space="preserve">The likelihood that </w:t>
      </w:r>
      <w:r w:rsidRPr="00F07FCE">
        <w:rPr>
          <w:i/>
          <w:iCs/>
        </w:rPr>
        <w:t xml:space="preserve">L. subjuncta </w:t>
      </w:r>
      <w:r w:rsidRPr="00F07FCE">
        <w:t>will establish in Australia based on a comparison of factors in the source and destination areas that affect pest survival and reproduction is assessed as High.</w:t>
      </w:r>
    </w:p>
    <w:p w14:paraId="39033870" w14:textId="77777777" w:rsidR="003438A2" w:rsidRPr="00F07FCE" w:rsidRDefault="003438A2" w:rsidP="00AD1C8F">
      <w:r w:rsidRPr="00F07FCE">
        <w:t>The following information provides supporting evidence for this assessment:</w:t>
      </w:r>
    </w:p>
    <w:p w14:paraId="4B98E9E4" w14:textId="77777777" w:rsidR="003438A2" w:rsidRPr="00F07FCE" w:rsidRDefault="003438A2" w:rsidP="00AD1C8F">
      <w:r w:rsidRPr="00F07FCE">
        <w:t xml:space="preserve">Host plants of </w:t>
      </w:r>
      <w:r w:rsidRPr="00F07FCE">
        <w:rPr>
          <w:i/>
        </w:rPr>
        <w:t xml:space="preserve">L. subjuncta </w:t>
      </w:r>
      <w:r w:rsidRPr="00F07FCE">
        <w:t>are widespread and abundant in Australia.</w:t>
      </w:r>
    </w:p>
    <w:p w14:paraId="4451BB6D" w14:textId="77777777" w:rsidR="003438A2" w:rsidRPr="00F07FCE" w:rsidRDefault="003438A2" w:rsidP="003438A2">
      <w:pPr>
        <w:pStyle w:val="ListBullet"/>
        <w:numPr>
          <w:ilvl w:val="0"/>
          <w:numId w:val="15"/>
        </w:numPr>
      </w:pPr>
      <w:r w:rsidRPr="00F07FCE">
        <w:t xml:space="preserve">Larvae of </w:t>
      </w:r>
      <w:r w:rsidRPr="00F07FCE">
        <w:rPr>
          <w:i/>
        </w:rPr>
        <w:t>L. subjuncta</w:t>
      </w:r>
      <w:r w:rsidRPr="00F07FCE">
        <w:t xml:space="preserve"> have been found to feed and develop on a wide variety of plants, including trees, shrubs and herbaceous plants</w:t>
      </w:r>
      <w:r>
        <w:t xml:space="preserve"> </w:t>
      </w:r>
      <w:r w:rsidRPr="0024373C">
        <w:rPr>
          <w:noProof/>
        </w:rPr>
        <w:t>(Landolt 2002)</w:t>
      </w:r>
      <w:r>
        <w:rPr>
          <w:noProof/>
        </w:rPr>
        <w:t xml:space="preserve">. </w:t>
      </w:r>
      <w:r w:rsidRPr="00F07FCE">
        <w:t>Recorded hosts include apple, cherry, peach, blueberry, cabbage, asparagus, corn and strawberry</w:t>
      </w:r>
      <w:r>
        <w:t xml:space="preserve"> </w:t>
      </w:r>
      <w:r w:rsidRPr="0024373C">
        <w:rPr>
          <w:noProof/>
        </w:rPr>
        <w:t>(Landolt 2002)</w:t>
      </w:r>
      <w:r>
        <w:rPr>
          <w:noProof/>
        </w:rPr>
        <w:t>.</w:t>
      </w:r>
      <w:r w:rsidRPr="00F07FCE">
        <w:rPr>
          <w:noProof/>
        </w:rPr>
        <w:t xml:space="preserve"> </w:t>
      </w:r>
      <w:r w:rsidRPr="00F07FCE">
        <w:rPr>
          <w:i/>
        </w:rPr>
        <w:t>Lacanobia subjuncta</w:t>
      </w:r>
      <w:r w:rsidRPr="00F07FCE">
        <w:t xml:space="preserve"> is also reported to feed on ground cover</w:t>
      </w:r>
      <w:r w:rsidRPr="00F07FCE">
        <w:rPr>
          <w:rFonts w:eastAsia="SymbolMT" w:cs="TimesNewRomanPSMT"/>
        </w:rPr>
        <w:t xml:space="preserve"> </w:t>
      </w:r>
      <w:r w:rsidRPr="00F07FCE">
        <w:t>weeds such as dandelion, sow thistle, mallow and bindweed</w:t>
      </w:r>
      <w:r>
        <w:t xml:space="preserve"> </w:t>
      </w:r>
      <w:r>
        <w:rPr>
          <w:noProof/>
        </w:rPr>
        <w:t>(Doerr &amp; Brunner 2007; Landolt 2002; McCabe 1980)</w:t>
      </w:r>
      <w:r>
        <w:t>.</w:t>
      </w:r>
    </w:p>
    <w:p w14:paraId="0E901825" w14:textId="77777777" w:rsidR="003438A2" w:rsidRPr="00F07FCE" w:rsidRDefault="003438A2" w:rsidP="003438A2">
      <w:pPr>
        <w:pStyle w:val="ListBullet"/>
        <w:numPr>
          <w:ilvl w:val="0"/>
          <w:numId w:val="15"/>
        </w:numPr>
      </w:pPr>
      <w:r w:rsidRPr="00F07FCE">
        <w:lastRenderedPageBreak/>
        <w:t>These host plants are widely distributed throughout Australia, providing potential for establishment of this pest.</w:t>
      </w:r>
    </w:p>
    <w:p w14:paraId="48FB0B39" w14:textId="77777777" w:rsidR="003438A2" w:rsidRPr="00F07FCE" w:rsidRDefault="003438A2" w:rsidP="00AD1C8F">
      <w:r w:rsidRPr="00F07FCE">
        <w:t xml:space="preserve">Australia has suitable climatic conditions for </w:t>
      </w:r>
      <w:r w:rsidRPr="00F07FCE">
        <w:rPr>
          <w:i/>
        </w:rPr>
        <w:t>L. subjuncta</w:t>
      </w:r>
      <w:r w:rsidRPr="00F07FCE">
        <w:t xml:space="preserve"> development.</w:t>
      </w:r>
    </w:p>
    <w:p w14:paraId="61EA63FE" w14:textId="77777777" w:rsidR="003438A2" w:rsidRPr="00F07FCE" w:rsidRDefault="003438A2" w:rsidP="003438A2">
      <w:pPr>
        <w:pStyle w:val="ListBullet"/>
        <w:numPr>
          <w:ilvl w:val="0"/>
          <w:numId w:val="15"/>
        </w:numPr>
      </w:pPr>
      <w:r w:rsidRPr="00F07FCE">
        <w:t xml:space="preserve">Lower and upper development thresholds of </w:t>
      </w:r>
      <w:r w:rsidRPr="00F07FCE">
        <w:rPr>
          <w:i/>
        </w:rPr>
        <w:t>L subjuncta</w:t>
      </w:r>
      <w:r w:rsidRPr="00F07FCE">
        <w:rPr>
          <w:iCs/>
        </w:rPr>
        <w:t xml:space="preserve"> are estimated at </w:t>
      </w:r>
      <w:r w:rsidRPr="00F07FCE">
        <w:t>6.7°</w:t>
      </w:r>
      <w:r>
        <w:t>C</w:t>
      </w:r>
      <w:r w:rsidRPr="00F07FCE">
        <w:t xml:space="preserve"> and 32.2°C, respectively </w:t>
      </w:r>
      <w:r w:rsidRPr="00F07FCE">
        <w:rPr>
          <w:noProof/>
        </w:rPr>
        <w:t>(Doerr &amp; Brunner 2007)</w:t>
      </w:r>
      <w:r w:rsidRPr="00F07FCE">
        <w:t>, and the optimal temperature for development is between 25°</w:t>
      </w:r>
      <w:r>
        <w:t>C</w:t>
      </w:r>
      <w:r w:rsidRPr="00F07FCE">
        <w:t xml:space="preserve"> and 30°C</w:t>
      </w:r>
      <w:r>
        <w:t xml:space="preserve"> </w:t>
      </w:r>
      <w:r>
        <w:rPr>
          <w:noProof/>
        </w:rPr>
        <w:t>(Doerr &amp; Brunner 2002; Doerr, Brunner &amp; Jones 2002)</w:t>
      </w:r>
      <w:r>
        <w:rPr>
          <w:rFonts w:eastAsia="Calibri" w:cs="Times New Roman"/>
        </w:rPr>
        <w:t>.</w:t>
      </w:r>
    </w:p>
    <w:p w14:paraId="780B02C1" w14:textId="77777777" w:rsidR="003438A2" w:rsidRPr="00F07FCE" w:rsidRDefault="003438A2" w:rsidP="003438A2">
      <w:pPr>
        <w:pStyle w:val="ListBullet"/>
        <w:numPr>
          <w:ilvl w:val="0"/>
          <w:numId w:val="15"/>
        </w:numPr>
      </w:pPr>
      <w:r w:rsidRPr="00F07FCE">
        <w:rPr>
          <w:i/>
          <w:iCs/>
        </w:rPr>
        <w:t xml:space="preserve">Lacanobia subjuncta </w:t>
      </w:r>
      <w:r w:rsidRPr="00F07FCE">
        <w:t>is found across the temperate climatic regions of North America</w:t>
      </w:r>
      <w:r>
        <w:t xml:space="preserve"> </w:t>
      </w:r>
      <w:r>
        <w:rPr>
          <w:iCs/>
          <w:noProof/>
        </w:rPr>
        <w:t>(Doerr &amp; Brunner 2007; Landolt 1998; McCabe 1980)</w:t>
      </w:r>
      <w:r w:rsidRPr="00F07FCE">
        <w:t xml:space="preserve">. </w:t>
      </w:r>
      <w:r w:rsidRPr="00F07FCE">
        <w:rPr>
          <w:i/>
        </w:rPr>
        <w:t>Lacanobia subjuncta</w:t>
      </w:r>
      <w:r w:rsidRPr="00F07FCE">
        <w:t xml:space="preserve"> is reported at low to middle elevations throughout the Pacific Northwest, including in dry interior steppe habitats and areas west of the Coast range and Cascade Range </w:t>
      </w:r>
      <w:r w:rsidRPr="00F07FCE">
        <w:rPr>
          <w:noProof/>
        </w:rPr>
        <w:t>(Crabo et al. 2019)</w:t>
      </w:r>
      <w:r w:rsidRPr="00F07FCE">
        <w:t xml:space="preserve">. Many of these regions have similar climatic conditions to parts of Australia </w:t>
      </w:r>
      <w:r w:rsidRPr="00F07FCE">
        <w:rPr>
          <w:noProof/>
        </w:rPr>
        <w:t>(Peel, Finlayson &amp; McMahon 2007)</w:t>
      </w:r>
      <w:r w:rsidRPr="00F07FCE">
        <w:t>.</w:t>
      </w:r>
    </w:p>
    <w:p w14:paraId="59758D23" w14:textId="77777777" w:rsidR="003438A2" w:rsidRPr="00F07FCE" w:rsidRDefault="003438A2" w:rsidP="003438A2">
      <w:pPr>
        <w:pStyle w:val="ListBullet"/>
        <w:numPr>
          <w:ilvl w:val="0"/>
          <w:numId w:val="15"/>
        </w:numPr>
      </w:pPr>
      <w:r w:rsidRPr="00F07FCE">
        <w:t>The temperatures in temperate southern Australia are similar to those in the PNW-USA</w:t>
      </w:r>
      <w:r>
        <w:t xml:space="preserve"> for some parts of the year </w:t>
      </w:r>
      <w:r>
        <w:rPr>
          <w:noProof/>
        </w:rPr>
        <w:t>(Bureau of Meteorology 2018; National Weather Service 2008)</w:t>
      </w:r>
      <w:r>
        <w:t>.</w:t>
      </w:r>
    </w:p>
    <w:p w14:paraId="0DB46EA1" w14:textId="77777777" w:rsidR="003438A2" w:rsidRPr="00F07FCE" w:rsidRDefault="003438A2" w:rsidP="003438A2">
      <w:pPr>
        <w:pStyle w:val="ListBullet"/>
        <w:numPr>
          <w:ilvl w:val="0"/>
          <w:numId w:val="15"/>
        </w:numPr>
      </w:pPr>
      <w:r w:rsidRPr="00F07FCE">
        <w:t xml:space="preserve">However, the hot, dry Australian summer may not be suitable for larval development, </w:t>
      </w:r>
      <w:r w:rsidRPr="00F07FCE">
        <w:rPr>
          <w:rFonts w:eastAsia="Calibri" w:cs="Times New Roman"/>
        </w:rPr>
        <w:t>a</w:t>
      </w:r>
      <w:r w:rsidRPr="00F07FCE">
        <w:t>s complete mortality of larvae and eggs were reported at constant temperatures of 32.5°C and 35.0°C, respectively</w:t>
      </w:r>
      <w:r>
        <w:t xml:space="preserve"> </w:t>
      </w:r>
      <w:r>
        <w:rPr>
          <w:noProof/>
        </w:rPr>
        <w:t>(Doerr &amp; Brunner 2002; Doerr, Brunner &amp; Jones 2002)</w:t>
      </w:r>
      <w:r>
        <w:t>.</w:t>
      </w:r>
    </w:p>
    <w:p w14:paraId="5E04D414" w14:textId="77777777" w:rsidR="003438A2" w:rsidRPr="00F07FCE" w:rsidRDefault="003438A2" w:rsidP="003438A2">
      <w:pPr>
        <w:pStyle w:val="ListBullet"/>
        <w:numPr>
          <w:ilvl w:val="0"/>
          <w:numId w:val="15"/>
        </w:numPr>
      </w:pPr>
      <w:r w:rsidRPr="00F07FCE">
        <w:rPr>
          <w:i/>
          <w:iCs/>
        </w:rPr>
        <w:t xml:space="preserve">Lacanobia subjuncta </w:t>
      </w:r>
      <w:r w:rsidRPr="00F07FCE">
        <w:t xml:space="preserve">is native to North America </w:t>
      </w:r>
      <w:r w:rsidRPr="00F07FCE">
        <w:rPr>
          <w:rFonts w:eastAsia="Calibri" w:cs="Times New Roman"/>
          <w:noProof/>
        </w:rPr>
        <w:t>(McCabe 1980)</w:t>
      </w:r>
      <w:r w:rsidRPr="00F07FCE">
        <w:rPr>
          <w:rFonts w:eastAsia="Calibri" w:cs="Times New Roman"/>
        </w:rPr>
        <w:t xml:space="preserve"> and has not been reported to have spread to other countries, which</w:t>
      </w:r>
      <w:r w:rsidRPr="00F07FCE">
        <w:t xml:space="preserve"> may suggest a limited ability of the pest to establish in new regions.</w:t>
      </w:r>
    </w:p>
    <w:p w14:paraId="7A48E8F1" w14:textId="77777777" w:rsidR="003438A2" w:rsidRPr="00F07FCE" w:rsidRDefault="003438A2" w:rsidP="00AD1C8F">
      <w:r w:rsidRPr="00F07FCE">
        <w:rPr>
          <w:i/>
          <w:iCs/>
        </w:rPr>
        <w:t xml:space="preserve">Lacanobia subjuncta </w:t>
      </w:r>
      <w:r w:rsidRPr="00F07FCE">
        <w:rPr>
          <w:iCs/>
        </w:rPr>
        <w:t>has effective reproduction and adaptation systems</w:t>
      </w:r>
      <w:r w:rsidRPr="00F07FCE">
        <w:t>.</w:t>
      </w:r>
    </w:p>
    <w:p w14:paraId="5A1D520C" w14:textId="77777777" w:rsidR="003438A2" w:rsidRPr="00F07FCE" w:rsidRDefault="003438A2" w:rsidP="003438A2">
      <w:pPr>
        <w:pStyle w:val="ListBullet"/>
        <w:numPr>
          <w:ilvl w:val="0"/>
          <w:numId w:val="15"/>
        </w:numPr>
      </w:pPr>
      <w:r w:rsidRPr="00F07FCE">
        <w:t>After successful pupation, adults need to locate a mate to establish a viable population.</w:t>
      </w:r>
      <w:r w:rsidRPr="00F07FCE">
        <w:rPr>
          <w:i/>
          <w:iCs/>
        </w:rPr>
        <w:t xml:space="preserve"> Lacanobia subjuncta </w:t>
      </w:r>
      <w:r w:rsidRPr="00F07FCE">
        <w:t>adults are capable of independent flight, aiding dispersal and potential mate-finding behaviours.</w:t>
      </w:r>
    </w:p>
    <w:p w14:paraId="31E170CD" w14:textId="77777777" w:rsidR="003438A2" w:rsidRPr="00F07FCE" w:rsidRDefault="003438A2" w:rsidP="003438A2">
      <w:pPr>
        <w:pStyle w:val="ListBullet"/>
        <w:numPr>
          <w:ilvl w:val="0"/>
          <w:numId w:val="15"/>
        </w:numPr>
      </w:pPr>
      <w:r w:rsidRPr="00F07FCE">
        <w:t xml:space="preserve">One mated female can oviposit a mass of 100 eggs </w:t>
      </w:r>
      <w:r w:rsidRPr="00F07FCE">
        <w:rPr>
          <w:iCs/>
          <w:noProof/>
        </w:rPr>
        <w:t>(Doerr &amp; Brunner 2007)</w:t>
      </w:r>
      <w:r w:rsidRPr="00F07FCE">
        <w:rPr>
          <w:iCs/>
        </w:rPr>
        <w:t xml:space="preserve">, which hatch </w:t>
      </w:r>
      <w:r>
        <w:rPr>
          <w:iCs/>
        </w:rPr>
        <w:t>1</w:t>
      </w:r>
      <w:r w:rsidRPr="00F07FCE">
        <w:rPr>
          <w:iCs/>
        </w:rPr>
        <w:t xml:space="preserve"> to </w:t>
      </w:r>
      <w:r>
        <w:rPr>
          <w:iCs/>
        </w:rPr>
        <w:t>2</w:t>
      </w:r>
      <w:r w:rsidRPr="00F07FCE">
        <w:rPr>
          <w:iCs/>
        </w:rPr>
        <w:t xml:space="preserve"> weeks later</w:t>
      </w:r>
      <w:r w:rsidRPr="00F07FCE">
        <w:t xml:space="preserve">. The fecundity of this species increases the potential for establishment of </w:t>
      </w:r>
      <w:r w:rsidRPr="00F07FCE">
        <w:rPr>
          <w:i/>
        </w:rPr>
        <w:t>L. subjuncta</w:t>
      </w:r>
      <w:r w:rsidRPr="00F07FCE">
        <w:t>.</w:t>
      </w:r>
    </w:p>
    <w:p w14:paraId="30B1252A" w14:textId="3FF846AD" w:rsidR="003438A2" w:rsidRPr="00F07FCE" w:rsidRDefault="003438A2" w:rsidP="003438A2">
      <w:pPr>
        <w:pStyle w:val="ListBullet"/>
        <w:numPr>
          <w:ilvl w:val="0"/>
          <w:numId w:val="15"/>
        </w:numPr>
      </w:pPr>
      <w:r w:rsidRPr="00F07FCE">
        <w:t xml:space="preserve">There are two generations of </w:t>
      </w:r>
      <w:r w:rsidRPr="00F07FCE">
        <w:rPr>
          <w:i/>
          <w:iCs/>
        </w:rPr>
        <w:t xml:space="preserve">L. subjuncta </w:t>
      </w:r>
      <w:r w:rsidRPr="00F07FCE">
        <w:t>per year in the USA</w:t>
      </w:r>
      <w:r>
        <w:t xml:space="preserve"> </w:t>
      </w:r>
      <w:r>
        <w:rPr>
          <w:noProof/>
        </w:rPr>
        <w:t>(Doerr &amp; Brunner 2007)</w:t>
      </w:r>
      <w:r>
        <w:t xml:space="preserve">, </w:t>
      </w:r>
      <w:r w:rsidRPr="00F07FCE">
        <w:rPr>
          <w:rFonts w:eastAsia="Calibri" w:cs="Times New Roman"/>
        </w:rPr>
        <w:t>which may also be the case under Australian conditions</w:t>
      </w:r>
      <w:r w:rsidRPr="00F07FCE">
        <w:t>.</w:t>
      </w:r>
    </w:p>
    <w:p w14:paraId="16EB9B0C" w14:textId="77777777" w:rsidR="003438A2" w:rsidRPr="00F07FCE" w:rsidRDefault="003438A2" w:rsidP="00AD1C8F">
      <w:r w:rsidRPr="00F07FCE">
        <w:t xml:space="preserve">There are suitable hosts available across Australia to enable </w:t>
      </w:r>
      <w:r w:rsidRPr="00F07FCE">
        <w:rPr>
          <w:i/>
        </w:rPr>
        <w:t>L. subjuncta</w:t>
      </w:r>
      <w:r w:rsidRPr="00F07FCE">
        <w:t xml:space="preserve"> to establish. The pest has high fecundity</w:t>
      </w:r>
      <w:r>
        <w:t xml:space="preserve"> and</w:t>
      </w:r>
      <w:r w:rsidRPr="00F07FCE">
        <w:t xml:space="preserve"> is capable of independent flight. Potentially favourable climatic conditions for reproduction </w:t>
      </w:r>
      <w:r>
        <w:t xml:space="preserve">and survival </w:t>
      </w:r>
      <w:r w:rsidRPr="00F07FCE">
        <w:t xml:space="preserve">of </w:t>
      </w:r>
      <w:r w:rsidRPr="00F07FCE">
        <w:rPr>
          <w:i/>
        </w:rPr>
        <w:t>L. subjuncta</w:t>
      </w:r>
      <w:r w:rsidRPr="00F07FCE">
        <w:t xml:space="preserve"> exist across Australia. For the reasons outlined, the likelihood estimate for establishment of </w:t>
      </w:r>
      <w:r w:rsidRPr="00F07FCE">
        <w:rPr>
          <w:i/>
        </w:rPr>
        <w:t>L. subjuncta</w:t>
      </w:r>
      <w:r w:rsidRPr="00F07FCE">
        <w:t xml:space="preserve"> on the PNW USA apple pathway is assessed as High.</w:t>
      </w:r>
    </w:p>
    <w:p w14:paraId="67A7C637" w14:textId="77777777" w:rsidR="003438A2" w:rsidRPr="00F07FCE" w:rsidRDefault="003438A2" w:rsidP="00AD1C8F">
      <w:pPr>
        <w:pStyle w:val="Heading4"/>
      </w:pPr>
      <w:r w:rsidRPr="00F07FCE">
        <w:t>Likelihood of spread</w:t>
      </w:r>
    </w:p>
    <w:p w14:paraId="2A6C284A" w14:textId="77777777" w:rsidR="003438A2" w:rsidRPr="00F07FCE" w:rsidRDefault="003438A2" w:rsidP="00AD1C8F">
      <w:r w:rsidRPr="00F07FCE">
        <w:t xml:space="preserve">The likelihood that </w:t>
      </w:r>
      <w:r w:rsidRPr="00F07FCE">
        <w:rPr>
          <w:i/>
          <w:iCs/>
        </w:rPr>
        <w:t xml:space="preserve">L. subjuncta </w:t>
      </w:r>
      <w:r w:rsidRPr="00F07FCE">
        <w:t>will spread within Australia, based on a comparison of factors in the source and destination areas that affect the expansion of the geographic distribution of the pest is assessed as High</w:t>
      </w:r>
      <w:r w:rsidRPr="00F07FCE">
        <w:rPr>
          <w:b/>
        </w:rPr>
        <w:t>.</w:t>
      </w:r>
    </w:p>
    <w:p w14:paraId="12525F79" w14:textId="77777777" w:rsidR="003438A2" w:rsidRPr="00F07FCE" w:rsidRDefault="003438A2" w:rsidP="00AD1C8F">
      <w:r w:rsidRPr="00F07FCE">
        <w:t>The following information provides supporting evidence for this assessment.</w:t>
      </w:r>
    </w:p>
    <w:p w14:paraId="7D256E75" w14:textId="77777777" w:rsidR="003438A2" w:rsidRPr="00F07FCE" w:rsidRDefault="003438A2" w:rsidP="00AD1C8F">
      <w:r w:rsidRPr="00F07FCE">
        <w:rPr>
          <w:iCs/>
        </w:rPr>
        <w:t xml:space="preserve">Climatic conditions suitable for spread of </w:t>
      </w:r>
      <w:r w:rsidRPr="00F07FCE">
        <w:rPr>
          <w:i/>
        </w:rPr>
        <w:t xml:space="preserve">L. subjuncta </w:t>
      </w:r>
      <w:r w:rsidRPr="00F07FCE">
        <w:t>occur in Australia.</w:t>
      </w:r>
    </w:p>
    <w:p w14:paraId="200B85FA" w14:textId="77777777" w:rsidR="003438A2" w:rsidRPr="00F07FCE" w:rsidRDefault="003438A2" w:rsidP="003438A2">
      <w:pPr>
        <w:pStyle w:val="ListBullet"/>
        <w:numPr>
          <w:ilvl w:val="0"/>
          <w:numId w:val="15"/>
        </w:numPr>
      </w:pPr>
      <w:r w:rsidRPr="00F07FCE">
        <w:rPr>
          <w:i/>
          <w:iCs/>
        </w:rPr>
        <w:t xml:space="preserve">Lacanobia subjuncta </w:t>
      </w:r>
      <w:r w:rsidRPr="00F07FCE">
        <w:t>is present in the temperate regions of North America</w:t>
      </w:r>
      <w:r>
        <w:t xml:space="preserve"> </w:t>
      </w:r>
      <w:r>
        <w:rPr>
          <w:rFonts w:eastAsia="Calibri" w:cs="Times New Roman"/>
          <w:noProof/>
        </w:rPr>
        <w:t>(Landolt 1998; McCabe 1980)</w:t>
      </w:r>
      <w:r w:rsidRPr="00F07FCE">
        <w:t xml:space="preserve">. </w:t>
      </w:r>
      <w:r w:rsidRPr="00F07FCE">
        <w:rPr>
          <w:i/>
        </w:rPr>
        <w:t>Lacanobia subjuncta</w:t>
      </w:r>
      <w:r w:rsidRPr="00F07FCE">
        <w:t xml:space="preserve"> is reported at low to middle elevations throughout the </w:t>
      </w:r>
      <w:r w:rsidRPr="00F07FCE">
        <w:lastRenderedPageBreak/>
        <w:t xml:space="preserve">Pacific Northwest, including in dry interior steppe habitats and areas west of the Coast range and Cascade Range. The PNW-USA has similar climatic conditions to parts of southern Australia and if </w:t>
      </w:r>
      <w:r w:rsidRPr="00F07FCE">
        <w:rPr>
          <w:i/>
          <w:iCs/>
        </w:rPr>
        <w:t xml:space="preserve">L. subjuncta </w:t>
      </w:r>
      <w:r w:rsidRPr="00F07FCE">
        <w:t>w</w:t>
      </w:r>
      <w:r>
        <w:t>as</w:t>
      </w:r>
      <w:r w:rsidRPr="00F07FCE">
        <w:t xml:space="preserve"> to establish, the </w:t>
      </w:r>
      <w:r>
        <w:t>climatic conditions</w:t>
      </w:r>
      <w:r w:rsidRPr="00F07FCE">
        <w:t xml:space="preserve"> in southern parts of Australia would likely be suitable for the spread of this pest.</w:t>
      </w:r>
    </w:p>
    <w:p w14:paraId="751F8AE1" w14:textId="77777777" w:rsidR="003438A2" w:rsidRPr="00F07FCE" w:rsidRDefault="003438A2" w:rsidP="00E874DE">
      <w:r w:rsidRPr="00F07FCE">
        <w:t xml:space="preserve">Widespread and abundant host plants across Australia could promote the spread of </w:t>
      </w:r>
      <w:r w:rsidRPr="00F07FCE">
        <w:rPr>
          <w:i/>
        </w:rPr>
        <w:t>L. subjuncta</w:t>
      </w:r>
      <w:r w:rsidRPr="00F07FCE">
        <w:t>.</w:t>
      </w:r>
    </w:p>
    <w:p w14:paraId="561FC961" w14:textId="77777777" w:rsidR="003438A2" w:rsidRDefault="003438A2" w:rsidP="003438A2">
      <w:pPr>
        <w:pStyle w:val="ListBullet"/>
        <w:numPr>
          <w:ilvl w:val="0"/>
          <w:numId w:val="15"/>
        </w:numPr>
      </w:pPr>
      <w:r w:rsidRPr="00F07FCE">
        <w:rPr>
          <w:i/>
        </w:rPr>
        <w:t>Lacanobia subjuncta</w:t>
      </w:r>
      <w:r w:rsidRPr="00F07FCE">
        <w:t xml:space="preserve"> larvae are reported to feed and develop on a variety of crops and ground cover weed species</w:t>
      </w:r>
      <w:r>
        <w:t xml:space="preserve"> </w:t>
      </w:r>
      <w:r>
        <w:rPr>
          <w:noProof/>
        </w:rPr>
        <w:t>(Doerr &amp; Brunner 2007; Landolt 1998, 2002)</w:t>
      </w:r>
      <w:r>
        <w:t>.</w:t>
      </w:r>
      <w:r w:rsidRPr="00F07FCE">
        <w:t xml:space="preserve"> </w:t>
      </w:r>
      <w:r w:rsidRPr="00F07FCE">
        <w:rPr>
          <w:rFonts w:eastAsia="Calibri" w:cs="Times New Roman"/>
        </w:rPr>
        <w:t xml:space="preserve">These hosts </w:t>
      </w:r>
      <w:r w:rsidRPr="00F07FCE">
        <w:t>are distributed widely throughout Australia. The prevalence of multiple suitable hosts may promote local spread between areas.</w:t>
      </w:r>
      <w:r w:rsidRPr="00FD55FE">
        <w:t xml:space="preserve"> </w:t>
      </w:r>
    </w:p>
    <w:p w14:paraId="1C7D80F5" w14:textId="77777777" w:rsidR="003438A2" w:rsidRPr="00F07FCE" w:rsidRDefault="003438A2" w:rsidP="003438A2">
      <w:pPr>
        <w:pStyle w:val="ListBullet"/>
        <w:numPr>
          <w:ilvl w:val="0"/>
          <w:numId w:val="15"/>
        </w:numPr>
      </w:pPr>
      <w:r w:rsidRPr="00F07FCE">
        <w:t xml:space="preserve">Apple is </w:t>
      </w:r>
      <w:r>
        <w:t>a</w:t>
      </w:r>
      <w:r w:rsidRPr="00F07FCE">
        <w:t xml:space="preserve"> primary host of </w:t>
      </w:r>
      <w:r w:rsidRPr="00F07FCE">
        <w:rPr>
          <w:i/>
          <w:iCs/>
        </w:rPr>
        <w:t>L. subjuncta</w:t>
      </w:r>
      <w:r w:rsidRPr="00F07FCE">
        <w:t xml:space="preserve"> and commercial apple fruit crops are grown in many regions of Australia. It is a garden plant in many households across Australia </w:t>
      </w:r>
      <w:r w:rsidRPr="00F07FCE">
        <w:rPr>
          <w:noProof/>
        </w:rPr>
        <w:t>(AgriFutures Australia 2017)</w:t>
      </w:r>
      <w:r w:rsidRPr="00F07FCE">
        <w:t>.</w:t>
      </w:r>
    </w:p>
    <w:p w14:paraId="15C8EE01" w14:textId="77777777" w:rsidR="003438A2" w:rsidRPr="00F07FCE" w:rsidRDefault="003438A2" w:rsidP="00E874DE">
      <w:r w:rsidRPr="00F07FCE">
        <w:t xml:space="preserve">Spread would be aided by adult moth flight. </w:t>
      </w:r>
    </w:p>
    <w:p w14:paraId="585F5C47" w14:textId="77777777" w:rsidR="003438A2" w:rsidRPr="00F07FCE" w:rsidRDefault="003438A2" w:rsidP="003438A2">
      <w:pPr>
        <w:pStyle w:val="ListBullet"/>
        <w:numPr>
          <w:ilvl w:val="0"/>
          <w:numId w:val="15"/>
        </w:numPr>
      </w:pPr>
      <w:r w:rsidRPr="00F07FCE">
        <w:rPr>
          <w:i/>
          <w:iCs/>
          <w:lang w:eastAsia="en-AU"/>
        </w:rPr>
        <w:t>Lacanobia subjuncta</w:t>
      </w:r>
      <w:r w:rsidRPr="00F07FCE">
        <w:rPr>
          <w:lang w:eastAsia="en-AU"/>
        </w:rPr>
        <w:t xml:space="preserve"> adults are capable of independent flight. Adult males are considered strong fliers</w:t>
      </w:r>
      <w:r>
        <w:rPr>
          <w:lang w:eastAsia="en-AU"/>
        </w:rPr>
        <w:t xml:space="preserve"> </w:t>
      </w:r>
      <w:r>
        <w:rPr>
          <w:rFonts w:eastAsia="Calibri" w:cs="Times New Roman"/>
          <w:noProof/>
        </w:rPr>
        <w:t>(Doerr &amp; Brunner 2002)</w:t>
      </w:r>
      <w:r>
        <w:rPr>
          <w:rFonts w:eastAsia="Calibri" w:cs="Times New Roman"/>
        </w:rPr>
        <w:t xml:space="preserve">, </w:t>
      </w:r>
      <w:r w:rsidRPr="00F07FCE">
        <w:rPr>
          <w:lang w:eastAsia="en-AU"/>
        </w:rPr>
        <w:t>aiding dispersal and potential mate-finding behaviours.</w:t>
      </w:r>
    </w:p>
    <w:p w14:paraId="5D63E74F" w14:textId="77777777" w:rsidR="003438A2" w:rsidRPr="00F07FCE" w:rsidRDefault="003438A2" w:rsidP="00AD1C8F">
      <w:r w:rsidRPr="00F07FCE">
        <w:t xml:space="preserve">Domestic movement of infested apple and other host plants and planting materials may aid the spread of </w:t>
      </w:r>
      <w:r w:rsidRPr="00F07FCE">
        <w:rPr>
          <w:i/>
        </w:rPr>
        <w:t xml:space="preserve">L. subjuncta </w:t>
      </w:r>
      <w:r w:rsidRPr="00F07FCE">
        <w:t>in Australia.</w:t>
      </w:r>
    </w:p>
    <w:p w14:paraId="5CADA188" w14:textId="77777777" w:rsidR="003438A2" w:rsidRPr="00F07FCE" w:rsidRDefault="003438A2" w:rsidP="003438A2">
      <w:pPr>
        <w:pStyle w:val="ListBullet"/>
        <w:numPr>
          <w:ilvl w:val="0"/>
          <w:numId w:val="15"/>
        </w:numPr>
      </w:pPr>
      <w:r w:rsidRPr="00F07FCE">
        <w:t xml:space="preserve">Domestic trade of apple fruit and other host plants may aid the spread of </w:t>
      </w:r>
      <w:r w:rsidRPr="00F07FCE">
        <w:rPr>
          <w:i/>
        </w:rPr>
        <w:t>L. subjuncta</w:t>
      </w:r>
      <w:r w:rsidRPr="00F07FCE">
        <w:t xml:space="preserve">. However, the presence of larvae on apple fruit is incidental except at high population densities </w:t>
      </w:r>
      <w:r w:rsidRPr="00F07FCE">
        <w:rPr>
          <w:iCs/>
          <w:noProof/>
        </w:rPr>
        <w:t>(Doerr &amp; Brunner 2007)</w:t>
      </w:r>
      <w:r w:rsidRPr="00F07FCE">
        <w:t xml:space="preserve">. This reduces the likelihood of </w:t>
      </w:r>
      <w:r w:rsidRPr="00F07FCE">
        <w:rPr>
          <w:i/>
          <w:iCs/>
        </w:rPr>
        <w:t xml:space="preserve">L. subjuncta </w:t>
      </w:r>
      <w:r w:rsidRPr="00F07FCE">
        <w:t>being present on fruit and spreading to new areas through human-mediated transport.</w:t>
      </w:r>
    </w:p>
    <w:p w14:paraId="0C1AC476" w14:textId="77777777" w:rsidR="003438A2" w:rsidRPr="0050735C" w:rsidRDefault="003438A2" w:rsidP="003438A2">
      <w:pPr>
        <w:pStyle w:val="ListBullet"/>
        <w:numPr>
          <w:ilvl w:val="0"/>
          <w:numId w:val="15"/>
        </w:numPr>
      </w:pPr>
      <w:r w:rsidRPr="00F07FCE">
        <w:t xml:space="preserve">Infested apple fruit often show visible symptoms </w:t>
      </w:r>
      <w:r w:rsidRPr="00F07FCE">
        <w:rPr>
          <w:noProof/>
        </w:rPr>
        <w:t>(Klem &amp; Zaspel 2019)</w:t>
      </w:r>
      <w:r w:rsidRPr="00F07FCE">
        <w:t xml:space="preserve">. Therefore, infested fruit are likely to be discarded prior to </w:t>
      </w:r>
      <w:r w:rsidRPr="0050735C">
        <w:t>transportation and during distribution to retailers.</w:t>
      </w:r>
    </w:p>
    <w:p w14:paraId="79EFA57A" w14:textId="77777777" w:rsidR="003438A2" w:rsidRPr="0050735C" w:rsidRDefault="003438A2" w:rsidP="003438A2">
      <w:pPr>
        <w:pStyle w:val="ListBullet"/>
        <w:numPr>
          <w:ilvl w:val="0"/>
          <w:numId w:val="15"/>
        </w:numPr>
      </w:pPr>
      <w:r w:rsidRPr="0050735C">
        <w:t xml:space="preserve">Host material could be distributed across Australia. Movement of infested host material may facilitate the local spread of </w:t>
      </w:r>
      <w:r w:rsidRPr="0050735C">
        <w:rPr>
          <w:i/>
        </w:rPr>
        <w:t>L. subjuncta</w:t>
      </w:r>
      <w:r w:rsidRPr="0050735C">
        <w:t xml:space="preserve"> across Australia.</w:t>
      </w:r>
    </w:p>
    <w:p w14:paraId="79AC2583" w14:textId="77777777" w:rsidR="003438A2" w:rsidRPr="00F07FCE" w:rsidRDefault="003438A2" w:rsidP="00AD1C8F">
      <w:r w:rsidRPr="0050735C">
        <w:t>Favourable climatic conditions across southern parts of</w:t>
      </w:r>
      <w:r w:rsidRPr="00F07FCE">
        <w:t xml:space="preserve"> Australia and an abundance of suitable hosts, together with the human-assisted movement of apple fruit, other hosts and planting materials through domestic trade, as well as adaptive life cycle characteristics, support the potential for </w:t>
      </w:r>
      <w:r w:rsidRPr="00F07FCE">
        <w:rPr>
          <w:i/>
        </w:rPr>
        <w:t>L. subjuncta</w:t>
      </w:r>
      <w:r w:rsidRPr="00F07FCE">
        <w:t xml:space="preserve"> to spread in Australia. For these reasons, the likelihood of spread of </w:t>
      </w:r>
      <w:r w:rsidRPr="00F07FCE">
        <w:rPr>
          <w:i/>
        </w:rPr>
        <w:t>L. subjuncta</w:t>
      </w:r>
      <w:r w:rsidRPr="00F07FCE">
        <w:t xml:space="preserve"> on the PNW-USA apple pathway is assessed as High.</w:t>
      </w:r>
    </w:p>
    <w:p w14:paraId="5C281DE1" w14:textId="77777777" w:rsidR="003438A2" w:rsidRPr="00F07FCE" w:rsidRDefault="003438A2" w:rsidP="00AD1C8F">
      <w:pPr>
        <w:pStyle w:val="Heading4"/>
      </w:pPr>
      <w:r w:rsidRPr="00F07FCE">
        <w:t>Overall likelihood of entry, establishment and spread</w:t>
      </w:r>
    </w:p>
    <w:p w14:paraId="0A0F345B" w14:textId="77777777" w:rsidR="003438A2" w:rsidRPr="00F07FCE" w:rsidRDefault="003438A2" w:rsidP="00AD1C8F">
      <w:r w:rsidRPr="00F07FCE">
        <w:t xml:space="preserve">The overall likelihood of entry, establishment and spread is determined by combining the likelihoods of entry, establishment and spread using the matrix of rules shown in </w:t>
      </w:r>
      <w:r w:rsidRPr="00F07FCE">
        <w:fldChar w:fldCharType="begin" w:fldLock="1"/>
      </w:r>
      <w:r w:rsidRPr="00F07FCE">
        <w:instrText xml:space="preserve"> REF _Ref457826328 \h </w:instrText>
      </w:r>
      <w:r>
        <w:instrText xml:space="preserve"> \* MERGEFORMAT </w:instrText>
      </w:r>
      <w:r w:rsidRPr="00F07FCE">
        <w:fldChar w:fldCharType="separate"/>
      </w:r>
      <w:r w:rsidRPr="00DB5F8D">
        <w:t xml:space="preserve">Table </w:t>
      </w:r>
      <w:r>
        <w:rPr>
          <w:noProof/>
        </w:rPr>
        <w:t>2.2</w:t>
      </w:r>
      <w:r w:rsidRPr="00F07FCE">
        <w:fldChar w:fldCharType="end"/>
      </w:r>
      <w:r w:rsidRPr="00F07FCE">
        <w:t>.</w:t>
      </w:r>
    </w:p>
    <w:p w14:paraId="045844F4" w14:textId="77777777" w:rsidR="003438A2" w:rsidRPr="00F07FCE" w:rsidRDefault="003438A2" w:rsidP="00AD1C8F">
      <w:pPr>
        <w:rPr>
          <w:b/>
        </w:rPr>
      </w:pPr>
      <w:r w:rsidRPr="00F07FCE">
        <w:t xml:space="preserve">The overall likelihood that </w:t>
      </w:r>
      <w:r w:rsidRPr="00F07FCE">
        <w:rPr>
          <w:i/>
          <w:iCs/>
        </w:rPr>
        <w:t xml:space="preserve">L. subjuncta </w:t>
      </w:r>
      <w:r w:rsidRPr="00F07FCE">
        <w:t>will enter Australia as a result of trade in apples from the PNW-USA, be distributed in a viable state to a susceptible host, establish in Australia and subsequently spread within Australia is assessed as Low</w:t>
      </w:r>
      <w:r w:rsidRPr="00F07FCE">
        <w:rPr>
          <w:b/>
        </w:rPr>
        <w:t>.</w:t>
      </w:r>
    </w:p>
    <w:p w14:paraId="4959F977" w14:textId="77777777" w:rsidR="003438A2" w:rsidRPr="00F07FCE" w:rsidRDefault="003438A2" w:rsidP="00AD1C8F">
      <w:pPr>
        <w:pStyle w:val="Heading4"/>
      </w:pPr>
      <w:r w:rsidRPr="00F07FCE">
        <w:t>Consequences</w:t>
      </w:r>
    </w:p>
    <w:p w14:paraId="1BC4263F" w14:textId="77777777" w:rsidR="003438A2" w:rsidRPr="00F07FCE" w:rsidRDefault="003438A2" w:rsidP="00AD1C8F">
      <w:r w:rsidRPr="00F07FCE">
        <w:t xml:space="preserve">The potential consequences of the </w:t>
      </w:r>
      <w:r>
        <w:t xml:space="preserve">entry, </w:t>
      </w:r>
      <w:r w:rsidRPr="00F07FCE">
        <w:t xml:space="preserve">establishment </w:t>
      </w:r>
      <w:r>
        <w:t xml:space="preserve">and spread </w:t>
      </w:r>
      <w:r w:rsidRPr="00F07FCE">
        <w:t>of</w:t>
      </w:r>
      <w:r w:rsidRPr="00F07FCE">
        <w:rPr>
          <w:i/>
          <w:iCs/>
        </w:rPr>
        <w:t xml:space="preserve"> L. subjuncta</w:t>
      </w:r>
      <w:r w:rsidRPr="00F07FCE">
        <w:t xml:space="preserve"> in Australia have been estimated according to the methods described in </w:t>
      </w:r>
      <w:r w:rsidRPr="00F07FCE">
        <w:fldChar w:fldCharType="begin" w:fldLock="1"/>
      </w:r>
      <w:r w:rsidRPr="00F07FCE">
        <w:instrText xml:space="preserve"> REF _Ref457826350 \h </w:instrText>
      </w:r>
      <w:r>
        <w:instrText xml:space="preserve"> \* MERGEFORMAT </w:instrText>
      </w:r>
      <w:r w:rsidRPr="00F07FCE">
        <w:fldChar w:fldCharType="separate"/>
      </w:r>
      <w:r>
        <w:t xml:space="preserve">Table </w:t>
      </w:r>
      <w:r>
        <w:rPr>
          <w:noProof/>
        </w:rPr>
        <w:t>2.3</w:t>
      </w:r>
      <w:r w:rsidRPr="00F07FCE">
        <w:fldChar w:fldCharType="end"/>
      </w:r>
      <w:r w:rsidRPr="00F07FCE">
        <w:t>.</w:t>
      </w:r>
    </w:p>
    <w:p w14:paraId="4EFBF476" w14:textId="77777777" w:rsidR="003438A2" w:rsidRPr="00F07FCE" w:rsidRDefault="003438A2" w:rsidP="00AD1C8F">
      <w:r w:rsidRPr="00F07FCE">
        <w:lastRenderedPageBreak/>
        <w:t xml:space="preserve">Based on the decision rules described in </w:t>
      </w:r>
      <w:r w:rsidRPr="00F07FCE">
        <w:fldChar w:fldCharType="begin" w:fldLock="1"/>
      </w:r>
      <w:r w:rsidRPr="00F07FCE">
        <w:instrText xml:space="preserve"> REF _Ref457826361 \h </w:instrText>
      </w:r>
      <w:r>
        <w:instrText xml:space="preserve"> \* MERGEFORMAT </w:instrText>
      </w:r>
      <w:r w:rsidRPr="00F07FCE">
        <w:fldChar w:fldCharType="separate"/>
      </w:r>
      <w:r>
        <w:t xml:space="preserve">Table </w:t>
      </w:r>
      <w:r>
        <w:rPr>
          <w:noProof/>
        </w:rPr>
        <w:t>2.4</w:t>
      </w:r>
      <w:r w:rsidRPr="00F07FCE">
        <w:fldChar w:fldCharType="end"/>
      </w:r>
      <w:r w:rsidRPr="00F07FCE">
        <w:t>, that is, where the potential consequences of a pest with respect to one or more criteria are ‘</w:t>
      </w:r>
      <w:r w:rsidRPr="00F07FCE">
        <w:rPr>
          <w:b/>
        </w:rPr>
        <w:t>D</w:t>
      </w:r>
      <w:r w:rsidRPr="00F07FCE">
        <w:t>’, the overall consequences</w:t>
      </w:r>
      <w:r>
        <w:t xml:space="preserve"> are estimated to be Low.</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2977"/>
        <w:gridCol w:w="6093"/>
      </w:tblGrid>
      <w:tr w:rsidR="003438A2" w:rsidRPr="00F07FCE" w14:paraId="31716518" w14:textId="77777777" w:rsidTr="00887A71">
        <w:tc>
          <w:tcPr>
            <w:tcW w:w="1641" w:type="pct"/>
            <w:tcBorders>
              <w:top w:val="single" w:sz="4" w:space="0" w:color="auto"/>
              <w:bottom w:val="single" w:sz="4" w:space="0" w:color="D9D9D9" w:themeColor="background1" w:themeShade="D9"/>
            </w:tcBorders>
          </w:tcPr>
          <w:p w14:paraId="32DE27D6" w14:textId="77777777" w:rsidR="003438A2" w:rsidRPr="00F07FCE" w:rsidRDefault="003438A2" w:rsidP="00887A71">
            <w:pPr>
              <w:pStyle w:val="TableHeading"/>
            </w:pPr>
            <w:r w:rsidRPr="00F07FCE">
              <w:t>Criterion</w:t>
            </w:r>
          </w:p>
        </w:tc>
        <w:tc>
          <w:tcPr>
            <w:tcW w:w="3359" w:type="pct"/>
            <w:tcBorders>
              <w:top w:val="single" w:sz="4" w:space="0" w:color="auto"/>
              <w:bottom w:val="single" w:sz="4" w:space="0" w:color="D9D9D9" w:themeColor="background1" w:themeShade="D9"/>
            </w:tcBorders>
          </w:tcPr>
          <w:p w14:paraId="0FAB15D6" w14:textId="77777777" w:rsidR="003438A2" w:rsidRPr="00F07FCE" w:rsidRDefault="003438A2" w:rsidP="00887A71">
            <w:pPr>
              <w:pStyle w:val="TableHeading"/>
            </w:pPr>
            <w:r w:rsidRPr="00F07FCE">
              <w:t>Estimate and rationale</w:t>
            </w:r>
          </w:p>
        </w:tc>
      </w:tr>
      <w:tr w:rsidR="003438A2" w:rsidRPr="00F07FCE" w14:paraId="45FCF27C" w14:textId="77777777" w:rsidTr="00887A71">
        <w:tc>
          <w:tcPr>
            <w:tcW w:w="5000" w:type="pct"/>
            <w:gridSpan w:val="2"/>
            <w:tcBorders>
              <w:top w:val="single" w:sz="4" w:space="0" w:color="D9D9D9" w:themeColor="background1" w:themeShade="D9"/>
              <w:bottom w:val="single" w:sz="4" w:space="0" w:color="D9D9D9" w:themeColor="background1" w:themeShade="D9"/>
            </w:tcBorders>
          </w:tcPr>
          <w:p w14:paraId="664025F4" w14:textId="77777777" w:rsidR="003438A2" w:rsidRPr="00F07FCE" w:rsidRDefault="003438A2" w:rsidP="00887A71">
            <w:pPr>
              <w:pStyle w:val="TableHeading"/>
            </w:pPr>
            <w:r w:rsidRPr="00F07FCE">
              <w:t>Direct</w:t>
            </w:r>
          </w:p>
        </w:tc>
      </w:tr>
      <w:tr w:rsidR="003438A2" w:rsidRPr="00F07FCE" w14:paraId="356B28B7" w14:textId="77777777" w:rsidTr="00887A71">
        <w:tc>
          <w:tcPr>
            <w:tcW w:w="1641" w:type="pct"/>
            <w:tcBorders>
              <w:top w:val="single" w:sz="4" w:space="0" w:color="D9D9D9" w:themeColor="background1" w:themeShade="D9"/>
              <w:bottom w:val="single" w:sz="4" w:space="0" w:color="D9D9D9" w:themeColor="background1" w:themeShade="D9"/>
            </w:tcBorders>
          </w:tcPr>
          <w:p w14:paraId="13EF47A8" w14:textId="77777777" w:rsidR="003438A2" w:rsidRPr="00F07FCE" w:rsidRDefault="003438A2" w:rsidP="00887A71">
            <w:pPr>
              <w:pStyle w:val="TableText"/>
            </w:pPr>
            <w:r w:rsidRPr="00F07FCE">
              <w:t>Plant life or health</w:t>
            </w:r>
          </w:p>
        </w:tc>
        <w:tc>
          <w:tcPr>
            <w:tcW w:w="3359" w:type="pct"/>
            <w:tcBorders>
              <w:top w:val="single" w:sz="4" w:space="0" w:color="D9D9D9" w:themeColor="background1" w:themeShade="D9"/>
              <w:bottom w:val="single" w:sz="4" w:space="0" w:color="D9D9D9" w:themeColor="background1" w:themeShade="D9"/>
            </w:tcBorders>
          </w:tcPr>
          <w:p w14:paraId="5D9CABE1" w14:textId="77777777" w:rsidR="003438A2" w:rsidRPr="00F07FCE" w:rsidRDefault="003438A2" w:rsidP="00887A71">
            <w:pPr>
              <w:pStyle w:val="TableText"/>
            </w:pPr>
            <w:r w:rsidRPr="00F07FCE">
              <w:t>D – Significant at district level:</w:t>
            </w:r>
          </w:p>
          <w:p w14:paraId="5E7ACB40" w14:textId="77777777" w:rsidR="003438A2" w:rsidRPr="00F07FCE" w:rsidRDefault="003438A2" w:rsidP="00887A71">
            <w:pPr>
              <w:pStyle w:val="TableText"/>
            </w:pPr>
            <w:r w:rsidRPr="00F07FCE">
              <w:t xml:space="preserve">The primary commercially grown host of </w:t>
            </w:r>
            <w:r w:rsidRPr="00B74104">
              <w:rPr>
                <w:i/>
                <w:iCs/>
              </w:rPr>
              <w:t>L. subjuncta</w:t>
            </w:r>
            <w:r w:rsidRPr="00F07FCE">
              <w:t xml:space="preserve"> is apple. The pest has also been recorded to feed and develop on </w:t>
            </w:r>
            <w:r w:rsidRPr="00B74104">
              <w:t>a wide variety of host plants, including trees, shrubs and herbaceous plants</w:t>
            </w:r>
            <w:r w:rsidRPr="00F07FCE">
              <w:t xml:space="preserve"> (Landolt 1998, 2002). </w:t>
            </w:r>
          </w:p>
          <w:p w14:paraId="27D44166" w14:textId="77777777" w:rsidR="003438A2" w:rsidRPr="00F07FCE" w:rsidRDefault="003438A2" w:rsidP="009570B5">
            <w:pPr>
              <w:pStyle w:val="TableText"/>
            </w:pPr>
            <w:r w:rsidRPr="00F07FCE">
              <w:t>The pest is capable of causing direct damage to host plants through feeding activities of larvae. Larvae of</w:t>
            </w:r>
            <w:r w:rsidRPr="00B74104">
              <w:t xml:space="preserve"> </w:t>
            </w:r>
            <w:r w:rsidRPr="00B74104">
              <w:rPr>
                <w:i/>
                <w:iCs/>
              </w:rPr>
              <w:t>L. subjuncta</w:t>
            </w:r>
            <w:r w:rsidRPr="00B74104">
              <w:t xml:space="preserve"> have been known to cause serious defoliation in apple orchards </w:t>
            </w:r>
            <w:r>
              <w:t xml:space="preserve">(Doerr &amp; Brunner 2007; Landolt 2002; Wiman, Stoven &amp; Bush 2019) </w:t>
            </w:r>
            <w:r w:rsidRPr="00B74104">
              <w:t xml:space="preserve">and larvae may incidentally feed on fruit. Larval </w:t>
            </w:r>
            <w:r w:rsidRPr="00F07FCE">
              <w:t>feeding holes can be as large as a fingertip, appearing as hollowed-out scoops on the fruit surface with severe fruit damage occurring when larval densities are high in the orchard (Doerr &amp; Brunner 2007).</w:t>
            </w:r>
          </w:p>
          <w:p w14:paraId="14DDB628" w14:textId="77777777" w:rsidR="003438A2" w:rsidRPr="00F07FCE" w:rsidRDefault="003438A2" w:rsidP="009570B5">
            <w:pPr>
              <w:pStyle w:val="TableText"/>
            </w:pPr>
            <w:r w:rsidRPr="00F07FCE">
              <w:t xml:space="preserve">Since 1995, </w:t>
            </w:r>
            <w:r w:rsidRPr="00B74104">
              <w:rPr>
                <w:i/>
                <w:iCs/>
              </w:rPr>
              <w:t>L. subjuncta</w:t>
            </w:r>
            <w:r w:rsidRPr="00F07FCE">
              <w:t xml:space="preserve"> has been recognised as a pest in Washington apple orchards. Since this time, it has occurred in high and sometimes damaging densities in several apple production areas in Washington, and research has been undertaken to manage the pest </w:t>
            </w:r>
            <w:r w:rsidRPr="00F07FCE">
              <w:rPr>
                <w:noProof/>
              </w:rPr>
              <w:t>(Doerr &amp; Brunner 2002)</w:t>
            </w:r>
            <w:r w:rsidRPr="00F07FCE">
              <w:t xml:space="preserve">. Pacific Northwest regions recognise </w:t>
            </w:r>
            <w:r w:rsidRPr="00B74104">
              <w:rPr>
                <w:i/>
                <w:iCs/>
              </w:rPr>
              <w:t>L. subjuncta</w:t>
            </w:r>
            <w:r w:rsidRPr="00F07FCE">
              <w:t xml:space="preserve"> as an important pest of commercial apple orchards and management practices have been recommended</w:t>
            </w:r>
            <w:r>
              <w:t xml:space="preserve"> </w:t>
            </w:r>
            <w:bookmarkStart w:id="256" w:name="_Hlk107862716"/>
            <w:r>
              <w:t>(Landolt 1997; Wiman &amp; Stoven 2022)</w:t>
            </w:r>
            <w:r w:rsidRPr="00F07FCE">
              <w:t>.</w:t>
            </w:r>
            <w:bookmarkEnd w:id="256"/>
          </w:p>
          <w:p w14:paraId="18A1D6AE" w14:textId="77777777" w:rsidR="003438A2" w:rsidRPr="0050735C" w:rsidRDefault="003438A2" w:rsidP="009570B5">
            <w:pPr>
              <w:pStyle w:val="TableText"/>
            </w:pPr>
            <w:r w:rsidRPr="0050735C">
              <w:t xml:space="preserve">Australia’s apple and pear industry alone produces fruit worth more than $580 million annually (APAL 2020). </w:t>
            </w:r>
          </w:p>
          <w:p w14:paraId="13B582E4" w14:textId="77777777" w:rsidR="003438A2" w:rsidRPr="00B74104" w:rsidRDefault="003438A2" w:rsidP="00B74104">
            <w:pPr>
              <w:rPr>
                <w:sz w:val="18"/>
              </w:rPr>
            </w:pPr>
            <w:r w:rsidRPr="0050735C">
              <w:rPr>
                <w:sz w:val="18"/>
              </w:rPr>
              <w:t xml:space="preserve">In addition to apple and pear, hosts of </w:t>
            </w:r>
            <w:r w:rsidRPr="0050735C">
              <w:rPr>
                <w:i/>
                <w:iCs/>
                <w:sz w:val="18"/>
              </w:rPr>
              <w:t>L. subjuncta</w:t>
            </w:r>
            <w:r w:rsidRPr="0050735C">
              <w:rPr>
                <w:sz w:val="18"/>
              </w:rPr>
              <w:t xml:space="preserve"> include cherry, blueberry, cabbage, asparagus, corn, strawberry (Landolt 2002) and plum (Landolt 1998).</w:t>
            </w:r>
            <w:r w:rsidRPr="00B74104">
              <w:rPr>
                <w:sz w:val="18"/>
              </w:rPr>
              <w:t xml:space="preserve"> </w:t>
            </w:r>
          </w:p>
        </w:tc>
      </w:tr>
      <w:tr w:rsidR="003438A2" w:rsidRPr="00F07FCE" w14:paraId="7FE2C62F" w14:textId="77777777" w:rsidTr="00887A71">
        <w:tc>
          <w:tcPr>
            <w:tcW w:w="1641" w:type="pct"/>
            <w:tcBorders>
              <w:top w:val="single" w:sz="4" w:space="0" w:color="D9D9D9" w:themeColor="background1" w:themeShade="D9"/>
              <w:bottom w:val="single" w:sz="4" w:space="0" w:color="D9D9D9" w:themeColor="background1" w:themeShade="D9"/>
            </w:tcBorders>
          </w:tcPr>
          <w:p w14:paraId="6B05BDAF" w14:textId="77777777" w:rsidR="003438A2" w:rsidRPr="00F07FCE" w:rsidRDefault="003438A2" w:rsidP="00887A71">
            <w:pPr>
              <w:pStyle w:val="TableText"/>
            </w:pPr>
            <w:r w:rsidRPr="00F07FCE">
              <w:t>Other aspects of the environment</w:t>
            </w:r>
          </w:p>
        </w:tc>
        <w:tc>
          <w:tcPr>
            <w:tcW w:w="3359" w:type="pct"/>
            <w:tcBorders>
              <w:top w:val="single" w:sz="4" w:space="0" w:color="D9D9D9" w:themeColor="background1" w:themeShade="D9"/>
              <w:bottom w:val="single" w:sz="4" w:space="0" w:color="D9D9D9" w:themeColor="background1" w:themeShade="D9"/>
            </w:tcBorders>
          </w:tcPr>
          <w:p w14:paraId="564ACE2C" w14:textId="77777777" w:rsidR="003438A2" w:rsidRPr="00F07FCE" w:rsidRDefault="003438A2" w:rsidP="00887A71">
            <w:pPr>
              <w:pStyle w:val="TableText"/>
            </w:pPr>
            <w:r w:rsidRPr="00F07FCE">
              <w:t>A – Indiscernible:</w:t>
            </w:r>
          </w:p>
          <w:p w14:paraId="0ED44188" w14:textId="77777777" w:rsidR="003438A2" w:rsidRPr="00F07FCE" w:rsidRDefault="003438A2" w:rsidP="00887A71">
            <w:pPr>
              <w:pStyle w:val="TableText"/>
            </w:pPr>
            <w:r w:rsidRPr="00F07FCE">
              <w:t xml:space="preserve">There are currently no known direct consequences of </w:t>
            </w:r>
            <w:r w:rsidRPr="00F07FCE">
              <w:rPr>
                <w:i/>
              </w:rPr>
              <w:t>L. subjuncta</w:t>
            </w:r>
            <w:r w:rsidRPr="00F07FCE">
              <w:t xml:space="preserve"> on other aspects of the natural environment, but its introduction into a new environment may lead to some competition for resources with native species.</w:t>
            </w:r>
          </w:p>
        </w:tc>
      </w:tr>
      <w:tr w:rsidR="003438A2" w:rsidRPr="00F07FCE" w14:paraId="7A4E29C3" w14:textId="77777777" w:rsidTr="00887A71">
        <w:tc>
          <w:tcPr>
            <w:tcW w:w="5000" w:type="pct"/>
            <w:gridSpan w:val="2"/>
            <w:tcBorders>
              <w:top w:val="single" w:sz="4" w:space="0" w:color="D9D9D9" w:themeColor="background1" w:themeShade="D9"/>
              <w:bottom w:val="single" w:sz="4" w:space="0" w:color="D9D9D9" w:themeColor="background1" w:themeShade="D9"/>
            </w:tcBorders>
          </w:tcPr>
          <w:p w14:paraId="39D9F9BA" w14:textId="77777777" w:rsidR="003438A2" w:rsidRPr="00F07FCE" w:rsidRDefault="003438A2" w:rsidP="00887A71">
            <w:pPr>
              <w:pStyle w:val="TableHeading"/>
            </w:pPr>
            <w:r w:rsidRPr="00F07FCE">
              <w:t>Indirect</w:t>
            </w:r>
          </w:p>
        </w:tc>
      </w:tr>
      <w:tr w:rsidR="003438A2" w:rsidRPr="00F07FCE" w14:paraId="5A6081C9" w14:textId="77777777" w:rsidTr="00887A71">
        <w:tc>
          <w:tcPr>
            <w:tcW w:w="1641" w:type="pct"/>
            <w:tcBorders>
              <w:top w:val="single" w:sz="4" w:space="0" w:color="D9D9D9" w:themeColor="background1" w:themeShade="D9"/>
              <w:bottom w:val="single" w:sz="4" w:space="0" w:color="D9D9D9" w:themeColor="background1" w:themeShade="D9"/>
            </w:tcBorders>
          </w:tcPr>
          <w:p w14:paraId="23A50BD6" w14:textId="77777777" w:rsidR="003438A2" w:rsidRPr="00F07FCE" w:rsidRDefault="003438A2" w:rsidP="00887A71">
            <w:pPr>
              <w:pStyle w:val="TableText"/>
            </w:pPr>
            <w:r w:rsidRPr="00F07FCE">
              <w:t>Eradication, control</w:t>
            </w:r>
          </w:p>
        </w:tc>
        <w:tc>
          <w:tcPr>
            <w:tcW w:w="3359" w:type="pct"/>
            <w:tcBorders>
              <w:top w:val="single" w:sz="4" w:space="0" w:color="D9D9D9" w:themeColor="background1" w:themeShade="D9"/>
              <w:bottom w:val="single" w:sz="4" w:space="0" w:color="D9D9D9" w:themeColor="background1" w:themeShade="D9"/>
            </w:tcBorders>
          </w:tcPr>
          <w:p w14:paraId="0DC3DD19" w14:textId="77777777" w:rsidR="003438A2" w:rsidRPr="00F07FCE" w:rsidRDefault="003438A2" w:rsidP="00887A71">
            <w:pPr>
              <w:pStyle w:val="TableText"/>
            </w:pPr>
            <w:r w:rsidRPr="00F07FCE">
              <w:t>D– Significant at district level:</w:t>
            </w:r>
          </w:p>
          <w:p w14:paraId="2E05BF15" w14:textId="77777777" w:rsidR="003438A2" w:rsidRPr="00F07FCE" w:rsidRDefault="003438A2" w:rsidP="00887A71">
            <w:pPr>
              <w:pStyle w:val="TableText"/>
            </w:pPr>
            <w:r w:rsidRPr="00F07FCE">
              <w:t xml:space="preserve">Programs in the United States to contain, eradicate, and/or minimise the impact of </w:t>
            </w:r>
            <w:r w:rsidRPr="009E7588">
              <w:rPr>
                <w:i/>
                <w:iCs/>
              </w:rPr>
              <w:t>L. subjuncta</w:t>
            </w:r>
            <w:r w:rsidRPr="00F07FCE">
              <w:t xml:space="preserve"> on host plants include visual inspection, population monitoring, biological control, pheromone trapping, larvae sampling and pesticide application </w:t>
            </w:r>
            <w:r>
              <w:rPr>
                <w:noProof/>
              </w:rPr>
              <w:t>(Doerr &amp; Brunner 2007; Hollingsworth 2019)</w:t>
            </w:r>
            <w:r w:rsidRPr="00F07FCE">
              <w:t xml:space="preserve">. These control programs are likely to be costly and may disrupt existing integrated pest management (IPM) and other pest management programs for other pests in Australia because of the need to re-introduce or increase the use of insecticides for the control of </w:t>
            </w:r>
            <w:r w:rsidRPr="009E7588">
              <w:rPr>
                <w:i/>
                <w:iCs/>
              </w:rPr>
              <w:t>L. subjuncta</w:t>
            </w:r>
            <w:r w:rsidRPr="00F07FCE">
              <w:t>.</w:t>
            </w:r>
          </w:p>
          <w:p w14:paraId="2D80488B" w14:textId="77777777" w:rsidR="003438A2" w:rsidRPr="00F07FCE" w:rsidRDefault="003438A2" w:rsidP="00906527">
            <w:pPr>
              <w:pStyle w:val="TableText"/>
              <w:spacing w:before="0" w:after="0"/>
            </w:pPr>
            <w:r w:rsidRPr="00F07FCE">
              <w:t xml:space="preserve">However, Australia’s existing pest management practices using insecticides (e.g., methidathion, indoxacarb etc) for similar lepidopteran pests (Sutton, Collie &amp; Learmonth 2014) may control </w:t>
            </w:r>
            <w:r w:rsidRPr="00606359">
              <w:rPr>
                <w:i/>
                <w:iCs/>
              </w:rPr>
              <w:t>L. subjuncta</w:t>
            </w:r>
            <w:r w:rsidRPr="00F07FCE">
              <w:t xml:space="preserve"> in Australia.</w:t>
            </w:r>
          </w:p>
          <w:p w14:paraId="2D6BD404" w14:textId="77777777" w:rsidR="003438A2" w:rsidRPr="009E7588" w:rsidRDefault="003438A2" w:rsidP="00906527">
            <w:pPr>
              <w:spacing w:after="0" w:line="240" w:lineRule="auto"/>
              <w:rPr>
                <w:sz w:val="18"/>
              </w:rPr>
            </w:pPr>
            <w:r w:rsidRPr="00906527">
              <w:rPr>
                <w:i/>
                <w:iCs/>
                <w:sz w:val="18"/>
              </w:rPr>
              <w:t>Lacanobia subjuncta</w:t>
            </w:r>
            <w:r w:rsidRPr="009E7588">
              <w:rPr>
                <w:sz w:val="18"/>
              </w:rPr>
              <w:t xml:space="preserve"> adults are capable of independent flight. Adult males are considered strong fliers (Doerr &amp; Brunner 2002), aiding dispersal and potential mate-finding behaviours. Due to the flight capacity of the adults, this pest could easily attack other non-commercial hosts which are available in surrounding areas. The control of this pest on these hosts will be difficult and most likely costly.</w:t>
            </w:r>
          </w:p>
          <w:p w14:paraId="1CB156ED" w14:textId="77777777" w:rsidR="003438A2" w:rsidRPr="00F07FCE" w:rsidRDefault="003438A2" w:rsidP="001B4F5D">
            <w:pPr>
              <w:pStyle w:val="TableText"/>
            </w:pPr>
            <w:r w:rsidRPr="00F07FCE">
              <w:t>In Washington State,</w:t>
            </w:r>
            <w:r w:rsidRPr="009E7588">
              <w:t xml:space="preserve"> </w:t>
            </w:r>
            <w:r w:rsidRPr="00606359">
              <w:rPr>
                <w:i/>
                <w:iCs/>
              </w:rPr>
              <w:t>L. subjuncta</w:t>
            </w:r>
            <w:r w:rsidRPr="00F07FCE">
              <w:t xml:space="preserve"> has developed resistance to organophosphate pesticides</w:t>
            </w:r>
            <w:r>
              <w:t xml:space="preserve"> </w:t>
            </w:r>
            <w:r>
              <w:rPr>
                <w:noProof/>
              </w:rPr>
              <w:t>(Brunner &amp; Doerr 2000; Colt et al. 2001)</w:t>
            </w:r>
            <w:r w:rsidRPr="00F07FCE">
              <w:t>. Resistance to chemicals would make it difficult to eradicate or control this pest if the resistant population were introduced to Australia.</w:t>
            </w:r>
          </w:p>
        </w:tc>
      </w:tr>
      <w:tr w:rsidR="003438A2" w:rsidRPr="0050735C" w14:paraId="34AB91DB" w14:textId="77777777" w:rsidTr="00887A71">
        <w:tc>
          <w:tcPr>
            <w:tcW w:w="1641" w:type="pct"/>
            <w:tcBorders>
              <w:top w:val="single" w:sz="4" w:space="0" w:color="D9D9D9" w:themeColor="background1" w:themeShade="D9"/>
              <w:bottom w:val="single" w:sz="4" w:space="0" w:color="D9D9D9" w:themeColor="background1" w:themeShade="D9"/>
            </w:tcBorders>
          </w:tcPr>
          <w:p w14:paraId="435FE4FF" w14:textId="77777777" w:rsidR="003438A2" w:rsidRPr="0050735C" w:rsidRDefault="003438A2" w:rsidP="00887A71">
            <w:pPr>
              <w:pStyle w:val="TableText"/>
            </w:pPr>
            <w:r w:rsidRPr="0050735C">
              <w:lastRenderedPageBreak/>
              <w:t>Domestic trade</w:t>
            </w:r>
          </w:p>
        </w:tc>
        <w:tc>
          <w:tcPr>
            <w:tcW w:w="3359" w:type="pct"/>
            <w:tcBorders>
              <w:top w:val="single" w:sz="4" w:space="0" w:color="D9D9D9" w:themeColor="background1" w:themeShade="D9"/>
              <w:bottom w:val="single" w:sz="4" w:space="0" w:color="D9D9D9" w:themeColor="background1" w:themeShade="D9"/>
            </w:tcBorders>
          </w:tcPr>
          <w:p w14:paraId="50E0D078" w14:textId="77777777" w:rsidR="003438A2" w:rsidRPr="0050735C" w:rsidRDefault="003438A2" w:rsidP="00887A71">
            <w:pPr>
              <w:pStyle w:val="TableText"/>
            </w:pPr>
            <w:r w:rsidRPr="0050735C">
              <w:t>D – Significant at district level:</w:t>
            </w:r>
          </w:p>
          <w:p w14:paraId="5BAA7085" w14:textId="77777777" w:rsidR="003438A2" w:rsidRPr="0050735C" w:rsidRDefault="003438A2" w:rsidP="00887A71">
            <w:pPr>
              <w:pStyle w:val="TableText"/>
            </w:pPr>
            <w:r w:rsidRPr="0050735C">
              <w:t xml:space="preserve">The apple and pear industry is a major horticultural industry in Australia </w:t>
            </w:r>
            <w:r w:rsidRPr="0050735C">
              <w:rPr>
                <w:noProof/>
              </w:rPr>
              <w:t>(APAL 2020)</w:t>
            </w:r>
            <w:r w:rsidRPr="0050735C">
              <w:t xml:space="preserve">. The presence of </w:t>
            </w:r>
            <w:r w:rsidRPr="0050735C">
              <w:rPr>
                <w:i/>
              </w:rPr>
              <w:t>L. subjuncta</w:t>
            </w:r>
            <w:r w:rsidRPr="0050735C">
              <w:t xml:space="preserve"> in commercial production areas of apple or other hosts in Australia may result in interstate trade restrictions on fresh apples and other hosts, potential loss of markets and significant industry adjustment at the district level.</w:t>
            </w:r>
          </w:p>
        </w:tc>
      </w:tr>
      <w:tr w:rsidR="003438A2" w:rsidRPr="0050735C" w14:paraId="582A0EFE" w14:textId="77777777" w:rsidTr="00887A71">
        <w:tc>
          <w:tcPr>
            <w:tcW w:w="1641" w:type="pct"/>
            <w:tcBorders>
              <w:top w:val="single" w:sz="4" w:space="0" w:color="D9D9D9" w:themeColor="background1" w:themeShade="D9"/>
              <w:bottom w:val="single" w:sz="4" w:space="0" w:color="D9D9D9" w:themeColor="background1" w:themeShade="D9"/>
            </w:tcBorders>
          </w:tcPr>
          <w:p w14:paraId="35075BD8" w14:textId="77777777" w:rsidR="003438A2" w:rsidRPr="0050735C" w:rsidRDefault="003438A2" w:rsidP="00887A71">
            <w:pPr>
              <w:pStyle w:val="TableText"/>
            </w:pPr>
            <w:r w:rsidRPr="0050735C">
              <w:t>International trade</w:t>
            </w:r>
          </w:p>
        </w:tc>
        <w:tc>
          <w:tcPr>
            <w:tcW w:w="3359" w:type="pct"/>
            <w:tcBorders>
              <w:top w:val="single" w:sz="4" w:space="0" w:color="D9D9D9" w:themeColor="background1" w:themeShade="D9"/>
              <w:bottom w:val="single" w:sz="4" w:space="0" w:color="D9D9D9" w:themeColor="background1" w:themeShade="D9"/>
            </w:tcBorders>
          </w:tcPr>
          <w:p w14:paraId="765B4CC6" w14:textId="77777777" w:rsidR="003438A2" w:rsidRPr="0050735C" w:rsidRDefault="003438A2" w:rsidP="00887A71">
            <w:pPr>
              <w:pStyle w:val="TableText"/>
            </w:pPr>
            <w:r w:rsidRPr="0050735C">
              <w:t>D – Significant at district level:</w:t>
            </w:r>
          </w:p>
          <w:p w14:paraId="279D49EF" w14:textId="77777777" w:rsidR="003438A2" w:rsidRPr="0050735C" w:rsidRDefault="003438A2" w:rsidP="00887A71">
            <w:pPr>
              <w:pStyle w:val="TableText"/>
            </w:pPr>
            <w:r w:rsidRPr="0050735C">
              <w:t xml:space="preserve">Australia exports approximately 5,000 tonnes of apples per year </w:t>
            </w:r>
            <w:r w:rsidRPr="0050735C">
              <w:rPr>
                <w:noProof/>
              </w:rPr>
              <w:t>(APAL 2020)</w:t>
            </w:r>
            <w:r w:rsidRPr="0050735C">
              <w:t xml:space="preserve">. The presence of </w:t>
            </w:r>
            <w:r w:rsidRPr="0050735C">
              <w:rPr>
                <w:i/>
              </w:rPr>
              <w:t>L. subjuncta</w:t>
            </w:r>
            <w:r w:rsidRPr="0050735C">
              <w:t xml:space="preserve"> in commercial production areas of a range of host commodities such as apples and pears may limit access to international markets where this pest is not present. </w:t>
            </w:r>
          </w:p>
        </w:tc>
      </w:tr>
      <w:tr w:rsidR="003438A2" w:rsidRPr="0050735C" w14:paraId="0443D19C" w14:textId="77777777" w:rsidTr="00887A71">
        <w:tc>
          <w:tcPr>
            <w:tcW w:w="1641" w:type="pct"/>
            <w:tcBorders>
              <w:top w:val="single" w:sz="4" w:space="0" w:color="D9D9D9" w:themeColor="background1" w:themeShade="D9"/>
            </w:tcBorders>
          </w:tcPr>
          <w:p w14:paraId="608E16D0" w14:textId="77777777" w:rsidR="003438A2" w:rsidRPr="0050735C" w:rsidRDefault="003438A2" w:rsidP="00887A71">
            <w:pPr>
              <w:pStyle w:val="TableText"/>
            </w:pPr>
            <w:r w:rsidRPr="0050735C">
              <w:t>Non-commercial and environmental</w:t>
            </w:r>
          </w:p>
        </w:tc>
        <w:tc>
          <w:tcPr>
            <w:tcW w:w="3359" w:type="pct"/>
            <w:tcBorders>
              <w:top w:val="single" w:sz="4" w:space="0" w:color="D9D9D9" w:themeColor="background1" w:themeShade="D9"/>
            </w:tcBorders>
          </w:tcPr>
          <w:p w14:paraId="460E2305" w14:textId="77777777" w:rsidR="003438A2" w:rsidRPr="0050735C" w:rsidRDefault="003438A2" w:rsidP="00887A71">
            <w:pPr>
              <w:pStyle w:val="TableText"/>
            </w:pPr>
            <w:r w:rsidRPr="0050735C">
              <w:t>B – Minor significance at local level:</w:t>
            </w:r>
          </w:p>
          <w:p w14:paraId="27626184" w14:textId="77777777" w:rsidR="003438A2" w:rsidRPr="0050735C" w:rsidRDefault="003438A2" w:rsidP="00887A71">
            <w:pPr>
              <w:pStyle w:val="TableText"/>
            </w:pPr>
            <w:r w:rsidRPr="0050735C">
              <w:t>Minor indirect impact on the environment. Existing insecticidal controls in the pest management systems for other moths will likely control Lacanobia fruit worm as well.</w:t>
            </w:r>
          </w:p>
        </w:tc>
      </w:tr>
    </w:tbl>
    <w:p w14:paraId="38CCFA2E" w14:textId="77777777" w:rsidR="003438A2" w:rsidRPr="0050735C" w:rsidRDefault="003438A2" w:rsidP="00AD1C8F">
      <w:pPr>
        <w:pStyle w:val="Heading4"/>
      </w:pPr>
      <w:r w:rsidRPr="0050735C">
        <w:t>Unrestricted risk estimate</w:t>
      </w:r>
    </w:p>
    <w:p w14:paraId="2AA68C81" w14:textId="77777777" w:rsidR="003438A2" w:rsidRPr="00F07FCE" w:rsidRDefault="003438A2" w:rsidP="00AD1C8F">
      <w:r w:rsidRPr="00F07FCE">
        <w:t xml:space="preserve">Unrestricted risk is the result of combining the </w:t>
      </w:r>
      <w:r>
        <w:t>overall likelihood</w:t>
      </w:r>
      <w:r w:rsidRPr="00F07FCE">
        <w:t xml:space="preserve"> of entry, establishment and spread with the outcome of overall consequences. </w:t>
      </w:r>
      <w:r>
        <w:t>The overall l</w:t>
      </w:r>
      <w:r w:rsidRPr="00F07FCE">
        <w:t xml:space="preserve">ikelihood and consequences are combined using the risk estimation matrix shown in </w:t>
      </w:r>
      <w:r w:rsidRPr="00F07FCE">
        <w:fldChar w:fldCharType="begin" w:fldLock="1"/>
      </w:r>
      <w:r w:rsidRPr="00F07FCE">
        <w:instrText xml:space="preserve"> REF _Ref457826369 \h </w:instrText>
      </w:r>
      <w:r>
        <w:instrText xml:space="preserve"> \* MERGEFORMAT </w:instrText>
      </w:r>
      <w:r w:rsidRPr="00F07FCE">
        <w:fldChar w:fldCharType="separate"/>
      </w:r>
      <w:r>
        <w:t xml:space="preserve">Table </w:t>
      </w:r>
      <w:r>
        <w:rPr>
          <w:noProof/>
        </w:rPr>
        <w:t>2.5</w:t>
      </w:r>
      <w:r w:rsidRPr="00F07FCE">
        <w:fldChar w:fldCharType="end"/>
      </w:r>
      <w:r w:rsidRPr="00F07FCE">
        <w:t>.</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3438A2" w:rsidRPr="00F07FCE" w14:paraId="22ACCE7D" w14:textId="77777777" w:rsidTr="00887A71">
        <w:tc>
          <w:tcPr>
            <w:tcW w:w="5000" w:type="pct"/>
            <w:gridSpan w:val="2"/>
          </w:tcPr>
          <w:p w14:paraId="526909E1" w14:textId="77777777" w:rsidR="003438A2" w:rsidRPr="00F07FCE" w:rsidRDefault="003438A2" w:rsidP="00887A71">
            <w:pPr>
              <w:pStyle w:val="TableHeading"/>
            </w:pPr>
            <w:r w:rsidRPr="00F07FCE">
              <w:t xml:space="preserve">Unrestricted risk estimate for </w:t>
            </w:r>
            <w:r w:rsidRPr="00F07FCE">
              <w:rPr>
                <w:i/>
              </w:rPr>
              <w:t>Lacanobia subjuncta</w:t>
            </w:r>
          </w:p>
        </w:tc>
      </w:tr>
      <w:tr w:rsidR="003438A2" w:rsidRPr="00F07FCE" w14:paraId="72FB3697" w14:textId="77777777" w:rsidTr="00887A71">
        <w:tc>
          <w:tcPr>
            <w:tcW w:w="3428" w:type="pct"/>
          </w:tcPr>
          <w:p w14:paraId="5A7A4B67" w14:textId="77777777" w:rsidR="003438A2" w:rsidRPr="00F07FCE" w:rsidRDefault="003438A2" w:rsidP="00887A71">
            <w:pPr>
              <w:pStyle w:val="TableText"/>
            </w:pPr>
            <w:r w:rsidRPr="00F07FCE">
              <w:t>Overall likelihood of entry, establishment and spread</w:t>
            </w:r>
          </w:p>
        </w:tc>
        <w:tc>
          <w:tcPr>
            <w:tcW w:w="1572" w:type="pct"/>
          </w:tcPr>
          <w:p w14:paraId="20AB9EE3" w14:textId="77777777" w:rsidR="003438A2" w:rsidRPr="00F07FCE" w:rsidRDefault="003438A2" w:rsidP="00887A71">
            <w:pPr>
              <w:pStyle w:val="TableText"/>
            </w:pPr>
            <w:r w:rsidRPr="00F07FCE">
              <w:t>Low</w:t>
            </w:r>
          </w:p>
        </w:tc>
      </w:tr>
      <w:tr w:rsidR="003438A2" w:rsidRPr="00F07FCE" w14:paraId="7B320BE2" w14:textId="77777777" w:rsidTr="00887A71">
        <w:tc>
          <w:tcPr>
            <w:tcW w:w="3428" w:type="pct"/>
          </w:tcPr>
          <w:p w14:paraId="2A6A2DAD" w14:textId="77777777" w:rsidR="003438A2" w:rsidRPr="00F07FCE" w:rsidRDefault="003438A2" w:rsidP="00887A71">
            <w:pPr>
              <w:pStyle w:val="TableText"/>
            </w:pPr>
            <w:r w:rsidRPr="00F07FCE">
              <w:t>Consequences</w:t>
            </w:r>
          </w:p>
        </w:tc>
        <w:tc>
          <w:tcPr>
            <w:tcW w:w="1572" w:type="pct"/>
          </w:tcPr>
          <w:p w14:paraId="46671233" w14:textId="77777777" w:rsidR="003438A2" w:rsidRPr="00F07FCE" w:rsidRDefault="003438A2" w:rsidP="00887A71">
            <w:pPr>
              <w:pStyle w:val="TableText"/>
            </w:pPr>
            <w:r w:rsidRPr="00F07FCE">
              <w:t>Low</w:t>
            </w:r>
          </w:p>
        </w:tc>
      </w:tr>
      <w:tr w:rsidR="003438A2" w:rsidRPr="00F07FCE" w14:paraId="3D306ED6" w14:textId="77777777" w:rsidTr="00887A71">
        <w:tc>
          <w:tcPr>
            <w:tcW w:w="3428" w:type="pct"/>
          </w:tcPr>
          <w:p w14:paraId="49FEE9BE" w14:textId="77777777" w:rsidR="003438A2" w:rsidRPr="00F07FCE" w:rsidRDefault="003438A2" w:rsidP="00887A71">
            <w:pPr>
              <w:pStyle w:val="TableText"/>
            </w:pPr>
            <w:r w:rsidRPr="00F07FCE">
              <w:t>Unrestricted risk</w:t>
            </w:r>
          </w:p>
        </w:tc>
        <w:tc>
          <w:tcPr>
            <w:tcW w:w="1572" w:type="pct"/>
          </w:tcPr>
          <w:p w14:paraId="5359F59D" w14:textId="77777777" w:rsidR="003438A2" w:rsidRPr="00F07FCE" w:rsidRDefault="003438A2" w:rsidP="00887A71">
            <w:pPr>
              <w:pStyle w:val="TableText"/>
            </w:pPr>
            <w:r w:rsidRPr="00F07FCE">
              <w:t xml:space="preserve">Very Low </w:t>
            </w:r>
          </w:p>
        </w:tc>
      </w:tr>
    </w:tbl>
    <w:p w14:paraId="0618E9AD" w14:textId="77777777" w:rsidR="003438A2" w:rsidRDefault="003438A2" w:rsidP="00AD1C8F">
      <w:r w:rsidRPr="00F07FCE">
        <w:t xml:space="preserve">The unrestricted risk estimate for </w:t>
      </w:r>
      <w:r w:rsidRPr="00F07FCE">
        <w:rPr>
          <w:i/>
          <w:iCs/>
        </w:rPr>
        <w:t xml:space="preserve">L. subjuncta </w:t>
      </w:r>
      <w:r w:rsidRPr="00F07FCE">
        <w:t>on the apples from PNW-USA pathway has been assessed as Very Low, which achieves the ALOP for Australia. Therefore, no specific risk management measures are required for this pest on this pathway.</w:t>
      </w:r>
    </w:p>
    <w:p w14:paraId="04C954D6" w14:textId="77777777" w:rsidR="003438A2" w:rsidRDefault="003438A2">
      <w:pPr>
        <w:spacing w:after="0" w:line="240" w:lineRule="auto"/>
        <w:rPr>
          <w:rFonts w:ascii="Calibri" w:hAnsi="Calibri"/>
          <w:b/>
          <w:bCs/>
          <w:color w:val="773141"/>
          <w:sz w:val="28"/>
        </w:rPr>
      </w:pPr>
      <w:r>
        <w:br w:type="page"/>
      </w:r>
    </w:p>
    <w:p w14:paraId="3AC8580E" w14:textId="77777777" w:rsidR="003438A2" w:rsidRPr="00155A85" w:rsidRDefault="003438A2" w:rsidP="00F843A1">
      <w:pPr>
        <w:pStyle w:val="Heading3"/>
        <w:numPr>
          <w:ilvl w:val="1"/>
          <w:numId w:val="25"/>
        </w:numPr>
      </w:pPr>
      <w:bookmarkStart w:id="257" w:name="_Toc112769010"/>
      <w:bookmarkStart w:id="258" w:name="_Hlk105574804"/>
      <w:bookmarkStart w:id="259" w:name="_Toc10009731"/>
      <w:bookmarkStart w:id="260" w:name="_Toc232831070"/>
      <w:bookmarkStart w:id="261" w:name="_Toc256600552"/>
      <w:bookmarkStart w:id="262" w:name="_Toc257729666"/>
      <w:bookmarkStart w:id="263" w:name="_Hlk40191920"/>
      <w:bookmarkEnd w:id="249"/>
      <w:r w:rsidRPr="00155A85">
        <w:lastRenderedPageBreak/>
        <w:t>Leafroller moths</w:t>
      </w:r>
      <w:bookmarkEnd w:id="257"/>
    </w:p>
    <w:p w14:paraId="32E6E169" w14:textId="77777777" w:rsidR="003438A2" w:rsidRPr="003C7D59" w:rsidRDefault="003438A2" w:rsidP="00C67856">
      <w:pPr>
        <w:pStyle w:val="Heading4"/>
        <w:numPr>
          <w:ilvl w:val="0"/>
          <w:numId w:val="0"/>
        </w:numPr>
      </w:pPr>
      <w:r w:rsidRPr="003C7D59">
        <w:rPr>
          <w:i/>
        </w:rPr>
        <w:t>Archips argyrospila</w:t>
      </w:r>
      <w:r w:rsidRPr="003C7D59">
        <w:t xml:space="preserve"> (EP), </w:t>
      </w:r>
      <w:r w:rsidRPr="003C7D59">
        <w:rPr>
          <w:i/>
        </w:rPr>
        <w:t>Archips podana</w:t>
      </w:r>
      <w:r w:rsidRPr="003C7D59">
        <w:t xml:space="preserve"> (EP), </w:t>
      </w:r>
      <w:r w:rsidRPr="003C7D59">
        <w:rPr>
          <w:i/>
        </w:rPr>
        <w:t>Archips rosana</w:t>
      </w:r>
      <w:r w:rsidRPr="003C7D59">
        <w:t xml:space="preserve"> (EP), </w:t>
      </w:r>
      <w:r w:rsidRPr="003C7D59">
        <w:rPr>
          <w:i/>
        </w:rPr>
        <w:t>Argyrotaenia franciscana</w:t>
      </w:r>
      <w:r w:rsidRPr="003C7D59">
        <w:t xml:space="preserve"> (EP), </w:t>
      </w:r>
      <w:r w:rsidRPr="003C7D59">
        <w:rPr>
          <w:i/>
        </w:rPr>
        <w:t>Choristoneura rosaceana</w:t>
      </w:r>
      <w:r w:rsidRPr="003C7D59">
        <w:t xml:space="preserve"> (EP)</w:t>
      </w:r>
      <w:r>
        <w:t xml:space="preserve"> and</w:t>
      </w:r>
      <w:r w:rsidRPr="003C7D59">
        <w:t xml:space="preserve"> </w:t>
      </w:r>
      <w:r w:rsidRPr="003C7D59">
        <w:rPr>
          <w:i/>
        </w:rPr>
        <w:t>Pandemis pyrusana</w:t>
      </w:r>
      <w:r w:rsidRPr="003C7D59">
        <w:t xml:space="preserve"> (EP)</w:t>
      </w:r>
    </w:p>
    <w:p w14:paraId="5E624831" w14:textId="77777777" w:rsidR="003438A2" w:rsidRPr="0034644A" w:rsidRDefault="003438A2" w:rsidP="00C67856">
      <w:r w:rsidRPr="0034644A">
        <w:rPr>
          <w:i/>
        </w:rPr>
        <w:t>Archips argyrospila</w:t>
      </w:r>
      <w:r w:rsidRPr="0034644A">
        <w:t xml:space="preserve"> (fruit-tree leafroller), </w:t>
      </w:r>
      <w:r w:rsidRPr="0034644A">
        <w:rPr>
          <w:i/>
        </w:rPr>
        <w:t>A</w:t>
      </w:r>
      <w:r>
        <w:rPr>
          <w:i/>
        </w:rPr>
        <w:t>rchips</w:t>
      </w:r>
      <w:r w:rsidRPr="0034644A">
        <w:rPr>
          <w:i/>
        </w:rPr>
        <w:t xml:space="preserve"> podana</w:t>
      </w:r>
      <w:r w:rsidRPr="0034644A">
        <w:t xml:space="preserve"> (great brown twist moth), </w:t>
      </w:r>
      <w:r w:rsidRPr="0034644A">
        <w:rPr>
          <w:i/>
        </w:rPr>
        <w:t>A</w:t>
      </w:r>
      <w:r>
        <w:rPr>
          <w:i/>
        </w:rPr>
        <w:t>rchips</w:t>
      </w:r>
      <w:r w:rsidRPr="0034644A">
        <w:rPr>
          <w:i/>
        </w:rPr>
        <w:t xml:space="preserve"> rosana</w:t>
      </w:r>
      <w:r w:rsidRPr="0034644A">
        <w:t xml:space="preserve"> (European leafroller), </w:t>
      </w:r>
      <w:r w:rsidRPr="0034644A">
        <w:rPr>
          <w:i/>
        </w:rPr>
        <w:t xml:space="preserve">Argyrotaenia franciscana </w:t>
      </w:r>
      <w:r w:rsidRPr="0034644A">
        <w:t>(orange tort</w:t>
      </w:r>
      <w:r>
        <w:t>r</w:t>
      </w:r>
      <w:r w:rsidRPr="0034644A">
        <w:t xml:space="preserve">ix), </w:t>
      </w:r>
      <w:r w:rsidRPr="0034644A">
        <w:rPr>
          <w:i/>
        </w:rPr>
        <w:t>Choristoneura rosaceana</w:t>
      </w:r>
      <w:r w:rsidRPr="0034644A">
        <w:t xml:space="preserve"> (</w:t>
      </w:r>
      <w:r w:rsidRPr="0034644A">
        <w:rPr>
          <w:rFonts w:cs="Arial"/>
        </w:rPr>
        <w:t xml:space="preserve">oblique banded leafroller) </w:t>
      </w:r>
      <w:r w:rsidRPr="0034644A">
        <w:t xml:space="preserve">and </w:t>
      </w:r>
      <w:r w:rsidRPr="0034644A">
        <w:rPr>
          <w:i/>
        </w:rPr>
        <w:t>Pandemis pyrusana</w:t>
      </w:r>
      <w:r w:rsidRPr="0034644A">
        <w:t xml:space="preserve"> (</w:t>
      </w:r>
      <w:r>
        <w:t>P</w:t>
      </w:r>
      <w:r w:rsidRPr="0034644A">
        <w:t>andemi</w:t>
      </w:r>
      <w:r>
        <w:t>s</w:t>
      </w:r>
      <w:r w:rsidRPr="0034644A">
        <w:t xml:space="preserve"> leafroller) belong to the Tortricidae or ‘leafroller’ family. Tortricidae, a large family of over 5,000 described species, </w:t>
      </w:r>
      <w:r>
        <w:t>are</w:t>
      </w:r>
      <w:r w:rsidRPr="0034644A">
        <w:t xml:space="preserve"> mostly </w:t>
      </w:r>
      <w:r>
        <w:t>found</w:t>
      </w:r>
      <w:r w:rsidRPr="0034644A">
        <w:t xml:space="preserve"> in temperate and tropical upland regions throughout the world </w:t>
      </w:r>
      <w:r>
        <w:rPr>
          <w:noProof/>
        </w:rPr>
        <w:t>(Meijerman &amp; Ulenberg 2000)</w:t>
      </w:r>
      <w:r w:rsidRPr="00356D15">
        <w:t>.</w:t>
      </w:r>
    </w:p>
    <w:p w14:paraId="7B7871D7" w14:textId="77777777" w:rsidR="003438A2" w:rsidRDefault="003438A2" w:rsidP="0028627D">
      <w:r w:rsidRPr="0034644A">
        <w:t xml:space="preserve">These 6 leafroller species have been </w:t>
      </w:r>
      <w:r>
        <w:t>assessed</w:t>
      </w:r>
      <w:r w:rsidRPr="0034644A">
        <w:t xml:space="preserve"> together </w:t>
      </w:r>
      <w:r>
        <w:t>based on</w:t>
      </w:r>
      <w:r w:rsidRPr="0034644A">
        <w:t xml:space="preserve"> their </w:t>
      </w:r>
      <w:r>
        <w:t>similar</w:t>
      </w:r>
      <w:r w:rsidRPr="0034644A">
        <w:t xml:space="preserve"> </w:t>
      </w:r>
      <w:r>
        <w:t>biologies</w:t>
      </w:r>
      <w:r w:rsidRPr="0034644A">
        <w:t xml:space="preserve">. All 6 species cause similar damage to host plants and are predicted to pose similar risks. In this assessment, the term ‘leafrollers’ is used to refer </w:t>
      </w:r>
      <w:r>
        <w:t xml:space="preserve">collectively </w:t>
      </w:r>
      <w:r w:rsidRPr="0034644A">
        <w:t>to these 6 species</w:t>
      </w:r>
      <w:r>
        <w:t>;</w:t>
      </w:r>
      <w:r w:rsidRPr="0034644A">
        <w:t xml:space="preserve"> </w:t>
      </w:r>
      <w:r>
        <w:t>a</w:t>
      </w:r>
      <w:r w:rsidRPr="0034644A">
        <w:t xml:space="preserve"> scientific name </w:t>
      </w:r>
      <w:r>
        <w:t>is</w:t>
      </w:r>
      <w:r w:rsidRPr="0034644A">
        <w:t xml:space="preserve"> used when the information relates to a</w:t>
      </w:r>
      <w:r>
        <w:t>n</w:t>
      </w:r>
      <w:r w:rsidRPr="0034644A">
        <w:t xml:space="preserve"> </w:t>
      </w:r>
      <w:r>
        <w:t>individual</w:t>
      </w:r>
      <w:r w:rsidRPr="0034644A">
        <w:t xml:space="preserve"> species.</w:t>
      </w:r>
    </w:p>
    <w:p w14:paraId="56B4307A" w14:textId="77777777" w:rsidR="003438A2" w:rsidRPr="0034644A" w:rsidRDefault="003438A2" w:rsidP="00C67856">
      <w:r w:rsidRPr="0034644A">
        <w:t xml:space="preserve">Globally, </w:t>
      </w:r>
      <w:r w:rsidRPr="0034644A">
        <w:rPr>
          <w:i/>
        </w:rPr>
        <w:t>A</w:t>
      </w:r>
      <w:r>
        <w:rPr>
          <w:i/>
        </w:rPr>
        <w:t>rc</w:t>
      </w:r>
      <w:r w:rsidRPr="0034644A">
        <w:rPr>
          <w:i/>
        </w:rPr>
        <w:t>. argyrospila</w:t>
      </w:r>
      <w:r w:rsidRPr="0034644A">
        <w:t xml:space="preserve"> is present in the USA and Canada</w:t>
      </w:r>
      <w:r>
        <w:t>,</w:t>
      </w:r>
      <w:r w:rsidRPr="0034644A">
        <w:t xml:space="preserve"> </w:t>
      </w:r>
      <w:r w:rsidRPr="0034644A">
        <w:rPr>
          <w:i/>
        </w:rPr>
        <w:t>A</w:t>
      </w:r>
      <w:r>
        <w:rPr>
          <w:i/>
        </w:rPr>
        <w:t>rc</w:t>
      </w:r>
      <w:r w:rsidRPr="0034644A">
        <w:rPr>
          <w:i/>
        </w:rPr>
        <w:t>. podana</w:t>
      </w:r>
      <w:r w:rsidRPr="0034644A">
        <w:t xml:space="preserve"> is present in Asia, Europe, Canada and the USA</w:t>
      </w:r>
      <w:r>
        <w:t>,</w:t>
      </w:r>
      <w:r w:rsidRPr="0034644A">
        <w:t xml:space="preserve"> </w:t>
      </w:r>
      <w:r w:rsidRPr="0034644A">
        <w:rPr>
          <w:i/>
        </w:rPr>
        <w:t>A</w:t>
      </w:r>
      <w:r>
        <w:rPr>
          <w:i/>
        </w:rPr>
        <w:t>rc</w:t>
      </w:r>
      <w:r w:rsidRPr="0034644A">
        <w:rPr>
          <w:i/>
        </w:rPr>
        <w:t>. rosana</w:t>
      </w:r>
      <w:r w:rsidRPr="0034644A">
        <w:t xml:space="preserve"> is present in the USA and Europe</w:t>
      </w:r>
      <w:r>
        <w:t>,</w:t>
      </w:r>
      <w:r w:rsidRPr="0034644A">
        <w:t xml:space="preserve"> </w:t>
      </w:r>
      <w:r w:rsidRPr="0034644A">
        <w:rPr>
          <w:i/>
        </w:rPr>
        <w:t>A</w:t>
      </w:r>
      <w:r>
        <w:rPr>
          <w:i/>
        </w:rPr>
        <w:t>rg</w:t>
      </w:r>
      <w:r w:rsidRPr="0034644A">
        <w:rPr>
          <w:i/>
        </w:rPr>
        <w:t>. franciscana</w:t>
      </w:r>
      <w:r w:rsidRPr="0034644A">
        <w:t xml:space="preserve"> is present in North America</w:t>
      </w:r>
      <w:r>
        <w:t>,</w:t>
      </w:r>
      <w:r w:rsidRPr="0034644A">
        <w:t xml:space="preserve"> mostly along the Pacific Coast from southern British Columbia to northern Baja California</w:t>
      </w:r>
      <w:r>
        <w:t>,</w:t>
      </w:r>
      <w:r w:rsidRPr="0034644A">
        <w:t xml:space="preserve"> </w:t>
      </w:r>
      <w:r w:rsidRPr="0034644A">
        <w:rPr>
          <w:rStyle w:val="Emphasis"/>
        </w:rPr>
        <w:t>C</w:t>
      </w:r>
      <w:r>
        <w:rPr>
          <w:rStyle w:val="Emphasis"/>
        </w:rPr>
        <w:t>.</w:t>
      </w:r>
      <w:r w:rsidRPr="0034644A">
        <w:rPr>
          <w:rStyle w:val="Emphasis"/>
        </w:rPr>
        <w:t xml:space="preserve"> rosaceana</w:t>
      </w:r>
      <w:r w:rsidRPr="0034644A">
        <w:t xml:space="preserve"> is widely distributed throughout the continental United States and southern Canada</w:t>
      </w:r>
      <w:r>
        <w:t>,</w:t>
      </w:r>
      <w:r w:rsidRPr="0034644A">
        <w:t xml:space="preserve"> and </w:t>
      </w:r>
      <w:r w:rsidRPr="0034644A">
        <w:rPr>
          <w:i/>
        </w:rPr>
        <w:t>P</w:t>
      </w:r>
      <w:r>
        <w:rPr>
          <w:i/>
        </w:rPr>
        <w:t>.</w:t>
      </w:r>
      <w:r w:rsidRPr="0034644A">
        <w:rPr>
          <w:i/>
        </w:rPr>
        <w:t xml:space="preserve"> pyrusana</w:t>
      </w:r>
      <w:r w:rsidRPr="0034644A">
        <w:t xml:space="preserve"> is present in Canada and the USA</w:t>
      </w:r>
      <w:r>
        <w:t xml:space="preserve"> </w:t>
      </w:r>
      <w:r>
        <w:rPr>
          <w:noProof/>
        </w:rPr>
        <w:t>(Brunner 1993; Ferree &amp; Warrington 2003; Gilligan, Baixeras &amp; Brown 2018; Hill 1987; Landry, Powell &amp; Sperling 1999)</w:t>
      </w:r>
      <w:r>
        <w:t>.</w:t>
      </w:r>
    </w:p>
    <w:p w14:paraId="59B49D66" w14:textId="77777777" w:rsidR="003438A2" w:rsidRDefault="003438A2" w:rsidP="00C67856">
      <w:r w:rsidRPr="00E34E4D">
        <w:t xml:space="preserve">These leafrollers have </w:t>
      </w:r>
      <w:r>
        <w:t xml:space="preserve">a </w:t>
      </w:r>
      <w:r w:rsidRPr="00E34E4D">
        <w:t xml:space="preserve">wide </w:t>
      </w:r>
      <w:r>
        <w:t xml:space="preserve">collective </w:t>
      </w:r>
      <w:r w:rsidRPr="00E34E4D">
        <w:t>host range including apple, stone fruit, berries, walnut</w:t>
      </w:r>
      <w:r>
        <w:t xml:space="preserve"> and</w:t>
      </w:r>
      <w:r w:rsidRPr="00E34E4D">
        <w:t xml:space="preserve"> oak</w:t>
      </w:r>
      <w:r>
        <w:t xml:space="preserve"> </w:t>
      </w:r>
      <w:r>
        <w:rPr>
          <w:noProof/>
        </w:rPr>
        <w:t>(Brunner 1993; Gilligan, Baixeras &amp; Brown 2018; University of California 2010)</w:t>
      </w:r>
      <w:r>
        <w:t>.</w:t>
      </w:r>
      <w:r w:rsidRPr="00E34E4D">
        <w:t xml:space="preserve"> </w:t>
      </w:r>
      <w:r>
        <w:t xml:space="preserve">All </w:t>
      </w:r>
      <w:r w:rsidRPr="0034644A">
        <w:t xml:space="preserve">6 leafroller species </w:t>
      </w:r>
      <w:r>
        <w:t>have been</w:t>
      </w:r>
      <w:r w:rsidRPr="0034644A">
        <w:t xml:space="preserve"> reported in </w:t>
      </w:r>
      <w:r>
        <w:t xml:space="preserve">association with </w:t>
      </w:r>
      <w:r w:rsidRPr="0034644A">
        <w:t>apples in the PNW-USA</w:t>
      </w:r>
      <w:r>
        <w:t xml:space="preserve"> </w:t>
      </w:r>
      <w:r>
        <w:rPr>
          <w:noProof/>
        </w:rPr>
        <w:t>(APHIS 2007; Brunner 1993; Coop, Knight &amp; Fisher 1989; LaGasa et al. 2003; Wiman &amp; Stoven 2022)</w:t>
      </w:r>
      <w:r>
        <w:t>.</w:t>
      </w:r>
      <w:r w:rsidRPr="0034644A">
        <w:t xml:space="preserve"> </w:t>
      </w:r>
    </w:p>
    <w:p w14:paraId="01072D2C" w14:textId="77777777" w:rsidR="003438A2" w:rsidRDefault="003438A2" w:rsidP="00C67856">
      <w:pPr>
        <w:rPr>
          <w:noProof/>
          <w:color w:val="000000" w:themeColor="text1"/>
        </w:rPr>
      </w:pPr>
      <w:r w:rsidRPr="0034644A">
        <w:t>Larvae of leafrollers generally feed on foliage, particularly tender new leaves</w:t>
      </w:r>
      <w:r>
        <w:t xml:space="preserve">. They </w:t>
      </w:r>
      <w:r w:rsidRPr="0034644A">
        <w:t xml:space="preserve">also roll and </w:t>
      </w:r>
      <w:r w:rsidRPr="00E34E4D">
        <w:t xml:space="preserve">tie leaves </w:t>
      </w:r>
      <w:r>
        <w:t xml:space="preserve">with silk threads </w:t>
      </w:r>
      <w:r w:rsidRPr="00E34E4D">
        <w:t>and then often feed and pupate within th</w:t>
      </w:r>
      <w:r>
        <w:t>is</w:t>
      </w:r>
      <w:r w:rsidRPr="00E34E4D">
        <w:t xml:space="preserve"> protect</w:t>
      </w:r>
      <w:r>
        <w:t xml:space="preserve">ed environment </w:t>
      </w:r>
      <w:r>
        <w:rPr>
          <w:noProof/>
        </w:rPr>
        <w:t>(University of California 2010; Wiman &amp; Stoven 2022)</w:t>
      </w:r>
      <w:r>
        <w:t>.</w:t>
      </w:r>
      <w:r w:rsidRPr="00E34E4D">
        <w:t xml:space="preserve"> Larvae also feed on young fruit, just after fruit </w:t>
      </w:r>
      <w:r>
        <w:t>formation</w:t>
      </w:r>
      <w:r w:rsidRPr="0034644A">
        <w:t>, causing drop of immature fruit</w:t>
      </w:r>
      <w:r>
        <w:t xml:space="preserve"> </w:t>
      </w:r>
      <w:r>
        <w:rPr>
          <w:noProof/>
        </w:rPr>
        <w:t xml:space="preserve">(University of California 2010). </w:t>
      </w:r>
      <w:r w:rsidRPr="00D52504">
        <w:rPr>
          <w:noProof/>
        </w:rPr>
        <w:t>Less severely damaged fruit may remain on</w:t>
      </w:r>
      <w:r w:rsidRPr="00D52504">
        <w:t xml:space="preserve"> the tree and continue to grow, while developing characteristically deep, bronze-coloured scars with roughened, netlike surfaces. The damaged fruit may also become deformed. Reports indicate that larvae do not bore into the fruit</w:t>
      </w:r>
      <w:r>
        <w:t xml:space="preserve"> </w:t>
      </w:r>
      <w:r>
        <w:rPr>
          <w:noProof/>
        </w:rPr>
        <w:t>(Brunner 1993; University of California 2010)</w:t>
      </w:r>
      <w:r>
        <w:t>.</w:t>
      </w:r>
      <w:r w:rsidRPr="00D52504">
        <w:t xml:space="preserve"> Larvae may also cause damage to fruit late in the season by attaching leaves to apple fruit or by feeding in sheltered sites created by closely clustered fruit</w:t>
      </w:r>
      <w:r>
        <w:t xml:space="preserve"> </w:t>
      </w:r>
      <w:r>
        <w:rPr>
          <w:noProof/>
        </w:rPr>
        <w:t>(Brunner 1993).</w:t>
      </w:r>
      <w:r>
        <w:t xml:space="preserve"> </w:t>
      </w:r>
    </w:p>
    <w:p w14:paraId="0B5C9FAB" w14:textId="77777777" w:rsidR="003438A2" w:rsidRDefault="003438A2" w:rsidP="00FF356F">
      <w:r w:rsidRPr="0034644A">
        <w:rPr>
          <w:lang w:eastAsia="en-AU"/>
        </w:rPr>
        <w:t xml:space="preserve">The leafroller species assessed here have </w:t>
      </w:r>
      <w:r>
        <w:rPr>
          <w:lang w:eastAsia="en-AU"/>
        </w:rPr>
        <w:t>four</w:t>
      </w:r>
      <w:r w:rsidRPr="0034644A">
        <w:rPr>
          <w:lang w:eastAsia="en-AU"/>
        </w:rPr>
        <w:t xml:space="preserve"> life stages: egg, larva, pupa and adult. Leafroller pests </w:t>
      </w:r>
      <w:r>
        <w:rPr>
          <w:lang w:eastAsia="en-AU"/>
        </w:rPr>
        <w:t xml:space="preserve">are </w:t>
      </w:r>
      <w:r w:rsidRPr="0034644A">
        <w:rPr>
          <w:lang w:eastAsia="en-AU"/>
        </w:rPr>
        <w:t>usually divide</w:t>
      </w:r>
      <w:r>
        <w:rPr>
          <w:lang w:eastAsia="en-AU"/>
        </w:rPr>
        <w:t>d</w:t>
      </w:r>
      <w:r w:rsidRPr="0034644A">
        <w:rPr>
          <w:lang w:eastAsia="en-AU"/>
        </w:rPr>
        <w:t xml:space="preserve"> into either </w:t>
      </w:r>
      <w:r>
        <w:rPr>
          <w:lang w:eastAsia="en-AU"/>
        </w:rPr>
        <w:t>‘</w:t>
      </w:r>
      <w:r w:rsidRPr="0034644A">
        <w:rPr>
          <w:lang w:eastAsia="en-AU"/>
        </w:rPr>
        <w:t>single generation</w:t>
      </w:r>
      <w:r>
        <w:rPr>
          <w:lang w:eastAsia="en-AU"/>
        </w:rPr>
        <w:t>’</w:t>
      </w:r>
      <w:r w:rsidRPr="0034644A">
        <w:rPr>
          <w:lang w:eastAsia="en-AU"/>
        </w:rPr>
        <w:t xml:space="preserve"> moths or </w:t>
      </w:r>
      <w:r>
        <w:rPr>
          <w:lang w:eastAsia="en-AU"/>
        </w:rPr>
        <w:t>‘two</w:t>
      </w:r>
      <w:r w:rsidRPr="0034644A">
        <w:rPr>
          <w:lang w:eastAsia="en-AU"/>
        </w:rPr>
        <w:t>-generation</w:t>
      </w:r>
      <w:r>
        <w:rPr>
          <w:lang w:eastAsia="en-AU"/>
        </w:rPr>
        <w:t>’</w:t>
      </w:r>
      <w:r w:rsidRPr="0034644A">
        <w:rPr>
          <w:lang w:eastAsia="en-AU"/>
        </w:rPr>
        <w:t xml:space="preserve"> moths. In this assessment, single generation leafroller moths </w:t>
      </w:r>
      <w:r>
        <w:rPr>
          <w:lang w:eastAsia="en-AU"/>
        </w:rPr>
        <w:t>are</w:t>
      </w:r>
      <w:r w:rsidRPr="0034644A">
        <w:rPr>
          <w:lang w:eastAsia="en-AU"/>
        </w:rPr>
        <w:t xml:space="preserve"> </w:t>
      </w:r>
      <w:r w:rsidRPr="00786C44">
        <w:rPr>
          <w:i/>
          <w:lang w:eastAsia="en-AU"/>
        </w:rPr>
        <w:t>Arc. argyrospila</w:t>
      </w:r>
      <w:r w:rsidRPr="00786C44">
        <w:rPr>
          <w:lang w:eastAsia="en-AU"/>
        </w:rPr>
        <w:t xml:space="preserve">, </w:t>
      </w:r>
      <w:r w:rsidRPr="00786C44">
        <w:rPr>
          <w:i/>
          <w:lang w:eastAsia="en-AU"/>
        </w:rPr>
        <w:t>Arc. rosana</w:t>
      </w:r>
      <w:r>
        <w:rPr>
          <w:lang w:eastAsia="en-AU"/>
        </w:rPr>
        <w:t xml:space="preserve"> and </w:t>
      </w:r>
      <w:r w:rsidRPr="0034644A">
        <w:rPr>
          <w:i/>
          <w:lang w:eastAsia="en-AU"/>
        </w:rPr>
        <w:t>A</w:t>
      </w:r>
      <w:r>
        <w:rPr>
          <w:i/>
          <w:lang w:eastAsia="en-AU"/>
        </w:rPr>
        <w:t>rc</w:t>
      </w:r>
      <w:r w:rsidRPr="0034644A">
        <w:rPr>
          <w:i/>
          <w:lang w:eastAsia="en-AU"/>
        </w:rPr>
        <w:t xml:space="preserve">. </w:t>
      </w:r>
      <w:r>
        <w:rPr>
          <w:i/>
          <w:lang w:eastAsia="en-AU"/>
        </w:rPr>
        <w:t>p</w:t>
      </w:r>
      <w:r w:rsidRPr="0034644A">
        <w:rPr>
          <w:i/>
          <w:lang w:eastAsia="en-AU"/>
        </w:rPr>
        <w:t>odana</w:t>
      </w:r>
      <w:r>
        <w:rPr>
          <w:i/>
          <w:lang w:eastAsia="en-AU"/>
        </w:rPr>
        <w:t xml:space="preserve"> </w:t>
      </w:r>
      <w:r>
        <w:rPr>
          <w:rFonts w:eastAsia="Times New Roman" w:cs="Calibri"/>
          <w:noProof/>
          <w:color w:val="000000"/>
          <w:lang w:eastAsia="en-AU"/>
        </w:rPr>
        <w:t>(Brunner 1993; Gilligan &amp; Epstein 2014a; Wiman &amp; Stoven 2022)</w:t>
      </w:r>
      <w:r w:rsidRPr="0034644A">
        <w:t xml:space="preserve">. </w:t>
      </w:r>
      <w:r w:rsidRPr="00E34E4D">
        <w:t>The</w:t>
      </w:r>
      <w:r w:rsidRPr="0034644A">
        <w:t xml:space="preserve"> single</w:t>
      </w:r>
      <w:r>
        <w:t xml:space="preserve"> </w:t>
      </w:r>
      <w:r w:rsidRPr="0034644A">
        <w:t xml:space="preserve">generation leafrollers overwinter as egg masses on twigs and branches of host plants. The overwintering eggs are laid in July and eggs hatch in </w:t>
      </w:r>
      <w:r>
        <w:t xml:space="preserve">the following </w:t>
      </w:r>
      <w:r w:rsidRPr="0034644A">
        <w:t xml:space="preserve">spring. The larvae feed for </w:t>
      </w:r>
      <w:r>
        <w:t>4</w:t>
      </w:r>
      <w:r w:rsidRPr="0034644A">
        <w:t xml:space="preserve"> to </w:t>
      </w:r>
      <w:r>
        <w:t>6</w:t>
      </w:r>
      <w:r w:rsidRPr="0034644A">
        <w:t xml:space="preserve"> weeks, then pupate and emerge as moths in early summer </w:t>
      </w:r>
      <w:r>
        <w:rPr>
          <w:noProof/>
        </w:rPr>
        <w:t>(Wiman &amp; Stoven 2022)</w:t>
      </w:r>
      <w:r w:rsidRPr="0034644A">
        <w:t>.</w:t>
      </w:r>
    </w:p>
    <w:p w14:paraId="7B661CD0" w14:textId="77777777" w:rsidR="003438A2" w:rsidRPr="0034644A" w:rsidRDefault="003438A2" w:rsidP="00DD3BF3">
      <w:r>
        <w:rPr>
          <w:lang w:eastAsia="en-AU"/>
        </w:rPr>
        <w:lastRenderedPageBreak/>
        <w:t>Two</w:t>
      </w:r>
      <w:r w:rsidRPr="0034644A">
        <w:rPr>
          <w:lang w:eastAsia="en-AU"/>
        </w:rPr>
        <w:t xml:space="preserve">-generation moths </w:t>
      </w:r>
      <w:r>
        <w:rPr>
          <w:lang w:eastAsia="en-AU"/>
        </w:rPr>
        <w:t>considered in this assessment are</w:t>
      </w:r>
      <w:r w:rsidRPr="0034644A">
        <w:rPr>
          <w:lang w:eastAsia="en-AU"/>
        </w:rPr>
        <w:t xml:space="preserve"> </w:t>
      </w:r>
      <w:r w:rsidRPr="0034644A">
        <w:rPr>
          <w:i/>
          <w:lang w:eastAsia="en-AU"/>
        </w:rPr>
        <w:t>Arg</w:t>
      </w:r>
      <w:r>
        <w:rPr>
          <w:i/>
          <w:lang w:eastAsia="en-AU"/>
        </w:rPr>
        <w:t>.</w:t>
      </w:r>
      <w:r w:rsidRPr="0034644A">
        <w:rPr>
          <w:i/>
          <w:lang w:eastAsia="en-AU"/>
        </w:rPr>
        <w:t xml:space="preserve"> franciscana</w:t>
      </w:r>
      <w:r w:rsidRPr="0034644A">
        <w:rPr>
          <w:lang w:eastAsia="en-AU"/>
        </w:rPr>
        <w:t xml:space="preserve">, </w:t>
      </w:r>
      <w:r w:rsidRPr="000136BE">
        <w:rPr>
          <w:i/>
          <w:lang w:eastAsia="en-AU"/>
        </w:rPr>
        <w:t>C. rosceana</w:t>
      </w:r>
      <w:r w:rsidRPr="000136BE">
        <w:rPr>
          <w:lang w:eastAsia="en-AU"/>
        </w:rPr>
        <w:t xml:space="preserve"> and </w:t>
      </w:r>
      <w:r w:rsidRPr="000136BE">
        <w:rPr>
          <w:i/>
          <w:lang w:eastAsia="en-AU"/>
        </w:rPr>
        <w:t xml:space="preserve">P. </w:t>
      </w:r>
      <w:r>
        <w:rPr>
          <w:i/>
          <w:lang w:eastAsia="en-AU"/>
        </w:rPr>
        <w:t>p</w:t>
      </w:r>
      <w:r w:rsidRPr="000136BE">
        <w:rPr>
          <w:i/>
          <w:lang w:eastAsia="en-AU"/>
        </w:rPr>
        <w:t>yrusana</w:t>
      </w:r>
      <w:r>
        <w:rPr>
          <w:i/>
          <w:lang w:eastAsia="en-AU"/>
        </w:rPr>
        <w:t xml:space="preserve"> </w:t>
      </w:r>
      <w:r>
        <w:rPr>
          <w:rFonts w:eastAsia="Times New Roman" w:cs="Calibri"/>
          <w:noProof/>
          <w:color w:val="000000"/>
          <w:lang w:eastAsia="en-AU"/>
        </w:rPr>
        <w:t>(Brunner 1993; Gilligan &amp; Epstein 2014a; Wiman &amp; Stoven 2022)</w:t>
      </w:r>
      <w:r w:rsidRPr="0034644A">
        <w:t xml:space="preserve">. </w:t>
      </w:r>
      <w:r>
        <w:t>S</w:t>
      </w:r>
      <w:r w:rsidRPr="0034644A">
        <w:t xml:space="preserve">ome of the </w:t>
      </w:r>
      <w:r>
        <w:t>two</w:t>
      </w:r>
      <w:r w:rsidRPr="0034644A">
        <w:t xml:space="preserve">-generation leafrollers may </w:t>
      </w:r>
      <w:r>
        <w:t xml:space="preserve">only complete one generation in cooler areas or </w:t>
      </w:r>
      <w:r w:rsidRPr="0034644A">
        <w:t xml:space="preserve">complete </w:t>
      </w:r>
      <w:r>
        <w:t>three or more</w:t>
      </w:r>
      <w:r w:rsidRPr="0034644A">
        <w:t xml:space="preserve"> generations in a year</w:t>
      </w:r>
      <w:r>
        <w:t xml:space="preserve"> in warmer areas</w:t>
      </w:r>
      <w:r w:rsidRPr="0034644A">
        <w:t xml:space="preserve">. Cooler conditions promote overlapping generations </w:t>
      </w:r>
      <w:r>
        <w:rPr>
          <w:noProof/>
        </w:rPr>
        <w:t>(Gilligan, Baixeras &amp; Brown 2018)</w:t>
      </w:r>
      <w:r w:rsidRPr="00E34E4D">
        <w:t xml:space="preserve">. </w:t>
      </w:r>
      <w:r w:rsidRPr="0034644A">
        <w:rPr>
          <w:lang w:eastAsia="en-AU"/>
        </w:rPr>
        <w:t xml:space="preserve">Two-generation leafrollers overwinter as second or third instar larvae within a silken case. </w:t>
      </w:r>
      <w:r>
        <w:rPr>
          <w:lang w:eastAsia="en-AU"/>
        </w:rPr>
        <w:t>L</w:t>
      </w:r>
      <w:r w:rsidRPr="0034644A">
        <w:rPr>
          <w:lang w:eastAsia="en-AU"/>
        </w:rPr>
        <w:t>arvae become active in spring as fruit buds open. By mid</w:t>
      </w:r>
      <w:r>
        <w:rPr>
          <w:lang w:eastAsia="en-AU"/>
        </w:rPr>
        <w:t>-</w:t>
      </w:r>
      <w:r w:rsidRPr="0034644A">
        <w:rPr>
          <w:lang w:eastAsia="en-AU"/>
        </w:rPr>
        <w:t xml:space="preserve"> to late May</w:t>
      </w:r>
      <w:r>
        <w:rPr>
          <w:lang w:eastAsia="en-AU"/>
        </w:rPr>
        <w:t>,</w:t>
      </w:r>
      <w:r w:rsidRPr="0034644A">
        <w:rPr>
          <w:lang w:eastAsia="en-AU"/>
        </w:rPr>
        <w:t xml:space="preserve"> larvae become fully grown</w:t>
      </w:r>
      <w:r>
        <w:rPr>
          <w:lang w:eastAsia="en-AU"/>
        </w:rPr>
        <w:t xml:space="preserve"> and pupate</w:t>
      </w:r>
      <w:r w:rsidRPr="0034644A">
        <w:rPr>
          <w:lang w:eastAsia="en-AU"/>
        </w:rPr>
        <w:t xml:space="preserve">. </w:t>
      </w:r>
      <w:r>
        <w:rPr>
          <w:lang w:eastAsia="en-AU"/>
        </w:rPr>
        <w:t>A</w:t>
      </w:r>
      <w:r w:rsidRPr="0034644A">
        <w:rPr>
          <w:lang w:eastAsia="en-AU"/>
        </w:rPr>
        <w:t xml:space="preserve">dults of the </w:t>
      </w:r>
      <w:r>
        <w:rPr>
          <w:lang w:eastAsia="en-AU"/>
        </w:rPr>
        <w:t>first</w:t>
      </w:r>
      <w:r w:rsidRPr="0034644A">
        <w:rPr>
          <w:lang w:eastAsia="en-AU"/>
        </w:rPr>
        <w:t xml:space="preserve"> generation appear from late May </w:t>
      </w:r>
      <w:r>
        <w:rPr>
          <w:lang w:eastAsia="en-AU"/>
        </w:rPr>
        <w:t>and o</w:t>
      </w:r>
      <w:r w:rsidRPr="0034644A">
        <w:rPr>
          <w:lang w:eastAsia="en-AU"/>
        </w:rPr>
        <w:t xml:space="preserve">viposit in </w:t>
      </w:r>
      <w:r>
        <w:rPr>
          <w:lang w:eastAsia="en-AU"/>
        </w:rPr>
        <w:t>June.</w:t>
      </w:r>
      <w:r w:rsidRPr="0034644A">
        <w:rPr>
          <w:lang w:eastAsia="en-AU"/>
        </w:rPr>
        <w:t xml:space="preserve"> </w:t>
      </w:r>
      <w:r>
        <w:rPr>
          <w:lang w:eastAsia="en-AU"/>
        </w:rPr>
        <w:t xml:space="preserve">Larvae of the second generation </w:t>
      </w:r>
      <w:r w:rsidRPr="0034644A">
        <w:rPr>
          <w:lang w:eastAsia="en-AU"/>
        </w:rPr>
        <w:t>begin</w:t>
      </w:r>
      <w:r>
        <w:rPr>
          <w:lang w:eastAsia="en-AU"/>
        </w:rPr>
        <w:t xml:space="preserve"> hatching</w:t>
      </w:r>
      <w:r w:rsidRPr="0034644A">
        <w:rPr>
          <w:lang w:eastAsia="en-AU"/>
        </w:rPr>
        <w:t xml:space="preserve"> in late </w:t>
      </w:r>
      <w:r>
        <w:rPr>
          <w:lang w:eastAsia="en-AU"/>
        </w:rPr>
        <w:t>June</w:t>
      </w:r>
      <w:r w:rsidRPr="0034644A">
        <w:rPr>
          <w:lang w:eastAsia="en-AU"/>
        </w:rPr>
        <w:t xml:space="preserve"> and </w:t>
      </w:r>
      <w:r>
        <w:rPr>
          <w:lang w:eastAsia="en-AU"/>
        </w:rPr>
        <w:t>commence pupation from late July. Adults of the second generation are most active during August when oviposition generally occurs. Second generation larvae hatch from September and</w:t>
      </w:r>
      <w:r w:rsidRPr="0034644A">
        <w:rPr>
          <w:lang w:eastAsia="en-AU"/>
        </w:rPr>
        <w:t xml:space="preserve"> feed on foliage and </w:t>
      </w:r>
      <w:r w:rsidRPr="00E34E4D">
        <w:rPr>
          <w:lang w:eastAsia="en-AU"/>
        </w:rPr>
        <w:t xml:space="preserve">fruit for a short while </w:t>
      </w:r>
      <w:r>
        <w:rPr>
          <w:lang w:eastAsia="en-AU"/>
        </w:rPr>
        <w:t>before</w:t>
      </w:r>
      <w:r w:rsidRPr="00E34E4D">
        <w:rPr>
          <w:lang w:eastAsia="en-AU"/>
        </w:rPr>
        <w:t xml:space="preserve"> mov</w:t>
      </w:r>
      <w:r>
        <w:rPr>
          <w:lang w:eastAsia="en-AU"/>
        </w:rPr>
        <w:t>ing</w:t>
      </w:r>
      <w:r w:rsidRPr="00E34E4D">
        <w:rPr>
          <w:lang w:eastAsia="en-AU"/>
        </w:rPr>
        <w:t xml:space="preserve"> </w:t>
      </w:r>
      <w:r>
        <w:rPr>
          <w:lang w:eastAsia="en-AU"/>
        </w:rPr>
        <w:t>to</w:t>
      </w:r>
      <w:r w:rsidRPr="00E34E4D">
        <w:rPr>
          <w:lang w:eastAsia="en-AU"/>
        </w:rPr>
        <w:t xml:space="preserve"> hibernacula in October</w:t>
      </w:r>
      <w:r>
        <w:rPr>
          <w:lang w:eastAsia="en-AU"/>
        </w:rPr>
        <w:t xml:space="preserve"> </w:t>
      </w:r>
      <w:r>
        <w:rPr>
          <w:noProof/>
        </w:rPr>
        <w:t>(Brunner 1993; Wiman &amp; Stoven 2022)</w:t>
      </w:r>
      <w:r w:rsidRPr="00E34E4D">
        <w:rPr>
          <w:lang w:eastAsia="en-AU"/>
        </w:rPr>
        <w:t>.</w:t>
      </w:r>
    </w:p>
    <w:p w14:paraId="176C5E06" w14:textId="77777777" w:rsidR="003438A2" w:rsidRDefault="003438A2" w:rsidP="00C67856">
      <w:r w:rsidRPr="00BB51A5">
        <w:t>The risk scenario of biosecurity concern is that</w:t>
      </w:r>
      <w:r>
        <w:t xml:space="preserve"> eggs, larvae and pupae of</w:t>
      </w:r>
      <w:r w:rsidRPr="00BB51A5">
        <w:t xml:space="preserve"> </w:t>
      </w:r>
      <w:r>
        <w:t>leafrollers</w:t>
      </w:r>
      <w:r w:rsidRPr="00BB51A5">
        <w:t xml:space="preserve"> may be imported on apple fruit from the PNW-USA</w:t>
      </w:r>
      <w:r>
        <w:t>.</w:t>
      </w:r>
    </w:p>
    <w:p w14:paraId="335FD131" w14:textId="77777777" w:rsidR="003438A2" w:rsidRDefault="003438A2" w:rsidP="00C67856">
      <w:r w:rsidRPr="00B666AA">
        <w:t>Leafrollers have been assessed previously in the existing polic</w:t>
      </w:r>
      <w:r>
        <w:t>y</w:t>
      </w:r>
      <w:r w:rsidRPr="00B666AA">
        <w:t xml:space="preserve"> for stone fruit from California, Idaho, Oregon and Washington </w:t>
      </w:r>
      <w:r>
        <w:rPr>
          <w:noProof/>
        </w:rPr>
        <w:t>(Biosecurity Australia 2010b)</w:t>
      </w:r>
      <w:r w:rsidRPr="00B666AA">
        <w:t>. In th</w:t>
      </w:r>
      <w:r>
        <w:t>at</w:t>
      </w:r>
      <w:r w:rsidRPr="00B666AA">
        <w:t xml:space="preserve"> policy, the unrestricted risk estimate for leafrollers was assessed as </w:t>
      </w:r>
      <w:r>
        <w:t>L</w:t>
      </w:r>
      <w:r w:rsidRPr="00B666AA">
        <w:t>ow</w:t>
      </w:r>
      <w:r>
        <w:t>,</w:t>
      </w:r>
      <w:r w:rsidRPr="00B666AA">
        <w:t xml:space="preserve"> which </w:t>
      </w:r>
      <w:r>
        <w:t>does not achieve</w:t>
      </w:r>
      <w:r w:rsidRPr="00B666AA">
        <w:t xml:space="preserve"> the ALOP for</w:t>
      </w:r>
      <w:r w:rsidRPr="0034644A">
        <w:t xml:space="preserve"> Australia. Therefore, specific risk management measures are required for leafrollers on the stone fruit from California, Idaho, Oregon and Washington pathway.</w:t>
      </w:r>
    </w:p>
    <w:p w14:paraId="7DE90370" w14:textId="77777777" w:rsidR="003438A2" w:rsidRDefault="003438A2" w:rsidP="00C67856">
      <w:r w:rsidRPr="0034644A">
        <w:t xml:space="preserve">The department assessed the likelihood of importation of leafrollers on the PNW-USA apple pathway as </w:t>
      </w:r>
      <w:r>
        <w:t xml:space="preserve">being </w:t>
      </w:r>
      <w:r w:rsidRPr="0034644A">
        <w:t>similar to the previous assessment of Moderate for stone fruit from California,</w:t>
      </w:r>
      <w:r>
        <w:t xml:space="preserve"> </w:t>
      </w:r>
      <w:r w:rsidRPr="0034644A">
        <w:t>Idaho, Oregon and Washington. Apple</w:t>
      </w:r>
      <w:r>
        <w:t>s</w:t>
      </w:r>
      <w:r w:rsidRPr="0034644A">
        <w:t xml:space="preserve"> and stone fruit are grown in similar regions in the PNW-USA</w:t>
      </w:r>
      <w:r>
        <w:t xml:space="preserve"> and</w:t>
      </w:r>
      <w:r w:rsidRPr="0034644A">
        <w:t xml:space="preserve"> </w:t>
      </w:r>
      <w:r>
        <w:t>b</w:t>
      </w:r>
      <w:r w:rsidRPr="0034644A">
        <w:t xml:space="preserve">oth are major hosts </w:t>
      </w:r>
      <w:r w:rsidRPr="00E34E4D">
        <w:t>of leafrollers</w:t>
      </w:r>
      <w:r>
        <w:t xml:space="preserve"> </w:t>
      </w:r>
      <w:r>
        <w:rPr>
          <w:rFonts w:eastAsia="Times New Roman" w:cs="Calibri"/>
          <w:noProof/>
          <w:color w:val="000000"/>
          <w:lang w:eastAsia="en-AU"/>
        </w:rPr>
        <w:t>(Brunner 1993; Gilligan &amp; Epstein 2014a; University of California 2010)</w:t>
      </w:r>
      <w:r>
        <w:rPr>
          <w:rFonts w:eastAsia="Times New Roman" w:cs="Calibri"/>
          <w:color w:val="000000"/>
          <w:lang w:eastAsia="en-AU"/>
        </w:rPr>
        <w:t xml:space="preserve">. </w:t>
      </w:r>
      <w:r w:rsidRPr="00E34E4D">
        <w:t xml:space="preserve">The in-field management </w:t>
      </w:r>
      <w:r>
        <w:t>practices</w:t>
      </w:r>
      <w:r w:rsidRPr="00E34E4D">
        <w:t xml:space="preserve"> </w:t>
      </w:r>
      <w:r>
        <w:t xml:space="preserve">in the PNW-USA </w:t>
      </w:r>
      <w:r w:rsidRPr="00E34E4D">
        <w:t xml:space="preserve">are </w:t>
      </w:r>
      <w:r>
        <w:t xml:space="preserve">also </w:t>
      </w:r>
      <w:r w:rsidRPr="00E34E4D">
        <w:t xml:space="preserve">similar for apples and stone fruit </w:t>
      </w:r>
      <w:r>
        <w:rPr>
          <w:noProof/>
          <w:lang w:eastAsia="en-AU"/>
        </w:rPr>
        <w:t>(Wiman &amp; Stoven 2022)</w:t>
      </w:r>
      <w:r>
        <w:t>.</w:t>
      </w:r>
      <w:r w:rsidRPr="00E34E4D">
        <w:t xml:space="preserve"> Harvest</w:t>
      </w:r>
      <w:r w:rsidRPr="0034644A">
        <w:t xml:space="preserve"> and post-harvest processes for stone fruit and apples are similar</w:t>
      </w:r>
      <w:r>
        <w:t>,</w:t>
      </w:r>
      <w:r w:rsidRPr="0034644A">
        <w:t xml:space="preserve"> and are expected to have a similar impact on association of leafrollers with packed commercially grown fruit. </w:t>
      </w:r>
      <w:r>
        <w:t>Leaf</w:t>
      </w:r>
      <w:r w:rsidRPr="0034644A">
        <w:t>rollers</w:t>
      </w:r>
      <w:r>
        <w:t xml:space="preserve"> can </w:t>
      </w:r>
      <w:r w:rsidRPr="0034644A">
        <w:t xml:space="preserve">complete </w:t>
      </w:r>
      <w:r>
        <w:t>their l</w:t>
      </w:r>
      <w:r w:rsidRPr="0034644A">
        <w:t>ife cycle in diverse temperat</w:t>
      </w:r>
      <w:r>
        <w:t>ure</w:t>
      </w:r>
      <w:r w:rsidRPr="0034644A">
        <w:t xml:space="preserve"> regimes</w:t>
      </w:r>
      <w:r>
        <w:t>, and it is</w:t>
      </w:r>
      <w:r w:rsidRPr="0034644A">
        <w:t xml:space="preserve"> therefore likely </w:t>
      </w:r>
      <w:r>
        <w:t>for</w:t>
      </w:r>
      <w:r w:rsidRPr="0034644A">
        <w:t xml:space="preserve"> eggs or juvenile stages of leafroller species </w:t>
      </w:r>
      <w:bookmarkStart w:id="264" w:name="_Hlk37335136"/>
      <w:r>
        <w:t>to</w:t>
      </w:r>
      <w:r w:rsidRPr="0034644A">
        <w:t xml:space="preserve"> survive cold </w:t>
      </w:r>
      <w:r>
        <w:t xml:space="preserve">temperatures </w:t>
      </w:r>
      <w:r w:rsidRPr="0034644A">
        <w:t xml:space="preserve">for extended periods </w:t>
      </w:r>
      <w:bookmarkStart w:id="265" w:name="_Hlk46092005"/>
      <w:bookmarkEnd w:id="264"/>
      <w:r>
        <w:t xml:space="preserve">during </w:t>
      </w:r>
      <w:r w:rsidRPr="0034644A">
        <w:t>storage</w:t>
      </w:r>
      <w:r>
        <w:t xml:space="preserve"> and </w:t>
      </w:r>
      <w:bookmarkStart w:id="266" w:name="_Hlk107913514"/>
      <w:r>
        <w:t xml:space="preserve">transport </w:t>
      </w:r>
      <w:r>
        <w:rPr>
          <w:noProof/>
        </w:rPr>
        <w:t>(Swain, Judd &amp; Cory 2017; Yokoyama &amp; Miller 2000)</w:t>
      </w:r>
      <w:r>
        <w:t>.</w:t>
      </w:r>
      <w:bookmarkEnd w:id="266"/>
      <w:r w:rsidRPr="0034644A">
        <w:t xml:space="preserve"> </w:t>
      </w:r>
      <w:bookmarkEnd w:id="265"/>
      <w:r>
        <w:t>It is noted, however, that leaf</w:t>
      </w:r>
      <w:r w:rsidRPr="0034644A">
        <w:t>rollers</w:t>
      </w:r>
      <w:r>
        <w:t xml:space="preserve"> are primarily foliage feeders </w:t>
      </w:r>
      <w:r>
        <w:rPr>
          <w:noProof/>
        </w:rPr>
        <w:t>(University of California 2010; Wiman &amp; Stoven 2022)</w:t>
      </w:r>
      <w:r>
        <w:t xml:space="preserve">. </w:t>
      </w:r>
      <w:r w:rsidRPr="0034644A">
        <w:t xml:space="preserve">For these reasons, the previous assessment of </w:t>
      </w:r>
      <w:r>
        <w:t xml:space="preserve">Moderate from </w:t>
      </w:r>
      <w:r w:rsidRPr="0034644A">
        <w:t xml:space="preserve">the </w:t>
      </w:r>
      <w:r>
        <w:t xml:space="preserve">existing policy for the </w:t>
      </w:r>
      <w:r w:rsidRPr="0034644A">
        <w:t>likelihood of importation of leafroller</w:t>
      </w:r>
      <w:r>
        <w:t>s</w:t>
      </w:r>
      <w:r w:rsidRPr="0034644A">
        <w:t xml:space="preserve"> is adopted for </w:t>
      </w:r>
      <w:r>
        <w:t>the</w:t>
      </w:r>
      <w:r w:rsidRPr="0034644A">
        <w:t xml:space="preserve"> PNW-USA apple pathway.</w:t>
      </w:r>
    </w:p>
    <w:p w14:paraId="6F35DA31" w14:textId="77777777" w:rsidR="003438A2" w:rsidRDefault="003438A2" w:rsidP="00C67856">
      <w:r w:rsidRPr="0034644A">
        <w:t xml:space="preserve">Previous assessment of leafrollers on </w:t>
      </w:r>
      <w:r>
        <w:t xml:space="preserve">the </w:t>
      </w:r>
      <w:r w:rsidRPr="0034644A">
        <w:t>stone fruit from California, Idaho, Oregon and Washington pathway rated the likelihood of distribution as Moderate. Apples from the PNW-USA are expected to be distributed in Australia</w:t>
      </w:r>
      <w:r>
        <w:t xml:space="preserve">, </w:t>
      </w:r>
      <w:r w:rsidRPr="00945121">
        <w:rPr>
          <w:color w:val="000000" w:themeColor="text1"/>
        </w:rPr>
        <w:t>as a result of processing, sale or disposal</w:t>
      </w:r>
      <w:r>
        <w:rPr>
          <w:color w:val="000000" w:themeColor="text1"/>
        </w:rPr>
        <w:t>,</w:t>
      </w:r>
      <w:r w:rsidRPr="0034644A">
        <w:t xml:space="preserve"> in a similar way to stone fruit from California, Idaho, Oregon and Washington. Leafrollers have a wide host range, and host material is likely to be </w:t>
      </w:r>
      <w:r>
        <w:t>continuously available</w:t>
      </w:r>
      <w:r w:rsidRPr="0034644A">
        <w:t xml:space="preserve"> in Australia. </w:t>
      </w:r>
      <w:r>
        <w:t xml:space="preserve">Also, apples can be exported all year round. Therefore, any differences in time of import between the two import pathways are unlikely to </w:t>
      </w:r>
      <w:r w:rsidRPr="00B81F41">
        <w:t>contribute to variation in the risk rating for likelihood of distribution</w:t>
      </w:r>
      <w:r>
        <w:t xml:space="preserve">. </w:t>
      </w:r>
      <w:r w:rsidRPr="0034644A">
        <w:t>The life stage</w:t>
      </w:r>
      <w:r>
        <w:t>s</w:t>
      </w:r>
      <w:r w:rsidRPr="0034644A">
        <w:t xml:space="preserve"> </w:t>
      </w:r>
      <w:r>
        <w:t xml:space="preserve">that may be </w:t>
      </w:r>
      <w:r w:rsidRPr="0034644A">
        <w:t>present on the pathway are eggs</w:t>
      </w:r>
      <w:r>
        <w:t xml:space="preserve">, </w:t>
      </w:r>
      <w:r w:rsidRPr="0034644A">
        <w:t>larvae</w:t>
      </w:r>
      <w:r>
        <w:t xml:space="preserve"> and pupae</w:t>
      </w:r>
      <w:r w:rsidRPr="0034644A">
        <w:t>.</w:t>
      </w:r>
      <w:r w:rsidRPr="001C260F">
        <w:rPr>
          <w:color w:val="00B050"/>
        </w:rPr>
        <w:t xml:space="preserve"> </w:t>
      </w:r>
      <w:r w:rsidRPr="0034644A">
        <w:t xml:space="preserve">There are climatic conditions suitable for the development of leafrollers in some parts of Australia. </w:t>
      </w:r>
      <w:r>
        <w:t>For these reasons</w:t>
      </w:r>
      <w:r w:rsidRPr="0034644A">
        <w:t xml:space="preserve">, the same rating of Moderate for the likelihood of distribution for </w:t>
      </w:r>
      <w:r w:rsidRPr="0034644A">
        <w:lastRenderedPageBreak/>
        <w:t xml:space="preserve">leafrollers on the stone fruit </w:t>
      </w:r>
      <w:r>
        <w:t xml:space="preserve">from </w:t>
      </w:r>
      <w:r w:rsidRPr="0034644A">
        <w:t>California, Idaho, Oregon and Washington pathway is adopted for the PNW-USA apple pathway.</w:t>
      </w:r>
    </w:p>
    <w:p w14:paraId="00008968" w14:textId="77777777" w:rsidR="003438A2" w:rsidDel="00D67383" w:rsidRDefault="003438A2" w:rsidP="00C67856">
      <w:r w:rsidRPr="0034644A" w:rsidDel="00D67383">
        <w:t>The likelihoods of establishment and spread of leafrollers in Australia f</w:t>
      </w:r>
      <w:r w:rsidDel="00D67383">
        <w:t>or</w:t>
      </w:r>
      <w:r w:rsidRPr="0034644A" w:rsidDel="00D67383">
        <w:t xml:space="preserve"> the PNW-USA apple pathway </w:t>
      </w:r>
      <w:r w:rsidDel="00D67383">
        <w:t>have been</w:t>
      </w:r>
      <w:r w:rsidRPr="0034644A" w:rsidDel="00D67383">
        <w:t xml:space="preserve"> assessed as </w:t>
      </w:r>
      <w:r w:rsidDel="00D67383">
        <w:t xml:space="preserve">being </w:t>
      </w:r>
      <w:r w:rsidRPr="0034644A" w:rsidDel="00D67383">
        <w:t xml:space="preserve">similar to those </w:t>
      </w:r>
      <w:r w:rsidDel="00D67383">
        <w:t>of the</w:t>
      </w:r>
      <w:r w:rsidRPr="0034644A" w:rsidDel="00D67383">
        <w:t xml:space="preserve"> previous assessment</w:t>
      </w:r>
      <w:r w:rsidDel="00D67383">
        <w:t>s</w:t>
      </w:r>
      <w:r w:rsidRPr="0034644A" w:rsidDel="00D67383">
        <w:t xml:space="preserve"> for </w:t>
      </w:r>
      <w:r w:rsidDel="00D67383">
        <w:t xml:space="preserve">the </w:t>
      </w:r>
      <w:r w:rsidRPr="0034644A" w:rsidDel="00D67383">
        <w:t>stone fruit from California, Idaho, Oregon and Washington pathway</w:t>
      </w:r>
      <w:r>
        <w:t xml:space="preserve"> of High and High, respectively</w:t>
      </w:r>
      <w:r w:rsidRPr="0034644A" w:rsidDel="00D67383">
        <w:t xml:space="preserve">. These likelihoods relate specifically to events that occur in Australia and are principally independent of the import pathway. The consequences of entry, establishment and spread of leafrollers are also independent of the importation pathway and </w:t>
      </w:r>
      <w:r w:rsidDel="00D67383">
        <w:t>have been</w:t>
      </w:r>
      <w:r w:rsidRPr="0034644A" w:rsidDel="00D67383">
        <w:t xml:space="preserve"> </w:t>
      </w:r>
      <w:r w:rsidDel="00D67383">
        <w:t>assessed as</w:t>
      </w:r>
      <w:r w:rsidRPr="00550575" w:rsidDel="00D67383">
        <w:t xml:space="preserve"> </w:t>
      </w:r>
      <w:r w:rsidRPr="00FC574B" w:rsidDel="00D67383">
        <w:t>similar</w:t>
      </w:r>
      <w:r w:rsidDel="00D67383">
        <w:t xml:space="preserve"> between pest risk assessments and rated as Moderate. </w:t>
      </w:r>
      <w:r w:rsidRPr="00550575" w:rsidDel="00D67383">
        <w:t xml:space="preserve">Therefore, the ratings for the likelihoods of entry, establishment and spread, and the rating for the overall </w:t>
      </w:r>
      <w:r w:rsidRPr="0034644A" w:rsidDel="00D67383">
        <w:t xml:space="preserve">consequences of leafrollers </w:t>
      </w:r>
      <w:r>
        <w:t xml:space="preserve">previously assessed for </w:t>
      </w:r>
      <w:r w:rsidDel="00D67383">
        <w:t xml:space="preserve">the </w:t>
      </w:r>
      <w:r w:rsidRPr="0034644A" w:rsidDel="00D67383">
        <w:t>stone fruit from California, Idaho, Oregon and Washington pathway</w:t>
      </w:r>
      <w:r>
        <w:t xml:space="preserve"> </w:t>
      </w:r>
      <w:r w:rsidRPr="0034644A" w:rsidDel="00D67383">
        <w:t>have been adopted for the PNW-USA apple pathway.</w:t>
      </w:r>
    </w:p>
    <w:p w14:paraId="2FA41B25" w14:textId="77777777" w:rsidR="003438A2" w:rsidRDefault="003438A2" w:rsidP="00C67856">
      <w:r w:rsidRPr="0034644A" w:rsidDel="00D67383">
        <w:t>In addition, the department has reviewed the latest literature—for example</w:t>
      </w:r>
      <w:r>
        <w:t xml:space="preserve">, </w:t>
      </w:r>
      <w:r>
        <w:rPr>
          <w:noProof/>
        </w:rPr>
        <w:t>Gilligan, Baixeras and Brown (2018); Hollingsworth (2019); Sial, Brunner and Garczynski (2011); Suckling and El-Sayed (2017) and Swain, Judd and Cory (2017)</w:t>
      </w:r>
      <w:r w:rsidRPr="00E71D3D">
        <w:t>.</w:t>
      </w:r>
      <w:bookmarkStart w:id="267" w:name="_Hlk107913570"/>
      <w:r>
        <w:t xml:space="preserve"> </w:t>
      </w:r>
      <w:bookmarkEnd w:id="267"/>
      <w:r>
        <w:t>N</w:t>
      </w:r>
      <w:r w:rsidDel="00D67383">
        <w:t>o</w:t>
      </w:r>
      <w:r w:rsidRPr="0034644A" w:rsidDel="00D67383">
        <w:t xml:space="preserve"> new information has been identified that would significantly change the risk ratings for importation, distribution, establishment, spread </w:t>
      </w:r>
      <w:r w:rsidDel="00D67383">
        <w:t>and</w:t>
      </w:r>
      <w:r w:rsidRPr="0034644A" w:rsidDel="00D67383">
        <w:t xml:space="preserve"> consequences as set out </w:t>
      </w:r>
      <w:r w:rsidDel="00D67383">
        <w:t xml:space="preserve">for leafrollers </w:t>
      </w:r>
      <w:r w:rsidRPr="0034644A" w:rsidDel="00D67383">
        <w:t>in the existing policy</w:t>
      </w:r>
      <w:r w:rsidDel="00D67383">
        <w:t xml:space="preserve"> for stone fruit from </w:t>
      </w:r>
      <w:r w:rsidRPr="0034644A" w:rsidDel="00D67383">
        <w:t>California, Idaho, Oregon and Washington.</w:t>
      </w:r>
    </w:p>
    <w:p w14:paraId="45B23568" w14:textId="77777777" w:rsidR="003438A2" w:rsidRPr="005F6521" w:rsidRDefault="003438A2" w:rsidP="00F843A1">
      <w:pPr>
        <w:pStyle w:val="Heading4"/>
        <w:numPr>
          <w:ilvl w:val="2"/>
          <w:numId w:val="25"/>
        </w:numPr>
        <w:tabs>
          <w:tab w:val="clear" w:pos="794"/>
          <w:tab w:val="num" w:pos="1929"/>
        </w:tabs>
        <w:ind w:left="1929"/>
      </w:pPr>
      <w:r w:rsidRPr="005F6521">
        <w:t>Likelihood of entry</w:t>
      </w:r>
    </w:p>
    <w:p w14:paraId="60B7ABAC" w14:textId="77777777" w:rsidR="003438A2" w:rsidRPr="004A2E85" w:rsidRDefault="003438A2" w:rsidP="00C67856">
      <w:r w:rsidRPr="004A2E85">
        <w:t xml:space="preserve">The likelihood of entry is considered in </w:t>
      </w:r>
      <w:r>
        <w:t>2</w:t>
      </w:r>
      <w:r w:rsidRPr="004A2E85">
        <w:t xml:space="preserve"> parts, the likelihood of importation and the likelihood of distribution, which consider pre-border and post-border issues, respectively.</w:t>
      </w:r>
    </w:p>
    <w:p w14:paraId="0141DDF9" w14:textId="77777777" w:rsidR="003438A2" w:rsidRDefault="003438A2" w:rsidP="00C67856">
      <w:pPr>
        <w:pStyle w:val="Heading5"/>
      </w:pPr>
      <w:r w:rsidRPr="00BE7866">
        <w:t xml:space="preserve">Likelihood of importation </w:t>
      </w:r>
    </w:p>
    <w:p w14:paraId="56ED4FEE" w14:textId="77777777" w:rsidR="003438A2" w:rsidRPr="003C49FF" w:rsidRDefault="003438A2" w:rsidP="00C67856">
      <w:pPr>
        <w:rPr>
          <w:rFonts w:asciiTheme="majorHAnsi" w:hAnsiTheme="majorHAnsi"/>
          <w:b/>
          <w:bCs/>
        </w:rPr>
      </w:pPr>
      <w:r w:rsidRPr="00A3009B">
        <w:t xml:space="preserve">The likelihood that </w:t>
      </w:r>
      <w:r>
        <w:t xml:space="preserve">leafrollers </w:t>
      </w:r>
      <w:r w:rsidRPr="00A3009B">
        <w:t xml:space="preserve">will be </w:t>
      </w:r>
      <w:r>
        <w:t>imported into</w:t>
      </w:r>
      <w:r w:rsidRPr="00A3009B">
        <w:t xml:space="preserve"> Australia in a viable state </w:t>
      </w:r>
      <w:r>
        <w:t xml:space="preserve">on </w:t>
      </w:r>
      <w:r w:rsidRPr="00A3009B">
        <w:t xml:space="preserve">apples from the PNW-USA is considered to be similar to </w:t>
      </w:r>
      <w:r>
        <w:t xml:space="preserve">leafrollers </w:t>
      </w:r>
      <w:r w:rsidRPr="00A3009B">
        <w:rPr>
          <w:iCs/>
        </w:rPr>
        <w:t xml:space="preserve">on </w:t>
      </w:r>
      <w:r w:rsidRPr="00AA0BFC">
        <w:t>fresh stone fruit from California, Idaho, Oregon and Washington</w:t>
      </w:r>
      <w:r w:rsidRPr="00A3009B">
        <w:t xml:space="preserve">. Therefore, the same rating of </w:t>
      </w:r>
      <w:r>
        <w:t>Moderate</w:t>
      </w:r>
      <w:r w:rsidRPr="00A3009B">
        <w:t xml:space="preserve"> for the likelihood of </w:t>
      </w:r>
      <w:r>
        <w:t>importation</w:t>
      </w:r>
      <w:r w:rsidRPr="00A3009B">
        <w:t xml:space="preserve"> previously assessed for </w:t>
      </w:r>
      <w:r>
        <w:t xml:space="preserve">leafrollers </w:t>
      </w:r>
      <w:r w:rsidRPr="00A3009B">
        <w:rPr>
          <w:iCs/>
        </w:rPr>
        <w:t>on</w:t>
      </w:r>
      <w:r>
        <w:rPr>
          <w:iCs/>
        </w:rPr>
        <w:t xml:space="preserve"> the</w:t>
      </w:r>
      <w:r w:rsidRPr="00A3009B">
        <w:rPr>
          <w:iCs/>
        </w:rPr>
        <w:t xml:space="preserve"> </w:t>
      </w:r>
      <w:r w:rsidRPr="00AA0BFC">
        <w:t>fresh stone fruit from California, Idaho, Oregon and Washington</w:t>
      </w:r>
      <w:r w:rsidRPr="00A3009B">
        <w:rPr>
          <w:iCs/>
        </w:rPr>
        <w:t xml:space="preserve"> pathway is adopted for </w:t>
      </w:r>
      <w:r>
        <w:rPr>
          <w:iCs/>
        </w:rPr>
        <w:t xml:space="preserve">leafrollers </w:t>
      </w:r>
      <w:r w:rsidRPr="00A3009B">
        <w:rPr>
          <w:iCs/>
        </w:rPr>
        <w:t xml:space="preserve">on </w:t>
      </w:r>
      <w:r>
        <w:rPr>
          <w:iCs/>
        </w:rPr>
        <w:t xml:space="preserve">the </w:t>
      </w:r>
      <w:r w:rsidRPr="00A3009B">
        <w:rPr>
          <w:iCs/>
        </w:rPr>
        <w:t xml:space="preserve">apples from PNW-USA pathway. </w:t>
      </w:r>
    </w:p>
    <w:p w14:paraId="69203952" w14:textId="77777777" w:rsidR="003438A2" w:rsidRDefault="003438A2" w:rsidP="00C67856">
      <w:pPr>
        <w:pStyle w:val="Heading5"/>
      </w:pPr>
      <w:r w:rsidRPr="00A3009B">
        <w:t>Likelihood of distribution</w:t>
      </w:r>
    </w:p>
    <w:p w14:paraId="1443FE9F" w14:textId="77777777" w:rsidR="003438A2" w:rsidRPr="00175958" w:rsidRDefault="003438A2" w:rsidP="00C67856">
      <w:r w:rsidRPr="00A3009B">
        <w:t xml:space="preserve">The likelihood that </w:t>
      </w:r>
      <w:r>
        <w:t xml:space="preserve">leafrollers </w:t>
      </w:r>
      <w:r w:rsidRPr="00A3009B">
        <w:t xml:space="preserve">will be distributed within Australia in a viable state as a result of the processing, sale or disposal of apples from the PNW-USA, and subsequently transfer to a susceptible part of a host is considered to be similar to </w:t>
      </w:r>
      <w:r>
        <w:t xml:space="preserve">leafrollers </w:t>
      </w:r>
      <w:r w:rsidRPr="00A3009B">
        <w:rPr>
          <w:iCs/>
        </w:rPr>
        <w:t xml:space="preserve">on </w:t>
      </w:r>
      <w:r w:rsidRPr="00AA0BFC">
        <w:t>fresh stone fruit from California, Idaho, Oregon and Washington</w:t>
      </w:r>
      <w:r w:rsidRPr="00A3009B">
        <w:t xml:space="preserve">. Therefore, the same rating of </w:t>
      </w:r>
      <w:r>
        <w:t>Moderate</w:t>
      </w:r>
      <w:r w:rsidRPr="00A3009B">
        <w:t xml:space="preserve"> for the likelihood of distribution previously assessed for </w:t>
      </w:r>
      <w:r>
        <w:t xml:space="preserve">leafrollers </w:t>
      </w:r>
      <w:r w:rsidRPr="00A3009B">
        <w:rPr>
          <w:iCs/>
        </w:rPr>
        <w:t>on</w:t>
      </w:r>
      <w:r>
        <w:rPr>
          <w:iCs/>
        </w:rPr>
        <w:t xml:space="preserve"> the</w:t>
      </w:r>
      <w:r w:rsidRPr="00A3009B">
        <w:rPr>
          <w:iCs/>
        </w:rPr>
        <w:t xml:space="preserve"> </w:t>
      </w:r>
      <w:r w:rsidRPr="00AA0BFC">
        <w:t>fresh stone fruit from California, Idaho, Oregon and Washington</w:t>
      </w:r>
      <w:r w:rsidRPr="00A3009B">
        <w:rPr>
          <w:iCs/>
        </w:rPr>
        <w:t xml:space="preserve"> pathway is adopted for </w:t>
      </w:r>
      <w:r>
        <w:rPr>
          <w:iCs/>
        </w:rPr>
        <w:t xml:space="preserve">leafrollers </w:t>
      </w:r>
      <w:r w:rsidRPr="00A3009B">
        <w:rPr>
          <w:iCs/>
        </w:rPr>
        <w:t>on</w:t>
      </w:r>
      <w:r>
        <w:rPr>
          <w:iCs/>
        </w:rPr>
        <w:t xml:space="preserve"> the</w:t>
      </w:r>
      <w:r w:rsidRPr="00A3009B">
        <w:rPr>
          <w:iCs/>
        </w:rPr>
        <w:t xml:space="preserve"> apples from PNW-USA pathway. </w:t>
      </w:r>
    </w:p>
    <w:p w14:paraId="0F8BC898" w14:textId="77777777" w:rsidR="003438A2" w:rsidRDefault="003438A2" w:rsidP="00C67856">
      <w:pPr>
        <w:pStyle w:val="Heading5"/>
      </w:pPr>
      <w:r>
        <w:t>Overall likelihood of entry</w:t>
      </w:r>
    </w:p>
    <w:p w14:paraId="009B36DB" w14:textId="77777777" w:rsidR="003438A2" w:rsidRDefault="003438A2" w:rsidP="00C67856">
      <w:r>
        <w:t xml:space="preserve">The overall likelihood of entry is determined as Low by combining the adopted likelihood of importation of Moderate with the adopted likelihood of distribution of Moderate, </w:t>
      </w:r>
      <w:r w:rsidRPr="00945121">
        <w:rPr>
          <w:rFonts w:cstheme="minorHAnsi"/>
        </w:rPr>
        <w:t xml:space="preserve">using the matrix of rules in </w:t>
      </w:r>
      <w:r>
        <w:rPr>
          <w:rFonts w:cstheme="minorHAnsi"/>
        </w:rPr>
        <w:fldChar w:fldCharType="begin" w:fldLock="1"/>
      </w:r>
      <w:r>
        <w:rPr>
          <w:rFonts w:cstheme="minorHAnsi"/>
        </w:rPr>
        <w:instrText xml:space="preserve"> REF _Ref457826328 \h </w:instrText>
      </w:r>
      <w:r>
        <w:rPr>
          <w:rFonts w:cstheme="minorHAnsi"/>
        </w:rPr>
      </w:r>
      <w:r>
        <w:rPr>
          <w:rFonts w:cstheme="minorHAnsi"/>
        </w:rPr>
        <w:fldChar w:fldCharType="separate"/>
      </w:r>
      <w:r w:rsidRPr="00DB5F8D">
        <w:t xml:space="preserve">Table </w:t>
      </w:r>
      <w:r>
        <w:rPr>
          <w:noProof/>
        </w:rPr>
        <w:t>2</w:t>
      </w:r>
      <w:r>
        <w:t>.</w:t>
      </w:r>
      <w:r>
        <w:rPr>
          <w:noProof/>
        </w:rPr>
        <w:t>2</w:t>
      </w:r>
      <w:r>
        <w:rPr>
          <w:rFonts w:cstheme="minorHAnsi"/>
        </w:rPr>
        <w:fldChar w:fldCharType="end"/>
      </w:r>
      <w:r>
        <w:t>.</w:t>
      </w:r>
    </w:p>
    <w:p w14:paraId="5D94158C" w14:textId="77777777" w:rsidR="003438A2" w:rsidRPr="00826514" w:rsidRDefault="003438A2" w:rsidP="00F843A1">
      <w:pPr>
        <w:pStyle w:val="Heading4"/>
        <w:numPr>
          <w:ilvl w:val="2"/>
          <w:numId w:val="25"/>
        </w:numPr>
        <w:tabs>
          <w:tab w:val="clear" w:pos="794"/>
          <w:tab w:val="num" w:pos="993"/>
        </w:tabs>
        <w:ind w:firstLine="199"/>
      </w:pPr>
      <w:r w:rsidRPr="00826514">
        <w:lastRenderedPageBreak/>
        <w:t>Likelihood</w:t>
      </w:r>
      <w:r>
        <w:t>s</w:t>
      </w:r>
      <w:r w:rsidRPr="00826514">
        <w:t xml:space="preserve"> of establishment and spread</w:t>
      </w:r>
    </w:p>
    <w:p w14:paraId="150B7939" w14:textId="77777777" w:rsidR="003438A2" w:rsidRDefault="003438A2" w:rsidP="00C67856">
      <w:r>
        <w:t xml:space="preserve">The likelihoods of establishment and spread of leafrollers in Australia from the PNW-USA apple pathway have been assessed as similar to those for the </w:t>
      </w:r>
      <w:r>
        <w:rPr>
          <w:rFonts w:cs="Arial"/>
        </w:rPr>
        <w:t xml:space="preserve">stone fruit from </w:t>
      </w:r>
      <w:r>
        <w:rPr>
          <w:rFonts w:eastAsia="Times New Roman" w:cs="Times New Roman"/>
          <w:color w:val="000000"/>
        </w:rPr>
        <w:t xml:space="preserve">California, </w:t>
      </w:r>
      <w:r w:rsidRPr="0068550A">
        <w:rPr>
          <w:rFonts w:eastAsia="Times New Roman" w:cs="Times New Roman"/>
          <w:color w:val="000000"/>
        </w:rPr>
        <w:t>Idaho, Oregon and Washington</w:t>
      </w:r>
      <w:r>
        <w:rPr>
          <w:rFonts w:eastAsia="Times New Roman" w:cs="Times New Roman"/>
          <w:color w:val="000000"/>
        </w:rPr>
        <w:t xml:space="preserve"> pathway </w:t>
      </w:r>
      <w:r>
        <w:rPr>
          <w:rFonts w:cs="Arial"/>
          <w:noProof/>
        </w:rPr>
        <w:t>(Biosecurity Australia 2010b)</w:t>
      </w:r>
      <w:r>
        <w:t>, which were rated as High and High respectively. These likelihoods relate specifically to events that occur in Australia and are principally independent of the import pathway.</w:t>
      </w:r>
    </w:p>
    <w:p w14:paraId="74364B15" w14:textId="77777777" w:rsidR="003438A2" w:rsidRPr="002306B4" w:rsidRDefault="003438A2" w:rsidP="00F843A1">
      <w:pPr>
        <w:pStyle w:val="Heading4"/>
        <w:numPr>
          <w:ilvl w:val="2"/>
          <w:numId w:val="25"/>
        </w:numPr>
        <w:tabs>
          <w:tab w:val="clear" w:pos="794"/>
          <w:tab w:val="num" w:pos="1929"/>
        </w:tabs>
        <w:ind w:left="1929"/>
      </w:pPr>
      <w:r w:rsidRPr="002306B4">
        <w:t>Overall likelihood of entry, establishment and spread</w:t>
      </w:r>
    </w:p>
    <w:p w14:paraId="61EB5A7D" w14:textId="77777777" w:rsidR="003438A2" w:rsidRPr="002306B4" w:rsidRDefault="003438A2" w:rsidP="00C67856">
      <w:pPr>
        <w:autoSpaceDE w:val="0"/>
        <w:autoSpaceDN w:val="0"/>
        <w:adjustRightInd w:val="0"/>
      </w:pPr>
      <w:r w:rsidRPr="002306B4">
        <w:t xml:space="preserve">The overall likelihood of entry, establishment and spread is determined by combining the likelihoods of entry, of establishment and of spread using the matrix of rules shown in </w:t>
      </w:r>
      <w:r>
        <w:fldChar w:fldCharType="begin" w:fldLock="1"/>
      </w:r>
      <w:r>
        <w:instrText xml:space="preserve"> REF _Ref457826328 \h </w:instrText>
      </w:r>
      <w:r>
        <w:fldChar w:fldCharType="separate"/>
      </w:r>
      <w:r w:rsidRPr="00DB5F8D">
        <w:t xml:space="preserve">Table </w:t>
      </w:r>
      <w:r>
        <w:rPr>
          <w:noProof/>
        </w:rPr>
        <w:t>2</w:t>
      </w:r>
      <w:r>
        <w:t>.</w:t>
      </w:r>
      <w:r>
        <w:rPr>
          <w:noProof/>
        </w:rPr>
        <w:t>2</w:t>
      </w:r>
      <w:r>
        <w:fldChar w:fldCharType="end"/>
      </w:r>
      <w:r w:rsidRPr="002306B4">
        <w:t>.</w:t>
      </w:r>
    </w:p>
    <w:p w14:paraId="1CFB62FA" w14:textId="77777777" w:rsidR="003438A2" w:rsidRPr="002306B4" w:rsidRDefault="003438A2" w:rsidP="00C67856">
      <w:pPr>
        <w:autoSpaceDE w:val="0"/>
        <w:autoSpaceDN w:val="0"/>
        <w:adjustRightInd w:val="0"/>
        <w:rPr>
          <w:rFonts w:cstheme="minorHAnsi"/>
        </w:rPr>
      </w:pPr>
      <w:r w:rsidRPr="002306B4">
        <w:t xml:space="preserve">The overall likelihood that </w:t>
      </w:r>
      <w:r>
        <w:t xml:space="preserve">leafrollers </w:t>
      </w:r>
      <w:r w:rsidRPr="002306B4">
        <w:t xml:space="preserve">will enter Australia as a result of trade in apples from the PNW-USA, be distributed in a viable state to a susceptible part of a host, establish in Australia and subsequently spread within Australia is assessed as </w:t>
      </w:r>
      <w:r>
        <w:t>Low</w:t>
      </w:r>
      <w:r w:rsidRPr="002306B4">
        <w:rPr>
          <w:rFonts w:cstheme="minorHAnsi"/>
        </w:rPr>
        <w:t>.</w:t>
      </w:r>
    </w:p>
    <w:p w14:paraId="7310C412" w14:textId="77777777" w:rsidR="003438A2" w:rsidRPr="00A3009B" w:rsidRDefault="003438A2" w:rsidP="00F843A1">
      <w:pPr>
        <w:pStyle w:val="Heading4"/>
        <w:numPr>
          <w:ilvl w:val="2"/>
          <w:numId w:val="25"/>
        </w:numPr>
        <w:tabs>
          <w:tab w:val="clear" w:pos="794"/>
          <w:tab w:val="num" w:pos="1929"/>
        </w:tabs>
        <w:ind w:left="1929"/>
      </w:pPr>
      <w:r w:rsidRPr="00A3009B">
        <w:t>Consequences</w:t>
      </w:r>
    </w:p>
    <w:p w14:paraId="653EC9AB" w14:textId="77777777" w:rsidR="003438A2" w:rsidRPr="00A3009B" w:rsidRDefault="003438A2" w:rsidP="00727D2C">
      <w:pPr>
        <w:rPr>
          <w:rFonts w:cstheme="minorHAnsi"/>
        </w:rPr>
      </w:pPr>
      <w:r w:rsidRPr="00A3009B">
        <w:t xml:space="preserve">The potential consequences of the entry, establishment and spread of </w:t>
      </w:r>
      <w:r>
        <w:t xml:space="preserve">leafrollers </w:t>
      </w:r>
      <w:r w:rsidRPr="00A3009B">
        <w:t xml:space="preserve">in Australia are similar to those in the previous assessment for </w:t>
      </w:r>
      <w:r>
        <w:t>leafrollers</w:t>
      </w:r>
      <w:r w:rsidRPr="00A3009B">
        <w:t xml:space="preserve"> on </w:t>
      </w:r>
      <w:r>
        <w:t xml:space="preserve">the </w:t>
      </w:r>
      <w:r w:rsidRPr="00AA0BFC">
        <w:t>stone fruit from California, Idaho, Oregon and Washington</w:t>
      </w:r>
      <w:r w:rsidRPr="00A3009B">
        <w:t xml:space="preserve"> pathway, which were assessed as </w:t>
      </w:r>
      <w:r>
        <w:t xml:space="preserve">Moderate </w:t>
      </w:r>
      <w:bookmarkStart w:id="268" w:name="_Hlk108943150"/>
      <w:r w:rsidDel="00E07E28">
        <w:rPr>
          <w:rFonts w:cs="Arial"/>
          <w:noProof/>
        </w:rPr>
        <w:t>(Biosecurity Australia 2010b)</w:t>
      </w:r>
      <w:bookmarkEnd w:id="268"/>
      <w:r>
        <w:rPr>
          <w:rFonts w:cs="Arial"/>
        </w:rPr>
        <w:t>.</w:t>
      </w:r>
      <w:r w:rsidRPr="00A3009B">
        <w:t xml:space="preserve"> The overall consequences for </w:t>
      </w:r>
      <w:r>
        <w:t xml:space="preserve">leafrollers </w:t>
      </w:r>
      <w:r w:rsidRPr="00A3009B">
        <w:t>on</w:t>
      </w:r>
      <w:r>
        <w:t xml:space="preserve"> the</w:t>
      </w:r>
      <w:r w:rsidRPr="00A3009B">
        <w:t xml:space="preserve"> apples from PNW-USA pathway are also assessed as </w:t>
      </w:r>
      <w:r>
        <w:t>Moderate</w:t>
      </w:r>
      <w:r w:rsidRPr="00A3009B">
        <w:t>.</w:t>
      </w:r>
    </w:p>
    <w:p w14:paraId="34CB8AF3" w14:textId="77777777" w:rsidR="003438A2" w:rsidRPr="00C35FD7" w:rsidRDefault="003438A2" w:rsidP="00F843A1">
      <w:pPr>
        <w:pStyle w:val="Heading4"/>
        <w:numPr>
          <w:ilvl w:val="2"/>
          <w:numId w:val="25"/>
        </w:numPr>
        <w:tabs>
          <w:tab w:val="clear" w:pos="794"/>
          <w:tab w:val="num" w:pos="1929"/>
        </w:tabs>
        <w:ind w:left="1929"/>
      </w:pPr>
      <w:r w:rsidRPr="00C35FD7">
        <w:t>Unrestricted risk estimate</w:t>
      </w:r>
    </w:p>
    <w:p w14:paraId="7F9E6058" w14:textId="77777777" w:rsidR="003438A2" w:rsidRPr="00945121" w:rsidRDefault="003438A2" w:rsidP="00C67856">
      <w:r w:rsidRPr="00945121">
        <w:t xml:space="preserve">Unrestricted risk is the result of combining the </w:t>
      </w:r>
      <w:r>
        <w:t xml:space="preserve">overall </w:t>
      </w:r>
      <w:r w:rsidRPr="00945121">
        <w:t xml:space="preserve">likelihood of entry, establishment and spread with the outcome of overall consequences. </w:t>
      </w:r>
      <w:r>
        <w:t>The overall l</w:t>
      </w:r>
      <w:r w:rsidRPr="00945121">
        <w:t xml:space="preserve">ikelihood and consequences are combined using the risk estimation matrix shown in </w:t>
      </w:r>
      <w:r>
        <w:fldChar w:fldCharType="begin" w:fldLock="1"/>
      </w:r>
      <w:r>
        <w:instrText xml:space="preserve"> REF _Ref457826369 \h </w:instrText>
      </w:r>
      <w:r>
        <w:fldChar w:fldCharType="separate"/>
      </w:r>
      <w:r>
        <w:t xml:space="preserve">Table </w:t>
      </w:r>
      <w:r>
        <w:rPr>
          <w:noProof/>
        </w:rPr>
        <w:t>2</w:t>
      </w:r>
      <w:r>
        <w:t>.</w:t>
      </w:r>
      <w:r>
        <w:rPr>
          <w:noProof/>
        </w:rPr>
        <w:t>5</w:t>
      </w:r>
      <w:r>
        <w:fldChar w:fldCharType="end"/>
      </w:r>
      <w:r w:rsidRPr="00945121">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3438A2" w:rsidRPr="00A3009B" w14:paraId="15CB06ED" w14:textId="77777777" w:rsidTr="00EF0A05">
        <w:trPr>
          <w:trHeight w:val="423"/>
        </w:trPr>
        <w:tc>
          <w:tcPr>
            <w:tcW w:w="5000" w:type="pct"/>
            <w:gridSpan w:val="2"/>
            <w:tcBorders>
              <w:top w:val="single" w:sz="4" w:space="0" w:color="auto"/>
              <w:bottom w:val="single" w:sz="4" w:space="0" w:color="auto"/>
            </w:tcBorders>
            <w:shd w:val="clear" w:color="auto" w:fill="auto"/>
          </w:tcPr>
          <w:p w14:paraId="79E30886" w14:textId="77777777" w:rsidR="003438A2" w:rsidRPr="00A3009B" w:rsidRDefault="003438A2" w:rsidP="00EF0A05">
            <w:pPr>
              <w:pStyle w:val="TableHeading"/>
            </w:pPr>
            <w:r w:rsidRPr="00A3009B">
              <w:t xml:space="preserve">Unrestricted risk estimate for </w:t>
            </w:r>
            <w:r>
              <w:t>leafrollers</w:t>
            </w:r>
          </w:p>
        </w:tc>
      </w:tr>
      <w:tr w:rsidR="003438A2" w:rsidRPr="00A3009B" w14:paraId="07332114" w14:textId="77777777" w:rsidTr="00EF0A05">
        <w:trPr>
          <w:trHeight w:val="273"/>
        </w:trPr>
        <w:tc>
          <w:tcPr>
            <w:tcW w:w="3417" w:type="pct"/>
            <w:tcBorders>
              <w:top w:val="single" w:sz="4" w:space="0" w:color="auto"/>
              <w:bottom w:val="nil"/>
            </w:tcBorders>
            <w:shd w:val="clear" w:color="auto" w:fill="auto"/>
          </w:tcPr>
          <w:p w14:paraId="28D56A85" w14:textId="77777777" w:rsidR="003438A2" w:rsidRPr="00A3009B" w:rsidRDefault="003438A2" w:rsidP="00EF0A05">
            <w:pPr>
              <w:pStyle w:val="TableText"/>
            </w:pPr>
            <w:r w:rsidRPr="00A3009B">
              <w:t>Overall likelihood of entry, establishment and spread</w:t>
            </w:r>
          </w:p>
        </w:tc>
        <w:tc>
          <w:tcPr>
            <w:tcW w:w="1583" w:type="pct"/>
            <w:tcBorders>
              <w:top w:val="single" w:sz="4" w:space="0" w:color="auto"/>
              <w:bottom w:val="nil"/>
            </w:tcBorders>
            <w:shd w:val="clear" w:color="auto" w:fill="auto"/>
          </w:tcPr>
          <w:p w14:paraId="1E64418B" w14:textId="77777777" w:rsidR="003438A2" w:rsidRPr="00A3009B" w:rsidRDefault="003438A2" w:rsidP="00EF0A05">
            <w:pPr>
              <w:pStyle w:val="TableText"/>
            </w:pPr>
            <w:r>
              <w:t>Low</w:t>
            </w:r>
          </w:p>
        </w:tc>
      </w:tr>
      <w:tr w:rsidR="003438A2" w:rsidRPr="00A3009B" w14:paraId="68CA31EB" w14:textId="77777777" w:rsidTr="00EF0A05">
        <w:trPr>
          <w:trHeight w:val="284"/>
        </w:trPr>
        <w:tc>
          <w:tcPr>
            <w:tcW w:w="3417" w:type="pct"/>
            <w:tcBorders>
              <w:top w:val="nil"/>
              <w:bottom w:val="nil"/>
            </w:tcBorders>
            <w:shd w:val="clear" w:color="auto" w:fill="auto"/>
          </w:tcPr>
          <w:p w14:paraId="4F88BCDA" w14:textId="77777777" w:rsidR="003438A2" w:rsidRPr="00A3009B" w:rsidRDefault="003438A2" w:rsidP="00EF0A05">
            <w:pPr>
              <w:pStyle w:val="TableText"/>
            </w:pPr>
            <w:r w:rsidRPr="00A3009B">
              <w:t>Consequences</w:t>
            </w:r>
          </w:p>
        </w:tc>
        <w:tc>
          <w:tcPr>
            <w:tcW w:w="1583" w:type="pct"/>
            <w:tcBorders>
              <w:top w:val="nil"/>
              <w:bottom w:val="nil"/>
            </w:tcBorders>
            <w:shd w:val="clear" w:color="auto" w:fill="auto"/>
          </w:tcPr>
          <w:p w14:paraId="4BC1E710" w14:textId="77777777" w:rsidR="003438A2" w:rsidRPr="00A3009B" w:rsidRDefault="003438A2" w:rsidP="00EF0A05">
            <w:pPr>
              <w:pStyle w:val="TableText"/>
            </w:pPr>
            <w:r>
              <w:t>Moderate</w:t>
            </w:r>
          </w:p>
        </w:tc>
      </w:tr>
      <w:tr w:rsidR="003438A2" w:rsidRPr="00A3009B" w14:paraId="0F01EC89" w14:textId="77777777" w:rsidTr="00EF0A05">
        <w:trPr>
          <w:trHeight w:val="284"/>
        </w:trPr>
        <w:tc>
          <w:tcPr>
            <w:tcW w:w="3417" w:type="pct"/>
            <w:tcBorders>
              <w:top w:val="nil"/>
              <w:bottom w:val="single" w:sz="4" w:space="0" w:color="auto"/>
            </w:tcBorders>
            <w:shd w:val="clear" w:color="auto" w:fill="auto"/>
          </w:tcPr>
          <w:p w14:paraId="2FE9EDCC" w14:textId="77777777" w:rsidR="003438A2" w:rsidRPr="00A3009B" w:rsidRDefault="003438A2" w:rsidP="00EF0A05">
            <w:pPr>
              <w:pStyle w:val="TableText"/>
            </w:pPr>
            <w:r w:rsidRPr="00A3009B">
              <w:t>Unrestricted risk</w:t>
            </w:r>
          </w:p>
        </w:tc>
        <w:tc>
          <w:tcPr>
            <w:tcW w:w="1583" w:type="pct"/>
            <w:tcBorders>
              <w:top w:val="nil"/>
              <w:bottom w:val="single" w:sz="4" w:space="0" w:color="auto"/>
            </w:tcBorders>
            <w:shd w:val="clear" w:color="auto" w:fill="auto"/>
          </w:tcPr>
          <w:p w14:paraId="3C547464" w14:textId="77777777" w:rsidR="003438A2" w:rsidRPr="00A3009B" w:rsidRDefault="003438A2" w:rsidP="00EF0A05">
            <w:pPr>
              <w:pStyle w:val="TableText"/>
            </w:pPr>
            <w:r>
              <w:t>Low</w:t>
            </w:r>
          </w:p>
        </w:tc>
      </w:tr>
    </w:tbl>
    <w:p w14:paraId="57DBECD4" w14:textId="77777777" w:rsidR="003438A2" w:rsidRDefault="003438A2" w:rsidP="00C67856">
      <w:r w:rsidRPr="00F87E08">
        <w:t xml:space="preserve">The unrestricted risk estimate for </w:t>
      </w:r>
      <w:r w:rsidRPr="0034644A">
        <w:rPr>
          <w:i/>
          <w:iCs/>
        </w:rPr>
        <w:t>Arc</w:t>
      </w:r>
      <w:r>
        <w:rPr>
          <w:i/>
          <w:iCs/>
        </w:rPr>
        <w:t>.</w:t>
      </w:r>
      <w:r w:rsidRPr="0034644A">
        <w:rPr>
          <w:i/>
          <w:iCs/>
        </w:rPr>
        <w:t xml:space="preserve"> argyrospila, Arc</w:t>
      </w:r>
      <w:r>
        <w:rPr>
          <w:i/>
          <w:iCs/>
        </w:rPr>
        <w:t>.</w:t>
      </w:r>
      <w:r w:rsidRPr="0034644A">
        <w:rPr>
          <w:i/>
          <w:iCs/>
        </w:rPr>
        <w:t xml:space="preserve"> podan</w:t>
      </w:r>
      <w:r w:rsidRPr="00A57531">
        <w:rPr>
          <w:bCs/>
          <w:i/>
          <w:iCs/>
        </w:rPr>
        <w:t>a</w:t>
      </w:r>
      <w:r w:rsidRPr="0034644A">
        <w:rPr>
          <w:i/>
          <w:iCs/>
        </w:rPr>
        <w:t>, Arc</w:t>
      </w:r>
      <w:r>
        <w:rPr>
          <w:i/>
          <w:iCs/>
        </w:rPr>
        <w:t>.</w:t>
      </w:r>
      <w:r w:rsidRPr="0034644A">
        <w:rPr>
          <w:i/>
          <w:iCs/>
        </w:rPr>
        <w:t xml:space="preserve"> rosana, Arg</w:t>
      </w:r>
      <w:r>
        <w:rPr>
          <w:i/>
          <w:iCs/>
        </w:rPr>
        <w:t>.</w:t>
      </w:r>
      <w:r w:rsidRPr="0034644A">
        <w:rPr>
          <w:i/>
          <w:iCs/>
        </w:rPr>
        <w:t xml:space="preserve"> franciscana, </w:t>
      </w:r>
      <w:r>
        <w:rPr>
          <w:i/>
          <w:iCs/>
        </w:rPr>
        <w:t>C. </w:t>
      </w:r>
      <w:r w:rsidRPr="0034644A">
        <w:rPr>
          <w:i/>
          <w:iCs/>
        </w:rPr>
        <w:t>rosaceana</w:t>
      </w:r>
      <w:r w:rsidRPr="00F87E08">
        <w:t xml:space="preserve"> and </w:t>
      </w:r>
      <w:r w:rsidRPr="0034644A">
        <w:rPr>
          <w:i/>
          <w:iCs/>
        </w:rPr>
        <w:t>P</w:t>
      </w:r>
      <w:r>
        <w:rPr>
          <w:i/>
          <w:iCs/>
        </w:rPr>
        <w:t>.</w:t>
      </w:r>
      <w:r w:rsidRPr="0034644A">
        <w:rPr>
          <w:i/>
          <w:iCs/>
        </w:rPr>
        <w:t xml:space="preserve"> pyrusana</w:t>
      </w:r>
      <w:r>
        <w:rPr>
          <w:i/>
          <w:iCs/>
        </w:rPr>
        <w:t xml:space="preserve"> </w:t>
      </w:r>
      <w:r w:rsidRPr="00831946">
        <w:t xml:space="preserve">on </w:t>
      </w:r>
      <w:r>
        <w:t xml:space="preserve">the </w:t>
      </w:r>
      <w:r w:rsidRPr="00712FDA">
        <w:t xml:space="preserve">PNW-USA </w:t>
      </w:r>
      <w:r>
        <w:t xml:space="preserve">apple </w:t>
      </w:r>
      <w:r w:rsidRPr="00831946">
        <w:t>pathway is assessed</w:t>
      </w:r>
      <w:r>
        <w:t xml:space="preserve"> as Low, </w:t>
      </w:r>
      <w:r w:rsidRPr="00C36D8D">
        <w:t xml:space="preserve">which </w:t>
      </w:r>
      <w:r>
        <w:t xml:space="preserve">does not achieve </w:t>
      </w:r>
      <w:r w:rsidRPr="00C36D8D">
        <w:t>the ALOP for Australia. Therefore, specific risk management measures are required for the</w:t>
      </w:r>
      <w:r>
        <w:t xml:space="preserve"> leafrollers on the PNW-USA apple pathway</w:t>
      </w:r>
      <w:r w:rsidRPr="00C36D8D">
        <w:t>.</w:t>
      </w:r>
    </w:p>
    <w:p w14:paraId="2B196F89" w14:textId="77777777" w:rsidR="003438A2" w:rsidRDefault="003438A2" w:rsidP="00C67856">
      <w:pPr>
        <w:spacing w:after="0" w:line="240" w:lineRule="auto"/>
        <w:rPr>
          <w:rFonts w:ascii="Calibri" w:hAnsi="Calibri"/>
          <w:b/>
          <w:bCs/>
          <w:color w:val="773141"/>
          <w:sz w:val="28"/>
        </w:rPr>
      </w:pPr>
      <w:r>
        <w:br w:type="page"/>
      </w:r>
    </w:p>
    <w:p w14:paraId="09D8B18A" w14:textId="77777777" w:rsidR="003438A2" w:rsidRPr="00155A85" w:rsidRDefault="003438A2" w:rsidP="00F843A1">
      <w:pPr>
        <w:pStyle w:val="Heading3"/>
        <w:numPr>
          <w:ilvl w:val="1"/>
          <w:numId w:val="25"/>
        </w:numPr>
      </w:pPr>
      <w:bookmarkStart w:id="269" w:name="_Toc112769011"/>
      <w:bookmarkStart w:id="270" w:name="_Ref15902644"/>
      <w:r w:rsidRPr="00155A85">
        <w:lastRenderedPageBreak/>
        <w:t>Codling moth</w:t>
      </w:r>
      <w:bookmarkEnd w:id="269"/>
    </w:p>
    <w:p w14:paraId="591FBBA5" w14:textId="77777777" w:rsidR="003438A2" w:rsidRPr="00EE4C10" w:rsidRDefault="003438A2" w:rsidP="00C67856">
      <w:pPr>
        <w:pStyle w:val="Heading4"/>
        <w:numPr>
          <w:ilvl w:val="0"/>
          <w:numId w:val="0"/>
        </w:numPr>
        <w:rPr>
          <w:b w:val="0"/>
          <w:color w:val="000000"/>
        </w:rPr>
      </w:pPr>
      <w:r w:rsidRPr="00442891">
        <w:rPr>
          <w:i/>
        </w:rPr>
        <w:t>Cydia pomonella</w:t>
      </w:r>
      <w:r>
        <w:t xml:space="preserve"> (EP, WA)</w:t>
      </w:r>
    </w:p>
    <w:p w14:paraId="316E91D8" w14:textId="77777777" w:rsidR="003438A2" w:rsidRDefault="003438A2" w:rsidP="00C67856">
      <w:pPr>
        <w:rPr>
          <w:color w:val="000000" w:themeColor="text1"/>
        </w:rPr>
      </w:pPr>
      <w:r w:rsidRPr="009B52CB">
        <w:rPr>
          <w:i/>
          <w:color w:val="000000" w:themeColor="text1"/>
        </w:rPr>
        <w:t>Cydia</w:t>
      </w:r>
      <w:r w:rsidRPr="009B52CB">
        <w:rPr>
          <w:color w:val="000000" w:themeColor="text1"/>
        </w:rPr>
        <w:t xml:space="preserve"> </w:t>
      </w:r>
      <w:r w:rsidRPr="009B52CB">
        <w:rPr>
          <w:i/>
          <w:color w:val="000000" w:themeColor="text1"/>
        </w:rPr>
        <w:t>pomonella</w:t>
      </w:r>
      <w:r w:rsidRPr="009B52CB">
        <w:rPr>
          <w:color w:val="000000" w:themeColor="text1"/>
        </w:rPr>
        <w:t xml:space="preserve"> (codling moth) belongs to the family Tortricidae, an economically important group, </w:t>
      </w:r>
      <w:r>
        <w:rPr>
          <w:color w:val="000000" w:themeColor="text1"/>
        </w:rPr>
        <w:t>containing</w:t>
      </w:r>
      <w:r w:rsidRPr="009B52CB">
        <w:rPr>
          <w:color w:val="000000" w:themeColor="text1"/>
        </w:rPr>
        <w:t xml:space="preserve"> many </w:t>
      </w:r>
      <w:r>
        <w:rPr>
          <w:color w:val="000000" w:themeColor="text1"/>
        </w:rPr>
        <w:t>species</w:t>
      </w:r>
      <w:r w:rsidRPr="009B52CB">
        <w:rPr>
          <w:color w:val="000000" w:themeColor="text1"/>
        </w:rPr>
        <w:t xml:space="preserve"> </w:t>
      </w:r>
      <w:r>
        <w:rPr>
          <w:color w:val="000000" w:themeColor="text1"/>
        </w:rPr>
        <w:t xml:space="preserve">that </w:t>
      </w:r>
      <w:r w:rsidRPr="009B52CB">
        <w:rPr>
          <w:color w:val="000000" w:themeColor="text1"/>
        </w:rPr>
        <w:t>caus</w:t>
      </w:r>
      <w:r>
        <w:rPr>
          <w:color w:val="000000" w:themeColor="text1"/>
        </w:rPr>
        <w:t>e</w:t>
      </w:r>
      <w:r w:rsidRPr="009B52CB">
        <w:rPr>
          <w:color w:val="000000" w:themeColor="text1"/>
        </w:rPr>
        <w:t xml:space="preserve"> economic damage to agricultural, horticultural and forestry industries </w:t>
      </w:r>
      <w:bookmarkStart w:id="271" w:name="_Hlk46092090"/>
      <w:r>
        <w:rPr>
          <w:noProof/>
        </w:rPr>
        <w:t>(Meijerman &amp; Ulenberg 2000)</w:t>
      </w:r>
      <w:r w:rsidRPr="009B52CB">
        <w:rPr>
          <w:color w:val="000000" w:themeColor="text1"/>
        </w:rPr>
        <w:t>.</w:t>
      </w:r>
    </w:p>
    <w:bookmarkEnd w:id="271"/>
    <w:p w14:paraId="79DDCA55" w14:textId="77777777" w:rsidR="003438A2" w:rsidRDefault="003438A2" w:rsidP="00C67856">
      <w:pPr>
        <w:rPr>
          <w:noProof/>
        </w:rPr>
      </w:pPr>
      <w:r w:rsidRPr="00AF4C10">
        <w:rPr>
          <w:i/>
          <w:color w:val="000000" w:themeColor="text1"/>
        </w:rPr>
        <w:t>Cydia pomonella</w:t>
      </w:r>
      <w:r w:rsidRPr="00AF4C10">
        <w:rPr>
          <w:color w:val="000000" w:themeColor="text1"/>
        </w:rPr>
        <w:t xml:space="preserve"> is present in nearly all temperate pome fruit-growing regions of the world</w:t>
      </w:r>
      <w:r>
        <w:rPr>
          <w:color w:val="000000" w:themeColor="text1"/>
        </w:rPr>
        <w:t>,</w:t>
      </w:r>
      <w:r w:rsidRPr="00AF4C10">
        <w:rPr>
          <w:color w:val="000000" w:themeColor="text1"/>
        </w:rPr>
        <w:t xml:space="preserve"> </w:t>
      </w:r>
      <w:r>
        <w:rPr>
          <w:color w:val="000000" w:themeColor="text1"/>
        </w:rPr>
        <w:t>except for</w:t>
      </w:r>
      <w:r w:rsidRPr="00AF4C10">
        <w:rPr>
          <w:color w:val="000000" w:themeColor="text1"/>
        </w:rPr>
        <w:t xml:space="preserve"> Japan and Korea</w:t>
      </w:r>
      <w:r>
        <w:rPr>
          <w:color w:val="000000" w:themeColor="text1"/>
        </w:rPr>
        <w:t xml:space="preserve"> </w:t>
      </w:r>
      <w:r>
        <w:rPr>
          <w:noProof/>
        </w:rPr>
        <w:t>(Gilligan &amp; Epstein 2014a)</w:t>
      </w:r>
      <w:r>
        <w:t>.</w:t>
      </w:r>
      <w:r w:rsidRPr="00F176B2">
        <w:t xml:space="preserve"> </w:t>
      </w:r>
      <w:r w:rsidRPr="00F176B2">
        <w:rPr>
          <w:rFonts w:cs="Arial"/>
          <w:i/>
          <w:lang w:val="en"/>
        </w:rPr>
        <w:t>Cydia pomonella</w:t>
      </w:r>
      <w:r w:rsidRPr="00F176B2">
        <w:rPr>
          <w:rFonts w:cs="Arial"/>
          <w:lang w:val="en"/>
        </w:rPr>
        <w:t xml:space="preserve"> is considered a serious pest of apples </w:t>
      </w:r>
      <w:r>
        <w:rPr>
          <w:rFonts w:cs="Arial"/>
          <w:lang w:val="en"/>
        </w:rPr>
        <w:t xml:space="preserve">and pears </w:t>
      </w:r>
      <w:r w:rsidRPr="00F176B2">
        <w:rPr>
          <w:rFonts w:cs="Arial"/>
          <w:lang w:val="en"/>
        </w:rPr>
        <w:t>in the PNW-USA</w:t>
      </w:r>
      <w:r>
        <w:rPr>
          <w:rFonts w:cs="Arial"/>
          <w:lang w:val="en"/>
        </w:rPr>
        <w:t xml:space="preserve"> </w:t>
      </w:r>
      <w:r>
        <w:rPr>
          <w:noProof/>
        </w:rPr>
        <w:t>(Wiman &amp; Stoven 2022)</w:t>
      </w:r>
      <w:r>
        <w:t>.</w:t>
      </w:r>
      <w:r w:rsidRPr="00AF4C10">
        <w:t xml:space="preserve"> </w:t>
      </w:r>
      <w:r w:rsidRPr="00AF4C10">
        <w:rPr>
          <w:i/>
          <w:color w:val="000000" w:themeColor="text1"/>
        </w:rPr>
        <w:t>Cydia pomonella</w:t>
      </w:r>
      <w:r w:rsidRPr="00AF4C10">
        <w:rPr>
          <w:color w:val="000000" w:themeColor="text1"/>
        </w:rPr>
        <w:t xml:space="preserve"> </w:t>
      </w:r>
      <w:r>
        <w:rPr>
          <w:color w:val="000000" w:themeColor="text1"/>
        </w:rPr>
        <w:t>can also affect a wide range of other hosts in the plant families, Rosaceae (</w:t>
      </w:r>
      <w:r w:rsidRPr="00CD4E68">
        <w:rPr>
          <w:i/>
          <w:iCs/>
          <w:color w:val="000000" w:themeColor="text1"/>
        </w:rPr>
        <w:t xml:space="preserve">Prunus </w:t>
      </w:r>
      <w:r>
        <w:rPr>
          <w:color w:val="000000" w:themeColor="text1"/>
        </w:rPr>
        <w:t xml:space="preserve">spp., </w:t>
      </w:r>
      <w:r w:rsidRPr="00047E47">
        <w:rPr>
          <w:i/>
          <w:iCs/>
          <w:color w:val="000000" w:themeColor="text1"/>
        </w:rPr>
        <w:t>Cydonia</w:t>
      </w:r>
      <w:r>
        <w:rPr>
          <w:color w:val="000000" w:themeColor="text1"/>
        </w:rPr>
        <w:t xml:space="preserve"> sp. and </w:t>
      </w:r>
      <w:r w:rsidRPr="00CD4E68">
        <w:rPr>
          <w:i/>
          <w:iCs/>
          <w:color w:val="000000" w:themeColor="text1"/>
        </w:rPr>
        <w:t>Crataegus</w:t>
      </w:r>
      <w:r>
        <w:rPr>
          <w:color w:val="000000" w:themeColor="text1"/>
        </w:rPr>
        <w:t xml:space="preserve"> sp.), Ebenaceae (</w:t>
      </w:r>
      <w:r w:rsidRPr="00CD4E68">
        <w:rPr>
          <w:i/>
          <w:iCs/>
          <w:color w:val="000000" w:themeColor="text1"/>
        </w:rPr>
        <w:t xml:space="preserve">Diospyros </w:t>
      </w:r>
      <w:r>
        <w:rPr>
          <w:color w:val="000000" w:themeColor="text1"/>
        </w:rPr>
        <w:t>sp.), Sapindaceae (</w:t>
      </w:r>
      <w:r w:rsidRPr="00047E47">
        <w:rPr>
          <w:i/>
          <w:iCs/>
          <w:color w:val="000000" w:themeColor="text1"/>
        </w:rPr>
        <w:t>Litchi</w:t>
      </w:r>
      <w:r>
        <w:rPr>
          <w:color w:val="000000" w:themeColor="text1"/>
        </w:rPr>
        <w:t xml:space="preserve"> sp.) and Myrtaceae (</w:t>
      </w:r>
      <w:r w:rsidRPr="00047E47">
        <w:rPr>
          <w:i/>
          <w:iCs/>
          <w:color w:val="000000" w:themeColor="text1"/>
        </w:rPr>
        <w:t>Psidium</w:t>
      </w:r>
      <w:r>
        <w:rPr>
          <w:color w:val="000000" w:themeColor="text1"/>
        </w:rPr>
        <w:t xml:space="preserve"> sp.) </w:t>
      </w:r>
      <w:r>
        <w:rPr>
          <w:noProof/>
        </w:rPr>
        <w:t>(Gilligan, Baixeras &amp; Brown 2018)</w:t>
      </w:r>
      <w:r w:rsidRPr="00F176B2">
        <w:t xml:space="preserve">. </w:t>
      </w:r>
      <w:r w:rsidRPr="00AF4C10">
        <w:t>Depending</w:t>
      </w:r>
      <w:r w:rsidRPr="00F957E5">
        <w:t xml:space="preserve"> on</w:t>
      </w:r>
      <w:r w:rsidRPr="00950B94">
        <w:t xml:space="preserve"> </w:t>
      </w:r>
      <w:r>
        <w:t xml:space="preserve">the apple </w:t>
      </w:r>
      <w:r w:rsidRPr="00950B94">
        <w:t>variety and location</w:t>
      </w:r>
      <w:r>
        <w:t>,</w:t>
      </w:r>
      <w:r w:rsidRPr="00950B94">
        <w:t xml:space="preserve"> </w:t>
      </w:r>
      <w:r w:rsidRPr="00950B94">
        <w:rPr>
          <w:i/>
        </w:rPr>
        <w:t xml:space="preserve">C. pomonella </w:t>
      </w:r>
      <w:r w:rsidRPr="00950B94">
        <w:t>can cause</w:t>
      </w:r>
      <w:r>
        <w:t xml:space="preserve"> damage to</w:t>
      </w:r>
      <w:r w:rsidRPr="00950B94">
        <w:t xml:space="preserve"> </w:t>
      </w:r>
      <w:r>
        <w:t xml:space="preserve">most of the crop if not managed </w:t>
      </w:r>
      <w:r>
        <w:rPr>
          <w:noProof/>
        </w:rPr>
        <w:t xml:space="preserve">(Brunner 2018; Caprile &amp; Vossen 2005). </w:t>
      </w:r>
    </w:p>
    <w:p w14:paraId="4CA807EE" w14:textId="77777777" w:rsidR="003438A2" w:rsidRDefault="003438A2" w:rsidP="00C67856">
      <w:pPr>
        <w:rPr>
          <w:color w:val="000000" w:themeColor="text1"/>
        </w:rPr>
      </w:pPr>
      <w:r w:rsidRPr="009B52CB">
        <w:rPr>
          <w:color w:val="000000" w:themeColor="text1"/>
        </w:rPr>
        <w:t>Th</w:t>
      </w:r>
      <w:r>
        <w:rPr>
          <w:color w:val="000000" w:themeColor="text1"/>
        </w:rPr>
        <w:t>is</w:t>
      </w:r>
      <w:r w:rsidRPr="009B52CB">
        <w:rPr>
          <w:color w:val="000000" w:themeColor="text1"/>
        </w:rPr>
        <w:t xml:space="preserve"> </w:t>
      </w:r>
      <w:r>
        <w:rPr>
          <w:color w:val="000000" w:themeColor="text1"/>
        </w:rPr>
        <w:t>species</w:t>
      </w:r>
      <w:r w:rsidRPr="009B52CB">
        <w:rPr>
          <w:color w:val="000000" w:themeColor="text1"/>
        </w:rPr>
        <w:t xml:space="preserve"> is present in </w:t>
      </w:r>
      <w:r>
        <w:rPr>
          <w:color w:val="000000" w:themeColor="text1"/>
        </w:rPr>
        <w:t xml:space="preserve">eastern </w:t>
      </w:r>
      <w:r w:rsidRPr="009B52CB">
        <w:rPr>
          <w:color w:val="000000" w:themeColor="text1"/>
        </w:rPr>
        <w:t>Australia but is</w:t>
      </w:r>
      <w:r>
        <w:rPr>
          <w:color w:val="000000" w:themeColor="text1"/>
        </w:rPr>
        <w:t xml:space="preserve"> absent from</w:t>
      </w:r>
      <w:r w:rsidRPr="009B52CB">
        <w:rPr>
          <w:color w:val="000000" w:themeColor="text1"/>
        </w:rPr>
        <w:t xml:space="preserve"> Western Australia </w:t>
      </w:r>
      <w:r>
        <w:rPr>
          <w:noProof/>
          <w:color w:val="000000" w:themeColor="text1"/>
        </w:rPr>
        <w:t>(ALA 2020)</w:t>
      </w:r>
      <w:r w:rsidRPr="009B52CB">
        <w:rPr>
          <w:color w:val="000000" w:themeColor="text1"/>
        </w:rPr>
        <w:t xml:space="preserve">, and is a regional </w:t>
      </w:r>
      <w:r>
        <w:rPr>
          <w:color w:val="000000" w:themeColor="text1"/>
        </w:rPr>
        <w:t xml:space="preserve">quarantine pest </w:t>
      </w:r>
      <w:r w:rsidRPr="009B52CB">
        <w:rPr>
          <w:color w:val="000000" w:themeColor="text1"/>
        </w:rPr>
        <w:t xml:space="preserve">for </w:t>
      </w:r>
      <w:r>
        <w:rPr>
          <w:color w:val="000000" w:themeColor="text1"/>
        </w:rPr>
        <w:t>that</w:t>
      </w:r>
      <w:r w:rsidRPr="009B52CB">
        <w:rPr>
          <w:color w:val="000000" w:themeColor="text1"/>
        </w:rPr>
        <w:t xml:space="preserve"> state </w:t>
      </w:r>
      <w:r w:rsidRPr="001760D4">
        <w:rPr>
          <w:color w:val="000000" w:themeColor="text1"/>
        </w:rPr>
        <w:t>(Government of Western Australia 2022)</w:t>
      </w:r>
      <w:r>
        <w:rPr>
          <w:color w:val="000000" w:themeColor="text1"/>
        </w:rPr>
        <w:t>.</w:t>
      </w:r>
    </w:p>
    <w:p w14:paraId="65450269" w14:textId="77777777" w:rsidR="003438A2" w:rsidRDefault="003438A2" w:rsidP="00C67856">
      <w:pPr>
        <w:rPr>
          <w:color w:val="000000"/>
          <w:sz w:val="18"/>
          <w:szCs w:val="18"/>
        </w:rPr>
      </w:pPr>
      <w:r w:rsidRPr="009B52CB">
        <w:rPr>
          <w:i/>
          <w:color w:val="000000" w:themeColor="text1"/>
        </w:rPr>
        <w:t>Cydia</w:t>
      </w:r>
      <w:r w:rsidRPr="009B52CB">
        <w:rPr>
          <w:color w:val="000000" w:themeColor="text1"/>
        </w:rPr>
        <w:t xml:space="preserve"> </w:t>
      </w:r>
      <w:r w:rsidRPr="009B52CB">
        <w:rPr>
          <w:i/>
          <w:color w:val="000000" w:themeColor="text1"/>
        </w:rPr>
        <w:t>pomonella</w:t>
      </w:r>
      <w:r w:rsidRPr="009B52CB">
        <w:rPr>
          <w:color w:val="000000" w:themeColor="text1"/>
        </w:rPr>
        <w:t xml:space="preserve"> </w:t>
      </w:r>
      <w:r w:rsidRPr="009B52CB">
        <w:rPr>
          <w:color w:val="000000" w:themeColor="text1"/>
          <w:lang w:eastAsia="ja-JP"/>
        </w:rPr>
        <w:t xml:space="preserve">has </w:t>
      </w:r>
      <w:r>
        <w:rPr>
          <w:color w:val="000000" w:themeColor="text1"/>
          <w:lang w:eastAsia="ja-JP"/>
        </w:rPr>
        <w:t>four</w:t>
      </w:r>
      <w:r w:rsidRPr="009B52CB">
        <w:rPr>
          <w:color w:val="000000" w:themeColor="text1"/>
          <w:lang w:eastAsia="ja-JP"/>
        </w:rPr>
        <w:t xml:space="preserve"> life stages: egg, larva, pupa and adult</w:t>
      </w:r>
      <w:r>
        <w:rPr>
          <w:color w:val="000000" w:themeColor="text1"/>
          <w:lang w:eastAsia="ja-JP"/>
        </w:rPr>
        <w:t xml:space="preserve"> </w:t>
      </w:r>
      <w:r>
        <w:rPr>
          <w:noProof/>
          <w:color w:val="000000" w:themeColor="text1"/>
        </w:rPr>
        <w:t>(Caprile &amp; Vossen 2005)</w:t>
      </w:r>
      <w:r w:rsidRPr="009B52CB">
        <w:rPr>
          <w:color w:val="000000" w:themeColor="text1"/>
          <w:lang w:eastAsia="ja-JP"/>
        </w:rPr>
        <w:t>.</w:t>
      </w:r>
      <w:r w:rsidRPr="009B52CB">
        <w:rPr>
          <w:color w:val="000000" w:themeColor="text1"/>
        </w:rPr>
        <w:t xml:space="preserve"> Each female lays 30</w:t>
      </w:r>
      <w:r>
        <w:rPr>
          <w:color w:val="000000" w:themeColor="text1"/>
        </w:rPr>
        <w:t xml:space="preserve"> to </w:t>
      </w:r>
      <w:r w:rsidRPr="009B52CB">
        <w:rPr>
          <w:color w:val="000000" w:themeColor="text1"/>
        </w:rPr>
        <w:t xml:space="preserve">70 eggs on </w:t>
      </w:r>
      <w:r>
        <w:rPr>
          <w:color w:val="000000" w:themeColor="text1"/>
        </w:rPr>
        <w:t xml:space="preserve">the </w:t>
      </w:r>
      <w:r w:rsidRPr="009B52CB">
        <w:rPr>
          <w:color w:val="000000" w:themeColor="text1"/>
        </w:rPr>
        <w:t xml:space="preserve">fruit, leaves or spurs of apples </w:t>
      </w:r>
      <w:r>
        <w:rPr>
          <w:noProof/>
          <w:color w:val="000000" w:themeColor="text1"/>
        </w:rPr>
        <w:t>(Caprile &amp; Vossen 2005)</w:t>
      </w:r>
      <w:r w:rsidRPr="009B52CB">
        <w:rPr>
          <w:color w:val="000000" w:themeColor="text1"/>
        </w:rPr>
        <w:t xml:space="preserve">. Eggs are </w:t>
      </w:r>
      <w:r>
        <w:rPr>
          <w:color w:val="000000" w:themeColor="text1"/>
        </w:rPr>
        <w:t>1 </w:t>
      </w:r>
      <w:r w:rsidRPr="009B52CB">
        <w:rPr>
          <w:color w:val="000000" w:themeColor="text1"/>
        </w:rPr>
        <w:t xml:space="preserve">mm </w:t>
      </w:r>
      <w:r>
        <w:rPr>
          <w:color w:val="000000" w:themeColor="text1"/>
        </w:rPr>
        <w:t>in length</w:t>
      </w:r>
      <w:r w:rsidRPr="009B52CB">
        <w:rPr>
          <w:color w:val="000000" w:themeColor="text1"/>
        </w:rPr>
        <w:t>, disk-shaped, and opaque white</w:t>
      </w:r>
      <w:r>
        <w:rPr>
          <w:color w:val="000000" w:themeColor="text1"/>
        </w:rPr>
        <w:t xml:space="preserve"> </w:t>
      </w:r>
      <w:r>
        <w:rPr>
          <w:bCs/>
          <w:noProof/>
          <w:color w:val="000000" w:themeColor="text1"/>
        </w:rPr>
        <w:t>(University of California 2017; Williams 2000)</w:t>
      </w:r>
      <w:r>
        <w:rPr>
          <w:bCs/>
          <w:color w:val="000000" w:themeColor="text1"/>
        </w:rPr>
        <w:t>.</w:t>
      </w:r>
      <w:bookmarkStart w:id="272" w:name="_Hlk46092116"/>
      <w:r w:rsidRPr="009B52CB">
        <w:rPr>
          <w:color w:val="000000" w:themeColor="text1"/>
        </w:rPr>
        <w:t xml:space="preserve"> </w:t>
      </w:r>
      <w:bookmarkEnd w:id="272"/>
      <w:r>
        <w:rPr>
          <w:color w:val="000000" w:themeColor="text1"/>
        </w:rPr>
        <w:t>Incubation of</w:t>
      </w:r>
      <w:r w:rsidRPr="009B52CB">
        <w:rPr>
          <w:color w:val="000000" w:themeColor="text1"/>
        </w:rPr>
        <w:t xml:space="preserve"> eggs take</w:t>
      </w:r>
      <w:r>
        <w:rPr>
          <w:color w:val="000000" w:themeColor="text1"/>
        </w:rPr>
        <w:t>s</w:t>
      </w:r>
      <w:r w:rsidRPr="009B52CB">
        <w:rPr>
          <w:color w:val="000000" w:themeColor="text1"/>
        </w:rPr>
        <w:t xml:space="preserve"> </w:t>
      </w:r>
      <w:r>
        <w:rPr>
          <w:color w:val="000000" w:themeColor="text1"/>
        </w:rPr>
        <w:t xml:space="preserve">one to two </w:t>
      </w:r>
      <w:r w:rsidRPr="009323F2">
        <w:rPr>
          <w:color w:val="000000" w:themeColor="text1"/>
        </w:rPr>
        <w:t>weeks</w:t>
      </w:r>
      <w:r>
        <w:rPr>
          <w:color w:val="000000" w:themeColor="text1"/>
        </w:rPr>
        <w:t xml:space="preserve"> </w:t>
      </w:r>
      <w:r>
        <w:rPr>
          <w:noProof/>
        </w:rPr>
        <w:t>(Brunner 2018)</w:t>
      </w:r>
      <w:r>
        <w:t>.</w:t>
      </w:r>
      <w:r w:rsidRPr="009B52CB">
        <w:rPr>
          <w:color w:val="000000" w:themeColor="text1"/>
        </w:rPr>
        <w:t xml:space="preserve"> </w:t>
      </w:r>
      <w:r>
        <w:rPr>
          <w:color w:val="000000" w:themeColor="text1"/>
        </w:rPr>
        <w:t xml:space="preserve">On hatching, larvae are 2.5 mm long, reaching 20 mm in length at maturity. Immature larvae are whitish with a black head, while mature larvae are </w:t>
      </w:r>
      <w:r w:rsidRPr="00726DA7">
        <w:rPr>
          <w:color w:val="000000" w:themeColor="text1"/>
        </w:rPr>
        <w:t>pinkish with</w:t>
      </w:r>
      <w:r>
        <w:rPr>
          <w:color w:val="000000" w:themeColor="text1"/>
        </w:rPr>
        <w:t xml:space="preserve"> a</w:t>
      </w:r>
      <w:r w:rsidRPr="00726DA7">
        <w:rPr>
          <w:color w:val="000000" w:themeColor="text1"/>
        </w:rPr>
        <w:t xml:space="preserve"> brown head</w:t>
      </w:r>
      <w:r>
        <w:rPr>
          <w:color w:val="000000" w:themeColor="text1"/>
        </w:rPr>
        <w:t xml:space="preserve"> </w:t>
      </w:r>
      <w:r>
        <w:rPr>
          <w:noProof/>
        </w:rPr>
        <w:t>(Wiman &amp; Stoven 2022)</w:t>
      </w:r>
      <w:r>
        <w:t>.</w:t>
      </w:r>
      <w:r w:rsidRPr="009472C3">
        <w:t xml:space="preserve"> </w:t>
      </w:r>
      <w:r>
        <w:t xml:space="preserve">The larval stage comprises five instars that all </w:t>
      </w:r>
      <w:r w:rsidRPr="009472C3">
        <w:t>feed on fruit</w:t>
      </w:r>
      <w:r>
        <w:t xml:space="preserve">. They </w:t>
      </w:r>
      <w:r w:rsidRPr="009472C3">
        <w:t>may bore to the cent</w:t>
      </w:r>
      <w:r>
        <w:t>re</w:t>
      </w:r>
      <w:r w:rsidRPr="009472C3">
        <w:t xml:space="preserve"> of developing fruit to feed on the flesh and seeds. As </w:t>
      </w:r>
      <w:r>
        <w:t>larvae</w:t>
      </w:r>
      <w:r w:rsidRPr="009472C3">
        <w:t xml:space="preserve"> mature, they push frass out of the</w:t>
      </w:r>
      <w:r>
        <w:t>ir</w:t>
      </w:r>
      <w:r w:rsidRPr="009472C3">
        <w:t xml:space="preserve"> entry hole. After </w:t>
      </w:r>
      <w:r>
        <w:t>three</w:t>
      </w:r>
      <w:r w:rsidRPr="009472C3">
        <w:t xml:space="preserve"> to </w:t>
      </w:r>
      <w:r>
        <w:t>four</w:t>
      </w:r>
      <w:r w:rsidRPr="009472C3">
        <w:t xml:space="preserve"> weeks</w:t>
      </w:r>
      <w:r>
        <w:t>,</w:t>
      </w:r>
      <w:r w:rsidRPr="009472C3">
        <w:t xml:space="preserve"> the larvae leave the fruit and drop from the tree to seek a sheltered spot </w:t>
      </w:r>
      <w:r>
        <w:t xml:space="preserve">in which </w:t>
      </w:r>
      <w:r w:rsidRPr="009472C3">
        <w:t xml:space="preserve">to spin </w:t>
      </w:r>
      <w:r>
        <w:t xml:space="preserve">a </w:t>
      </w:r>
      <w:r w:rsidRPr="009472C3">
        <w:t xml:space="preserve">cocoon </w:t>
      </w:r>
      <w:r>
        <w:t xml:space="preserve">and pupate </w:t>
      </w:r>
      <w:r>
        <w:rPr>
          <w:noProof/>
          <w:color w:val="000000" w:themeColor="text1"/>
        </w:rPr>
        <w:t>(Caprile &amp; Vossen 2005; Wiman &amp; Stoven 2022)</w:t>
      </w:r>
      <w:r>
        <w:rPr>
          <w:color w:val="000000" w:themeColor="text1"/>
        </w:rPr>
        <w:t>.</w:t>
      </w:r>
    </w:p>
    <w:p w14:paraId="237A64E4" w14:textId="77777777" w:rsidR="003438A2" w:rsidRPr="009323F2" w:rsidRDefault="003438A2" w:rsidP="00C67856">
      <w:pPr>
        <w:rPr>
          <w:color w:val="000000" w:themeColor="text1"/>
        </w:rPr>
      </w:pPr>
      <w:r w:rsidRPr="00AF4C10">
        <w:t xml:space="preserve">Depending on the time of year, larvae in cocoons </w:t>
      </w:r>
      <w:r>
        <w:t xml:space="preserve">either </w:t>
      </w:r>
      <w:r w:rsidRPr="00AF4C10">
        <w:t>form pupa</w:t>
      </w:r>
      <w:r>
        <w:t>e</w:t>
      </w:r>
      <w:r w:rsidRPr="00AF4C10">
        <w:t xml:space="preserve"> from which adults emerge about </w:t>
      </w:r>
      <w:r>
        <w:t>two</w:t>
      </w:r>
      <w:r w:rsidRPr="00AF4C10">
        <w:t xml:space="preserve"> </w:t>
      </w:r>
      <w:r>
        <w:t xml:space="preserve">to three </w:t>
      </w:r>
      <w:r w:rsidRPr="00AF4C10">
        <w:t>weeks later</w:t>
      </w:r>
      <w:r>
        <w:t xml:space="preserve">, or </w:t>
      </w:r>
      <w:r w:rsidRPr="00AF4C10">
        <w:t>diapause until the following spring</w:t>
      </w:r>
      <w:r>
        <w:t>, before pupating and emerging</w:t>
      </w:r>
      <w:r w:rsidRPr="00AF4C10">
        <w:t xml:space="preserve"> </w:t>
      </w:r>
      <w:r>
        <w:t xml:space="preserve">as adults </w:t>
      </w:r>
      <w:r w:rsidRPr="00AF4C10">
        <w:t>around bloom time</w:t>
      </w:r>
      <w:r>
        <w:t xml:space="preserve"> </w:t>
      </w:r>
      <w:bookmarkStart w:id="273" w:name="_Hlk109059023"/>
      <w:r>
        <w:rPr>
          <w:noProof/>
        </w:rPr>
        <w:t>(Williams 2000; Wiman &amp; Stoven 2022)</w:t>
      </w:r>
      <w:bookmarkEnd w:id="273"/>
      <w:r w:rsidRPr="00AF4C10">
        <w:t xml:space="preserve">. </w:t>
      </w:r>
      <w:r>
        <w:rPr>
          <w:color w:val="000000" w:themeColor="text1"/>
        </w:rPr>
        <w:t>I</w:t>
      </w:r>
      <w:r w:rsidRPr="009B52CB">
        <w:rPr>
          <w:color w:val="000000" w:themeColor="text1"/>
        </w:rPr>
        <w:t>n Washington</w:t>
      </w:r>
      <w:r>
        <w:rPr>
          <w:color w:val="000000" w:themeColor="text1"/>
        </w:rPr>
        <w:t>,</w:t>
      </w:r>
      <w:r w:rsidRPr="009B52CB">
        <w:rPr>
          <w:color w:val="000000" w:themeColor="text1"/>
        </w:rPr>
        <w:t xml:space="preserve"> </w:t>
      </w:r>
      <w:r w:rsidRPr="00950B94">
        <w:rPr>
          <w:i/>
        </w:rPr>
        <w:t xml:space="preserve">C. pomonella </w:t>
      </w:r>
      <w:r w:rsidRPr="00BC5230">
        <w:t>typically has</w:t>
      </w:r>
      <w:r>
        <w:rPr>
          <w:i/>
        </w:rPr>
        <w:t xml:space="preserve"> </w:t>
      </w:r>
      <w:r>
        <w:rPr>
          <w:color w:val="000000" w:themeColor="text1"/>
        </w:rPr>
        <w:t>two</w:t>
      </w:r>
      <w:r w:rsidRPr="009B52CB">
        <w:rPr>
          <w:color w:val="000000" w:themeColor="text1"/>
        </w:rPr>
        <w:t xml:space="preserve"> generations</w:t>
      </w:r>
      <w:r>
        <w:rPr>
          <w:color w:val="000000" w:themeColor="text1"/>
        </w:rPr>
        <w:t xml:space="preserve"> per year</w:t>
      </w:r>
      <w:r w:rsidRPr="009B52CB">
        <w:rPr>
          <w:color w:val="000000" w:themeColor="text1"/>
        </w:rPr>
        <w:t xml:space="preserve">, </w:t>
      </w:r>
      <w:r>
        <w:rPr>
          <w:color w:val="000000" w:themeColor="text1"/>
        </w:rPr>
        <w:t xml:space="preserve">with a third generation observed </w:t>
      </w:r>
      <w:r w:rsidRPr="009B52CB">
        <w:rPr>
          <w:color w:val="000000" w:themeColor="text1"/>
        </w:rPr>
        <w:t xml:space="preserve">in warmer </w:t>
      </w:r>
      <w:r w:rsidRPr="009323F2">
        <w:rPr>
          <w:color w:val="000000" w:themeColor="text1"/>
        </w:rPr>
        <w:t>years</w:t>
      </w:r>
      <w:r>
        <w:rPr>
          <w:color w:val="000000" w:themeColor="text1"/>
        </w:rPr>
        <w:t xml:space="preserve"> </w:t>
      </w:r>
      <w:r>
        <w:rPr>
          <w:noProof/>
        </w:rPr>
        <w:t>(Brunner 2018)</w:t>
      </w:r>
      <w:r>
        <w:t xml:space="preserve">. </w:t>
      </w:r>
      <w:r w:rsidRPr="009323F2">
        <w:rPr>
          <w:color w:val="000000" w:themeColor="text1"/>
        </w:rPr>
        <w:t>In Washington, second-generation adults begin emerging in early July, with adult activity peaking in mid-July to early August and continuing through early September</w:t>
      </w:r>
      <w:r>
        <w:rPr>
          <w:color w:val="000000" w:themeColor="text1"/>
        </w:rPr>
        <w:t xml:space="preserve"> </w:t>
      </w:r>
      <w:r>
        <w:rPr>
          <w:noProof/>
        </w:rPr>
        <w:t>(Brunner 2018)</w:t>
      </w:r>
      <w:r>
        <w:t>.</w:t>
      </w:r>
    </w:p>
    <w:p w14:paraId="297D4423" w14:textId="77777777" w:rsidR="003438A2" w:rsidRPr="009B52CB" w:rsidRDefault="003438A2" w:rsidP="00C67856">
      <w:pPr>
        <w:rPr>
          <w:color w:val="000000" w:themeColor="text1"/>
        </w:rPr>
      </w:pPr>
      <w:r w:rsidRPr="009323F2">
        <w:t>Adult moths are about 12</w:t>
      </w:r>
      <w:r>
        <w:t xml:space="preserve"> </w:t>
      </w:r>
      <w:r w:rsidRPr="009323F2">
        <w:t>mm long,</w:t>
      </w:r>
      <w:r w:rsidRPr="009323F2">
        <w:rPr>
          <w:color w:val="000000" w:themeColor="text1"/>
        </w:rPr>
        <w:t xml:space="preserve"> with a wingspan of 15 to 20</w:t>
      </w:r>
      <w:r>
        <w:rPr>
          <w:color w:val="000000" w:themeColor="text1"/>
        </w:rPr>
        <w:t xml:space="preserve"> </w:t>
      </w:r>
      <w:r w:rsidRPr="009323F2">
        <w:rPr>
          <w:color w:val="000000" w:themeColor="text1"/>
        </w:rPr>
        <w:t>mm</w:t>
      </w:r>
      <w:r>
        <w:rPr>
          <w:color w:val="000000" w:themeColor="text1"/>
        </w:rPr>
        <w:t xml:space="preserve"> </w:t>
      </w:r>
      <w:bookmarkStart w:id="274" w:name="_Hlk109059155"/>
      <w:r>
        <w:rPr>
          <w:bCs/>
          <w:noProof/>
          <w:color w:val="000000" w:themeColor="text1"/>
        </w:rPr>
        <w:t>(Caprile &amp; Vossen 2005; University of California 2017; Wearing 2004; Williams 2000)</w:t>
      </w:r>
      <w:r w:rsidRPr="009323F2">
        <w:rPr>
          <w:color w:val="000000" w:themeColor="text1"/>
        </w:rPr>
        <w:t xml:space="preserve">. </w:t>
      </w:r>
      <w:bookmarkEnd w:id="274"/>
      <w:r w:rsidRPr="009323F2">
        <w:rPr>
          <w:color w:val="000000" w:themeColor="text1"/>
        </w:rPr>
        <w:t>Adult moths are only active for a few hours before and after sunset, when temperatures are above 15.5</w:t>
      </w:r>
      <w:r w:rsidRPr="009323F2">
        <w:rPr>
          <w:rFonts w:cstheme="minorHAnsi"/>
        </w:rPr>
        <w:t>°</w:t>
      </w:r>
      <w:r w:rsidRPr="009323F2">
        <w:t>C</w:t>
      </w:r>
      <w:r>
        <w:t xml:space="preserve"> </w:t>
      </w:r>
      <w:r>
        <w:rPr>
          <w:noProof/>
        </w:rPr>
        <w:t>(Brunner 2018)</w:t>
      </w:r>
      <w:r>
        <w:t>.</w:t>
      </w:r>
      <w:r w:rsidRPr="009323F2">
        <w:rPr>
          <w:color w:val="000000" w:themeColor="text1"/>
        </w:rPr>
        <w:t xml:space="preserve"> Adult females begin laying eggs within a day of emerging</w:t>
      </w:r>
      <w:r>
        <w:rPr>
          <w:color w:val="000000" w:themeColor="text1"/>
        </w:rPr>
        <w:t xml:space="preserve"> </w:t>
      </w:r>
      <w:r>
        <w:rPr>
          <w:noProof/>
        </w:rPr>
        <w:t>(Brunner 2018)</w:t>
      </w:r>
      <w:r>
        <w:t>.</w:t>
      </w:r>
    </w:p>
    <w:p w14:paraId="45ABCD3A" w14:textId="77777777" w:rsidR="003438A2" w:rsidRDefault="003438A2" w:rsidP="00C67856">
      <w:r w:rsidRPr="009323F2">
        <w:rPr>
          <w:color w:val="000000" w:themeColor="text1"/>
        </w:rPr>
        <w:t xml:space="preserve">The risk scenario of biosecurity concern is that larval stages of </w:t>
      </w:r>
      <w:r w:rsidRPr="009323F2">
        <w:rPr>
          <w:i/>
          <w:color w:val="000000" w:themeColor="text1"/>
        </w:rPr>
        <w:t>C. pomonella</w:t>
      </w:r>
      <w:r w:rsidRPr="009323F2">
        <w:rPr>
          <w:color w:val="000000" w:themeColor="text1"/>
        </w:rPr>
        <w:t xml:space="preserve"> may be </w:t>
      </w:r>
      <w:r w:rsidRPr="009323F2">
        <w:t xml:space="preserve">imported </w:t>
      </w:r>
      <w:r>
        <w:t xml:space="preserve">with </w:t>
      </w:r>
      <w:r w:rsidRPr="009323F2">
        <w:t>apple fruit from PNW-USA.</w:t>
      </w:r>
    </w:p>
    <w:p w14:paraId="6AED1417" w14:textId="77777777" w:rsidR="003438A2" w:rsidRDefault="003438A2" w:rsidP="00C67856">
      <w:pPr>
        <w:rPr>
          <w:color w:val="000000" w:themeColor="text1"/>
        </w:rPr>
      </w:pPr>
      <w:r w:rsidRPr="009B52CB">
        <w:rPr>
          <w:i/>
          <w:color w:val="000000" w:themeColor="text1"/>
        </w:rPr>
        <w:t>Cydia</w:t>
      </w:r>
      <w:r w:rsidRPr="009B52CB">
        <w:rPr>
          <w:color w:val="000000" w:themeColor="text1"/>
        </w:rPr>
        <w:t xml:space="preserve"> </w:t>
      </w:r>
      <w:r w:rsidRPr="009B52CB">
        <w:rPr>
          <w:i/>
          <w:color w:val="000000" w:themeColor="text1"/>
        </w:rPr>
        <w:t>pomonella</w:t>
      </w:r>
      <w:r w:rsidRPr="009B52CB">
        <w:rPr>
          <w:color w:val="000000" w:themeColor="text1"/>
        </w:rPr>
        <w:t xml:space="preserve"> has been assessed previously in existing policies for fresh apple fruit from the People’s Republic of China </w:t>
      </w:r>
      <w:r>
        <w:rPr>
          <w:noProof/>
          <w:color w:val="000000" w:themeColor="text1"/>
        </w:rPr>
        <w:t>(Biosecurity Australia 2010a)</w:t>
      </w:r>
      <w:r w:rsidRPr="009B52CB">
        <w:rPr>
          <w:color w:val="000000" w:themeColor="text1"/>
        </w:rPr>
        <w:t>,</w:t>
      </w:r>
      <w:r>
        <w:rPr>
          <w:color w:val="000000" w:themeColor="text1"/>
        </w:rPr>
        <w:t xml:space="preserve"> and </w:t>
      </w:r>
      <w:r w:rsidRPr="009B52CB">
        <w:rPr>
          <w:color w:val="000000" w:themeColor="text1"/>
        </w:rPr>
        <w:t xml:space="preserve">fresh </w:t>
      </w:r>
      <w:r w:rsidRPr="00DD5607">
        <w:rPr>
          <w:rStyle w:val="Hyperlink"/>
          <w:rFonts w:cs="Segoe UI"/>
          <w:color w:val="000000" w:themeColor="text1"/>
          <w:lang w:val="en"/>
        </w:rPr>
        <w:t>apple fruit from</w:t>
      </w:r>
      <w:r w:rsidRPr="00EC1595">
        <w:rPr>
          <w:rStyle w:val="Hyperlink"/>
          <w:rFonts w:cs="Segoe UI"/>
          <w:color w:val="000000" w:themeColor="text1"/>
          <w:lang w:val="en"/>
        </w:rPr>
        <w:t xml:space="preserve"> </w:t>
      </w:r>
      <w:r w:rsidRPr="009B52CB">
        <w:rPr>
          <w:color w:val="000000" w:themeColor="text1"/>
        </w:rPr>
        <w:t>New Zealand</w:t>
      </w:r>
      <w:r>
        <w:rPr>
          <w:color w:val="000000" w:themeColor="text1"/>
        </w:rPr>
        <w:t xml:space="preserve"> </w:t>
      </w:r>
      <w:r>
        <w:rPr>
          <w:noProof/>
          <w:color w:val="000000" w:themeColor="text1"/>
        </w:rPr>
        <w:t>(Biosecurity Australia 2006a)</w:t>
      </w:r>
      <w:r>
        <w:rPr>
          <w:color w:val="000000" w:themeColor="text1"/>
        </w:rPr>
        <w:t>.</w:t>
      </w:r>
      <w:r w:rsidRPr="009B52CB">
        <w:rPr>
          <w:color w:val="000000" w:themeColor="text1"/>
        </w:rPr>
        <w:t xml:space="preserve"> In these policies the unrestricted risk estimate for </w:t>
      </w:r>
      <w:r w:rsidRPr="009B52CB">
        <w:rPr>
          <w:i/>
          <w:color w:val="000000" w:themeColor="text1"/>
        </w:rPr>
        <w:lastRenderedPageBreak/>
        <w:t xml:space="preserve">C. pomonella </w:t>
      </w:r>
      <w:r w:rsidRPr="009B52CB">
        <w:rPr>
          <w:color w:val="000000" w:themeColor="text1"/>
        </w:rPr>
        <w:t xml:space="preserve">was assessed as </w:t>
      </w:r>
      <w:r>
        <w:rPr>
          <w:color w:val="000000" w:themeColor="text1"/>
        </w:rPr>
        <w:t xml:space="preserve">Low, which does not </w:t>
      </w:r>
      <w:r w:rsidRPr="009B52CB">
        <w:rPr>
          <w:color w:val="000000" w:themeColor="text1"/>
        </w:rPr>
        <w:t>achiev</w:t>
      </w:r>
      <w:r>
        <w:rPr>
          <w:color w:val="000000" w:themeColor="text1"/>
        </w:rPr>
        <w:t>e</w:t>
      </w:r>
      <w:r w:rsidRPr="009B52CB">
        <w:rPr>
          <w:color w:val="000000" w:themeColor="text1"/>
        </w:rPr>
        <w:t xml:space="preserve"> the ALOP for Australia. Therefore, specific risk management measures are required for this pest on th</w:t>
      </w:r>
      <w:r>
        <w:rPr>
          <w:color w:val="000000" w:themeColor="text1"/>
        </w:rPr>
        <w:t>e</w:t>
      </w:r>
      <w:r w:rsidRPr="009B52CB">
        <w:rPr>
          <w:color w:val="000000" w:themeColor="text1"/>
        </w:rPr>
        <w:t>se pathways.</w:t>
      </w:r>
    </w:p>
    <w:p w14:paraId="2428B762" w14:textId="77777777" w:rsidR="003438A2" w:rsidRDefault="003438A2" w:rsidP="00C67856">
      <w:pPr>
        <w:rPr>
          <w:color w:val="000000" w:themeColor="text1"/>
        </w:rPr>
      </w:pPr>
      <w:r>
        <w:rPr>
          <w:color w:val="000000" w:themeColor="text1"/>
        </w:rPr>
        <w:t>The department has assessed the l</w:t>
      </w:r>
      <w:r w:rsidRPr="009B52CB">
        <w:rPr>
          <w:color w:val="000000" w:themeColor="text1"/>
        </w:rPr>
        <w:t xml:space="preserve">ikelihood of importation </w:t>
      </w:r>
      <w:r>
        <w:rPr>
          <w:color w:val="000000" w:themeColor="text1"/>
        </w:rPr>
        <w:t xml:space="preserve">of </w:t>
      </w:r>
      <w:r w:rsidRPr="00F957E5">
        <w:rPr>
          <w:i/>
          <w:color w:val="000000" w:themeColor="text1"/>
        </w:rPr>
        <w:t>C. pomonella</w:t>
      </w:r>
      <w:r w:rsidRPr="009B52CB">
        <w:rPr>
          <w:color w:val="000000" w:themeColor="text1"/>
        </w:rPr>
        <w:t xml:space="preserve"> </w:t>
      </w:r>
      <w:r>
        <w:rPr>
          <w:color w:val="000000" w:themeColor="text1"/>
        </w:rPr>
        <w:t xml:space="preserve">on fresh apple fruit from China as Low, and from New Zealand as Moderate </w:t>
      </w:r>
      <w:r>
        <w:rPr>
          <w:noProof/>
          <w:color w:val="000000" w:themeColor="text1"/>
        </w:rPr>
        <w:t>(Biosecurity Australia 2006a, 2010a)</w:t>
      </w:r>
      <w:r w:rsidRPr="009B52CB">
        <w:rPr>
          <w:color w:val="000000" w:themeColor="text1"/>
        </w:rPr>
        <w:t xml:space="preserve">. </w:t>
      </w:r>
      <w:r>
        <w:rPr>
          <w:color w:val="000000" w:themeColor="text1"/>
        </w:rPr>
        <w:t>However, d</w:t>
      </w:r>
      <w:r w:rsidRPr="009B52CB">
        <w:rPr>
          <w:color w:val="000000" w:themeColor="text1"/>
        </w:rPr>
        <w:t>ifferences in pest prevalence</w:t>
      </w:r>
      <w:r>
        <w:rPr>
          <w:color w:val="000000" w:themeColor="text1"/>
        </w:rPr>
        <w:t>, climate</w:t>
      </w:r>
      <w:r w:rsidRPr="009B52CB">
        <w:rPr>
          <w:color w:val="000000" w:themeColor="text1"/>
        </w:rPr>
        <w:t xml:space="preserve"> and horticultur</w:t>
      </w:r>
      <w:r>
        <w:rPr>
          <w:color w:val="000000" w:themeColor="text1"/>
        </w:rPr>
        <w:t>al</w:t>
      </w:r>
      <w:r w:rsidRPr="009B52CB">
        <w:rPr>
          <w:color w:val="000000" w:themeColor="text1"/>
        </w:rPr>
        <w:t xml:space="preserve"> practices </w:t>
      </w:r>
      <w:r>
        <w:rPr>
          <w:color w:val="000000" w:themeColor="text1"/>
        </w:rPr>
        <w:t>between</w:t>
      </w:r>
      <w:r w:rsidRPr="009B52CB">
        <w:rPr>
          <w:color w:val="000000" w:themeColor="text1"/>
        </w:rPr>
        <w:t xml:space="preserve"> export area</w:t>
      </w:r>
      <w:r>
        <w:rPr>
          <w:color w:val="000000" w:themeColor="text1"/>
        </w:rPr>
        <w:t xml:space="preserve">s </w:t>
      </w:r>
      <w:r w:rsidRPr="009B52CB">
        <w:rPr>
          <w:color w:val="000000" w:themeColor="text1"/>
        </w:rPr>
        <w:t xml:space="preserve">make it necessary to reassess the likelihood of importation of </w:t>
      </w:r>
      <w:r w:rsidRPr="009B52CB">
        <w:rPr>
          <w:i/>
          <w:color w:val="000000" w:themeColor="text1"/>
        </w:rPr>
        <w:t xml:space="preserve">C. pomonella </w:t>
      </w:r>
      <w:r w:rsidRPr="009B52CB">
        <w:rPr>
          <w:color w:val="000000" w:themeColor="text1"/>
        </w:rPr>
        <w:t>associated with the PNW-USA apple pathway.</w:t>
      </w:r>
    </w:p>
    <w:p w14:paraId="490FFC59" w14:textId="77777777" w:rsidR="003438A2" w:rsidRDefault="003438A2" w:rsidP="00C67856">
      <w:r w:rsidRPr="009B52CB">
        <w:t xml:space="preserve">Fresh apple fruit from the PNW-USA </w:t>
      </w:r>
      <w:r>
        <w:t>are</w:t>
      </w:r>
      <w:r w:rsidRPr="009B52CB">
        <w:t xml:space="preserve"> expected to be distributed in Australia</w:t>
      </w:r>
      <w:r>
        <w:t>, as a result of processing, sale or disposal,</w:t>
      </w:r>
      <w:r w:rsidRPr="009B52CB">
        <w:t xml:space="preserve"> in a similar way to </w:t>
      </w:r>
      <w:r>
        <w:t>apples from China and New Zealand</w:t>
      </w:r>
      <w:r w:rsidRPr="009B52CB">
        <w:t xml:space="preserve">. </w:t>
      </w:r>
      <w:r>
        <w:t xml:space="preserve">Apples can be imported all year round, therefore, </w:t>
      </w:r>
      <w:r w:rsidRPr="00B81F41">
        <w:t>there would be no seasonal differences between import pathways to contribute to variation in the risk rating for likelihood of distribution</w:t>
      </w:r>
      <w:r>
        <w:t xml:space="preserve">. </w:t>
      </w:r>
      <w:r w:rsidRPr="009B52CB">
        <w:rPr>
          <w:i/>
        </w:rPr>
        <w:t xml:space="preserve">Cydia pomonella </w:t>
      </w:r>
      <w:r w:rsidRPr="009B52CB">
        <w:t xml:space="preserve">has </w:t>
      </w:r>
      <w:r>
        <w:t>hosts (e.g. apples and pears) available across Australia</w:t>
      </w:r>
      <w:r w:rsidRPr="009B52CB">
        <w:t xml:space="preserve"> and host </w:t>
      </w:r>
      <w:r>
        <w:t>fruit on trees are</w:t>
      </w:r>
      <w:r w:rsidRPr="009B52CB">
        <w:t xml:space="preserve"> likely to be</w:t>
      </w:r>
      <w:r>
        <w:t xml:space="preserve"> </w:t>
      </w:r>
      <w:r w:rsidRPr="009B52CB">
        <w:t xml:space="preserve">available </w:t>
      </w:r>
      <w:r>
        <w:t xml:space="preserve">between spring and autumn </w:t>
      </w:r>
      <w:r w:rsidRPr="009B52CB">
        <w:t xml:space="preserve">in </w:t>
      </w:r>
      <w:r>
        <w:t xml:space="preserve">parts of </w:t>
      </w:r>
      <w:r w:rsidRPr="009B52CB">
        <w:t xml:space="preserve">Western Australia. </w:t>
      </w:r>
      <w:r>
        <w:t>L</w:t>
      </w:r>
      <w:r w:rsidRPr="009B52CB">
        <w:t xml:space="preserve">arvae may emerge from fruit discarded as waste in Western Australia and </w:t>
      </w:r>
      <w:r>
        <w:t>may</w:t>
      </w:r>
      <w:r w:rsidRPr="009B52CB">
        <w:t xml:space="preserve"> pupate in a suitable substrate. This species is able to overwinter </w:t>
      </w:r>
      <w:r>
        <w:t xml:space="preserve">as </w:t>
      </w:r>
      <w:r w:rsidRPr="009B52CB">
        <w:rPr>
          <w:color w:val="000000" w:themeColor="text1"/>
        </w:rPr>
        <w:t>larvae within thick, silken cocoons under loose bark and in soil or debris around the base</w:t>
      </w:r>
      <w:r>
        <w:rPr>
          <w:color w:val="000000" w:themeColor="text1"/>
        </w:rPr>
        <w:t>s</w:t>
      </w:r>
      <w:r w:rsidRPr="009B52CB">
        <w:rPr>
          <w:color w:val="000000" w:themeColor="text1"/>
        </w:rPr>
        <w:t xml:space="preserve"> of tree</w:t>
      </w:r>
      <w:r>
        <w:rPr>
          <w:color w:val="000000" w:themeColor="text1"/>
        </w:rPr>
        <w:t>s</w:t>
      </w:r>
      <w:r w:rsidRPr="009B52CB">
        <w:rPr>
          <w:color w:val="000000" w:themeColor="text1"/>
        </w:rPr>
        <w:t xml:space="preserve"> </w:t>
      </w:r>
      <w:r>
        <w:rPr>
          <w:noProof/>
          <w:color w:val="000000" w:themeColor="text1"/>
        </w:rPr>
        <w:t>(Caprile &amp; Vossen 2005)</w:t>
      </w:r>
      <w:r w:rsidRPr="009B52CB">
        <w:rPr>
          <w:color w:val="000000" w:themeColor="text1"/>
        </w:rPr>
        <w:t xml:space="preserve"> </w:t>
      </w:r>
      <w:r w:rsidRPr="009B52CB">
        <w:t>for extended periods. Th</w:t>
      </w:r>
      <w:r>
        <w:t>ese</w:t>
      </w:r>
      <w:r w:rsidRPr="009B52CB">
        <w:t xml:space="preserve"> </w:t>
      </w:r>
      <w:r>
        <w:t>mechanisms</w:t>
      </w:r>
      <w:r w:rsidRPr="009B52CB">
        <w:t xml:space="preserve"> can significantly </w:t>
      </w:r>
      <w:r>
        <w:t>enhance</w:t>
      </w:r>
      <w:r w:rsidRPr="009B52CB">
        <w:t xml:space="preserve"> the ability of </w:t>
      </w:r>
      <w:r w:rsidRPr="009B52CB">
        <w:rPr>
          <w:i/>
        </w:rPr>
        <w:t xml:space="preserve">C. pomonella </w:t>
      </w:r>
      <w:r w:rsidRPr="009B52CB">
        <w:t>to complete its life cycle</w:t>
      </w:r>
      <w:r>
        <w:t xml:space="preserve"> </w:t>
      </w:r>
      <w:r w:rsidRPr="009B52CB">
        <w:t xml:space="preserve">and </w:t>
      </w:r>
      <w:r>
        <w:t>find a new host</w:t>
      </w:r>
      <w:r w:rsidRPr="009B52CB">
        <w:t xml:space="preserve">. </w:t>
      </w:r>
      <w:r>
        <w:t xml:space="preserve">Previous assessments of </w:t>
      </w:r>
      <w:r w:rsidRPr="009B52CB">
        <w:rPr>
          <w:i/>
        </w:rPr>
        <w:t>C. pomonella</w:t>
      </w:r>
      <w:r>
        <w:t xml:space="preserve"> on the apple from China</w:t>
      </w:r>
      <w:r>
        <w:rPr>
          <w:rFonts w:eastAsia="Times New Roman" w:cs="Times New Roman"/>
          <w:color w:val="000000"/>
        </w:rPr>
        <w:t xml:space="preserve"> </w:t>
      </w:r>
      <w:r>
        <w:rPr>
          <w:noProof/>
          <w:color w:val="000000" w:themeColor="text1"/>
        </w:rPr>
        <w:t>(Biosecurity Australia 2010a)</w:t>
      </w:r>
      <w:r>
        <w:rPr>
          <w:color w:val="000000" w:themeColor="text1"/>
        </w:rPr>
        <w:t xml:space="preserve"> </w:t>
      </w:r>
      <w:r>
        <w:t xml:space="preserve">and New Zealand </w:t>
      </w:r>
      <w:r>
        <w:rPr>
          <w:noProof/>
          <w:color w:val="000000" w:themeColor="text1"/>
        </w:rPr>
        <w:t>(Biosecurity Australia 2006a)</w:t>
      </w:r>
      <w:r>
        <w:rPr>
          <w:color w:val="000000" w:themeColor="text1"/>
        </w:rPr>
        <w:t xml:space="preserve"> </w:t>
      </w:r>
      <w:r>
        <w:t xml:space="preserve">pathways rated the likelihood of distribution as Moderate. The </w:t>
      </w:r>
      <w:r w:rsidRPr="009B52CB">
        <w:t xml:space="preserve">same rating of Moderate for the likelihood of distribution </w:t>
      </w:r>
      <w:r>
        <w:t>for</w:t>
      </w:r>
      <w:r w:rsidRPr="009B52CB">
        <w:t xml:space="preserve"> </w:t>
      </w:r>
      <w:r w:rsidRPr="009B52CB">
        <w:rPr>
          <w:i/>
        </w:rPr>
        <w:t xml:space="preserve">C. pomonella </w:t>
      </w:r>
      <w:r w:rsidRPr="009B52CB">
        <w:t xml:space="preserve">is adopted for </w:t>
      </w:r>
      <w:r w:rsidRPr="009B52CB">
        <w:rPr>
          <w:i/>
        </w:rPr>
        <w:t xml:space="preserve">C. pomonella </w:t>
      </w:r>
      <w:r>
        <w:rPr>
          <w:iCs/>
        </w:rPr>
        <w:t xml:space="preserve">on </w:t>
      </w:r>
      <w:r w:rsidRPr="009B52CB">
        <w:t>the PNW-USA apple pathway.</w:t>
      </w:r>
    </w:p>
    <w:p w14:paraId="0550C2B2" w14:textId="77777777" w:rsidR="003438A2" w:rsidRDefault="003438A2" w:rsidP="00C67856">
      <w:r w:rsidRPr="005F36CB">
        <w:t xml:space="preserve">The likelihoods of establishment and spread of </w:t>
      </w:r>
      <w:r>
        <w:rPr>
          <w:i/>
          <w:iCs/>
        </w:rPr>
        <w:t>C. pomonella</w:t>
      </w:r>
      <w:r w:rsidRPr="005F36CB">
        <w:t xml:space="preserve"> in Australia from the PNW-USA apple pathway have been assessed as similar to those of the previous assessments </w:t>
      </w:r>
      <w:r>
        <w:t xml:space="preserve">for apples from China and New Zealand </w:t>
      </w:r>
      <w:r w:rsidRPr="005F36CB">
        <w:t xml:space="preserve">of </w:t>
      </w:r>
      <w:r>
        <w:t>High and High, respectively</w:t>
      </w:r>
      <w:r w:rsidRPr="005F36CB">
        <w:t xml:space="preserve">. These likelihoods relate specifically to events that occur in Australia and are principally independent of the import pathway. The consequences of entry, establishment and spread for </w:t>
      </w:r>
      <w:r>
        <w:rPr>
          <w:i/>
        </w:rPr>
        <w:t>C. pomonella</w:t>
      </w:r>
      <w:r w:rsidRPr="005F36CB">
        <w:t xml:space="preserve"> are also independent of the import pathway, and have been assessed as being similar between pest risk assessments, and rated as </w:t>
      </w:r>
      <w:r>
        <w:t>Moderate</w:t>
      </w:r>
      <w:r w:rsidRPr="005F36CB">
        <w:t>. Therefore, the ratings for likelihoods of establishment and spread</w:t>
      </w:r>
      <w:r>
        <w:t xml:space="preserve">, </w:t>
      </w:r>
      <w:r w:rsidRPr="005F36CB">
        <w:t xml:space="preserve">and the rating for the overall consequences of </w:t>
      </w:r>
      <w:r>
        <w:rPr>
          <w:i/>
        </w:rPr>
        <w:t>C. pomonella</w:t>
      </w:r>
      <w:r w:rsidRPr="005F36CB">
        <w:t xml:space="preserve"> </w:t>
      </w:r>
      <w:r>
        <w:t xml:space="preserve">previously assessed for apples from China and New Zealand </w:t>
      </w:r>
      <w:r w:rsidRPr="005F36CB">
        <w:t>have been adopted for the PNW-USA apple pathway.</w:t>
      </w:r>
    </w:p>
    <w:p w14:paraId="0649CA69" w14:textId="77777777" w:rsidR="003438A2" w:rsidRPr="009B52CB" w:rsidDel="00A27961" w:rsidRDefault="003438A2" w:rsidP="00C67856">
      <w:pPr>
        <w:rPr>
          <w:color w:val="000000" w:themeColor="text1"/>
        </w:rPr>
      </w:pPr>
      <w:r w:rsidRPr="009B52CB" w:rsidDel="00A27961">
        <w:rPr>
          <w:color w:val="000000" w:themeColor="text1"/>
        </w:rPr>
        <w:t>In addition, the department has reviewed the latest literature</w:t>
      </w:r>
      <w:r w:rsidDel="00A27961">
        <w:rPr>
          <w:color w:val="000000" w:themeColor="text1"/>
        </w:rPr>
        <w:t xml:space="preserve"> </w:t>
      </w:r>
      <w:r w:rsidRPr="009B52CB" w:rsidDel="00A27961">
        <w:rPr>
          <w:color w:val="000000" w:themeColor="text1"/>
        </w:rPr>
        <w:t>—for example,</w:t>
      </w:r>
      <w:r>
        <w:rPr>
          <w:color w:val="000000" w:themeColor="text1"/>
        </w:rPr>
        <w:t xml:space="preserve"> </w:t>
      </w:r>
      <w:r>
        <w:rPr>
          <w:noProof/>
        </w:rPr>
        <w:t>Antwi and Rondon (2018); Gilligan, Baixeras and Brown (2018); Juszczak et al. (2013); Men et al. (2013) and Wiman and Stoven (2022)</w:t>
      </w:r>
      <w:r>
        <w:t xml:space="preserve">. </w:t>
      </w:r>
      <w:r>
        <w:rPr>
          <w:color w:val="000000" w:themeColor="text1"/>
        </w:rPr>
        <w:t>N</w:t>
      </w:r>
      <w:r w:rsidRPr="009B52CB" w:rsidDel="00A27961">
        <w:rPr>
          <w:color w:val="000000" w:themeColor="text1"/>
        </w:rPr>
        <w:t xml:space="preserve">o new information has been identified that would significantly change the risk ratings for distribution, establishment, spread </w:t>
      </w:r>
      <w:r w:rsidDel="00A27961">
        <w:rPr>
          <w:color w:val="000000" w:themeColor="text1"/>
        </w:rPr>
        <w:t>and</w:t>
      </w:r>
      <w:r w:rsidRPr="009B52CB" w:rsidDel="00A27961">
        <w:rPr>
          <w:color w:val="000000" w:themeColor="text1"/>
        </w:rPr>
        <w:t xml:space="preserve"> consequences as set out for </w:t>
      </w:r>
      <w:r w:rsidRPr="009B52CB" w:rsidDel="00A27961">
        <w:rPr>
          <w:i/>
          <w:color w:val="000000" w:themeColor="text1"/>
        </w:rPr>
        <w:t>C. pomonella</w:t>
      </w:r>
      <w:r w:rsidRPr="009B52CB" w:rsidDel="00A27961">
        <w:rPr>
          <w:color w:val="000000" w:themeColor="text1"/>
        </w:rPr>
        <w:t xml:space="preserve"> in the existing policies.</w:t>
      </w:r>
    </w:p>
    <w:p w14:paraId="57E6C3E8" w14:textId="77777777" w:rsidR="003438A2" w:rsidRPr="005F6521" w:rsidRDefault="003438A2" w:rsidP="00F843A1">
      <w:pPr>
        <w:pStyle w:val="Heading4"/>
        <w:numPr>
          <w:ilvl w:val="2"/>
          <w:numId w:val="25"/>
        </w:numPr>
        <w:tabs>
          <w:tab w:val="clear" w:pos="794"/>
          <w:tab w:val="num" w:pos="993"/>
        </w:tabs>
        <w:ind w:firstLine="199"/>
      </w:pPr>
      <w:r w:rsidRPr="005F6521">
        <w:t>Likelihood of entry</w:t>
      </w:r>
    </w:p>
    <w:p w14:paraId="4AF68A1A" w14:textId="77777777" w:rsidR="003438A2" w:rsidRPr="004A2E85" w:rsidRDefault="003438A2" w:rsidP="00C67856">
      <w:r w:rsidRPr="004A2E85">
        <w:t xml:space="preserve">The likelihood of entry is considered in </w:t>
      </w:r>
      <w:r>
        <w:t>2</w:t>
      </w:r>
      <w:r w:rsidRPr="004A2E85">
        <w:t xml:space="preserve"> parts, the likelihood of importation and the likelihood of distribution, which consider pre-border and post-border issues, respectively.</w:t>
      </w:r>
    </w:p>
    <w:p w14:paraId="6F1CD3B8" w14:textId="77777777" w:rsidR="003438A2" w:rsidRPr="00F51976" w:rsidRDefault="003438A2" w:rsidP="00C67856">
      <w:pPr>
        <w:pStyle w:val="Heading5"/>
      </w:pPr>
      <w:r w:rsidRPr="00BE7866">
        <w:t>Likelihood of importation</w:t>
      </w:r>
      <w:r w:rsidRPr="000A77D8">
        <w:t xml:space="preserve"> </w:t>
      </w:r>
    </w:p>
    <w:p w14:paraId="3FF3369A" w14:textId="77777777" w:rsidR="003438A2" w:rsidRPr="005D07A3" w:rsidRDefault="003438A2" w:rsidP="00C67856">
      <w:r w:rsidRPr="005D07A3">
        <w:t xml:space="preserve">The likelihood that </w:t>
      </w:r>
      <w:r w:rsidRPr="005D07A3">
        <w:rPr>
          <w:i/>
        </w:rPr>
        <w:t>C</w:t>
      </w:r>
      <w:r>
        <w:rPr>
          <w:i/>
        </w:rPr>
        <w:t>.</w:t>
      </w:r>
      <w:r w:rsidRPr="005D07A3">
        <w:rPr>
          <w:i/>
        </w:rPr>
        <w:t xml:space="preserve"> pomonella</w:t>
      </w:r>
      <w:r w:rsidRPr="005D07A3">
        <w:t xml:space="preserve"> will arrive in Western Australia with the importation of </w:t>
      </w:r>
      <w:r>
        <w:t>apples from the PNW-USA is assessed as Moderate</w:t>
      </w:r>
      <w:r w:rsidRPr="009F3D50">
        <w:t>.</w:t>
      </w:r>
    </w:p>
    <w:p w14:paraId="7082760D" w14:textId="77777777" w:rsidR="003438A2" w:rsidRPr="005D07A3" w:rsidRDefault="003438A2" w:rsidP="00C67856">
      <w:r w:rsidRPr="005D07A3">
        <w:lastRenderedPageBreak/>
        <w:t>The following information provides supporting evidence for this assessment</w:t>
      </w:r>
      <w:r>
        <w:t>.</w:t>
      </w:r>
    </w:p>
    <w:p w14:paraId="57F7D532" w14:textId="77777777" w:rsidR="003438A2" w:rsidRPr="0045798A" w:rsidRDefault="003438A2" w:rsidP="00C67856">
      <w:r w:rsidRPr="005D07A3">
        <w:rPr>
          <w:i/>
        </w:rPr>
        <w:t>Cydia pomonella</w:t>
      </w:r>
      <w:r w:rsidRPr="005D07A3">
        <w:t xml:space="preserve"> is </w:t>
      </w:r>
      <w:r>
        <w:t>a</w:t>
      </w:r>
      <w:r w:rsidRPr="005D07A3">
        <w:t xml:space="preserve"> key pest of apple in the PNW</w:t>
      </w:r>
      <w:r>
        <w:t>-USA.</w:t>
      </w:r>
    </w:p>
    <w:p w14:paraId="59BABE66" w14:textId="77777777" w:rsidR="003438A2" w:rsidRPr="005F2C18" w:rsidRDefault="003438A2" w:rsidP="003438A2">
      <w:pPr>
        <w:pStyle w:val="ListBullet"/>
        <w:numPr>
          <w:ilvl w:val="0"/>
          <w:numId w:val="15"/>
        </w:numPr>
      </w:pPr>
      <w:r w:rsidRPr="0002386F">
        <w:rPr>
          <w:i/>
        </w:rPr>
        <w:t>Cydia</w:t>
      </w:r>
      <w:r w:rsidRPr="005D07A3">
        <w:t xml:space="preserve"> </w:t>
      </w:r>
      <w:r w:rsidRPr="0002386F">
        <w:rPr>
          <w:i/>
        </w:rPr>
        <w:t>pomonella</w:t>
      </w:r>
      <w:r w:rsidRPr="005D07A3">
        <w:t xml:space="preserve"> is a pest of</w:t>
      </w:r>
      <w:r>
        <w:t xml:space="preserve"> pome fruit and one of the </w:t>
      </w:r>
      <w:r w:rsidRPr="009B52CB">
        <w:rPr>
          <w:color w:val="000000" w:themeColor="text1"/>
        </w:rPr>
        <w:t xml:space="preserve">most </w:t>
      </w:r>
      <w:r>
        <w:rPr>
          <w:color w:val="000000" w:themeColor="text1"/>
        </w:rPr>
        <w:t>destructive</w:t>
      </w:r>
      <w:r w:rsidRPr="009B52CB">
        <w:rPr>
          <w:color w:val="000000" w:themeColor="text1"/>
        </w:rPr>
        <w:t xml:space="preserve"> apple </w:t>
      </w:r>
      <w:r w:rsidRPr="00BB2EA9">
        <w:rPr>
          <w:color w:val="000000" w:themeColor="text1"/>
        </w:rPr>
        <w:t xml:space="preserve">pests in the world </w:t>
      </w:r>
      <w:r>
        <w:rPr>
          <w:noProof/>
          <w:color w:val="000000" w:themeColor="text1"/>
        </w:rPr>
        <w:t>(Jiang et al. 2018)</w:t>
      </w:r>
      <w:r w:rsidRPr="00BB2EA9">
        <w:t>.</w:t>
      </w:r>
    </w:p>
    <w:p w14:paraId="6C2723B9" w14:textId="77777777" w:rsidR="003438A2" w:rsidRDefault="003438A2" w:rsidP="003438A2">
      <w:pPr>
        <w:pStyle w:val="ListBullet"/>
        <w:numPr>
          <w:ilvl w:val="0"/>
          <w:numId w:val="15"/>
        </w:numPr>
      </w:pPr>
      <w:r w:rsidRPr="005D07A3">
        <w:rPr>
          <w:i/>
        </w:rPr>
        <w:t>Cydia pomonella</w:t>
      </w:r>
      <w:r w:rsidRPr="005D07A3">
        <w:t xml:space="preserve"> is </w:t>
      </w:r>
      <w:r>
        <w:t xml:space="preserve">reported to be </w:t>
      </w:r>
      <w:r w:rsidRPr="005D07A3">
        <w:t xml:space="preserve">the </w:t>
      </w:r>
      <w:r>
        <w:t xml:space="preserve">most serious insect pest of </w:t>
      </w:r>
      <w:r w:rsidRPr="005D07A3">
        <w:t>apple in the PNW</w:t>
      </w:r>
      <w:r>
        <w:t xml:space="preserve">-USA, especially in warmer and drier areas </w:t>
      </w:r>
      <w:r>
        <w:rPr>
          <w:noProof/>
        </w:rPr>
        <w:t>(Brunner et al. 2002; Wiman &amp; Stoven 2022)</w:t>
      </w:r>
      <w:r>
        <w:t>.</w:t>
      </w:r>
    </w:p>
    <w:p w14:paraId="349253CA" w14:textId="77777777" w:rsidR="003438A2" w:rsidRPr="00F957E5" w:rsidRDefault="003438A2" w:rsidP="0010177E">
      <w:pPr>
        <w:rPr>
          <w:lang w:eastAsia="en-AU"/>
        </w:rPr>
      </w:pPr>
      <w:r>
        <w:rPr>
          <w:lang w:eastAsia="en-AU"/>
        </w:rPr>
        <w:t>The</w:t>
      </w:r>
      <w:r w:rsidRPr="00F957E5">
        <w:rPr>
          <w:lang w:eastAsia="en-AU"/>
        </w:rPr>
        <w:t xml:space="preserve"> biology and life cycle of </w:t>
      </w:r>
      <w:r w:rsidRPr="00F957E5">
        <w:rPr>
          <w:i/>
          <w:lang w:eastAsia="en-AU"/>
        </w:rPr>
        <w:t>C. pomonella</w:t>
      </w:r>
      <w:r w:rsidRPr="00F957E5">
        <w:rPr>
          <w:lang w:eastAsia="en-AU"/>
        </w:rPr>
        <w:t xml:space="preserve"> </w:t>
      </w:r>
      <w:r>
        <w:rPr>
          <w:lang w:eastAsia="en-AU"/>
        </w:rPr>
        <w:t>is</w:t>
      </w:r>
      <w:r w:rsidRPr="00F957E5">
        <w:rPr>
          <w:lang w:eastAsia="en-AU"/>
        </w:rPr>
        <w:t xml:space="preserve"> </w:t>
      </w:r>
      <w:r>
        <w:rPr>
          <w:lang w:eastAsia="en-AU"/>
        </w:rPr>
        <w:t>closely associated with</w:t>
      </w:r>
      <w:r w:rsidRPr="00F957E5">
        <w:rPr>
          <w:lang w:eastAsia="en-AU"/>
        </w:rPr>
        <w:t xml:space="preserve"> apple</w:t>
      </w:r>
      <w:r>
        <w:rPr>
          <w:lang w:eastAsia="en-AU"/>
        </w:rPr>
        <w:t xml:space="preserve"> fruit.</w:t>
      </w:r>
    </w:p>
    <w:p w14:paraId="6CA52F4B" w14:textId="77777777" w:rsidR="003438A2" w:rsidRPr="006D15D1" w:rsidRDefault="003438A2" w:rsidP="003438A2">
      <w:pPr>
        <w:pStyle w:val="ListBullet"/>
        <w:numPr>
          <w:ilvl w:val="0"/>
          <w:numId w:val="15"/>
        </w:numPr>
        <w:autoSpaceDE w:val="0"/>
        <w:autoSpaceDN w:val="0"/>
        <w:adjustRightInd w:val="0"/>
        <w:spacing w:after="0"/>
        <w:rPr>
          <w:i/>
        </w:rPr>
      </w:pPr>
      <w:r>
        <w:t>It is reported that</w:t>
      </w:r>
      <w:r w:rsidRPr="00E177B8">
        <w:t xml:space="preserve"> volatiles from mature apple fruit stimulate oviposition of </w:t>
      </w:r>
      <w:r>
        <w:t xml:space="preserve">female </w:t>
      </w:r>
      <w:r w:rsidRPr="00E177B8">
        <w:t>codling moth</w:t>
      </w:r>
      <w:r>
        <w:t>s</w:t>
      </w:r>
      <w:r w:rsidRPr="00E177B8">
        <w:t xml:space="preserve"> and attract newly hatched codling moth larvae</w:t>
      </w:r>
      <w:r>
        <w:t xml:space="preserve"> </w:t>
      </w:r>
      <w:r>
        <w:rPr>
          <w:noProof/>
        </w:rPr>
        <w:t>(Yan et al. 2003)</w:t>
      </w:r>
      <w:r>
        <w:t xml:space="preserve">. </w:t>
      </w:r>
      <w:r w:rsidRPr="002A47CE">
        <w:t xml:space="preserve">Female </w:t>
      </w:r>
      <w:r w:rsidRPr="006D15D1">
        <w:rPr>
          <w:i/>
        </w:rPr>
        <w:t xml:space="preserve">C. pomonella </w:t>
      </w:r>
      <w:r w:rsidRPr="002A47CE">
        <w:t xml:space="preserve">lay their eggs on or near developing </w:t>
      </w:r>
      <w:r w:rsidRPr="001419EC">
        <w:t>fruits</w:t>
      </w:r>
      <w:r>
        <w:t xml:space="preserve"> </w:t>
      </w:r>
      <w:r w:rsidRPr="00A00283">
        <w:rPr>
          <w:noProof/>
          <w:lang w:eastAsia="en-AU"/>
        </w:rPr>
        <w:t>(CABI 2022)</w:t>
      </w:r>
      <w:r>
        <w:rPr>
          <w:lang w:eastAsia="en-AU"/>
        </w:rPr>
        <w:t>.</w:t>
      </w:r>
    </w:p>
    <w:p w14:paraId="181431F5" w14:textId="77777777" w:rsidR="003438A2" w:rsidRPr="005D07A3" w:rsidRDefault="003438A2" w:rsidP="003438A2">
      <w:pPr>
        <w:pStyle w:val="ListBullet"/>
        <w:numPr>
          <w:ilvl w:val="0"/>
          <w:numId w:val="15"/>
        </w:numPr>
      </w:pPr>
      <w:r>
        <w:t xml:space="preserve">In Washington, up to three generations of codling moths per year have been reported, which coincide with fruit development </w:t>
      </w:r>
      <w:r>
        <w:rPr>
          <w:noProof/>
        </w:rPr>
        <w:t>(Brunner 2018)</w:t>
      </w:r>
      <w:r>
        <w:t>.</w:t>
      </w:r>
    </w:p>
    <w:p w14:paraId="59CD3215" w14:textId="77777777" w:rsidR="003438A2" w:rsidRDefault="003438A2" w:rsidP="003438A2">
      <w:pPr>
        <w:pStyle w:val="ListBullet"/>
        <w:numPr>
          <w:ilvl w:val="0"/>
          <w:numId w:val="15"/>
        </w:numPr>
      </w:pPr>
      <w:r>
        <w:t>L</w:t>
      </w:r>
      <w:r w:rsidRPr="00F957E5">
        <w:rPr>
          <w:color w:val="000000" w:themeColor="text1"/>
        </w:rPr>
        <w:t xml:space="preserve">arvae of </w:t>
      </w:r>
      <w:r w:rsidRPr="00F957E5">
        <w:rPr>
          <w:i/>
          <w:color w:val="000000" w:themeColor="text1"/>
        </w:rPr>
        <w:t>C. pomonella</w:t>
      </w:r>
      <w:r w:rsidRPr="00F957E5">
        <w:rPr>
          <w:color w:val="000000" w:themeColor="text1"/>
        </w:rPr>
        <w:t xml:space="preserve"> may enter the fruit from any point o</w:t>
      </w:r>
      <w:r>
        <w:rPr>
          <w:color w:val="000000" w:themeColor="text1"/>
        </w:rPr>
        <w:t>n</w:t>
      </w:r>
      <w:r w:rsidRPr="00F957E5">
        <w:rPr>
          <w:color w:val="000000" w:themeColor="text1"/>
        </w:rPr>
        <w:t xml:space="preserve"> the surface, stem end or calyx end</w:t>
      </w:r>
      <w:r>
        <w:rPr>
          <w:color w:val="000000" w:themeColor="text1"/>
        </w:rPr>
        <w:t>,</w:t>
      </w:r>
      <w:r w:rsidRPr="00F957E5">
        <w:rPr>
          <w:color w:val="000000" w:themeColor="text1"/>
        </w:rPr>
        <w:t xml:space="preserve"> and </w:t>
      </w:r>
      <w:r>
        <w:t xml:space="preserve">feed by boring directly into the fruit </w:t>
      </w:r>
      <w:r>
        <w:rPr>
          <w:noProof/>
        </w:rPr>
        <w:t>(Brunner 2018; English 2001; University of California 2017; Wearing 2004; Wiman &amp; Stoven 2022)</w:t>
      </w:r>
      <w:r>
        <w:t>.</w:t>
      </w:r>
    </w:p>
    <w:p w14:paraId="300744AB" w14:textId="77777777" w:rsidR="003438A2" w:rsidRPr="007B0C74" w:rsidRDefault="003438A2" w:rsidP="00C67856">
      <w:pPr>
        <w:spacing w:before="120" w:after="120" w:line="240" w:lineRule="auto"/>
      </w:pPr>
      <w:r>
        <w:t>Current in-field practices and control methods are likely to reduce pest populations in orchards.</w:t>
      </w:r>
    </w:p>
    <w:p w14:paraId="21E22353" w14:textId="77777777" w:rsidR="003438A2" w:rsidRDefault="003438A2" w:rsidP="003438A2">
      <w:pPr>
        <w:pStyle w:val="ListBullet"/>
        <w:numPr>
          <w:ilvl w:val="0"/>
          <w:numId w:val="15"/>
        </w:numPr>
      </w:pPr>
      <w:r w:rsidRPr="00E3667C">
        <w:t>I</w:t>
      </w:r>
      <w:r>
        <w:t>n</w:t>
      </w:r>
      <w:r w:rsidRPr="00E3667C">
        <w:t xml:space="preserve"> </w:t>
      </w:r>
      <w:r>
        <w:t xml:space="preserve">the </w:t>
      </w:r>
      <w:r w:rsidRPr="00E3667C">
        <w:t>PNW-USA, the</w:t>
      </w:r>
      <w:r>
        <w:t xml:space="preserve"> activity of </w:t>
      </w:r>
      <w:r w:rsidRPr="007E58E3">
        <w:rPr>
          <w:i/>
          <w:iCs/>
        </w:rPr>
        <w:t>C. pomonella</w:t>
      </w:r>
      <w:r w:rsidRPr="00E3667C">
        <w:t xml:space="preserve"> </w:t>
      </w:r>
      <w:r>
        <w:t>can be</w:t>
      </w:r>
      <w:r w:rsidRPr="00E3667C">
        <w:t xml:space="preserve"> predicted by phenology models</w:t>
      </w:r>
      <w:r>
        <w:t xml:space="preserve"> or monitoring using pheromone traps </w:t>
      </w:r>
      <w:r>
        <w:rPr>
          <w:noProof/>
        </w:rPr>
        <w:t>(Wiman &amp; Stoven 2022)</w:t>
      </w:r>
      <w:r>
        <w:t>.</w:t>
      </w:r>
      <w:r w:rsidRPr="00E3667C">
        <w:t xml:space="preserve"> Using th</w:t>
      </w:r>
      <w:r>
        <w:t xml:space="preserve">ese methods, targeted insecticide applications and biocontrol releases can be used to manage adults, eggs and larvae in orchards </w:t>
      </w:r>
      <w:r>
        <w:rPr>
          <w:noProof/>
        </w:rPr>
        <w:t>(Wiman &amp; Stoven 2022)</w:t>
      </w:r>
      <w:r>
        <w:t>.</w:t>
      </w:r>
    </w:p>
    <w:p w14:paraId="7B71DA66" w14:textId="77777777" w:rsidR="003438A2" w:rsidRDefault="003438A2" w:rsidP="003438A2">
      <w:pPr>
        <w:pStyle w:val="ListBullet"/>
        <w:numPr>
          <w:ilvl w:val="0"/>
          <w:numId w:val="15"/>
        </w:numPr>
      </w:pPr>
      <w:r w:rsidRPr="00F05394">
        <w:t xml:space="preserve">Mating disruption </w:t>
      </w:r>
      <w:r>
        <w:t>may</w:t>
      </w:r>
      <w:r w:rsidRPr="00F05394">
        <w:t xml:space="preserve"> </w:t>
      </w:r>
      <w:r>
        <w:t xml:space="preserve">also be </w:t>
      </w:r>
      <w:r w:rsidRPr="00F05394">
        <w:t xml:space="preserve">used to manage </w:t>
      </w:r>
      <w:r w:rsidRPr="003356B9">
        <w:rPr>
          <w:i/>
        </w:rPr>
        <w:t>C. pomonella</w:t>
      </w:r>
      <w:r w:rsidRPr="00F05394">
        <w:t xml:space="preserve">. Pheromone </w:t>
      </w:r>
      <w:r>
        <w:t>dispensers</w:t>
      </w:r>
      <w:r w:rsidRPr="00F05394">
        <w:t xml:space="preserve"> placed in the orchard interfere with communication </w:t>
      </w:r>
      <w:r>
        <w:t>between</w:t>
      </w:r>
      <w:r w:rsidRPr="00F05394">
        <w:t xml:space="preserve"> female </w:t>
      </w:r>
      <w:r>
        <w:t>and</w:t>
      </w:r>
      <w:r w:rsidRPr="00F05394">
        <w:t xml:space="preserve"> male codling moth</w:t>
      </w:r>
      <w:r>
        <w:t>s,</w:t>
      </w:r>
      <w:r w:rsidRPr="00F05394">
        <w:t xml:space="preserve"> and this prevents or delays mating, reducing the number of eggs laid and crop damage. </w:t>
      </w:r>
      <w:r>
        <w:t>Dispensers</w:t>
      </w:r>
      <w:r w:rsidRPr="00F05394">
        <w:t xml:space="preserve"> are typically applied to trees at densities of </w:t>
      </w:r>
      <w:r>
        <w:t>50 to 100 per 1,000m</w:t>
      </w:r>
      <w:r>
        <w:rPr>
          <w:vertAlign w:val="superscript"/>
        </w:rPr>
        <w:t>2</w:t>
      </w:r>
      <w:r>
        <w:t xml:space="preserve"> </w:t>
      </w:r>
      <w:r>
        <w:rPr>
          <w:noProof/>
        </w:rPr>
        <w:t>(Wiman &amp; Stoven 2022)</w:t>
      </w:r>
      <w:r>
        <w:t>.</w:t>
      </w:r>
    </w:p>
    <w:p w14:paraId="59D4848C" w14:textId="77777777" w:rsidR="003438A2" w:rsidRDefault="003438A2" w:rsidP="00C67856">
      <w:r>
        <w:t xml:space="preserve">Some </w:t>
      </w:r>
      <w:r w:rsidRPr="005D07A3">
        <w:rPr>
          <w:i/>
        </w:rPr>
        <w:t>C.</w:t>
      </w:r>
      <w:r>
        <w:rPr>
          <w:i/>
        </w:rPr>
        <w:t> </w:t>
      </w:r>
      <w:r w:rsidRPr="005D07A3">
        <w:rPr>
          <w:i/>
        </w:rPr>
        <w:t xml:space="preserve">pomonella </w:t>
      </w:r>
      <w:r>
        <w:rPr>
          <w:iCs/>
        </w:rPr>
        <w:t xml:space="preserve">larvae </w:t>
      </w:r>
      <w:r>
        <w:t>may not be detected or removed d</w:t>
      </w:r>
      <w:r w:rsidRPr="005D07A3">
        <w:t>uring harvest</w:t>
      </w:r>
      <w:r>
        <w:t xml:space="preserve"> and post-harvest operations.</w:t>
      </w:r>
    </w:p>
    <w:p w14:paraId="48EDD4B0" w14:textId="77777777" w:rsidR="003438A2" w:rsidRDefault="003438A2" w:rsidP="003438A2">
      <w:pPr>
        <w:pStyle w:val="ListBullet"/>
        <w:numPr>
          <w:ilvl w:val="0"/>
          <w:numId w:val="15"/>
        </w:numPr>
      </w:pPr>
      <w:r w:rsidRPr="002A47CE">
        <w:t xml:space="preserve">After </w:t>
      </w:r>
      <w:r>
        <w:t>three to four</w:t>
      </w:r>
      <w:r w:rsidRPr="002A47CE">
        <w:t xml:space="preserve"> weeks</w:t>
      </w:r>
      <w:r>
        <w:t xml:space="preserve"> of feeding,</w:t>
      </w:r>
      <w:r w:rsidRPr="002A47CE">
        <w:t xml:space="preserve"> mature larvae leave the fruit by pushing out the frass </w:t>
      </w:r>
      <w:r>
        <w:t>from</w:t>
      </w:r>
      <w:r w:rsidRPr="002A47CE">
        <w:t xml:space="preserve"> the entry hole</w:t>
      </w:r>
      <w:r>
        <w:t xml:space="preserve"> </w:t>
      </w:r>
      <w:r>
        <w:rPr>
          <w:noProof/>
        </w:rPr>
        <w:t>(Wiman &amp; Stoven 2022)</w:t>
      </w:r>
      <w:r>
        <w:t xml:space="preserve">, </w:t>
      </w:r>
      <w:r w:rsidRPr="002A47CE">
        <w:t xml:space="preserve">or </w:t>
      </w:r>
      <w:r>
        <w:t>by creating</w:t>
      </w:r>
      <w:r w:rsidRPr="002A47CE">
        <w:t xml:space="preserve"> an exit hole</w:t>
      </w:r>
      <w:r>
        <w:t xml:space="preserve"> </w:t>
      </w:r>
      <w:bookmarkStart w:id="275" w:name="_Hlk109059521"/>
      <w:r w:rsidRPr="00A00283">
        <w:rPr>
          <w:noProof/>
          <w:lang w:eastAsia="en-AU"/>
        </w:rPr>
        <w:t>(CABI 2022)</w:t>
      </w:r>
      <w:bookmarkEnd w:id="275"/>
      <w:r>
        <w:rPr>
          <w:lang w:eastAsia="en-AU"/>
        </w:rPr>
        <w:t>.</w:t>
      </w:r>
      <w:r>
        <w:t xml:space="preserve"> This damage may cause premature fruit drop</w:t>
      </w:r>
      <w:r w:rsidRPr="009B52CB">
        <w:t xml:space="preserve"> and fruit rots</w:t>
      </w:r>
      <w:r>
        <w:t xml:space="preserve"> </w:t>
      </w:r>
      <w:r>
        <w:rPr>
          <w:noProof/>
        </w:rPr>
        <w:t>(Brunner 2018; DPIRD 2016; Wearing 2004)</w:t>
      </w:r>
      <w:r w:rsidRPr="009B52CB">
        <w:t>.</w:t>
      </w:r>
    </w:p>
    <w:p w14:paraId="67053801" w14:textId="77777777" w:rsidR="003438A2" w:rsidRPr="00402756" w:rsidRDefault="003438A2" w:rsidP="003438A2">
      <w:pPr>
        <w:pStyle w:val="ListBullet"/>
        <w:numPr>
          <w:ilvl w:val="0"/>
          <w:numId w:val="15"/>
        </w:numPr>
      </w:pPr>
      <w:r w:rsidRPr="00E67764">
        <w:rPr>
          <w:i/>
        </w:rPr>
        <w:t>Cydia pomonella</w:t>
      </w:r>
      <w:r w:rsidRPr="002A47CE">
        <w:t xml:space="preserve"> </w:t>
      </w:r>
      <w:r>
        <w:t xml:space="preserve">larvae may leave fruit prior to harvest to seek sheltered spots on the tree to spin cocoons and overwinter </w:t>
      </w:r>
      <w:r>
        <w:rPr>
          <w:noProof/>
        </w:rPr>
        <w:t>(Wiman &amp; Stoven 2022)</w:t>
      </w:r>
      <w:r>
        <w:t>.</w:t>
      </w:r>
    </w:p>
    <w:p w14:paraId="4E4276EC" w14:textId="77777777" w:rsidR="003438A2" w:rsidRDefault="003438A2" w:rsidP="003438A2">
      <w:pPr>
        <w:pStyle w:val="ListBullet"/>
        <w:numPr>
          <w:ilvl w:val="0"/>
          <w:numId w:val="15"/>
        </w:numPr>
        <w:autoSpaceDE w:val="0"/>
        <w:autoSpaceDN w:val="0"/>
        <w:adjustRightInd w:val="0"/>
        <w:spacing w:after="0"/>
      </w:pPr>
      <w:r>
        <w:t xml:space="preserve">Quality inspection in the packing house is likely to remove infested fruit with obvious symptoms. The entrance hole and frass can easily be detected </w:t>
      </w:r>
      <w:r>
        <w:rPr>
          <w:noProof/>
          <w:lang w:eastAsia="en-AU"/>
        </w:rPr>
        <w:t>(Curtis et al. 1992)</w:t>
      </w:r>
      <w:r>
        <w:rPr>
          <w:lang w:eastAsia="en-AU"/>
        </w:rPr>
        <w:t xml:space="preserve"> and d</w:t>
      </w:r>
      <w:r w:rsidRPr="00F957E5">
        <w:t>eep entr</w:t>
      </w:r>
      <w:r>
        <w:t>y holes</w:t>
      </w:r>
      <w:r w:rsidRPr="00F957E5">
        <w:t xml:space="preserve"> </w:t>
      </w:r>
      <w:r>
        <w:t>may enhance</w:t>
      </w:r>
      <w:r w:rsidRPr="000E1B1F">
        <w:t xml:space="preserve"> fruit rot</w:t>
      </w:r>
      <w:r>
        <w:t>.</w:t>
      </w:r>
    </w:p>
    <w:p w14:paraId="66D91F89" w14:textId="77777777" w:rsidR="003438A2" w:rsidRPr="00FF5743" w:rsidRDefault="003438A2" w:rsidP="003438A2">
      <w:pPr>
        <w:pStyle w:val="ListBullet"/>
        <w:numPr>
          <w:ilvl w:val="0"/>
          <w:numId w:val="15"/>
        </w:numPr>
      </w:pPr>
      <w:r w:rsidRPr="00FF5743">
        <w:t xml:space="preserve">On pome fruit, the larvae often enter through the calyx and bore </w:t>
      </w:r>
      <w:r>
        <w:t>into</w:t>
      </w:r>
      <w:r w:rsidRPr="00FF5743">
        <w:t xml:space="preserve"> the core of the fruit</w:t>
      </w:r>
      <w:r>
        <w:t xml:space="preserve"> </w:t>
      </w:r>
      <w:r>
        <w:rPr>
          <w:noProof/>
        </w:rPr>
        <w:t>(CABI 2022; Wiman &amp; Stoven 2022)</w:t>
      </w:r>
      <w:r>
        <w:t>.</w:t>
      </w:r>
      <w:r w:rsidRPr="00FF5743">
        <w:t xml:space="preserve"> </w:t>
      </w:r>
      <w:r w:rsidRPr="00090F47">
        <w:rPr>
          <w:i/>
        </w:rPr>
        <w:t xml:space="preserve">Cydia pomonella </w:t>
      </w:r>
      <w:r w:rsidRPr="00FF5743">
        <w:t>entr</w:t>
      </w:r>
      <w:r>
        <w:t>y holes</w:t>
      </w:r>
      <w:r w:rsidRPr="00FF5743">
        <w:t xml:space="preserve"> into the calyx are often difficult to detect without cutting into the fruit </w:t>
      </w:r>
      <w:r>
        <w:rPr>
          <w:noProof/>
        </w:rPr>
        <w:t>(English 2001)</w:t>
      </w:r>
      <w:r w:rsidRPr="00FF5743">
        <w:t>.</w:t>
      </w:r>
    </w:p>
    <w:p w14:paraId="329BC8E0" w14:textId="77777777" w:rsidR="003438A2" w:rsidRDefault="003438A2" w:rsidP="003438A2">
      <w:pPr>
        <w:pStyle w:val="ListBullet"/>
        <w:numPr>
          <w:ilvl w:val="0"/>
          <w:numId w:val="15"/>
        </w:numPr>
      </w:pPr>
      <w:r>
        <w:t>Because</w:t>
      </w:r>
      <w:r w:rsidRPr="007B0C74">
        <w:t xml:space="preserve"> codling moth larvae feed internally within the apple, they would not be removed by washing</w:t>
      </w:r>
      <w:r>
        <w:t>,</w:t>
      </w:r>
      <w:r w:rsidRPr="007B0C74">
        <w:t xml:space="preserve"> brushing</w:t>
      </w:r>
      <w:r>
        <w:t xml:space="preserve"> or waxing of the apple fruit.</w:t>
      </w:r>
    </w:p>
    <w:p w14:paraId="1D7607C1" w14:textId="77777777" w:rsidR="003438A2" w:rsidRDefault="003438A2" w:rsidP="00C67856">
      <w:pPr>
        <w:rPr>
          <w:rFonts w:ascii="Times New Roman" w:eastAsia="Times New Roman" w:hAnsi="Times New Roman" w:cs="Times New Roman"/>
          <w:sz w:val="24"/>
          <w:szCs w:val="24"/>
          <w:lang w:eastAsia="en-AU"/>
        </w:rPr>
      </w:pPr>
      <w:r>
        <w:t>L</w:t>
      </w:r>
      <w:r w:rsidRPr="00F957E5">
        <w:t>ar</w:t>
      </w:r>
      <w:r>
        <w:t>va</w:t>
      </w:r>
      <w:r w:rsidRPr="00F957E5">
        <w:t>e of</w:t>
      </w:r>
      <w:r>
        <w:rPr>
          <w:i/>
        </w:rPr>
        <w:t xml:space="preserve"> </w:t>
      </w:r>
      <w:r w:rsidRPr="005D07A3">
        <w:rPr>
          <w:i/>
        </w:rPr>
        <w:t>C</w:t>
      </w:r>
      <w:r>
        <w:rPr>
          <w:i/>
        </w:rPr>
        <w:t xml:space="preserve">. </w:t>
      </w:r>
      <w:r w:rsidRPr="005D07A3">
        <w:rPr>
          <w:i/>
        </w:rPr>
        <w:t xml:space="preserve">pomonella </w:t>
      </w:r>
      <w:r>
        <w:t>may</w:t>
      </w:r>
      <w:r w:rsidRPr="0055607E">
        <w:t xml:space="preserve"> survive cold </w:t>
      </w:r>
      <w:r>
        <w:t>temperatures during storage in the PNW-USA and transport to Australia</w:t>
      </w:r>
      <w:r w:rsidRPr="0055607E">
        <w:t>.</w:t>
      </w:r>
    </w:p>
    <w:p w14:paraId="54142A70" w14:textId="77777777" w:rsidR="003438A2" w:rsidRPr="00072B0E" w:rsidRDefault="003438A2" w:rsidP="00AF61AD">
      <w:pPr>
        <w:rPr>
          <w:rFonts w:eastAsia="Times New Roman" w:cs="Times New Roman"/>
          <w:color w:val="000000"/>
        </w:rPr>
      </w:pPr>
      <w:r w:rsidRPr="00072B0E">
        <w:rPr>
          <w:i/>
        </w:rPr>
        <w:lastRenderedPageBreak/>
        <w:t xml:space="preserve">Cydia pomonella </w:t>
      </w:r>
      <w:r w:rsidRPr="00F957E5">
        <w:t xml:space="preserve">larvae are </w:t>
      </w:r>
      <w:r>
        <w:t xml:space="preserve">cold tolerant, especially diapausing larvae that are able to overwinter in the soil, leaf litter and under bark in orchards at cold temperatures for up to several months </w:t>
      </w:r>
      <w:r w:rsidRPr="0050735C">
        <w:rPr>
          <w:noProof/>
        </w:rPr>
        <w:t>(Neven 1999)</w:t>
      </w:r>
      <w:r w:rsidRPr="0050735C">
        <w:t xml:space="preserve">. </w:t>
      </w:r>
      <w:r w:rsidRPr="0050735C">
        <w:rPr>
          <w:noProof/>
        </w:rPr>
        <w:t>Moffitt and Albano (1972)</w:t>
      </w:r>
      <w:r w:rsidRPr="0050735C">
        <w:t xml:space="preserve"> reported that diapausing larvae survived cold storage for 133 days at around 2°C. However, there is n</w:t>
      </w:r>
      <w:r>
        <w:t xml:space="preserve">o evidence of </w:t>
      </w:r>
      <w:r w:rsidRPr="001419EC">
        <w:rPr>
          <w:i/>
          <w:iCs/>
        </w:rPr>
        <w:t>C. pomonella</w:t>
      </w:r>
      <w:r>
        <w:t xml:space="preserve"> larvae diapausing within fruit </w:t>
      </w:r>
      <w:r w:rsidRPr="00CE40D1">
        <w:rPr>
          <w:noProof/>
        </w:rPr>
        <w:t>(Brunner 2018; Moffitt &amp; Albano 1972)</w:t>
      </w:r>
      <w:r>
        <w:t>.</w:t>
      </w:r>
    </w:p>
    <w:p w14:paraId="24ACF4CA" w14:textId="77777777" w:rsidR="003438A2" w:rsidRPr="008739E4" w:rsidRDefault="003438A2" w:rsidP="003438A2">
      <w:pPr>
        <w:pStyle w:val="ListBullet"/>
        <w:numPr>
          <w:ilvl w:val="0"/>
          <w:numId w:val="15"/>
        </w:numPr>
        <w:rPr>
          <w:rFonts w:eastAsia="Times New Roman" w:cs="Times New Roman"/>
          <w:color w:val="000000"/>
        </w:rPr>
      </w:pPr>
      <w:r>
        <w:t xml:space="preserve">Non-diapausing larvae in fruit are less cold tolerant than diapausing larvae, however, they are still able to tolerate cold temperatures for extended periods of time. </w:t>
      </w:r>
    </w:p>
    <w:p w14:paraId="1A37A4A7" w14:textId="77777777" w:rsidR="003438A2" w:rsidRPr="001419EC" w:rsidRDefault="003438A2" w:rsidP="003438A2">
      <w:pPr>
        <w:pStyle w:val="ListBullet"/>
        <w:numPr>
          <w:ilvl w:val="0"/>
          <w:numId w:val="15"/>
        </w:numPr>
      </w:pPr>
      <w:r>
        <w:t xml:space="preserve">Complete mortality of non-diapausing larvae of all stages was achieved in immature apples held in controlled atmosphere conditions and cold temperatures of 0°C ± 0.28°C for 13 weeks </w:t>
      </w:r>
      <w:r>
        <w:rPr>
          <w:noProof/>
        </w:rPr>
        <w:t>(Toba &amp; Moffitt 1991)</w:t>
      </w:r>
      <w:r>
        <w:t>.</w:t>
      </w:r>
    </w:p>
    <w:p w14:paraId="63B46824" w14:textId="77777777" w:rsidR="003438A2" w:rsidRPr="0050735C" w:rsidRDefault="00000000" w:rsidP="003438A2">
      <w:pPr>
        <w:pStyle w:val="ListBullet"/>
        <w:numPr>
          <w:ilvl w:val="0"/>
          <w:numId w:val="15"/>
        </w:numPr>
        <w:rPr>
          <w:rFonts w:eastAsia="Times New Roman" w:cs="Times New Roman"/>
          <w:color w:val="000000"/>
        </w:rPr>
      </w:pPr>
      <w:hyperlink w:anchor="_ENREF_887" w:tooltip="Yokoyama, 1989 #2394" w:history="1">
        <w:r w:rsidR="003438A2" w:rsidRPr="0031492A">
          <w:rPr>
            <w:noProof/>
          </w:rPr>
          <w:t xml:space="preserve">Yokoyama &amp; Miller </w:t>
        </w:r>
        <w:r w:rsidR="003438A2">
          <w:rPr>
            <w:noProof/>
          </w:rPr>
          <w:t>(</w:t>
        </w:r>
        <w:r w:rsidR="003438A2" w:rsidRPr="0031492A">
          <w:rPr>
            <w:noProof/>
          </w:rPr>
          <w:t>1989</w:t>
        </w:r>
      </w:hyperlink>
      <w:r w:rsidR="003438A2">
        <w:rPr>
          <w:noProof/>
        </w:rPr>
        <w:t xml:space="preserve">) showed that </w:t>
      </w:r>
      <w:r w:rsidR="003438A2">
        <w:t>c</w:t>
      </w:r>
      <w:r w:rsidR="003438A2" w:rsidRPr="0031492A">
        <w:t>omplete mortality of codling moth eggs was achieved after 14 days at 0</w:t>
      </w:r>
      <w:r w:rsidR="003438A2" w:rsidRPr="0031492A">
        <w:rPr>
          <w:rFonts w:cstheme="minorHAnsi"/>
        </w:rPr>
        <w:t>°</w:t>
      </w:r>
      <w:r w:rsidR="003438A2" w:rsidRPr="0031492A">
        <w:t xml:space="preserve">C, whereas only 30% mortality of </w:t>
      </w:r>
      <w:r w:rsidR="003438A2">
        <w:t xml:space="preserve">non-diapausing </w:t>
      </w:r>
      <w:r w:rsidR="003438A2" w:rsidRPr="0031492A">
        <w:t xml:space="preserve">fifth instar larvae </w:t>
      </w:r>
      <w:r w:rsidR="003438A2" w:rsidRPr="0050735C">
        <w:t>was achieved with exposure of 21 days at 0</w:t>
      </w:r>
      <w:r w:rsidR="003438A2" w:rsidRPr="0050735C">
        <w:rPr>
          <w:rFonts w:cstheme="minorHAnsi"/>
        </w:rPr>
        <w:t>°</w:t>
      </w:r>
      <w:r w:rsidR="003438A2" w:rsidRPr="0050735C">
        <w:t>C. Adults from larvae that survived 21 days at 0</w:t>
      </w:r>
      <w:r w:rsidR="003438A2" w:rsidRPr="0050735C">
        <w:rPr>
          <w:rFonts w:cstheme="minorHAnsi"/>
        </w:rPr>
        <w:t>°</w:t>
      </w:r>
      <w:r w:rsidR="003438A2" w:rsidRPr="0050735C">
        <w:t xml:space="preserve">C suffered no negative effects on fecundity. </w:t>
      </w:r>
    </w:p>
    <w:p w14:paraId="1B0C263D" w14:textId="77777777" w:rsidR="003438A2" w:rsidRPr="0050735C" w:rsidRDefault="003438A2" w:rsidP="00F4583C">
      <w:pPr>
        <w:pStyle w:val="ListBullet"/>
        <w:numPr>
          <w:ilvl w:val="0"/>
          <w:numId w:val="21"/>
        </w:numPr>
        <w:ind w:left="426" w:hanging="426"/>
        <w:rPr>
          <w:rFonts w:eastAsia="Times New Roman" w:cs="Times New Roman"/>
          <w:color w:val="000000"/>
        </w:rPr>
      </w:pPr>
      <w:r w:rsidRPr="0050735C">
        <w:rPr>
          <w:noProof/>
        </w:rPr>
        <w:t>Moffitt and Albano (1972)</w:t>
      </w:r>
      <w:r w:rsidRPr="0050735C">
        <w:t xml:space="preserve"> showed that nearly all non-diapausing larvae and pupae died after only 30 days and 60 days, respectively, at 2°C. </w:t>
      </w:r>
    </w:p>
    <w:p w14:paraId="3C23C0FC" w14:textId="77777777" w:rsidR="003438A2" w:rsidRPr="00A35345" w:rsidRDefault="003438A2" w:rsidP="003438A2">
      <w:pPr>
        <w:pStyle w:val="ListBullet"/>
        <w:numPr>
          <w:ilvl w:val="0"/>
          <w:numId w:val="15"/>
        </w:numPr>
        <w:rPr>
          <w:rFonts w:eastAsia="Times New Roman" w:cs="Times New Roman"/>
          <w:color w:val="000000"/>
        </w:rPr>
      </w:pPr>
      <w:r w:rsidRPr="0050735C">
        <w:rPr>
          <w:rFonts w:eastAsia="Times New Roman" w:cs="Times New Roman"/>
          <w:color w:val="000000"/>
        </w:rPr>
        <w:t>Harvested apples are normally stored and transported at temperatures of 0</w:t>
      </w:r>
      <w:r w:rsidRPr="0050735C">
        <w:rPr>
          <w:rFonts w:cstheme="minorHAnsi"/>
        </w:rPr>
        <w:t>°C</w:t>
      </w:r>
      <w:r w:rsidRPr="0050735C">
        <w:rPr>
          <w:rFonts w:eastAsia="Times New Roman" w:cs="Times New Roman"/>
          <w:color w:val="000000"/>
        </w:rPr>
        <w:t xml:space="preserve"> to 2</w:t>
      </w:r>
      <w:r w:rsidRPr="0050735C">
        <w:rPr>
          <w:rFonts w:cstheme="minorHAnsi"/>
        </w:rPr>
        <w:t>°</w:t>
      </w:r>
      <w:r w:rsidRPr="0050735C">
        <w:t xml:space="preserve">C </w:t>
      </w:r>
      <w:r w:rsidRPr="0050735C">
        <w:rPr>
          <w:noProof/>
        </w:rPr>
        <w:t>(Kupferman 1996; WSU Tree Fruit 2021c)</w:t>
      </w:r>
      <w:r w:rsidRPr="0050735C">
        <w:t>.</w:t>
      </w:r>
      <w:r w:rsidRPr="0050735C">
        <w:rPr>
          <w:rFonts w:eastAsia="Times New Roman" w:cs="Times New Roman"/>
          <w:color w:val="000000"/>
        </w:rPr>
        <w:t xml:space="preserve"> </w:t>
      </w:r>
      <w:r w:rsidRPr="0050735C">
        <w:t xml:space="preserve">Storage time may vary from one day to more than 11 months </w:t>
      </w:r>
      <w:r w:rsidRPr="0050735C">
        <w:rPr>
          <w:noProof/>
        </w:rPr>
        <w:t>(Kupferman 1996)</w:t>
      </w:r>
      <w:r w:rsidRPr="0050735C">
        <w:t>. Sea freight</w:t>
      </w:r>
      <w:r w:rsidRPr="00034BDC">
        <w:t xml:space="preserve"> will be the more common method of transport of apples from the PNW-USA to Australia and will take about five weeks. </w:t>
      </w:r>
      <w:r>
        <w:t>L</w:t>
      </w:r>
      <w:r w:rsidRPr="00034BDC">
        <w:t xml:space="preserve">arvae of </w:t>
      </w:r>
      <w:r w:rsidRPr="00A35345">
        <w:rPr>
          <w:i/>
        </w:rPr>
        <w:t>C. pomonella</w:t>
      </w:r>
      <w:r w:rsidRPr="00A35345">
        <w:rPr>
          <w:iCs/>
        </w:rPr>
        <w:t>, if present in imported apples from the PNW-USA,</w:t>
      </w:r>
      <w:r w:rsidRPr="00A35345">
        <w:rPr>
          <w:i/>
        </w:rPr>
        <w:t xml:space="preserve"> </w:t>
      </w:r>
      <w:r>
        <w:t xml:space="preserve">may </w:t>
      </w:r>
      <w:r w:rsidRPr="00034BDC">
        <w:t xml:space="preserve">survive such cold temperatures </w:t>
      </w:r>
      <w:r>
        <w:t>during storage and transport.</w:t>
      </w:r>
    </w:p>
    <w:p w14:paraId="42AF60AF" w14:textId="77777777" w:rsidR="003438A2" w:rsidRDefault="003438A2" w:rsidP="00C67856">
      <w:pPr>
        <w:spacing w:before="240"/>
      </w:pPr>
      <w:r w:rsidRPr="005D07A3">
        <w:rPr>
          <w:i/>
        </w:rPr>
        <w:t>C</w:t>
      </w:r>
      <w:r>
        <w:rPr>
          <w:i/>
        </w:rPr>
        <w:t xml:space="preserve">ydia </w:t>
      </w:r>
      <w:r w:rsidRPr="005D07A3">
        <w:rPr>
          <w:i/>
        </w:rPr>
        <w:t xml:space="preserve">pomonella </w:t>
      </w:r>
      <w:r>
        <w:t xml:space="preserve">is an economically important pest of apple fruit in the PNW-USA. </w:t>
      </w:r>
      <w:r w:rsidRPr="005A4662">
        <w:rPr>
          <w:i/>
        </w:rPr>
        <w:t>C</w:t>
      </w:r>
      <w:r>
        <w:rPr>
          <w:i/>
        </w:rPr>
        <w:t>ydia</w:t>
      </w:r>
      <w:r w:rsidRPr="005A4662">
        <w:rPr>
          <w:i/>
        </w:rPr>
        <w:t xml:space="preserve"> pomonella</w:t>
      </w:r>
      <w:r>
        <w:t xml:space="preserve"> undergoes multiple generations per year that coincide with apple fruit development. However, codling moth populations are typically well managed in apple orchards in the PNW-USA. Fruit with obvious symptoms are likely to be detected and removed during harvest and packing house processes. Larvae that have entered the fruit via the calyx may not be detected or removed during harvest and post-harvest processes. Larvae may survive cold temperatures during storage and transportation for an extended period of time. For the reasons outlined, the likelihood of importation of </w:t>
      </w:r>
      <w:r w:rsidRPr="00F957E5">
        <w:rPr>
          <w:i/>
        </w:rPr>
        <w:t>C. pomonella</w:t>
      </w:r>
      <w:r>
        <w:t xml:space="preserve"> on apples from the PNW-USA is assessed as Moderate.</w:t>
      </w:r>
    </w:p>
    <w:p w14:paraId="5D1CEAF2" w14:textId="77777777" w:rsidR="003438A2" w:rsidRDefault="003438A2" w:rsidP="00C67856">
      <w:pPr>
        <w:pStyle w:val="Heading5"/>
      </w:pPr>
      <w:r w:rsidRPr="00A3009B">
        <w:t>Likelihood of distribution</w:t>
      </w:r>
    </w:p>
    <w:p w14:paraId="396E29CB" w14:textId="77777777" w:rsidR="003438A2" w:rsidRPr="00175958" w:rsidRDefault="003438A2" w:rsidP="00C67856">
      <w:r w:rsidRPr="00A3009B">
        <w:t xml:space="preserve">The likelihood that </w:t>
      </w:r>
      <w:r w:rsidRPr="00A40703">
        <w:rPr>
          <w:i/>
          <w:iCs/>
        </w:rPr>
        <w:t>C. pomonella</w:t>
      </w:r>
      <w:r>
        <w:t xml:space="preserve"> </w:t>
      </w:r>
      <w:r w:rsidRPr="00A3009B">
        <w:t xml:space="preserve">will be distributed within Australia in a viable state as a result of the processing, sale or disposal of apples from the PNW-USA, and subsequently transfer to a susceptible part of a host is considered to be similar to </w:t>
      </w:r>
      <w:r w:rsidRPr="00A40703">
        <w:rPr>
          <w:i/>
          <w:iCs/>
        </w:rPr>
        <w:t>C. pomonella</w:t>
      </w:r>
      <w:r>
        <w:t xml:space="preserve"> </w:t>
      </w:r>
      <w:r w:rsidRPr="00A3009B">
        <w:rPr>
          <w:iCs/>
        </w:rPr>
        <w:t xml:space="preserve">on </w:t>
      </w:r>
      <w:r>
        <w:t>apples from China and New Zealand</w:t>
      </w:r>
      <w:r w:rsidRPr="00A3009B">
        <w:t xml:space="preserve">. Therefore, the same rating of </w:t>
      </w:r>
      <w:r>
        <w:t>Moderate</w:t>
      </w:r>
      <w:r w:rsidRPr="00A3009B">
        <w:t xml:space="preserve"> for the likelihood of distribution previously assessed for </w:t>
      </w:r>
      <w:r w:rsidRPr="00A40703">
        <w:rPr>
          <w:i/>
          <w:iCs/>
        </w:rPr>
        <w:t>C. pomonella</w:t>
      </w:r>
      <w:r>
        <w:t xml:space="preserve"> </w:t>
      </w:r>
      <w:r w:rsidRPr="00A3009B">
        <w:rPr>
          <w:iCs/>
        </w:rPr>
        <w:t>on</w:t>
      </w:r>
      <w:r>
        <w:rPr>
          <w:iCs/>
        </w:rPr>
        <w:t xml:space="preserve"> the</w:t>
      </w:r>
      <w:r w:rsidRPr="00A3009B">
        <w:rPr>
          <w:iCs/>
        </w:rPr>
        <w:t xml:space="preserve"> </w:t>
      </w:r>
      <w:r>
        <w:t>apples from China and New Zealand pathways</w:t>
      </w:r>
      <w:r w:rsidRPr="00A3009B">
        <w:rPr>
          <w:iCs/>
        </w:rPr>
        <w:t xml:space="preserve"> is adopted for </w:t>
      </w:r>
      <w:r w:rsidRPr="00A40703">
        <w:rPr>
          <w:i/>
        </w:rPr>
        <w:t>C. pomonella</w:t>
      </w:r>
      <w:r>
        <w:rPr>
          <w:iCs/>
        </w:rPr>
        <w:t xml:space="preserve"> </w:t>
      </w:r>
      <w:r w:rsidRPr="00A3009B">
        <w:rPr>
          <w:iCs/>
        </w:rPr>
        <w:t xml:space="preserve">on </w:t>
      </w:r>
      <w:r>
        <w:rPr>
          <w:iCs/>
        </w:rPr>
        <w:t xml:space="preserve">the </w:t>
      </w:r>
      <w:r w:rsidRPr="00A3009B">
        <w:rPr>
          <w:iCs/>
        </w:rPr>
        <w:t xml:space="preserve">apples from PNW-USA pathway. </w:t>
      </w:r>
    </w:p>
    <w:p w14:paraId="52462F74" w14:textId="77777777" w:rsidR="003438A2" w:rsidRDefault="003438A2" w:rsidP="00C67856">
      <w:pPr>
        <w:pStyle w:val="Heading5"/>
      </w:pPr>
      <w:r>
        <w:t>Overall likelihood of entry</w:t>
      </w:r>
    </w:p>
    <w:p w14:paraId="699765C1" w14:textId="77777777" w:rsidR="003438A2" w:rsidRPr="009B52CB" w:rsidRDefault="003438A2" w:rsidP="00C67856">
      <w:r>
        <w:t xml:space="preserve">The overall likelihood of entry is determined as Low by combining the adopted likelihood of importation of Moderate with the adopted likelihood of distribution of Moderate, </w:t>
      </w:r>
      <w:r w:rsidRPr="00945121">
        <w:rPr>
          <w:rFonts w:cstheme="minorHAnsi"/>
        </w:rPr>
        <w:t xml:space="preserve">using the matrix of rules in </w:t>
      </w:r>
      <w:r>
        <w:rPr>
          <w:rFonts w:cstheme="minorHAnsi"/>
        </w:rPr>
        <w:fldChar w:fldCharType="begin" w:fldLock="1"/>
      </w:r>
      <w:r>
        <w:rPr>
          <w:rFonts w:cstheme="minorHAnsi"/>
        </w:rPr>
        <w:instrText xml:space="preserve"> REF _Ref457826328 \h </w:instrText>
      </w:r>
      <w:r>
        <w:rPr>
          <w:rFonts w:cstheme="minorHAnsi"/>
        </w:rPr>
      </w:r>
      <w:r>
        <w:rPr>
          <w:rFonts w:cstheme="minorHAnsi"/>
        </w:rPr>
        <w:fldChar w:fldCharType="separate"/>
      </w:r>
      <w:r w:rsidRPr="00DB5F8D">
        <w:t xml:space="preserve">Table </w:t>
      </w:r>
      <w:r>
        <w:rPr>
          <w:noProof/>
        </w:rPr>
        <w:t>2</w:t>
      </w:r>
      <w:r>
        <w:t>.</w:t>
      </w:r>
      <w:r>
        <w:rPr>
          <w:noProof/>
        </w:rPr>
        <w:t>2</w:t>
      </w:r>
      <w:r>
        <w:rPr>
          <w:rFonts w:cstheme="minorHAnsi"/>
        </w:rPr>
        <w:fldChar w:fldCharType="end"/>
      </w:r>
      <w:r>
        <w:t>.</w:t>
      </w:r>
    </w:p>
    <w:p w14:paraId="70279D8A" w14:textId="77777777" w:rsidR="003438A2" w:rsidRPr="00826514" w:rsidRDefault="003438A2" w:rsidP="00F843A1">
      <w:pPr>
        <w:pStyle w:val="Heading4"/>
        <w:numPr>
          <w:ilvl w:val="2"/>
          <w:numId w:val="25"/>
        </w:numPr>
        <w:tabs>
          <w:tab w:val="clear" w:pos="794"/>
          <w:tab w:val="num" w:pos="993"/>
        </w:tabs>
        <w:ind w:firstLine="199"/>
      </w:pPr>
      <w:r w:rsidRPr="00826514">
        <w:lastRenderedPageBreak/>
        <w:t>Likelihood</w:t>
      </w:r>
      <w:r>
        <w:t>s</w:t>
      </w:r>
      <w:r w:rsidRPr="00826514">
        <w:t xml:space="preserve"> of establishment and spread</w:t>
      </w:r>
    </w:p>
    <w:p w14:paraId="3AD39DB6" w14:textId="77777777" w:rsidR="003438A2" w:rsidRDefault="003438A2" w:rsidP="00C67856">
      <w:r w:rsidRPr="009B52CB">
        <w:t xml:space="preserve">The likelihoods of establishment and spread of </w:t>
      </w:r>
      <w:r w:rsidRPr="009B52CB">
        <w:rPr>
          <w:i/>
        </w:rPr>
        <w:t xml:space="preserve">C. pomonella </w:t>
      </w:r>
      <w:r w:rsidRPr="009B52CB">
        <w:t>in Western Australia f</w:t>
      </w:r>
      <w:r>
        <w:t>or</w:t>
      </w:r>
      <w:r w:rsidRPr="009B52CB">
        <w:t xml:space="preserve"> the PNW-USA apple pathway </w:t>
      </w:r>
      <w:r>
        <w:t>have been assessed as</w:t>
      </w:r>
      <w:r w:rsidRPr="009B52CB">
        <w:t xml:space="preserve"> similar to those of </w:t>
      </w:r>
      <w:r>
        <w:t xml:space="preserve">the </w:t>
      </w:r>
      <w:r w:rsidRPr="009B52CB">
        <w:t xml:space="preserve">previous assessments </w:t>
      </w:r>
      <w:r w:rsidRPr="009B52CB">
        <w:rPr>
          <w:rFonts w:cs="Arial"/>
        </w:rPr>
        <w:t xml:space="preserve">of </w:t>
      </w:r>
      <w:r>
        <w:rPr>
          <w:iCs/>
        </w:rPr>
        <w:t>High and High, respectively,</w:t>
      </w:r>
      <w:r w:rsidRPr="009B52CB">
        <w:t xml:space="preserve"> for </w:t>
      </w:r>
      <w:r w:rsidRPr="009B52CB">
        <w:rPr>
          <w:i/>
        </w:rPr>
        <w:t xml:space="preserve">C. pomonella </w:t>
      </w:r>
      <w:r>
        <w:rPr>
          <w:iCs/>
        </w:rPr>
        <w:t xml:space="preserve">on </w:t>
      </w:r>
      <w:r>
        <w:t>apples from</w:t>
      </w:r>
      <w:r w:rsidRPr="009B52CB">
        <w:t xml:space="preserve"> China</w:t>
      </w:r>
      <w:r>
        <w:t xml:space="preserve"> and New Zealand</w:t>
      </w:r>
      <w:r w:rsidRPr="009B52CB">
        <w:t>. Th</w:t>
      </w:r>
      <w:r>
        <w:t>e</w:t>
      </w:r>
      <w:r w:rsidRPr="009B52CB">
        <w:t xml:space="preserve">se likelihoods relate specifically to events that occur in Australia and are </w:t>
      </w:r>
      <w:r>
        <w:t>principally</w:t>
      </w:r>
      <w:r w:rsidRPr="009B52CB">
        <w:t xml:space="preserve"> independent of the import pathway. </w:t>
      </w:r>
    </w:p>
    <w:p w14:paraId="63561C37" w14:textId="77777777" w:rsidR="003438A2" w:rsidRPr="002306B4" w:rsidRDefault="003438A2" w:rsidP="00F843A1">
      <w:pPr>
        <w:pStyle w:val="Heading4"/>
        <w:numPr>
          <w:ilvl w:val="2"/>
          <w:numId w:val="25"/>
        </w:numPr>
        <w:ind w:firstLine="199"/>
      </w:pPr>
      <w:r w:rsidRPr="002306B4">
        <w:t>Overall likelihood of entry, establishment and spread</w:t>
      </w:r>
    </w:p>
    <w:p w14:paraId="798566A8" w14:textId="77777777" w:rsidR="003438A2" w:rsidRPr="002306B4" w:rsidRDefault="003438A2" w:rsidP="00C67856">
      <w:pPr>
        <w:autoSpaceDE w:val="0"/>
        <w:autoSpaceDN w:val="0"/>
        <w:adjustRightInd w:val="0"/>
      </w:pPr>
      <w:r w:rsidRPr="002306B4">
        <w:t xml:space="preserve">The overall likelihood of entry, establishment and spread is determined by combining the likelihoods of entry, of establishment and of spread using the matrix of rules shown in </w:t>
      </w:r>
      <w:r>
        <w:fldChar w:fldCharType="begin" w:fldLock="1"/>
      </w:r>
      <w:r>
        <w:instrText xml:space="preserve"> REF _Ref457826328 \h </w:instrText>
      </w:r>
      <w:r>
        <w:fldChar w:fldCharType="separate"/>
      </w:r>
      <w:r w:rsidRPr="00DB5F8D">
        <w:t xml:space="preserve">Table </w:t>
      </w:r>
      <w:r>
        <w:rPr>
          <w:noProof/>
        </w:rPr>
        <w:t>2</w:t>
      </w:r>
      <w:r>
        <w:t>.</w:t>
      </w:r>
      <w:r>
        <w:rPr>
          <w:noProof/>
        </w:rPr>
        <w:t>2</w:t>
      </w:r>
      <w:r>
        <w:fldChar w:fldCharType="end"/>
      </w:r>
    </w:p>
    <w:p w14:paraId="0DC044D4" w14:textId="77777777" w:rsidR="003438A2" w:rsidRPr="002306B4" w:rsidRDefault="003438A2" w:rsidP="00C67856">
      <w:pPr>
        <w:autoSpaceDE w:val="0"/>
        <w:autoSpaceDN w:val="0"/>
        <w:adjustRightInd w:val="0"/>
        <w:rPr>
          <w:rFonts w:cstheme="minorHAnsi"/>
        </w:rPr>
      </w:pPr>
      <w:r w:rsidRPr="002306B4">
        <w:t xml:space="preserve">The overall likelihood that </w:t>
      </w:r>
      <w:r w:rsidRPr="009B52CB">
        <w:rPr>
          <w:i/>
        </w:rPr>
        <w:t xml:space="preserve">C. pomonella </w:t>
      </w:r>
      <w:r w:rsidRPr="002306B4">
        <w:t xml:space="preserve">will enter </w:t>
      </w:r>
      <w:r>
        <w:t xml:space="preserve">Western </w:t>
      </w:r>
      <w:r w:rsidRPr="002306B4">
        <w:t xml:space="preserve">Australia as a result of trade in apples from the PNW-USA, be distributed in a viable state to a susceptible part of a host, establish in </w:t>
      </w:r>
      <w:r>
        <w:t xml:space="preserve">Western </w:t>
      </w:r>
      <w:r w:rsidRPr="002306B4">
        <w:t xml:space="preserve">Australia and subsequently spread within </w:t>
      </w:r>
      <w:r>
        <w:t xml:space="preserve">Western </w:t>
      </w:r>
      <w:r w:rsidRPr="002306B4">
        <w:t xml:space="preserve">Australia is assessed as </w:t>
      </w:r>
      <w:r w:rsidRPr="00C731B9">
        <w:t>Low</w:t>
      </w:r>
      <w:r w:rsidRPr="002306B4">
        <w:rPr>
          <w:rFonts w:cstheme="minorHAnsi"/>
        </w:rPr>
        <w:t>.</w:t>
      </w:r>
    </w:p>
    <w:p w14:paraId="241D2DFE" w14:textId="77777777" w:rsidR="003438A2" w:rsidRPr="00A3009B" w:rsidRDefault="003438A2" w:rsidP="00F843A1">
      <w:pPr>
        <w:pStyle w:val="Heading4"/>
        <w:numPr>
          <w:ilvl w:val="2"/>
          <w:numId w:val="25"/>
        </w:numPr>
        <w:ind w:firstLine="199"/>
      </w:pPr>
      <w:r w:rsidRPr="00A3009B">
        <w:t>Consequences</w:t>
      </w:r>
    </w:p>
    <w:p w14:paraId="0E7A2CDD" w14:textId="77777777" w:rsidR="003438A2" w:rsidRPr="009D4955" w:rsidRDefault="003438A2" w:rsidP="009D4955">
      <w:pPr>
        <w:autoSpaceDE w:val="0"/>
        <w:autoSpaceDN w:val="0"/>
        <w:adjustRightInd w:val="0"/>
        <w:rPr>
          <w:rFonts w:cstheme="minorHAnsi"/>
        </w:rPr>
      </w:pPr>
      <w:r w:rsidRPr="00A3009B">
        <w:t xml:space="preserve">The potential consequences of the entry, establishment and spread of </w:t>
      </w:r>
      <w:r w:rsidRPr="009B52CB">
        <w:rPr>
          <w:i/>
        </w:rPr>
        <w:t xml:space="preserve">C. pomonella </w:t>
      </w:r>
      <w:r w:rsidRPr="00A3009B">
        <w:t>in Australia are similar to those in the previous assessment</w:t>
      </w:r>
      <w:r>
        <w:t>s</w:t>
      </w:r>
      <w:r w:rsidRPr="00A3009B">
        <w:t xml:space="preserve"> for </w:t>
      </w:r>
      <w:r w:rsidRPr="009B52CB">
        <w:rPr>
          <w:i/>
        </w:rPr>
        <w:t xml:space="preserve">C. pomonella </w:t>
      </w:r>
      <w:r w:rsidRPr="00A3009B">
        <w:t xml:space="preserve">on </w:t>
      </w:r>
      <w:r>
        <w:t>apples</w:t>
      </w:r>
      <w:r w:rsidRPr="00AA0BFC">
        <w:t xml:space="preserve"> from </w:t>
      </w:r>
      <w:r>
        <w:t>China and New Zealand</w:t>
      </w:r>
      <w:r w:rsidRPr="00A3009B">
        <w:t xml:space="preserve">, which were assessed as </w:t>
      </w:r>
      <w:r>
        <w:t>Moderate and Moderate, respectively</w:t>
      </w:r>
      <w:r w:rsidRPr="00A3009B">
        <w:t xml:space="preserve">. The overall consequences for </w:t>
      </w:r>
      <w:r w:rsidRPr="009B52CB">
        <w:rPr>
          <w:i/>
        </w:rPr>
        <w:t xml:space="preserve">C. pomonella </w:t>
      </w:r>
      <w:r w:rsidRPr="00A3009B">
        <w:t>on</w:t>
      </w:r>
      <w:r>
        <w:t xml:space="preserve"> the</w:t>
      </w:r>
      <w:r w:rsidRPr="00A3009B">
        <w:t xml:space="preserve"> apples from PNW-USA pathway are also assessed as </w:t>
      </w:r>
      <w:r>
        <w:t>Moderate</w:t>
      </w:r>
      <w:r w:rsidRPr="00A3009B">
        <w:t>.</w:t>
      </w:r>
    </w:p>
    <w:p w14:paraId="0017C79F" w14:textId="77777777" w:rsidR="003438A2" w:rsidRPr="00C35FD7" w:rsidRDefault="003438A2" w:rsidP="00F843A1">
      <w:pPr>
        <w:pStyle w:val="Heading4"/>
        <w:numPr>
          <w:ilvl w:val="2"/>
          <w:numId w:val="25"/>
        </w:numPr>
        <w:tabs>
          <w:tab w:val="clear" w:pos="794"/>
          <w:tab w:val="num" w:pos="1929"/>
        </w:tabs>
        <w:ind w:left="1786"/>
      </w:pPr>
      <w:r w:rsidRPr="00C35FD7">
        <w:t>Unrestricted risk estimate</w:t>
      </w:r>
    </w:p>
    <w:p w14:paraId="2B51CE1E" w14:textId="77777777" w:rsidR="003438A2" w:rsidRPr="00945121" w:rsidRDefault="003438A2" w:rsidP="00C67856">
      <w:r w:rsidRPr="00945121">
        <w:t xml:space="preserve">Unrestricted risk is the result of combining the </w:t>
      </w:r>
      <w:r>
        <w:t xml:space="preserve">overall </w:t>
      </w:r>
      <w:r w:rsidRPr="00945121">
        <w:t xml:space="preserve">likelihood of entry, establishment and spread with the outcome of overall consequences. </w:t>
      </w:r>
      <w:r>
        <w:t>The overall likelihood</w:t>
      </w:r>
      <w:r w:rsidRPr="00945121">
        <w:t xml:space="preserve"> and consequences are combined using the risk estimation matrix shown in </w:t>
      </w:r>
      <w:r>
        <w:fldChar w:fldCharType="begin" w:fldLock="1"/>
      </w:r>
      <w:r>
        <w:instrText xml:space="preserve"> REF _Ref457826369 \h </w:instrText>
      </w:r>
      <w:r>
        <w:fldChar w:fldCharType="separate"/>
      </w:r>
      <w:r>
        <w:t xml:space="preserve">Table </w:t>
      </w:r>
      <w:r>
        <w:rPr>
          <w:noProof/>
        </w:rPr>
        <w:t>2</w:t>
      </w:r>
      <w:r>
        <w:t>.</w:t>
      </w:r>
      <w:r>
        <w:rPr>
          <w:noProof/>
        </w:rPr>
        <w:t>5</w:t>
      </w:r>
      <w:r>
        <w:fldChar w:fldCharType="end"/>
      </w:r>
      <w:r w:rsidRPr="00945121">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3438A2" w:rsidRPr="00A3009B" w14:paraId="1CABF56C" w14:textId="77777777" w:rsidTr="00EF0A05">
        <w:trPr>
          <w:trHeight w:val="423"/>
        </w:trPr>
        <w:tc>
          <w:tcPr>
            <w:tcW w:w="5000" w:type="pct"/>
            <w:gridSpan w:val="2"/>
            <w:tcBorders>
              <w:top w:val="single" w:sz="4" w:space="0" w:color="auto"/>
              <w:bottom w:val="single" w:sz="4" w:space="0" w:color="auto"/>
            </w:tcBorders>
            <w:shd w:val="clear" w:color="auto" w:fill="auto"/>
          </w:tcPr>
          <w:p w14:paraId="7C5D26F1" w14:textId="77777777" w:rsidR="003438A2" w:rsidRPr="00A3009B" w:rsidRDefault="003438A2" w:rsidP="00EF0A05">
            <w:pPr>
              <w:pStyle w:val="TableHeading"/>
            </w:pPr>
            <w:r w:rsidRPr="00A3009B">
              <w:t xml:space="preserve">Unrestricted risk estimate for </w:t>
            </w:r>
            <w:r w:rsidRPr="00A24EC0">
              <w:rPr>
                <w:i/>
                <w:iCs/>
              </w:rPr>
              <w:t>Cydia pomonella</w:t>
            </w:r>
          </w:p>
        </w:tc>
      </w:tr>
      <w:tr w:rsidR="003438A2" w:rsidRPr="00A3009B" w14:paraId="3B3F0887" w14:textId="77777777" w:rsidTr="00EF0A05">
        <w:trPr>
          <w:trHeight w:val="273"/>
        </w:trPr>
        <w:tc>
          <w:tcPr>
            <w:tcW w:w="3417" w:type="pct"/>
            <w:tcBorders>
              <w:top w:val="single" w:sz="4" w:space="0" w:color="auto"/>
              <w:bottom w:val="nil"/>
            </w:tcBorders>
            <w:shd w:val="clear" w:color="auto" w:fill="auto"/>
          </w:tcPr>
          <w:p w14:paraId="0BF2EC1B" w14:textId="77777777" w:rsidR="003438A2" w:rsidRPr="00A3009B" w:rsidRDefault="003438A2" w:rsidP="00EF0A05">
            <w:pPr>
              <w:pStyle w:val="TableText"/>
            </w:pPr>
            <w:r w:rsidRPr="00A3009B">
              <w:t>Overall likelihood of entry, establishment and spread</w:t>
            </w:r>
          </w:p>
        </w:tc>
        <w:tc>
          <w:tcPr>
            <w:tcW w:w="1583" w:type="pct"/>
            <w:tcBorders>
              <w:top w:val="single" w:sz="4" w:space="0" w:color="auto"/>
              <w:bottom w:val="nil"/>
            </w:tcBorders>
            <w:shd w:val="clear" w:color="auto" w:fill="auto"/>
          </w:tcPr>
          <w:p w14:paraId="0158804F" w14:textId="77777777" w:rsidR="003438A2" w:rsidRPr="00A3009B" w:rsidRDefault="003438A2" w:rsidP="00EF0A05">
            <w:pPr>
              <w:pStyle w:val="TableText"/>
            </w:pPr>
            <w:r>
              <w:t>Low</w:t>
            </w:r>
          </w:p>
        </w:tc>
      </w:tr>
      <w:tr w:rsidR="003438A2" w:rsidRPr="00A3009B" w14:paraId="769B7E3A" w14:textId="77777777" w:rsidTr="00EF0A05">
        <w:trPr>
          <w:trHeight w:val="284"/>
        </w:trPr>
        <w:tc>
          <w:tcPr>
            <w:tcW w:w="3417" w:type="pct"/>
            <w:tcBorders>
              <w:top w:val="nil"/>
              <w:bottom w:val="nil"/>
            </w:tcBorders>
            <w:shd w:val="clear" w:color="auto" w:fill="auto"/>
          </w:tcPr>
          <w:p w14:paraId="7C36F4DD" w14:textId="77777777" w:rsidR="003438A2" w:rsidRPr="00A3009B" w:rsidRDefault="003438A2" w:rsidP="00EF0A05">
            <w:pPr>
              <w:pStyle w:val="TableText"/>
            </w:pPr>
            <w:r w:rsidRPr="00A3009B">
              <w:t>Consequences</w:t>
            </w:r>
          </w:p>
        </w:tc>
        <w:tc>
          <w:tcPr>
            <w:tcW w:w="1583" w:type="pct"/>
            <w:tcBorders>
              <w:top w:val="nil"/>
              <w:bottom w:val="nil"/>
            </w:tcBorders>
            <w:shd w:val="clear" w:color="auto" w:fill="auto"/>
          </w:tcPr>
          <w:p w14:paraId="635CB513" w14:textId="77777777" w:rsidR="003438A2" w:rsidRPr="00A3009B" w:rsidRDefault="003438A2" w:rsidP="00EF0A05">
            <w:pPr>
              <w:pStyle w:val="TableText"/>
            </w:pPr>
            <w:r>
              <w:t>Moderate</w:t>
            </w:r>
          </w:p>
        </w:tc>
      </w:tr>
      <w:tr w:rsidR="003438A2" w:rsidRPr="00A3009B" w14:paraId="34FE8A71" w14:textId="77777777" w:rsidTr="00EF0A05">
        <w:trPr>
          <w:trHeight w:val="284"/>
        </w:trPr>
        <w:tc>
          <w:tcPr>
            <w:tcW w:w="3417" w:type="pct"/>
            <w:tcBorders>
              <w:top w:val="nil"/>
              <w:bottom w:val="single" w:sz="4" w:space="0" w:color="auto"/>
            </w:tcBorders>
            <w:shd w:val="clear" w:color="auto" w:fill="auto"/>
          </w:tcPr>
          <w:p w14:paraId="46467F97" w14:textId="77777777" w:rsidR="003438A2" w:rsidRPr="00A3009B" w:rsidRDefault="003438A2" w:rsidP="00EF0A05">
            <w:pPr>
              <w:pStyle w:val="TableText"/>
            </w:pPr>
            <w:r w:rsidRPr="00A3009B">
              <w:t>Unrestricted risk</w:t>
            </w:r>
          </w:p>
        </w:tc>
        <w:tc>
          <w:tcPr>
            <w:tcW w:w="1583" w:type="pct"/>
            <w:tcBorders>
              <w:top w:val="nil"/>
              <w:bottom w:val="single" w:sz="4" w:space="0" w:color="auto"/>
            </w:tcBorders>
            <w:shd w:val="clear" w:color="auto" w:fill="auto"/>
          </w:tcPr>
          <w:p w14:paraId="19999BE6" w14:textId="77777777" w:rsidR="003438A2" w:rsidRPr="00A3009B" w:rsidRDefault="003438A2" w:rsidP="00EF0A05">
            <w:pPr>
              <w:pStyle w:val="TableText"/>
            </w:pPr>
            <w:r>
              <w:t>Low</w:t>
            </w:r>
          </w:p>
        </w:tc>
      </w:tr>
    </w:tbl>
    <w:p w14:paraId="2411DA42" w14:textId="77777777" w:rsidR="003438A2" w:rsidRDefault="003438A2" w:rsidP="00C67856">
      <w:r w:rsidRPr="00F87E08">
        <w:t xml:space="preserve">The unrestricted risk estimate for </w:t>
      </w:r>
      <w:r>
        <w:rPr>
          <w:i/>
          <w:iCs/>
        </w:rPr>
        <w:t xml:space="preserve">C. pomonella </w:t>
      </w:r>
      <w:r w:rsidRPr="00831946">
        <w:t xml:space="preserve">on </w:t>
      </w:r>
      <w:r>
        <w:t xml:space="preserve">the </w:t>
      </w:r>
      <w:r w:rsidRPr="00712FDA">
        <w:t xml:space="preserve">PNW-USA </w:t>
      </w:r>
      <w:r>
        <w:t xml:space="preserve">apple </w:t>
      </w:r>
      <w:r w:rsidRPr="00831946">
        <w:t>pathway is assessed</w:t>
      </w:r>
      <w:r>
        <w:t xml:space="preserve"> as Low, </w:t>
      </w:r>
      <w:r w:rsidRPr="00C36D8D">
        <w:t xml:space="preserve">which </w:t>
      </w:r>
      <w:r>
        <w:t xml:space="preserve">does not achieve </w:t>
      </w:r>
      <w:r w:rsidRPr="00C36D8D">
        <w:t xml:space="preserve">the ALOP for Australia. Therefore, specific risk management measures are required for </w:t>
      </w:r>
      <w:r>
        <w:rPr>
          <w:i/>
          <w:iCs/>
        </w:rPr>
        <w:t xml:space="preserve">C. pomonella </w:t>
      </w:r>
      <w:r>
        <w:t>on the PNW-USA apple pathway</w:t>
      </w:r>
      <w:r w:rsidRPr="00C36D8D">
        <w:t>.</w:t>
      </w:r>
    </w:p>
    <w:p w14:paraId="5BEEDB35" w14:textId="77777777" w:rsidR="003438A2" w:rsidRPr="009B52CB" w:rsidRDefault="003438A2" w:rsidP="00C67856"/>
    <w:p w14:paraId="755C7A29" w14:textId="77777777" w:rsidR="003438A2" w:rsidRDefault="003438A2">
      <w:pPr>
        <w:spacing w:after="0" w:line="240" w:lineRule="auto"/>
        <w:rPr>
          <w:rFonts w:ascii="Calibri" w:hAnsi="Calibri"/>
          <w:b/>
          <w:bCs/>
          <w:color w:val="773141"/>
          <w:sz w:val="28"/>
        </w:rPr>
      </w:pPr>
      <w:bookmarkStart w:id="276" w:name="_Ref46060159"/>
      <w:bookmarkEnd w:id="270"/>
      <w:r>
        <w:br w:type="page"/>
      </w:r>
    </w:p>
    <w:p w14:paraId="77C76509" w14:textId="77777777" w:rsidR="003438A2" w:rsidRPr="005A3F8B" w:rsidRDefault="003438A2" w:rsidP="005A3F8B">
      <w:pPr>
        <w:pStyle w:val="Heading3"/>
      </w:pPr>
      <w:bookmarkStart w:id="277" w:name="_Ref108441788"/>
      <w:bookmarkStart w:id="278" w:name="_Toc112769012"/>
      <w:bookmarkStart w:id="279" w:name="_Hlk109064222"/>
      <w:bookmarkEnd w:id="276"/>
      <w:r w:rsidRPr="005A3F8B">
        <w:lastRenderedPageBreak/>
        <w:t>Grapholita moths</w:t>
      </w:r>
      <w:bookmarkEnd w:id="277"/>
      <w:bookmarkEnd w:id="278"/>
    </w:p>
    <w:p w14:paraId="377C0B12" w14:textId="77777777" w:rsidR="003438A2" w:rsidRPr="00BA0EE5" w:rsidRDefault="003438A2" w:rsidP="005A3F8B">
      <w:pPr>
        <w:pStyle w:val="Heading4"/>
        <w:numPr>
          <w:ilvl w:val="0"/>
          <w:numId w:val="0"/>
        </w:numPr>
        <w:rPr>
          <w:color w:val="000000"/>
        </w:rPr>
      </w:pPr>
      <w:r w:rsidRPr="00491E00">
        <w:rPr>
          <w:i/>
        </w:rPr>
        <w:t xml:space="preserve">Grapholita molesta </w:t>
      </w:r>
      <w:r w:rsidRPr="00634876">
        <w:rPr>
          <w:iCs w:val="0"/>
        </w:rPr>
        <w:t xml:space="preserve">(EP, </w:t>
      </w:r>
      <w:r w:rsidRPr="00746977">
        <w:rPr>
          <w:iCs w:val="0"/>
        </w:rPr>
        <w:t xml:space="preserve">WA), </w:t>
      </w:r>
      <w:r w:rsidRPr="00746977">
        <w:rPr>
          <w:i/>
        </w:rPr>
        <w:t>Grapholita</w:t>
      </w:r>
      <w:r>
        <w:rPr>
          <w:i/>
        </w:rPr>
        <w:t xml:space="preserve"> packardi </w:t>
      </w:r>
      <w:r>
        <w:t xml:space="preserve">(EP) and </w:t>
      </w:r>
      <w:r w:rsidRPr="00BA44F2">
        <w:rPr>
          <w:i/>
        </w:rPr>
        <w:t>Grapholita prunivora</w:t>
      </w:r>
      <w:r>
        <w:t xml:space="preserve"> (EP)</w:t>
      </w:r>
    </w:p>
    <w:p w14:paraId="2CC194AC" w14:textId="77777777" w:rsidR="003438A2" w:rsidRDefault="003438A2" w:rsidP="005A3F8B">
      <w:r w:rsidRPr="0092201C">
        <w:rPr>
          <w:i/>
        </w:rPr>
        <w:t>Grapholita molesta</w:t>
      </w:r>
      <w:r w:rsidRPr="0092201C">
        <w:t xml:space="preserve"> (Oriental fruit moth)</w:t>
      </w:r>
      <w:r>
        <w:t>,</w:t>
      </w:r>
      <w:r w:rsidRPr="0092201C">
        <w:t xml:space="preserve"> </w:t>
      </w:r>
      <w:r w:rsidRPr="00935A65">
        <w:rPr>
          <w:i/>
        </w:rPr>
        <w:t xml:space="preserve">Grapholita </w:t>
      </w:r>
      <w:r>
        <w:rPr>
          <w:i/>
        </w:rPr>
        <w:t xml:space="preserve">packardi </w:t>
      </w:r>
      <w:r w:rsidRPr="00A21249">
        <w:t>(cherry fruitworm)</w:t>
      </w:r>
      <w:r>
        <w:rPr>
          <w:i/>
        </w:rPr>
        <w:t xml:space="preserve"> </w:t>
      </w:r>
      <w:r w:rsidRPr="00A21249">
        <w:t>and</w:t>
      </w:r>
      <w:r>
        <w:rPr>
          <w:i/>
        </w:rPr>
        <w:t xml:space="preserve"> G. </w:t>
      </w:r>
      <w:r w:rsidRPr="00935A65">
        <w:rPr>
          <w:i/>
        </w:rPr>
        <w:t xml:space="preserve">prunivora </w:t>
      </w:r>
      <w:r w:rsidRPr="00935A65">
        <w:t>(</w:t>
      </w:r>
      <w:r>
        <w:t>l</w:t>
      </w:r>
      <w:r w:rsidRPr="00935A65">
        <w:t xml:space="preserve">esser appleworm) </w:t>
      </w:r>
      <w:r>
        <w:t>are</w:t>
      </w:r>
      <w:r w:rsidRPr="00935A65">
        <w:t xml:space="preserve"> fruit moth</w:t>
      </w:r>
      <w:r>
        <w:t>s</w:t>
      </w:r>
      <w:r w:rsidRPr="00935A65">
        <w:rPr>
          <w:i/>
        </w:rPr>
        <w:t xml:space="preserve"> </w:t>
      </w:r>
      <w:r w:rsidRPr="00935A65">
        <w:t>belong</w:t>
      </w:r>
      <w:r>
        <w:t>ing</w:t>
      </w:r>
      <w:r w:rsidRPr="00935A65">
        <w:t xml:space="preserve"> to the Tortricidae family.</w:t>
      </w:r>
    </w:p>
    <w:p w14:paraId="197149E0" w14:textId="77777777" w:rsidR="003438A2" w:rsidRDefault="003438A2" w:rsidP="005A3F8B">
      <w:r>
        <w:t>These</w:t>
      </w:r>
      <w:r w:rsidRPr="0097514E">
        <w:t xml:space="preserve"> </w:t>
      </w:r>
      <w:r>
        <w:t xml:space="preserve">Grapholita moths </w:t>
      </w:r>
      <w:r w:rsidRPr="0097514E">
        <w:t xml:space="preserve">have been </w:t>
      </w:r>
      <w:r>
        <w:t>assessed</w:t>
      </w:r>
      <w:r w:rsidRPr="0097514E">
        <w:t xml:space="preserve"> together because of their related biolog</w:t>
      </w:r>
      <w:r>
        <w:t>ies</w:t>
      </w:r>
      <w:r w:rsidRPr="002A4B14">
        <w:t>, on the basis of which they are predicted to pose similar risks.</w:t>
      </w:r>
      <w:r w:rsidRPr="002B7CD7">
        <w:t xml:space="preserve"> </w:t>
      </w:r>
      <w:r>
        <w:t xml:space="preserve">In this assessment, the term ‘Grapholita moths’ is used to collectively refer to all 3 </w:t>
      </w:r>
      <w:r w:rsidRPr="00272371">
        <w:t>species</w:t>
      </w:r>
      <w:r>
        <w:t>;</w:t>
      </w:r>
      <w:r w:rsidRPr="00272371">
        <w:t xml:space="preserve"> </w:t>
      </w:r>
      <w:r>
        <w:t>a</w:t>
      </w:r>
      <w:r w:rsidRPr="00272371">
        <w:t xml:space="preserve"> scientific name </w:t>
      </w:r>
      <w:r>
        <w:t>is</w:t>
      </w:r>
      <w:r w:rsidRPr="00272371">
        <w:t xml:space="preserve"> used when the information relates to </w:t>
      </w:r>
      <w:r>
        <w:t>that</w:t>
      </w:r>
      <w:r w:rsidRPr="00272371">
        <w:t xml:space="preserve"> species.</w:t>
      </w:r>
    </w:p>
    <w:p w14:paraId="2A2BE37A" w14:textId="77777777" w:rsidR="003438A2" w:rsidRDefault="003438A2" w:rsidP="005A3F8B">
      <w:pPr>
        <w:rPr>
          <w:i/>
        </w:rPr>
      </w:pPr>
      <w:r w:rsidRPr="00B92478">
        <w:rPr>
          <w:i/>
        </w:rPr>
        <w:t>Grapholita molesta</w:t>
      </w:r>
      <w:r w:rsidRPr="008763EE">
        <w:t xml:space="preserve"> is thought to have originated in northwest China</w:t>
      </w:r>
      <w:r>
        <w:t>,</w:t>
      </w:r>
      <w:r w:rsidRPr="008763EE">
        <w:t xml:space="preserve"> </w:t>
      </w:r>
      <w:r>
        <w:t xml:space="preserve">and </w:t>
      </w:r>
      <w:r w:rsidRPr="00E15919">
        <w:t xml:space="preserve">spread from Japan to </w:t>
      </w:r>
      <w:r>
        <w:t>e</w:t>
      </w:r>
      <w:r w:rsidRPr="00E15919">
        <w:t>astern Australia, central Europe, the east coast of the USA and Brazil at the beginning of the twentieth century</w:t>
      </w:r>
      <w:r>
        <w:t xml:space="preserve"> </w:t>
      </w:r>
      <w:r>
        <w:rPr>
          <w:noProof/>
        </w:rPr>
        <w:t>(Gonzalez 1978)</w:t>
      </w:r>
      <w:r w:rsidRPr="00E15919">
        <w:t xml:space="preserve">. </w:t>
      </w:r>
      <w:r w:rsidRPr="008763EE">
        <w:t xml:space="preserve">The first </w:t>
      </w:r>
      <w:r>
        <w:t xml:space="preserve">records of the presence of </w:t>
      </w:r>
      <w:r>
        <w:rPr>
          <w:i/>
          <w:iCs/>
        </w:rPr>
        <w:t xml:space="preserve">G. molesta </w:t>
      </w:r>
      <w:r>
        <w:t xml:space="preserve">in </w:t>
      </w:r>
      <w:r w:rsidRPr="008763EE">
        <w:t>North America</w:t>
      </w:r>
      <w:r>
        <w:t xml:space="preserve"> were</w:t>
      </w:r>
      <w:r w:rsidRPr="008763EE">
        <w:t xml:space="preserve"> from 1913</w:t>
      </w:r>
      <w:r>
        <w:t xml:space="preserve"> to </w:t>
      </w:r>
      <w:r w:rsidRPr="00615483">
        <w:t xml:space="preserve">1915 </w:t>
      </w:r>
      <w:r>
        <w:rPr>
          <w:noProof/>
        </w:rPr>
        <w:t>(Gilligan &amp; Epstein 2014a)</w:t>
      </w:r>
      <w:r w:rsidRPr="00615483">
        <w:t xml:space="preserve">. The pest is now widely distributed </w:t>
      </w:r>
      <w:r w:rsidRPr="00260B82">
        <w:t xml:space="preserve">throughout all </w:t>
      </w:r>
      <w:r w:rsidRPr="00CD4E68">
        <w:t>states in the USA where stone</w:t>
      </w:r>
      <w:r w:rsidRPr="00C047A7">
        <w:t xml:space="preserve"> </w:t>
      </w:r>
      <w:r w:rsidRPr="00143E77">
        <w:t xml:space="preserve">fruit is grown </w:t>
      </w:r>
      <w:r>
        <w:rPr>
          <w:noProof/>
        </w:rPr>
        <w:t>(Gilligan, Baixeras &amp; Brown 2018)</w:t>
      </w:r>
      <w:r w:rsidRPr="00615483">
        <w:t>.</w:t>
      </w:r>
      <w:r w:rsidRPr="00E43408">
        <w:rPr>
          <w:i/>
        </w:rPr>
        <w:t xml:space="preserve"> </w:t>
      </w:r>
      <w:r w:rsidRPr="00260B82">
        <w:rPr>
          <w:i/>
        </w:rPr>
        <w:t>Grapholita molesta</w:t>
      </w:r>
      <w:r w:rsidRPr="00260B82">
        <w:t xml:space="preserve"> is not present in Western </w:t>
      </w:r>
      <w:r w:rsidRPr="00CD4E68">
        <w:t xml:space="preserve">Australia and is a regional </w:t>
      </w:r>
      <w:r>
        <w:t>quarantine pest</w:t>
      </w:r>
      <w:r w:rsidRPr="00C047A7">
        <w:t xml:space="preserve"> for </w:t>
      </w:r>
      <w:r w:rsidRPr="0037112C">
        <w:t>that state</w:t>
      </w:r>
      <w:r>
        <w:t xml:space="preserve"> </w:t>
      </w:r>
      <w:r>
        <w:rPr>
          <w:noProof/>
        </w:rPr>
        <w:t>(Government of Western Australia 2020)</w:t>
      </w:r>
      <w:r w:rsidRPr="00ED6FCE">
        <w:t>.</w:t>
      </w:r>
    </w:p>
    <w:p w14:paraId="70C295A3" w14:textId="77777777" w:rsidR="003438A2" w:rsidRPr="00610EFD" w:rsidRDefault="003438A2" w:rsidP="005A3F8B">
      <w:pPr>
        <w:rPr>
          <w:lang w:eastAsia="en-AU"/>
        </w:rPr>
      </w:pPr>
      <w:r w:rsidRPr="00272371">
        <w:rPr>
          <w:i/>
          <w:lang w:eastAsia="en-AU"/>
        </w:rPr>
        <w:t>Grapholita prunivora</w:t>
      </w:r>
      <w:r w:rsidRPr="00272371">
        <w:rPr>
          <w:lang w:eastAsia="en-AU"/>
        </w:rPr>
        <w:t xml:space="preserve"> is native to northeastern USA and was first repo</w:t>
      </w:r>
      <w:r>
        <w:rPr>
          <w:lang w:eastAsia="en-AU"/>
        </w:rPr>
        <w:t>r</w:t>
      </w:r>
      <w:r w:rsidRPr="00272371">
        <w:rPr>
          <w:lang w:eastAsia="en-AU"/>
        </w:rPr>
        <w:t xml:space="preserve">ted in the Pacific Northwest in the </w:t>
      </w:r>
      <w:r w:rsidRPr="00610EFD">
        <w:rPr>
          <w:lang w:eastAsia="en-AU"/>
        </w:rPr>
        <w:t xml:space="preserve">1940s </w:t>
      </w:r>
      <w:r w:rsidRPr="00610EFD">
        <w:rPr>
          <w:noProof/>
          <w:lang w:eastAsia="en-AU"/>
        </w:rPr>
        <w:t>(</w:t>
      </w:r>
      <w:hyperlink w:anchor="_ENREF_850" w:tooltip="WSU Tree Fruit, 2021 #44763" w:history="1">
        <w:r w:rsidRPr="00610EFD">
          <w:rPr>
            <w:noProof/>
            <w:lang w:eastAsia="en-AU"/>
          </w:rPr>
          <w:t>WSU Tree Fruit 2021a</w:t>
        </w:r>
      </w:hyperlink>
      <w:r w:rsidRPr="00610EFD">
        <w:rPr>
          <w:noProof/>
          <w:lang w:eastAsia="en-AU"/>
        </w:rPr>
        <w:t>)</w:t>
      </w:r>
      <w:r w:rsidRPr="00610EFD">
        <w:rPr>
          <w:lang w:eastAsia="en-AU"/>
        </w:rPr>
        <w:t xml:space="preserve">. In North America, </w:t>
      </w:r>
      <w:r w:rsidRPr="00610EFD">
        <w:rPr>
          <w:i/>
          <w:lang w:eastAsia="en-AU"/>
        </w:rPr>
        <w:t xml:space="preserve">G. prunivora </w:t>
      </w:r>
      <w:r w:rsidRPr="00610EFD">
        <w:rPr>
          <w:lang w:eastAsia="en-AU"/>
        </w:rPr>
        <w:t>is recorded throughout most of the important fruit growing regions, and is present in the PNW-USA</w:t>
      </w:r>
      <w:r>
        <w:rPr>
          <w:lang w:eastAsia="en-AU"/>
        </w:rPr>
        <w:t xml:space="preserve"> </w:t>
      </w:r>
      <w:r>
        <w:rPr>
          <w:noProof/>
          <w:lang w:eastAsia="en-AU"/>
        </w:rPr>
        <w:t xml:space="preserve">(Kaur 2021; WSU Tree Fruit 2021a), </w:t>
      </w:r>
      <w:r w:rsidRPr="00610EFD">
        <w:rPr>
          <w:lang w:eastAsia="en-AU"/>
        </w:rPr>
        <w:t>and several eastern states and Canada</w:t>
      </w:r>
      <w:r>
        <w:rPr>
          <w:lang w:eastAsia="en-AU"/>
        </w:rPr>
        <w:t xml:space="preserve"> </w:t>
      </w:r>
      <w:bookmarkStart w:id="280" w:name="_Hlk109112625"/>
      <w:r>
        <w:rPr>
          <w:noProof/>
        </w:rPr>
        <w:t>(CABI 2022)</w:t>
      </w:r>
      <w:r>
        <w:t>.</w:t>
      </w:r>
      <w:bookmarkEnd w:id="280"/>
      <w:r w:rsidRPr="00610EFD">
        <w:rPr>
          <w:lang w:eastAsia="en-AU"/>
        </w:rPr>
        <w:t xml:space="preserve"> </w:t>
      </w:r>
    </w:p>
    <w:p w14:paraId="73F371A4" w14:textId="77777777" w:rsidR="003438A2" w:rsidRPr="00610EFD" w:rsidRDefault="003438A2" w:rsidP="005A3F8B">
      <w:r w:rsidRPr="00610EFD">
        <w:rPr>
          <w:i/>
        </w:rPr>
        <w:t>Grapholita packardi</w:t>
      </w:r>
      <w:r w:rsidRPr="00610EFD">
        <w:t xml:space="preserve"> is widely distributed in </w:t>
      </w:r>
      <w:r w:rsidRPr="00610EFD">
        <w:rPr>
          <w:lang w:eastAsia="en-AU"/>
        </w:rPr>
        <w:t>northeastern USA</w:t>
      </w:r>
      <w:r w:rsidRPr="00610EFD">
        <w:t xml:space="preserve"> and in the PNW-USA</w:t>
      </w:r>
      <w:bookmarkStart w:id="281" w:name="_Hlk109119525"/>
      <w:r>
        <w:t xml:space="preserve"> </w:t>
      </w:r>
      <w:r>
        <w:rPr>
          <w:noProof/>
        </w:rPr>
        <w:t>(CABI 2022; Wiman &amp; Stoven 2022)</w:t>
      </w:r>
      <w:r>
        <w:t xml:space="preserve"> and is present in Washington </w:t>
      </w:r>
      <w:r>
        <w:rPr>
          <w:noProof/>
        </w:rPr>
        <w:t>(Wise, Vander Poppen &amp; Isaacs 2012)</w:t>
      </w:r>
      <w:r>
        <w:t>.</w:t>
      </w:r>
      <w:bookmarkEnd w:id="281"/>
      <w:r>
        <w:t xml:space="preserve"> </w:t>
      </w:r>
      <w:r w:rsidRPr="00610EFD">
        <w:rPr>
          <w:i/>
        </w:rPr>
        <w:t>Grapholita molesta</w:t>
      </w:r>
      <w:r w:rsidRPr="00610EFD">
        <w:t xml:space="preserve"> has a wide host range including apple, pear, apricot, plum, peach and </w:t>
      </w:r>
      <w:bookmarkStart w:id="282" w:name="_Hlk109112949"/>
      <w:r w:rsidRPr="00610EFD">
        <w:t>persimmon</w:t>
      </w:r>
      <w:r>
        <w:t xml:space="preserve"> </w:t>
      </w:r>
      <w:r w:rsidRPr="00610EFD">
        <w:rPr>
          <w:noProof/>
        </w:rPr>
        <w:t>(Gilligan, Baixeras &amp; Brown 2018)</w:t>
      </w:r>
      <w:r w:rsidRPr="00610EFD">
        <w:t>.</w:t>
      </w:r>
      <w:bookmarkEnd w:id="282"/>
      <w:r w:rsidRPr="00610EFD">
        <w:t xml:space="preserve"> </w:t>
      </w:r>
      <w:r w:rsidRPr="00610EFD">
        <w:rPr>
          <w:i/>
        </w:rPr>
        <w:t>Grapholita molesta</w:t>
      </w:r>
      <w:r w:rsidRPr="00610EFD">
        <w:t xml:space="preserve"> is an important </w:t>
      </w:r>
      <w:bookmarkStart w:id="283" w:name="_Hlk38038003"/>
      <w:r w:rsidRPr="00610EFD">
        <w:t>pest of stone fruit in Europe, eastern Australia and North America</w:t>
      </w:r>
      <w:r>
        <w:t xml:space="preserve"> </w:t>
      </w:r>
      <w:r w:rsidRPr="00610EFD">
        <w:rPr>
          <w:noProof/>
        </w:rPr>
        <w:t>(Murrell &amp; Lo 1998)</w:t>
      </w:r>
      <w:r>
        <w:t>.</w:t>
      </w:r>
      <w:bookmarkStart w:id="284" w:name="_Hlk46092381"/>
      <w:r w:rsidRPr="00610EFD">
        <w:t xml:space="preserve"> It </w:t>
      </w:r>
      <w:r>
        <w:t>can also be</w:t>
      </w:r>
      <w:r w:rsidRPr="00610EFD">
        <w:t xml:space="preserve"> a pest of apple orchards</w:t>
      </w:r>
      <w:r>
        <w:t>, especially</w:t>
      </w:r>
      <w:r w:rsidRPr="00610EFD">
        <w:t xml:space="preserve"> where these are adjacent to stone fruit orchards</w:t>
      </w:r>
      <w:r>
        <w:t xml:space="preserve"> </w:t>
      </w:r>
      <w:r>
        <w:rPr>
          <w:noProof/>
        </w:rPr>
        <w:t>(Neven et al. 2018)</w:t>
      </w:r>
      <w:r>
        <w:t>.</w:t>
      </w:r>
      <w:bookmarkEnd w:id="284"/>
      <w:r w:rsidRPr="00610EFD">
        <w:t xml:space="preserve"> </w:t>
      </w:r>
      <w:bookmarkEnd w:id="283"/>
    </w:p>
    <w:p w14:paraId="5D5BA247" w14:textId="77777777" w:rsidR="003438A2" w:rsidRPr="00610EFD" w:rsidRDefault="003438A2" w:rsidP="005A3F8B">
      <w:r w:rsidRPr="00610EFD">
        <w:rPr>
          <w:lang w:eastAsia="en-AU"/>
        </w:rPr>
        <w:t xml:space="preserve">The major hosts of </w:t>
      </w:r>
      <w:r w:rsidRPr="00610EFD">
        <w:rPr>
          <w:i/>
          <w:lang w:eastAsia="en-AU"/>
        </w:rPr>
        <w:t>G. prunivora</w:t>
      </w:r>
      <w:r w:rsidRPr="00610EFD">
        <w:rPr>
          <w:lang w:eastAsia="en-AU"/>
        </w:rPr>
        <w:t xml:space="preserve"> are in the rose family including most cultivated pome and stone fruit</w:t>
      </w:r>
      <w:r>
        <w:rPr>
          <w:lang w:eastAsia="en-AU"/>
        </w:rPr>
        <w:t xml:space="preserve"> </w:t>
      </w:r>
      <w:r>
        <w:rPr>
          <w:noProof/>
        </w:rPr>
        <w:t xml:space="preserve">(CABI 2022; Krawczyk &amp; Johnson 1996), </w:t>
      </w:r>
      <w:r w:rsidRPr="00610EFD">
        <w:rPr>
          <w:noProof/>
        </w:rPr>
        <w:t xml:space="preserve">but </w:t>
      </w:r>
      <w:r w:rsidRPr="00610EFD">
        <w:rPr>
          <w:lang w:eastAsia="en-AU"/>
        </w:rPr>
        <w:t>crabapple, hawthorn and wild roses are reported as main hosts</w:t>
      </w:r>
      <w:r>
        <w:rPr>
          <w:lang w:eastAsia="en-AU"/>
        </w:rPr>
        <w:t xml:space="preserve"> </w:t>
      </w:r>
      <w:r>
        <w:rPr>
          <w:noProof/>
        </w:rPr>
        <w:t>(Wiman &amp; Stoven 2022)</w:t>
      </w:r>
      <w:r>
        <w:t>.</w:t>
      </w:r>
      <w:r w:rsidRPr="00610EFD">
        <w:t xml:space="preserve"> </w:t>
      </w:r>
    </w:p>
    <w:p w14:paraId="1F6D67D2" w14:textId="77777777" w:rsidR="003438A2" w:rsidRPr="00A9486B" w:rsidRDefault="003438A2" w:rsidP="00F91369">
      <w:r>
        <w:rPr>
          <w:i/>
        </w:rPr>
        <w:t xml:space="preserve">Grapholita </w:t>
      </w:r>
      <w:r w:rsidRPr="00DA0916">
        <w:rPr>
          <w:i/>
        </w:rPr>
        <w:t xml:space="preserve">packardi </w:t>
      </w:r>
      <w:r w:rsidRPr="00DA0916">
        <w:rPr>
          <w:iCs/>
        </w:rPr>
        <w:t xml:space="preserve">is recorded to feed on fruit crops in the families Rosaceae and Ericaceae </w:t>
      </w:r>
      <w:bookmarkStart w:id="285" w:name="_Hlk109120346"/>
      <w:r>
        <w:rPr>
          <w:noProof/>
          <w:lang w:eastAsia="en-AU"/>
        </w:rPr>
        <w:t>(Gilligan &amp; Epstein 2014c)</w:t>
      </w:r>
      <w:bookmarkEnd w:id="285"/>
      <w:r>
        <w:rPr>
          <w:lang w:eastAsia="en-AU"/>
        </w:rPr>
        <w:t>.</w:t>
      </w:r>
      <w:r w:rsidRPr="00DA0916">
        <w:rPr>
          <w:iCs/>
        </w:rPr>
        <w:t xml:space="preserve"> </w:t>
      </w:r>
      <w:r w:rsidRPr="00DA0916">
        <w:rPr>
          <w:i/>
          <w:lang w:eastAsia="en-AU"/>
        </w:rPr>
        <w:t>Grapholita</w:t>
      </w:r>
      <w:r w:rsidRPr="00DA0916">
        <w:rPr>
          <w:i/>
        </w:rPr>
        <w:t xml:space="preserve"> packardi </w:t>
      </w:r>
      <w:r w:rsidRPr="00DA0916">
        <w:rPr>
          <w:iCs/>
        </w:rPr>
        <w:t>is mainly a pest of blueberry and cherry, although it can also attack apples and other fruit</w:t>
      </w:r>
      <w:r>
        <w:rPr>
          <w:iCs/>
        </w:rPr>
        <w:t xml:space="preserve"> </w:t>
      </w:r>
      <w:r>
        <w:rPr>
          <w:noProof/>
        </w:rPr>
        <w:t>(Gilligan &amp; Epstein 2014a; Michigan State University 2020)</w:t>
      </w:r>
      <w:r>
        <w:t>.</w:t>
      </w:r>
      <w:bookmarkStart w:id="286" w:name="_Hlk109120409"/>
      <w:r w:rsidRPr="00DA0916">
        <w:rPr>
          <w:iCs/>
        </w:rPr>
        <w:t xml:space="preserve"> </w:t>
      </w:r>
    </w:p>
    <w:bookmarkEnd w:id="286"/>
    <w:p w14:paraId="43349797" w14:textId="77777777" w:rsidR="003438A2" w:rsidRDefault="003438A2" w:rsidP="005A3F8B">
      <w:r w:rsidRPr="00B92478">
        <w:rPr>
          <w:i/>
        </w:rPr>
        <w:t>Grapholita</w:t>
      </w:r>
      <w:r w:rsidRPr="004A27C9" w:rsidDel="0000004C">
        <w:rPr>
          <w:lang w:eastAsia="en-AU"/>
        </w:rPr>
        <w:t xml:space="preserve"> </w:t>
      </w:r>
      <w:r w:rsidRPr="004A27C9">
        <w:rPr>
          <w:i/>
          <w:iCs/>
          <w:lang w:eastAsia="en-AU"/>
        </w:rPr>
        <w:t>molesta</w:t>
      </w:r>
      <w:r>
        <w:rPr>
          <w:i/>
          <w:iCs/>
          <w:lang w:eastAsia="en-AU"/>
        </w:rPr>
        <w:t xml:space="preserve"> </w:t>
      </w:r>
      <w:r>
        <w:rPr>
          <w:lang w:eastAsia="en-AU"/>
        </w:rPr>
        <w:t>has four</w:t>
      </w:r>
      <w:r w:rsidRPr="004A27C9">
        <w:rPr>
          <w:lang w:eastAsia="en-AU"/>
        </w:rPr>
        <w:t xml:space="preserve"> life stages: egg, larva, pupa and adult.</w:t>
      </w:r>
      <w:r w:rsidRPr="004A27C9">
        <w:t xml:space="preserve"> Adults are dark greyish</w:t>
      </w:r>
      <w:r>
        <w:t>-</w:t>
      </w:r>
      <w:r w:rsidRPr="004A27C9">
        <w:t>brown, 6</w:t>
      </w:r>
      <w:r>
        <w:t xml:space="preserve"> </w:t>
      </w:r>
      <w:r w:rsidRPr="004A27C9">
        <w:t>mm</w:t>
      </w:r>
      <w:r>
        <w:t xml:space="preserve"> in length</w:t>
      </w:r>
      <w:r w:rsidRPr="004A27C9">
        <w:t xml:space="preserve"> </w:t>
      </w:r>
      <w:r>
        <w:t xml:space="preserve">and </w:t>
      </w:r>
      <w:r w:rsidRPr="004A27C9">
        <w:t>with an average wingspan of 13</w:t>
      </w:r>
      <w:r>
        <w:t xml:space="preserve"> </w:t>
      </w:r>
      <w:r w:rsidRPr="004A27C9">
        <w:t xml:space="preserve">mm. </w:t>
      </w:r>
      <w:r w:rsidRPr="00B92478">
        <w:t>E</w:t>
      </w:r>
      <w:r w:rsidRPr="004A27C9">
        <w:t>ggs</w:t>
      </w:r>
      <w:r>
        <w:t xml:space="preserve">, </w:t>
      </w:r>
      <w:r>
        <w:rPr>
          <w:lang w:val="en"/>
        </w:rPr>
        <w:t>which are</w:t>
      </w:r>
      <w:r w:rsidRPr="004A27C9">
        <w:t xml:space="preserve"> laid on </w:t>
      </w:r>
      <w:r w:rsidRPr="00901EAA">
        <w:t xml:space="preserve">leaves, </w:t>
      </w:r>
      <w:r>
        <w:t xml:space="preserve">fruit, </w:t>
      </w:r>
      <w:r w:rsidRPr="00901EAA">
        <w:t>shoots and twigs</w:t>
      </w:r>
      <w:r>
        <w:t>,</w:t>
      </w:r>
      <w:r w:rsidRPr="004A27C9">
        <w:t xml:space="preserve"> </w:t>
      </w:r>
      <w:r w:rsidRPr="004A27C9">
        <w:rPr>
          <w:lang w:val="en"/>
        </w:rPr>
        <w:t xml:space="preserve">are translucent white, slightly convex </w:t>
      </w:r>
      <w:r>
        <w:rPr>
          <w:lang w:val="en"/>
        </w:rPr>
        <w:t>and approximately</w:t>
      </w:r>
      <w:r w:rsidRPr="004A27C9">
        <w:rPr>
          <w:lang w:val="en"/>
        </w:rPr>
        <w:t xml:space="preserve"> 0.7</w:t>
      </w:r>
      <w:r>
        <w:rPr>
          <w:lang w:val="en"/>
        </w:rPr>
        <w:t xml:space="preserve"> </w:t>
      </w:r>
      <w:r w:rsidRPr="004A27C9">
        <w:rPr>
          <w:lang w:val="en"/>
        </w:rPr>
        <w:t>mm in diameter</w:t>
      </w:r>
      <w:r w:rsidRPr="004A27C9">
        <w:t>.</w:t>
      </w:r>
      <w:r>
        <w:rPr>
          <w:lang w:val="en"/>
        </w:rPr>
        <w:t xml:space="preserve"> Newly hatched larvae are 1.</w:t>
      </w:r>
      <w:r w:rsidRPr="00615483">
        <w:rPr>
          <w:lang w:val="en"/>
        </w:rPr>
        <w:t>5</w:t>
      </w:r>
      <w:r>
        <w:rPr>
          <w:lang w:val="en"/>
        </w:rPr>
        <w:t xml:space="preserve"> </w:t>
      </w:r>
      <w:r w:rsidRPr="00615483">
        <w:rPr>
          <w:lang w:val="en"/>
        </w:rPr>
        <w:t>mm in length</w:t>
      </w:r>
      <w:r w:rsidRPr="00F176B2">
        <w:rPr>
          <w:color w:val="FF0000"/>
          <w:lang w:val="en"/>
        </w:rPr>
        <w:t xml:space="preserve"> </w:t>
      </w:r>
      <w:r>
        <w:rPr>
          <w:lang w:val="en"/>
        </w:rPr>
        <w:t>and</w:t>
      </w:r>
      <w:r w:rsidRPr="004A27C9">
        <w:rPr>
          <w:lang w:val="en"/>
        </w:rPr>
        <w:t xml:space="preserve"> the last instar larvae are up to 12</w:t>
      </w:r>
      <w:r>
        <w:rPr>
          <w:lang w:val="en"/>
        </w:rPr>
        <w:t xml:space="preserve"> </w:t>
      </w:r>
      <w:r w:rsidRPr="004A27C9">
        <w:rPr>
          <w:lang w:val="en"/>
        </w:rPr>
        <w:t>mm</w:t>
      </w:r>
      <w:r>
        <w:rPr>
          <w:lang w:val="en"/>
        </w:rPr>
        <w:t xml:space="preserve"> in length</w:t>
      </w:r>
      <w:r w:rsidRPr="00B92478">
        <w:rPr>
          <w:lang w:val="en"/>
        </w:rPr>
        <w:t>.</w:t>
      </w:r>
      <w:r w:rsidRPr="004A27C9">
        <w:rPr>
          <w:lang w:val="en"/>
        </w:rPr>
        <w:t xml:space="preserve"> </w:t>
      </w:r>
      <w:r w:rsidRPr="00615483">
        <w:t xml:space="preserve">Young larvae bore into growing shoots, while later instar larvae </w:t>
      </w:r>
      <w:r w:rsidRPr="004A27C9">
        <w:t>attack fruit before seeking overwintering sites.</w:t>
      </w:r>
      <w:r w:rsidRPr="00B92478">
        <w:rPr>
          <w:lang w:val="en"/>
        </w:rPr>
        <w:t xml:space="preserve"> </w:t>
      </w:r>
      <w:r w:rsidRPr="004A27C9">
        <w:rPr>
          <w:i/>
        </w:rPr>
        <w:t>Grapholita molesta</w:t>
      </w:r>
      <w:r w:rsidRPr="004A27C9">
        <w:t xml:space="preserve"> overwinters as mature larvae in silk webbing in ground cover or </w:t>
      </w:r>
      <w:r>
        <w:t xml:space="preserve">in </w:t>
      </w:r>
      <w:r w:rsidRPr="004A27C9">
        <w:t>tree crevices. Pupation occurs in spring and adults appear near</w:t>
      </w:r>
      <w:r>
        <w:t xml:space="preserve"> the time of host</w:t>
      </w:r>
      <w:r w:rsidRPr="004A27C9">
        <w:t xml:space="preserve"> bloom. </w:t>
      </w:r>
      <w:r>
        <w:t>Visual indications of d</w:t>
      </w:r>
      <w:r w:rsidRPr="00901EAA">
        <w:t>amage</w:t>
      </w:r>
      <w:r>
        <w:t xml:space="preserve"> from larval feeding include</w:t>
      </w:r>
      <w:r w:rsidRPr="00901EAA">
        <w:t xml:space="preserve"> dead and wilting shoots and fruit</w:t>
      </w:r>
      <w:r>
        <w:t xml:space="preserve"> injury</w:t>
      </w:r>
      <w:r w:rsidRPr="00BD7A40">
        <w:t xml:space="preserve">. Damaged fruit </w:t>
      </w:r>
      <w:r>
        <w:t>are</w:t>
      </w:r>
      <w:r w:rsidRPr="00BD7A40">
        <w:t xml:space="preserve"> more prone to secondary fungal infection and</w:t>
      </w:r>
      <w:r>
        <w:t xml:space="preserve"> </w:t>
      </w:r>
      <w:r w:rsidRPr="00901EAA">
        <w:t xml:space="preserve">may </w:t>
      </w:r>
      <w:r>
        <w:t xml:space="preserve">drop from </w:t>
      </w:r>
      <w:r>
        <w:lastRenderedPageBreak/>
        <w:t>the tree prematurely</w:t>
      </w:r>
      <w:r w:rsidRPr="00901EAA">
        <w:t>.</w:t>
      </w:r>
      <w:r>
        <w:t xml:space="preserve"> </w:t>
      </w:r>
      <w:r w:rsidDel="0000004C">
        <w:t>D</w:t>
      </w:r>
      <w:r w:rsidRPr="00901EAA" w:rsidDel="0000004C">
        <w:t>epend</w:t>
      </w:r>
      <w:r>
        <w:t>ing</w:t>
      </w:r>
      <w:r w:rsidRPr="00901EAA" w:rsidDel="0000004C">
        <w:t xml:space="preserve"> on </w:t>
      </w:r>
      <w:r w:rsidDel="0000004C">
        <w:t>climatic conditions</w:t>
      </w:r>
      <w:r>
        <w:t>,</w:t>
      </w:r>
      <w:r w:rsidDel="0000004C">
        <w:t xml:space="preserve"> </w:t>
      </w:r>
      <w:r w:rsidRPr="00B92478" w:rsidDel="0000004C">
        <w:rPr>
          <w:i/>
        </w:rPr>
        <w:t>G. molesta</w:t>
      </w:r>
      <w:r w:rsidRPr="00901EAA" w:rsidDel="0000004C">
        <w:t xml:space="preserve"> </w:t>
      </w:r>
      <w:r w:rsidDel="0000004C">
        <w:t>may complete</w:t>
      </w:r>
      <w:r w:rsidRPr="00901EAA" w:rsidDel="0000004C">
        <w:t xml:space="preserve"> </w:t>
      </w:r>
      <w:r>
        <w:t xml:space="preserve">3 to </w:t>
      </w:r>
      <w:r w:rsidRPr="00901EAA" w:rsidDel="0000004C">
        <w:t>7 generations</w:t>
      </w:r>
      <w:r w:rsidDel="0000004C">
        <w:t xml:space="preserve"> </w:t>
      </w:r>
      <w:r>
        <w:t xml:space="preserve">per year </w:t>
      </w:r>
      <w:r>
        <w:rPr>
          <w:rFonts w:eastAsia="Times New Roman" w:cs="Calibri"/>
          <w:noProof/>
          <w:color w:val="000000"/>
          <w:lang w:eastAsia="en-AU"/>
        </w:rPr>
        <w:t>(Gilligan &amp; Epstein 2014a)</w:t>
      </w:r>
      <w:r w:rsidRPr="00FB6894" w:rsidDel="0000004C">
        <w:t>.</w:t>
      </w:r>
    </w:p>
    <w:p w14:paraId="53A84D74" w14:textId="77777777" w:rsidR="003438A2" w:rsidRPr="00610EFD" w:rsidRDefault="003438A2" w:rsidP="005A3F8B">
      <w:r w:rsidRPr="0008105F">
        <w:rPr>
          <w:i/>
          <w:lang w:eastAsia="en-AU"/>
        </w:rPr>
        <w:t>Grapholita prunivora</w:t>
      </w:r>
      <w:r w:rsidRPr="0008105F">
        <w:rPr>
          <w:lang w:eastAsia="en-AU"/>
        </w:rPr>
        <w:t xml:space="preserve"> has </w:t>
      </w:r>
      <w:r>
        <w:rPr>
          <w:lang w:eastAsia="en-AU"/>
        </w:rPr>
        <w:t>four</w:t>
      </w:r>
      <w:r w:rsidRPr="0008105F">
        <w:rPr>
          <w:lang w:eastAsia="en-AU"/>
        </w:rPr>
        <w:t xml:space="preserve"> life stages: egg</w:t>
      </w:r>
      <w:r>
        <w:rPr>
          <w:lang w:eastAsia="en-AU"/>
        </w:rPr>
        <w:t>,</w:t>
      </w:r>
      <w:r w:rsidRPr="0008105F">
        <w:rPr>
          <w:lang w:eastAsia="en-AU"/>
        </w:rPr>
        <w:t xml:space="preserve"> larva, pupa and </w:t>
      </w:r>
      <w:r w:rsidRPr="00610EFD">
        <w:rPr>
          <w:lang w:eastAsia="en-AU"/>
        </w:rPr>
        <w:t xml:space="preserve">adult </w:t>
      </w:r>
      <w:bookmarkStart w:id="287" w:name="_Hlk111745918"/>
      <w:r>
        <w:rPr>
          <w:rFonts w:eastAsia="Times New Roman" w:cs="Calibri"/>
          <w:noProof/>
          <w:color w:val="000000"/>
          <w:lang w:eastAsia="en-AU"/>
        </w:rPr>
        <w:t>(Gilligan &amp; Epstein 2014a)</w:t>
      </w:r>
      <w:r w:rsidRPr="00610EFD">
        <w:t>.</w:t>
      </w:r>
      <w:bookmarkEnd w:id="287"/>
      <w:r w:rsidRPr="00610EFD">
        <w:t xml:space="preserve"> </w:t>
      </w:r>
      <w:r w:rsidRPr="00610EFD">
        <w:rPr>
          <w:lang w:eastAsia="en-AU"/>
        </w:rPr>
        <w:t xml:space="preserve">Adult females lay eggs singly on young fruit or on the upper surface of the leaves. After hatching, </w:t>
      </w:r>
      <w:r w:rsidRPr="00610EFD">
        <w:rPr>
          <w:i/>
          <w:lang w:eastAsia="en-AU"/>
        </w:rPr>
        <w:t>G. prunivora</w:t>
      </w:r>
      <w:r w:rsidRPr="00610EFD">
        <w:rPr>
          <w:lang w:eastAsia="en-AU"/>
        </w:rPr>
        <w:t xml:space="preserve"> larvae generally bore into fruit through the calyx end and feed internally within the fruit for about three weeks</w:t>
      </w:r>
      <w:r>
        <w:rPr>
          <w:lang w:eastAsia="en-AU"/>
        </w:rPr>
        <w:t xml:space="preserve"> </w:t>
      </w:r>
      <w:r>
        <w:rPr>
          <w:noProof/>
        </w:rPr>
        <w:t>(Wiman &amp; Stoven 2022)</w:t>
      </w:r>
      <w:r>
        <w:t>.</w:t>
      </w:r>
      <w:r w:rsidRPr="00610EFD">
        <w:t xml:space="preserve"> </w:t>
      </w:r>
      <w:r w:rsidRPr="00610EFD">
        <w:rPr>
          <w:lang w:eastAsia="en-AU"/>
        </w:rPr>
        <w:t>Larvae hollow out superficial galleries usually at a depth of less than 6 mm under the skin. These areas remain intact at first, but then wrinkle and turn brown. Excrement of the pest accumulates in the calyx end of the fruit, and also may be found near the peduncle on the fruit. Mature larvae exit the fruit and spin cocoons to pupate or overwinter at the base of host plants or under bark scales</w:t>
      </w:r>
      <w:r>
        <w:rPr>
          <w:lang w:eastAsia="en-AU"/>
        </w:rPr>
        <w:t xml:space="preserve"> </w:t>
      </w:r>
      <w:r>
        <w:rPr>
          <w:noProof/>
        </w:rPr>
        <w:t>(Plantwise 2020; Wiman, Stoven &amp; Bush 2019)</w:t>
      </w:r>
      <w:r>
        <w:t>.</w:t>
      </w:r>
      <w:r w:rsidRPr="00610EFD">
        <w:rPr>
          <w:lang w:eastAsia="en-AU"/>
        </w:rPr>
        <w:t xml:space="preserve"> </w:t>
      </w:r>
    </w:p>
    <w:p w14:paraId="7AB02D8F" w14:textId="77777777" w:rsidR="003438A2" w:rsidRPr="0008105F" w:rsidRDefault="003438A2" w:rsidP="005A3F8B">
      <w:r w:rsidRPr="00610EFD">
        <w:rPr>
          <w:i/>
          <w:lang w:eastAsia="en-AU"/>
        </w:rPr>
        <w:t>Grapholita prunivora</w:t>
      </w:r>
      <w:r w:rsidRPr="00610EFD">
        <w:rPr>
          <w:lang w:eastAsia="en-AU"/>
        </w:rPr>
        <w:t xml:space="preserve"> has 2 generations per year, with the first generation of adults beginning to emerge in spring and the second generation appearing from late summer. Both generations of adult females lay eggs on the fruit</w:t>
      </w:r>
      <w:r>
        <w:rPr>
          <w:lang w:eastAsia="en-AU"/>
        </w:rPr>
        <w:t xml:space="preserve"> </w:t>
      </w:r>
      <w:r>
        <w:rPr>
          <w:noProof/>
        </w:rPr>
        <w:t>(Gilligan &amp; Epstein 2014a; Wiman, Stoven &amp; Bush 2019)</w:t>
      </w:r>
      <w:r>
        <w:t>.</w:t>
      </w:r>
      <w:r w:rsidRPr="00610EFD">
        <w:rPr>
          <w:lang w:eastAsia="en-AU"/>
        </w:rPr>
        <w:t xml:space="preserve"> Apple</w:t>
      </w:r>
      <w:r w:rsidRPr="0008105F">
        <w:rPr>
          <w:lang w:eastAsia="en-AU"/>
        </w:rPr>
        <w:t xml:space="preserve"> fruit attacked by first generation larvae usually drop </w:t>
      </w:r>
      <w:r>
        <w:rPr>
          <w:lang w:eastAsia="en-AU"/>
        </w:rPr>
        <w:t>from</w:t>
      </w:r>
      <w:r w:rsidRPr="0008105F">
        <w:rPr>
          <w:lang w:eastAsia="en-AU"/>
        </w:rPr>
        <w:t xml:space="preserve"> the tree prematurely</w:t>
      </w:r>
      <w:r>
        <w:rPr>
          <w:lang w:eastAsia="en-AU"/>
        </w:rPr>
        <w:t xml:space="preserve"> </w:t>
      </w:r>
      <w:r>
        <w:rPr>
          <w:noProof/>
        </w:rPr>
        <w:t>(Plantwise 2020; Wiman, Stoven &amp; Bush 2019)</w:t>
      </w:r>
      <w:r>
        <w:t>.</w:t>
      </w:r>
      <w:r w:rsidRPr="00E43408">
        <w:rPr>
          <w:iCs/>
          <w:lang w:eastAsia="en-AU"/>
        </w:rPr>
        <w:t xml:space="preserve"> </w:t>
      </w:r>
      <w:r w:rsidRPr="00274CC3">
        <w:rPr>
          <w:iCs/>
          <w:lang w:eastAsia="en-AU"/>
        </w:rPr>
        <w:t xml:space="preserve">The </w:t>
      </w:r>
      <w:r w:rsidRPr="00274CC3">
        <w:rPr>
          <w:i/>
          <w:lang w:eastAsia="en-AU"/>
        </w:rPr>
        <w:t>G. prunivora</w:t>
      </w:r>
      <w:r w:rsidRPr="00274CC3">
        <w:rPr>
          <w:lang w:eastAsia="en-AU"/>
        </w:rPr>
        <w:t xml:space="preserve"> adult is a small moth </w:t>
      </w:r>
      <w:r>
        <w:rPr>
          <w:lang w:eastAsia="en-AU"/>
        </w:rPr>
        <w:t>with a</w:t>
      </w:r>
      <w:r w:rsidRPr="00274CC3">
        <w:rPr>
          <w:lang w:eastAsia="en-AU"/>
        </w:rPr>
        <w:t xml:space="preserve"> wingspan of 8 to 11</w:t>
      </w:r>
      <w:r>
        <w:rPr>
          <w:lang w:eastAsia="en-AU"/>
        </w:rPr>
        <w:t> </w:t>
      </w:r>
      <w:r w:rsidRPr="00274CC3">
        <w:rPr>
          <w:lang w:eastAsia="en-AU"/>
        </w:rPr>
        <w:t>mm</w:t>
      </w:r>
      <w:r>
        <w:rPr>
          <w:lang w:eastAsia="en-AU"/>
        </w:rPr>
        <w:t xml:space="preserve"> </w:t>
      </w:r>
      <w:r>
        <w:rPr>
          <w:noProof/>
        </w:rPr>
        <w:t>(Pfeiffer 2013)</w:t>
      </w:r>
      <w:r>
        <w:t>.</w:t>
      </w:r>
      <w:r w:rsidRPr="00274CC3">
        <w:rPr>
          <w:lang w:eastAsia="en-AU"/>
        </w:rPr>
        <w:t xml:space="preserve"> Fully-grown</w:t>
      </w:r>
      <w:r w:rsidRPr="00274CC3">
        <w:t xml:space="preserve"> larvae are approximately 7.5 to 9.5</w:t>
      </w:r>
      <w:r>
        <w:t xml:space="preserve"> </w:t>
      </w:r>
      <w:r w:rsidRPr="00274CC3">
        <w:t>mm in length</w:t>
      </w:r>
      <w:r>
        <w:t xml:space="preserve"> </w:t>
      </w:r>
      <w:r>
        <w:rPr>
          <w:noProof/>
        </w:rPr>
        <w:t>(Gilligan &amp; Epstein 2014a)</w:t>
      </w:r>
      <w:r w:rsidRPr="00274CC3">
        <w:t>.</w:t>
      </w:r>
      <w:r w:rsidRPr="00274CC3">
        <w:rPr>
          <w:lang w:eastAsia="en-AU"/>
        </w:rPr>
        <w:t xml:space="preserve"> </w:t>
      </w:r>
      <w:r w:rsidRPr="00274CC3">
        <w:t>Golden-brown coloured pupae are 4.5 to 6.0</w:t>
      </w:r>
      <w:r>
        <w:t xml:space="preserve"> </w:t>
      </w:r>
      <w:r w:rsidRPr="00274CC3">
        <w:t>mm in length</w:t>
      </w:r>
      <w:r>
        <w:t xml:space="preserve"> </w:t>
      </w:r>
      <w:r>
        <w:rPr>
          <w:rFonts w:eastAsia="Times New Roman" w:cs="Calibri"/>
          <w:noProof/>
          <w:color w:val="000000"/>
          <w:lang w:eastAsia="en-AU"/>
        </w:rPr>
        <w:t>(Krawczyk &amp; Johnson 1996)</w:t>
      </w:r>
      <w:r>
        <w:rPr>
          <w:rFonts w:eastAsia="Times New Roman" w:cs="Calibri"/>
          <w:color w:val="000000"/>
          <w:lang w:eastAsia="en-AU"/>
        </w:rPr>
        <w:t>.</w:t>
      </w:r>
      <w:bookmarkStart w:id="288" w:name="_Hlk108954892"/>
    </w:p>
    <w:bookmarkEnd w:id="288"/>
    <w:p w14:paraId="53D0BFA8" w14:textId="77777777" w:rsidR="003438A2" w:rsidRDefault="003438A2" w:rsidP="005A3F8B">
      <w:pPr>
        <w:rPr>
          <w:i/>
        </w:rPr>
      </w:pPr>
      <w:r w:rsidRPr="00E05ACD">
        <w:t>The life-cycle of</w:t>
      </w:r>
      <w:r w:rsidRPr="00E05ACD">
        <w:rPr>
          <w:i/>
        </w:rPr>
        <w:t xml:space="preserve"> G. packardi </w:t>
      </w:r>
      <w:r w:rsidRPr="00E05ACD">
        <w:t xml:space="preserve">is very similar to that of </w:t>
      </w:r>
      <w:r w:rsidRPr="00E05ACD">
        <w:rPr>
          <w:i/>
        </w:rPr>
        <w:t>G. prunivora</w:t>
      </w:r>
      <w:r w:rsidRPr="00E05ACD">
        <w:rPr>
          <w:iCs/>
        </w:rPr>
        <w:t>,</w:t>
      </w:r>
      <w:r w:rsidRPr="00E05ACD">
        <w:t xml:space="preserve"> with four life stages and 2 to 3 generations per year </w:t>
      </w:r>
      <w:r>
        <w:rPr>
          <w:noProof/>
        </w:rPr>
        <w:t>(Gilligan, Baixeras &amp; Brown 2018; Gilligan &amp; Epstein 2014a; Pfeiffer 2013; Wise, Vander Poppen &amp; Isaacs 2012)</w:t>
      </w:r>
      <w:r>
        <w:t xml:space="preserve">. However, </w:t>
      </w:r>
      <w:r>
        <w:rPr>
          <w:noProof/>
        </w:rPr>
        <w:t>(Gilligan, Baixeras &amp; Brown 2018; Pfeiffer 2013; Wise, Vander Poppen &amp; Isaacs 2012)</w:t>
      </w:r>
      <w:r w:rsidRPr="00E05ACD">
        <w:rPr>
          <w:rStyle w:val="CommentReference"/>
        </w:rPr>
        <w:t xml:space="preserve"> </w:t>
      </w:r>
      <w:r w:rsidRPr="00E05ACD">
        <w:t>reported that this pest has a single generation on blueberries. Adult females lay eggs singly on terminal shoot leaves. The overwintering stage is the mature larva, which overwinters on the host plant in a cocoon and pupation occurs the following spring</w:t>
      </w:r>
      <w:r>
        <w:t xml:space="preserve"> </w:t>
      </w:r>
      <w:r>
        <w:rPr>
          <w:noProof/>
        </w:rPr>
        <w:t>(Gilligan &amp; Epstein 2014a)</w:t>
      </w:r>
      <w:r w:rsidRPr="00E05ACD">
        <w:t xml:space="preserve">. Like </w:t>
      </w:r>
      <w:r w:rsidRPr="00E05ACD">
        <w:rPr>
          <w:i/>
        </w:rPr>
        <w:t>G. prunivora</w:t>
      </w:r>
      <w:r w:rsidRPr="00E05ACD">
        <w:t>,</w:t>
      </w:r>
      <w:r w:rsidRPr="00E05ACD">
        <w:rPr>
          <w:i/>
        </w:rPr>
        <w:t xml:space="preserve"> G. packardi</w:t>
      </w:r>
      <w:r w:rsidRPr="00E05ACD">
        <w:t xml:space="preserve"> causes damage to fruit and shoots, with larvae entering the fruit through the calyx </w:t>
      </w:r>
      <w:r>
        <w:rPr>
          <w:noProof/>
        </w:rPr>
        <w:t>(Gilligan, Baixeras &amp; Brown 2018; Pfeiffer 2013; Wise, Vander Poppen &amp; Isaacs 2012)</w:t>
      </w:r>
      <w:r w:rsidRPr="00E05ACD">
        <w:t xml:space="preserve">. </w:t>
      </w:r>
      <w:r w:rsidRPr="00E05ACD">
        <w:rPr>
          <w:lang w:eastAsia="en-AU"/>
        </w:rPr>
        <w:t xml:space="preserve">Similar to </w:t>
      </w:r>
      <w:r w:rsidRPr="00E05ACD">
        <w:rPr>
          <w:i/>
          <w:lang w:eastAsia="en-AU"/>
        </w:rPr>
        <w:t>G. prunivora</w:t>
      </w:r>
      <w:r w:rsidRPr="00E05ACD">
        <w:rPr>
          <w:lang w:eastAsia="en-AU"/>
        </w:rPr>
        <w:t xml:space="preserve">, </w:t>
      </w:r>
      <w:r w:rsidRPr="00E05ACD">
        <w:rPr>
          <w:i/>
          <w:lang w:eastAsia="en-AU"/>
        </w:rPr>
        <w:t>G. packardi</w:t>
      </w:r>
      <w:r w:rsidRPr="00E05ACD">
        <w:rPr>
          <w:lang w:eastAsia="en-AU"/>
        </w:rPr>
        <w:t xml:space="preserve"> is also a small moth of 5 to 6 mm in length (</w:t>
      </w:r>
      <w:r w:rsidRPr="00E05ACD">
        <w:rPr>
          <w:noProof/>
        </w:rPr>
        <w:t>Wise, Vander Poppen &amp; Isaacs 2012)</w:t>
      </w:r>
      <w:r w:rsidRPr="00E05ACD">
        <w:rPr>
          <w:lang w:eastAsia="en-AU"/>
        </w:rPr>
        <w:t xml:space="preserve">. Larvae are pink-coloured and approximately 8 mm in length </w:t>
      </w:r>
      <w:r>
        <w:rPr>
          <w:noProof/>
        </w:rPr>
        <w:t>(Gilligan, Baixeras &amp; Brown 2018; Wise, Vander Poppen &amp; Isaacs 2012)</w:t>
      </w:r>
      <w:r w:rsidRPr="00E05ACD">
        <w:rPr>
          <w:lang w:eastAsia="en-AU"/>
        </w:rPr>
        <w:t>.</w:t>
      </w:r>
      <w:r>
        <w:rPr>
          <w:i/>
        </w:rPr>
        <w:t xml:space="preserve"> </w:t>
      </w:r>
    </w:p>
    <w:p w14:paraId="0A5581DA" w14:textId="77777777" w:rsidR="003438A2" w:rsidRDefault="003438A2" w:rsidP="005A3F8B">
      <w:r>
        <w:rPr>
          <w:iCs/>
        </w:rPr>
        <w:t>The risk scenario of biosecurity concern is that</w:t>
      </w:r>
      <w:r w:rsidRPr="005A1DD1">
        <w:t xml:space="preserve"> eggs or larvae</w:t>
      </w:r>
      <w:r>
        <w:t xml:space="preserve"> of Grapholita moths</w:t>
      </w:r>
      <w:r w:rsidRPr="005A1DD1">
        <w:t xml:space="preserve"> </w:t>
      </w:r>
      <w:r w:rsidRPr="00DC449B">
        <w:t>may be imported on apple fruit from the PNW-USA</w:t>
      </w:r>
      <w:r>
        <w:t>.</w:t>
      </w:r>
    </w:p>
    <w:p w14:paraId="0D63384D" w14:textId="77777777" w:rsidR="003438A2" w:rsidRDefault="003438A2" w:rsidP="005A3F8B">
      <w:r w:rsidRPr="00DC2E4D">
        <w:rPr>
          <w:i/>
          <w:iCs/>
        </w:rPr>
        <w:t>Grapholita molesta</w:t>
      </w:r>
      <w:r w:rsidRPr="00DC2E4D">
        <w:t xml:space="preserve"> has been assessed previously in </w:t>
      </w:r>
      <w:r>
        <w:t>various</w:t>
      </w:r>
      <w:r w:rsidRPr="00DC2E4D">
        <w:t xml:space="preserve"> existing import policies</w:t>
      </w:r>
      <w:r>
        <w:t>, for example,</w:t>
      </w:r>
      <w:r w:rsidRPr="00DC2E4D">
        <w:t xml:space="preserve"> for fresh apple fruit from the People’s Republic of China </w:t>
      </w:r>
      <w:r w:rsidRPr="00DC2E4D">
        <w:rPr>
          <w:noProof/>
        </w:rPr>
        <w:t>(Biosecurity Australia 2010a)</w:t>
      </w:r>
      <w:r w:rsidRPr="00DC2E4D">
        <w:t>, fresh apple fruit from New Zealand</w:t>
      </w:r>
      <w:r>
        <w:t xml:space="preserve"> </w:t>
      </w:r>
      <w:r>
        <w:rPr>
          <w:noProof/>
          <w:color w:val="000000" w:themeColor="text1"/>
        </w:rPr>
        <w:t>(Biosecurity Australia 2006a)</w:t>
      </w:r>
      <w:r>
        <w:t xml:space="preserve">, </w:t>
      </w:r>
      <w:r w:rsidRPr="00DC2E4D">
        <w:t xml:space="preserve">stone fruit from California, Idaho, Oregon and Washington </w:t>
      </w:r>
      <w:r w:rsidRPr="00DC2E4D">
        <w:rPr>
          <w:noProof/>
        </w:rPr>
        <w:t>(Biosecurity Australia 2010b)</w:t>
      </w:r>
      <w:r w:rsidRPr="00DC2E4D">
        <w:t xml:space="preserve">, </w:t>
      </w:r>
      <w:r>
        <w:t xml:space="preserve">and </w:t>
      </w:r>
      <w:r w:rsidRPr="00DC2E4D">
        <w:t xml:space="preserve">stone fruit from New Zealand into Western Australia </w:t>
      </w:r>
      <w:r>
        <w:rPr>
          <w:noProof/>
        </w:rPr>
        <w:t>(Biosecurity Australia 2006b)</w:t>
      </w:r>
      <w:r w:rsidRPr="00DC2E4D">
        <w:t>.</w:t>
      </w:r>
      <w:r>
        <w:t xml:space="preserve"> </w:t>
      </w:r>
      <w:r w:rsidRPr="00935A65">
        <w:rPr>
          <w:i/>
        </w:rPr>
        <w:t xml:space="preserve">Grapholita prunivora </w:t>
      </w:r>
      <w:r>
        <w:t xml:space="preserve">and </w:t>
      </w:r>
      <w:r w:rsidRPr="002A08B4">
        <w:rPr>
          <w:i/>
        </w:rPr>
        <w:t>G. packardi</w:t>
      </w:r>
      <w:r>
        <w:t xml:space="preserve"> </w:t>
      </w:r>
      <w:r w:rsidRPr="00935A65">
        <w:t>ha</w:t>
      </w:r>
      <w:r>
        <w:t>ve</w:t>
      </w:r>
      <w:r w:rsidRPr="00632BFD">
        <w:t xml:space="preserve"> been assessed </w:t>
      </w:r>
      <w:r w:rsidRPr="005B6550">
        <w:t xml:space="preserve">previously in the existing import </w:t>
      </w:r>
      <w:r w:rsidRPr="00611CDC">
        <w:t>policy for stone fruit from California, Idaho, Oregon and Washington</w:t>
      </w:r>
      <w:r w:rsidRPr="007A7166">
        <w:t xml:space="preserve"> </w:t>
      </w:r>
      <w:r>
        <w:rPr>
          <w:noProof/>
        </w:rPr>
        <w:t>(Biosecurity Australia 2010b)</w:t>
      </w:r>
      <w:r w:rsidRPr="007A7166">
        <w:t xml:space="preserve">. </w:t>
      </w:r>
    </w:p>
    <w:p w14:paraId="3273ACFA" w14:textId="77777777" w:rsidR="003438A2" w:rsidRDefault="003438A2" w:rsidP="005A3F8B">
      <w:r>
        <w:t xml:space="preserve">The unrestricted risk estimate (URE) for </w:t>
      </w:r>
      <w:r w:rsidRPr="00A41A50">
        <w:rPr>
          <w:i/>
          <w:iCs/>
        </w:rPr>
        <w:t>G. molesta</w:t>
      </w:r>
      <w:r>
        <w:t xml:space="preserve"> was assessed as Very low, which achieves the ALOP for Australia and therefore specific risk management measures are not required, for apples from New Zealand and apples from China. The URE for </w:t>
      </w:r>
      <w:r w:rsidRPr="005A6A17">
        <w:rPr>
          <w:i/>
          <w:iCs/>
        </w:rPr>
        <w:t>G. molesta</w:t>
      </w:r>
      <w:r>
        <w:t xml:space="preserve"> was assessed as Low, </w:t>
      </w:r>
      <w:r>
        <w:lastRenderedPageBreak/>
        <w:t xml:space="preserve">which does not achieve the ALOP for Australia and therefore specific risk management measures are required, for stone fruit from New Zealand and stone fruit </w:t>
      </w:r>
      <w:r w:rsidRPr="00DC2E4D">
        <w:t>from California, Idaho, Oregon and Washington</w:t>
      </w:r>
      <w:r>
        <w:t>.</w:t>
      </w:r>
      <w:r w:rsidRPr="00F01834">
        <w:t xml:space="preserve"> </w:t>
      </w:r>
      <w:r>
        <w:t xml:space="preserve">The URE for </w:t>
      </w:r>
      <w:r w:rsidRPr="0008105F">
        <w:rPr>
          <w:i/>
        </w:rPr>
        <w:t>G. prunivora</w:t>
      </w:r>
      <w:r w:rsidRPr="0008105F">
        <w:t xml:space="preserve"> and </w:t>
      </w:r>
      <w:r w:rsidRPr="0008105F">
        <w:rPr>
          <w:i/>
        </w:rPr>
        <w:t>G. packardi</w:t>
      </w:r>
      <w:r w:rsidRPr="00F01834" w:rsidDel="005A6A17">
        <w:t xml:space="preserve"> </w:t>
      </w:r>
      <w:r>
        <w:t xml:space="preserve">was assessed as Low, which does not achieve the ALOP for Australia and therefore specific risk management measures are required, for stone fruit </w:t>
      </w:r>
      <w:r w:rsidRPr="00DC2E4D">
        <w:t>from California, Idaho, Oregon and Washington</w:t>
      </w:r>
      <w:r>
        <w:t xml:space="preserve">. </w:t>
      </w:r>
    </w:p>
    <w:p w14:paraId="1ABFC5D8" w14:textId="77777777" w:rsidR="003438A2" w:rsidRDefault="003438A2" w:rsidP="005A3F8B">
      <w:r>
        <w:rPr>
          <w:iCs/>
        </w:rPr>
        <w:t xml:space="preserve">The department has assessed the likelihood of importation of </w:t>
      </w:r>
      <w:r w:rsidRPr="00456F84">
        <w:rPr>
          <w:i/>
        </w:rPr>
        <w:t>G. molesta</w:t>
      </w:r>
      <w:r>
        <w:rPr>
          <w:iCs/>
        </w:rPr>
        <w:t xml:space="preserve"> as Very low for apples from New Zealand and apples from China, and as Moderate for stone fruit from New Zealand and stone fruit from California, </w:t>
      </w:r>
      <w:r w:rsidRPr="00611CDC">
        <w:t>Idaho, Oregon and Washington</w:t>
      </w:r>
      <w:r>
        <w:rPr>
          <w:iCs/>
        </w:rPr>
        <w:t>.</w:t>
      </w:r>
      <w:r>
        <w:rPr>
          <w:i/>
        </w:rPr>
        <w:t xml:space="preserve"> </w:t>
      </w:r>
      <w:r>
        <w:rPr>
          <w:iCs/>
        </w:rPr>
        <w:t xml:space="preserve">The department has assessed the likelihood of importation of </w:t>
      </w:r>
      <w:r w:rsidRPr="0008105F">
        <w:rPr>
          <w:i/>
        </w:rPr>
        <w:t>G. prunivora</w:t>
      </w:r>
      <w:r w:rsidRPr="0008105F">
        <w:t xml:space="preserve"> and </w:t>
      </w:r>
      <w:r w:rsidRPr="0008105F">
        <w:rPr>
          <w:i/>
        </w:rPr>
        <w:t>G. packardi</w:t>
      </w:r>
      <w:r w:rsidRPr="0008105F">
        <w:t xml:space="preserve"> </w:t>
      </w:r>
      <w:r>
        <w:t>as Low for</w:t>
      </w:r>
      <w:r w:rsidRPr="0008105F">
        <w:t xml:space="preserve"> </w:t>
      </w:r>
      <w:r w:rsidRPr="00611CDC">
        <w:t>stone fruit from California, Idaho, Oregon and Washington</w:t>
      </w:r>
      <w:r w:rsidRPr="0008105F">
        <w:t xml:space="preserve">. </w:t>
      </w:r>
      <w:r>
        <w:t>D</w:t>
      </w:r>
      <w:r w:rsidRPr="00AC5572">
        <w:t>ifferences in pest prevalence, climate and horticultural practices between export areas</w:t>
      </w:r>
      <w:r>
        <w:t>,</w:t>
      </w:r>
      <w:r w:rsidRPr="00AC5572">
        <w:t xml:space="preserve"> </w:t>
      </w:r>
      <w:r>
        <w:t xml:space="preserve">and host status between commodities </w:t>
      </w:r>
      <w:r w:rsidRPr="00AC5572">
        <w:t xml:space="preserve">make it necessary to assess the likelihood of importation of </w:t>
      </w:r>
      <w:r>
        <w:t>Grapholita moths</w:t>
      </w:r>
      <w:r w:rsidRPr="00AC5572">
        <w:t xml:space="preserve"> associated with the PNW-USA apple pathway.</w:t>
      </w:r>
    </w:p>
    <w:p w14:paraId="4A15ACD6" w14:textId="77777777" w:rsidR="003438A2" w:rsidRPr="0008105F" w:rsidRDefault="003438A2" w:rsidP="005A3F8B">
      <w:r>
        <w:t>The department has assessed the likelihood of distribution of</w:t>
      </w:r>
      <w:r w:rsidRPr="00086DD4">
        <w:t xml:space="preserve"> </w:t>
      </w:r>
      <w:r w:rsidRPr="00456F84">
        <w:rPr>
          <w:i/>
          <w:iCs/>
        </w:rPr>
        <w:t>G. molesta</w:t>
      </w:r>
      <w:r>
        <w:t xml:space="preserve"> as Moderate for apples from New Zealand and China and for stone fruit from New Zealand and </w:t>
      </w:r>
      <w:r w:rsidRPr="0008105F">
        <w:t>California, Idaho, Oregon and Washington</w:t>
      </w:r>
      <w:r>
        <w:t xml:space="preserve">. The department has also assessed the likelihood of distribution of </w:t>
      </w:r>
      <w:r w:rsidRPr="00086DD4">
        <w:rPr>
          <w:i/>
        </w:rPr>
        <w:t>G. prunivora</w:t>
      </w:r>
      <w:r w:rsidRPr="00086DD4">
        <w:t xml:space="preserve"> </w:t>
      </w:r>
      <w:r>
        <w:t xml:space="preserve">and </w:t>
      </w:r>
      <w:r w:rsidRPr="00D3700D">
        <w:rPr>
          <w:i/>
        </w:rPr>
        <w:t>G. packardi</w:t>
      </w:r>
      <w:r>
        <w:t xml:space="preserve"> as Moderate for</w:t>
      </w:r>
      <w:r w:rsidRPr="00086DD4">
        <w:t xml:space="preserve"> stone fruit from </w:t>
      </w:r>
      <w:r w:rsidRPr="0008105F">
        <w:t>California, Idaho, Oregon and Washington</w:t>
      </w:r>
      <w:r w:rsidRPr="00935A65">
        <w:t xml:space="preserve">. </w:t>
      </w:r>
      <w:r>
        <w:t>A</w:t>
      </w:r>
      <w:r w:rsidRPr="00935A65">
        <w:t xml:space="preserve">pples from </w:t>
      </w:r>
      <w:r>
        <w:t xml:space="preserve">the </w:t>
      </w:r>
      <w:r w:rsidRPr="00935A65">
        <w:t>PNW-USA are expected to be distributed in Australia</w:t>
      </w:r>
      <w:r>
        <w:t>, as a result of their processing, sale or disposal,</w:t>
      </w:r>
      <w:r w:rsidRPr="00935A65">
        <w:t xml:space="preserve"> in a </w:t>
      </w:r>
      <w:r>
        <w:t xml:space="preserve">similar </w:t>
      </w:r>
      <w:r w:rsidRPr="00086DD4">
        <w:t xml:space="preserve">way to </w:t>
      </w:r>
      <w:r>
        <w:t xml:space="preserve">apples from New Zealand and China and to </w:t>
      </w:r>
      <w:r w:rsidRPr="00086DD4">
        <w:t xml:space="preserve">stone fruit from </w:t>
      </w:r>
      <w:r>
        <w:t xml:space="preserve">New Zealand and </w:t>
      </w:r>
      <w:r w:rsidRPr="00E63525">
        <w:t xml:space="preserve">California, Idaho, Oregon and </w:t>
      </w:r>
      <w:r w:rsidRPr="0008105F">
        <w:t xml:space="preserve">Washington. </w:t>
      </w:r>
      <w:r>
        <w:t xml:space="preserve">Grapholita moths </w:t>
      </w:r>
      <w:r w:rsidRPr="0008105F">
        <w:t>have wide host range</w:t>
      </w:r>
      <w:r>
        <w:t>s</w:t>
      </w:r>
      <w:r w:rsidRPr="0008105F">
        <w:t xml:space="preserve"> including </w:t>
      </w:r>
      <w:r>
        <w:t xml:space="preserve">a range of roasaceous species </w:t>
      </w:r>
      <w:r>
        <w:rPr>
          <w:noProof/>
        </w:rPr>
        <w:t>(Gilligan, Baixeras &amp; Brown 2018; Kaur 2021; Wise, Vander Poppen &amp; Isaacs 2012)</w:t>
      </w:r>
      <w:r>
        <w:t>.</w:t>
      </w:r>
      <w:r w:rsidRPr="0008105F">
        <w:t xml:space="preserve"> Thus</w:t>
      </w:r>
      <w:r>
        <w:t>,</w:t>
      </w:r>
      <w:r w:rsidRPr="0008105F">
        <w:t xml:space="preserve"> suitable host plants for </w:t>
      </w:r>
      <w:r>
        <w:t xml:space="preserve">Grapholita moths </w:t>
      </w:r>
      <w:r w:rsidRPr="0008105F">
        <w:t>are likely to be available all year round in Australia. There are suitable climat</w:t>
      </w:r>
      <w:r>
        <w:t>ic</w:t>
      </w:r>
      <w:r w:rsidRPr="0008105F">
        <w:t xml:space="preserve"> conditions for the development of Grapholita moths in most parts of Australia. The life stages </w:t>
      </w:r>
      <w:r>
        <w:t xml:space="preserve">likely to be </w:t>
      </w:r>
      <w:r w:rsidRPr="0008105F">
        <w:t>present on the pathway are eggs on the fruit or larvae within the fruit. Larvae may emerge from fruit, or egg</w:t>
      </w:r>
      <w:r>
        <w:t>s</w:t>
      </w:r>
      <w:r w:rsidRPr="0008105F">
        <w:t xml:space="preserve"> may hatch into larvae</w:t>
      </w:r>
      <w:r>
        <w:t>. D</w:t>
      </w:r>
      <w:r w:rsidRPr="0008105F">
        <w:t xml:space="preserve">ispersal </w:t>
      </w:r>
      <w:r>
        <w:t xml:space="preserve">by larvae </w:t>
      </w:r>
      <w:r w:rsidRPr="0008105F">
        <w:t>will be restricted to short</w:t>
      </w:r>
      <w:r>
        <w:t>-</w:t>
      </w:r>
      <w:r w:rsidRPr="0008105F">
        <w:t>distance crawling</w:t>
      </w:r>
      <w:r>
        <w:t xml:space="preserve">, but adult moths developing from larvae would be capable of flying to find new hosts. </w:t>
      </w:r>
      <w:r w:rsidRPr="008E26C9">
        <w:t xml:space="preserve">Therefore, the same rating of Moderate for the likelihood of distribution of </w:t>
      </w:r>
      <w:r w:rsidRPr="00F9608A">
        <w:rPr>
          <w:i/>
          <w:iCs/>
        </w:rPr>
        <w:t>G. molesta</w:t>
      </w:r>
      <w:r>
        <w:t xml:space="preserve">, </w:t>
      </w:r>
      <w:r w:rsidRPr="00751392">
        <w:rPr>
          <w:i/>
          <w:iCs/>
        </w:rPr>
        <w:t>G. prunivora</w:t>
      </w:r>
      <w:r w:rsidRPr="008E26C9">
        <w:t xml:space="preserve"> and </w:t>
      </w:r>
      <w:r w:rsidRPr="005A1DD1">
        <w:rPr>
          <w:i/>
          <w:iCs/>
        </w:rPr>
        <w:t>G. packardi</w:t>
      </w:r>
      <w:r w:rsidRPr="0008105F">
        <w:t xml:space="preserve"> </w:t>
      </w:r>
      <w:r>
        <w:t xml:space="preserve">from the existing policies </w:t>
      </w:r>
      <w:r w:rsidRPr="0008105F">
        <w:t xml:space="preserve">is adopted for </w:t>
      </w:r>
      <w:r>
        <w:t xml:space="preserve">these 3 Grapholita moths for </w:t>
      </w:r>
      <w:r w:rsidRPr="0008105F">
        <w:t>the PNW-USA apple pathway.</w:t>
      </w:r>
    </w:p>
    <w:p w14:paraId="3C945E84" w14:textId="77777777" w:rsidR="003438A2" w:rsidRDefault="003438A2" w:rsidP="005A3F8B">
      <w:r w:rsidRPr="0008105F">
        <w:t xml:space="preserve">The likelihoods of establishment and spread of </w:t>
      </w:r>
      <w:r>
        <w:t xml:space="preserve">Grapholita moths </w:t>
      </w:r>
      <w:r w:rsidRPr="006C394A">
        <w:t xml:space="preserve">in Australia </w:t>
      </w:r>
      <w:r>
        <w:t xml:space="preserve">from the PNW-USA apple pathway </w:t>
      </w:r>
      <w:r w:rsidRPr="006C394A">
        <w:t>are</w:t>
      </w:r>
      <w:r>
        <w:t xml:space="preserve"> assessed as being similar</w:t>
      </w:r>
      <w:r w:rsidRPr="006C394A">
        <w:t xml:space="preserve"> to those in </w:t>
      </w:r>
      <w:r>
        <w:t xml:space="preserve">the </w:t>
      </w:r>
      <w:r w:rsidRPr="006C394A">
        <w:t>previous assessment</w:t>
      </w:r>
      <w:r>
        <w:t>s</w:t>
      </w:r>
      <w:r w:rsidRPr="006C394A">
        <w:t xml:space="preserve"> </w:t>
      </w:r>
      <w:r>
        <w:t xml:space="preserve">for these moths which were rated </w:t>
      </w:r>
      <w:r w:rsidRPr="006C394A">
        <w:t>as High</w:t>
      </w:r>
      <w:r>
        <w:t xml:space="preserve"> and High, respectively</w:t>
      </w:r>
      <w:r w:rsidRPr="006C394A">
        <w:t>. Th</w:t>
      </w:r>
      <w:r>
        <w:t>e</w:t>
      </w:r>
      <w:r w:rsidRPr="006C394A">
        <w:t xml:space="preserve">se likelihoods relate specifically to events that occur in Australia and are principally independent of the import pathway. </w:t>
      </w:r>
      <w:r w:rsidRPr="00935A65">
        <w:t xml:space="preserve">The consequences of the </w:t>
      </w:r>
      <w:r>
        <w:t xml:space="preserve">entry, </w:t>
      </w:r>
      <w:r w:rsidRPr="00935A65">
        <w:t>establishment</w:t>
      </w:r>
      <w:r>
        <w:t xml:space="preserve"> and spread</w:t>
      </w:r>
      <w:r w:rsidRPr="00935A65">
        <w:t xml:space="preserve"> of </w:t>
      </w:r>
      <w:r>
        <w:t xml:space="preserve">Grapholita moths </w:t>
      </w:r>
      <w:r w:rsidRPr="00935A65">
        <w:t xml:space="preserve">in Australia are also independent of the import pathway and are </w:t>
      </w:r>
      <w:r>
        <w:t xml:space="preserve">assessed as being </w:t>
      </w:r>
      <w:r w:rsidRPr="00935A65">
        <w:t xml:space="preserve">similar </w:t>
      </w:r>
      <w:r>
        <w:t>to previous assessments</w:t>
      </w:r>
      <w:r w:rsidRPr="00935A65">
        <w:t xml:space="preserve"> </w:t>
      </w:r>
      <w:r>
        <w:t>of</w:t>
      </w:r>
      <w:r w:rsidRPr="00935A65">
        <w:t xml:space="preserve"> Moderate. Therefore, the ratings of the likelihood</w:t>
      </w:r>
      <w:r>
        <w:t>s</w:t>
      </w:r>
      <w:r w:rsidRPr="00935A65">
        <w:t xml:space="preserve"> of establishment and spread, and the rating for the overall consequences of </w:t>
      </w:r>
      <w:r>
        <w:t>Grapholita moths</w:t>
      </w:r>
      <w:r>
        <w:rPr>
          <w:iCs/>
        </w:rPr>
        <w:t xml:space="preserve"> on</w:t>
      </w:r>
      <w:r>
        <w:t xml:space="preserve"> previous import</w:t>
      </w:r>
      <w:r w:rsidRPr="00935A65">
        <w:t xml:space="preserve"> </w:t>
      </w:r>
      <w:r>
        <w:t xml:space="preserve">pathways </w:t>
      </w:r>
      <w:r w:rsidRPr="00935A65">
        <w:t xml:space="preserve">have been adopted for the PNW-USA apple </w:t>
      </w:r>
      <w:r w:rsidRPr="0008105F">
        <w:t>pathway.</w:t>
      </w:r>
    </w:p>
    <w:bookmarkEnd w:id="279"/>
    <w:p w14:paraId="22FAC074" w14:textId="77777777" w:rsidR="003438A2" w:rsidRPr="0008105F" w:rsidRDefault="003438A2" w:rsidP="006B5F10">
      <w:r w:rsidRPr="0008105F">
        <w:t xml:space="preserve">In addition, the department has also reviewed the latest literature—for example, </w:t>
      </w:r>
      <w:r>
        <w:rPr>
          <w:noProof/>
        </w:rPr>
        <w:t>Adams, Bush and Stoven (2021); EFSA PHS Panel et al. (2018); Gilligan, Baixeras and Brown (2018); Graillot et al. (2016); Hollingsworth (2019); Krawczyk (2016); Neven et al. (2018); Pfeiffer (2013); Salinas-Castro et al. (2018); Yang et al. (2016) and Zhang et al. (2017)</w:t>
      </w:r>
      <w:r>
        <w:t>. N</w:t>
      </w:r>
      <w:r w:rsidRPr="0008105F">
        <w:t xml:space="preserve">o new information has </w:t>
      </w:r>
      <w:r w:rsidRPr="0008105F">
        <w:lastRenderedPageBreak/>
        <w:t xml:space="preserve">been identified that would significantly change the risk ratings for distribution, establishment, spread or consequences as set out for Grapholita moths in the existing </w:t>
      </w:r>
      <w:r>
        <w:t>policies</w:t>
      </w:r>
      <w:r w:rsidRPr="0008105F">
        <w:t>.</w:t>
      </w:r>
    </w:p>
    <w:p w14:paraId="08B5D518" w14:textId="77777777" w:rsidR="003438A2" w:rsidRPr="005F6521" w:rsidRDefault="003438A2" w:rsidP="003438A2">
      <w:pPr>
        <w:pStyle w:val="Heading4"/>
        <w:numPr>
          <w:ilvl w:val="2"/>
          <w:numId w:val="25"/>
        </w:numPr>
        <w:tabs>
          <w:tab w:val="clear" w:pos="794"/>
          <w:tab w:val="num" w:pos="993"/>
          <w:tab w:val="num" w:pos="1929"/>
        </w:tabs>
        <w:ind w:left="1929" w:hanging="936"/>
      </w:pPr>
      <w:r w:rsidRPr="005F6521">
        <w:t>Likelihood of entry</w:t>
      </w:r>
    </w:p>
    <w:p w14:paraId="42BCC0FA" w14:textId="77777777" w:rsidR="003438A2" w:rsidRPr="004A2E85" w:rsidRDefault="003438A2" w:rsidP="005A3F8B">
      <w:r w:rsidRPr="004A2E85">
        <w:t xml:space="preserve">The likelihood of entry is considered in </w:t>
      </w:r>
      <w:r>
        <w:t>2</w:t>
      </w:r>
      <w:r w:rsidRPr="004A2E85">
        <w:t xml:space="preserve"> parts, the likelihood of importation and the likelihood of distribution, which consider pre-border and post-border issues, respectively.</w:t>
      </w:r>
    </w:p>
    <w:p w14:paraId="5E4406B1" w14:textId="77777777" w:rsidR="003438A2" w:rsidRPr="0054246A" w:rsidRDefault="003438A2" w:rsidP="005A3F8B">
      <w:pPr>
        <w:pStyle w:val="Heading5"/>
      </w:pPr>
      <w:r w:rsidRPr="0054246A">
        <w:t xml:space="preserve">Likelihood of importation </w:t>
      </w:r>
    </w:p>
    <w:p w14:paraId="72C1A644" w14:textId="77777777" w:rsidR="003438A2" w:rsidRPr="0054246A" w:rsidRDefault="003438A2" w:rsidP="005A3F8B">
      <w:r w:rsidRPr="0054246A">
        <w:t xml:space="preserve">The likelihood that </w:t>
      </w:r>
      <w:r w:rsidRPr="0054246A">
        <w:rPr>
          <w:i/>
          <w:iCs/>
        </w:rPr>
        <w:t>G. molesta</w:t>
      </w:r>
      <w:r w:rsidRPr="0054246A">
        <w:t xml:space="preserve">, </w:t>
      </w:r>
      <w:r w:rsidRPr="0054246A">
        <w:rPr>
          <w:i/>
          <w:iCs/>
        </w:rPr>
        <w:t>G. prunivora</w:t>
      </w:r>
      <w:r w:rsidRPr="0054246A">
        <w:t xml:space="preserve"> and/or </w:t>
      </w:r>
      <w:r w:rsidRPr="0054246A">
        <w:rPr>
          <w:i/>
          <w:iCs/>
        </w:rPr>
        <w:t>G. packardi</w:t>
      </w:r>
      <w:r w:rsidRPr="0054246A">
        <w:t xml:space="preserve"> will arrive in Australia with the importation of apples from the PNW-USA is assessed as Very Low.</w:t>
      </w:r>
    </w:p>
    <w:p w14:paraId="0A14631C" w14:textId="77777777" w:rsidR="003438A2" w:rsidRDefault="003438A2" w:rsidP="005A3F8B">
      <w:r w:rsidRPr="0054246A">
        <w:t>The following information provides supporting</w:t>
      </w:r>
      <w:r w:rsidRPr="005D07A3">
        <w:t xml:space="preserve"> evidence for this assessment</w:t>
      </w:r>
      <w:r>
        <w:t>.</w:t>
      </w:r>
    </w:p>
    <w:p w14:paraId="4B2AEBEF" w14:textId="77777777" w:rsidR="003438A2" w:rsidRDefault="003438A2" w:rsidP="005A3F8B">
      <w:r>
        <w:t>Grapholita moths are present in t</w:t>
      </w:r>
      <w:r w:rsidRPr="00815A3A">
        <w:t>he PNW-USA</w:t>
      </w:r>
      <w:r w:rsidRPr="006F56F5">
        <w:t xml:space="preserve"> </w:t>
      </w:r>
      <w:r>
        <w:t>and apple is a host.</w:t>
      </w:r>
    </w:p>
    <w:p w14:paraId="48AA0398" w14:textId="77777777" w:rsidR="003438A2" w:rsidRPr="00A74FD5" w:rsidRDefault="003438A2" w:rsidP="003438A2">
      <w:pPr>
        <w:pStyle w:val="ListBullet"/>
        <w:numPr>
          <w:ilvl w:val="0"/>
          <w:numId w:val="15"/>
        </w:numPr>
      </w:pPr>
      <w:r w:rsidRPr="00A74FD5">
        <w:t>The three Grapholita species are widely distributed in the PNW-USA (Wiman, Stoven &amp; Bush 2019) and apple is a host</w:t>
      </w:r>
      <w:r>
        <w:t xml:space="preserve"> </w:t>
      </w:r>
      <w:r>
        <w:rPr>
          <w:noProof/>
        </w:rPr>
        <w:t>(Gilligan, Baixeras &amp; Brown 2018; Krawczyk &amp; Johnson 1996; Myers, Hull &amp; Krawczyk 2007; Najar-Rodriguez, Bellutti &amp; Dorn 2013; Wiman &amp; Stoven 2022; Wise, Vander Poppen &amp; Isaacs 2012)</w:t>
      </w:r>
      <w:r>
        <w:t>.</w:t>
      </w:r>
      <w:r w:rsidRPr="00A74FD5">
        <w:t xml:space="preserve"> </w:t>
      </w:r>
    </w:p>
    <w:p w14:paraId="3D58BAE8" w14:textId="77777777" w:rsidR="003438A2" w:rsidRDefault="003438A2" w:rsidP="003438A2">
      <w:pPr>
        <w:pStyle w:val="ListBullet"/>
        <w:numPr>
          <w:ilvl w:val="0"/>
          <w:numId w:val="15"/>
        </w:numPr>
      </w:pPr>
      <w:r w:rsidRPr="0014181D">
        <w:rPr>
          <w:i/>
        </w:rPr>
        <w:t>Grapholita molesta</w:t>
      </w:r>
      <w:r w:rsidRPr="00917097">
        <w:t xml:space="preserve"> has a wide host range including apple, pear, apricot, plum, peach and persimmon </w:t>
      </w:r>
      <w:r>
        <w:rPr>
          <w:noProof/>
        </w:rPr>
        <w:t>(Gilligan, Baixeras &amp; Brown 2018)</w:t>
      </w:r>
      <w:r>
        <w:t xml:space="preserve">, but stone fruit such as peach are preferred </w:t>
      </w:r>
      <w:r w:rsidRPr="004E6A1E">
        <w:rPr>
          <w:rFonts w:cs="Arial"/>
          <w:noProof/>
        </w:rPr>
        <w:t>(Myers, Hull &amp; Krawczyk 2007; Najar-Rodriguez, Bellutti &amp; Dorn 2013)</w:t>
      </w:r>
      <w:r w:rsidRPr="004E6A1E">
        <w:t>.</w:t>
      </w:r>
    </w:p>
    <w:p w14:paraId="10072436" w14:textId="77777777" w:rsidR="003438A2" w:rsidRPr="0054246A" w:rsidRDefault="003438A2" w:rsidP="003438A2">
      <w:pPr>
        <w:pStyle w:val="ListBullet"/>
        <w:numPr>
          <w:ilvl w:val="0"/>
          <w:numId w:val="15"/>
        </w:numPr>
      </w:pPr>
      <w:r w:rsidRPr="0054246A">
        <w:t xml:space="preserve">Several studies have explored the host suitability of apple and stone fruit hosts for </w:t>
      </w:r>
      <w:r w:rsidRPr="0054246A">
        <w:rPr>
          <w:i/>
          <w:iCs/>
        </w:rPr>
        <w:t>G. molesta</w:t>
      </w:r>
      <w:r w:rsidRPr="0054246A">
        <w:t xml:space="preserve"> </w:t>
      </w:r>
      <w:bookmarkStart w:id="289" w:name="_Hlk109132150"/>
      <w:r w:rsidRPr="0054246A">
        <w:t>(Myers, Hull &amp; Krawczyk 2007; Najar-Rodriguez, Bellutti &amp; Dorn 2013)</w:t>
      </w:r>
      <w:bookmarkEnd w:id="289"/>
      <w:r w:rsidRPr="0054246A">
        <w:t xml:space="preserve"> </w:t>
      </w:r>
      <w:r>
        <w:rPr>
          <w:noProof/>
        </w:rPr>
        <w:t>(Sarker &amp; Lim 2019)</w:t>
      </w:r>
      <w:r w:rsidRPr="0054246A">
        <w:t xml:space="preserve">. </w:t>
      </w:r>
      <w:hyperlink w:anchor="_ENREF_89" w:tooltip="Myers, 2007 #5590" w:history="1">
        <w:r w:rsidRPr="0054246A">
          <w:t>Myers, Hull &amp; Krawczyk (2007</w:t>
        </w:r>
      </w:hyperlink>
      <w:r w:rsidRPr="0054246A">
        <w:t xml:space="preserve">) and </w:t>
      </w:r>
      <w:hyperlink w:anchor="_ENREF_90" w:tooltip="Najar-Rodriguez, 2013 #35114" w:history="1">
        <w:r w:rsidRPr="0054246A">
          <w:t>Najar-Rodriguez, Bellutti &amp; Dorn (2013</w:t>
        </w:r>
      </w:hyperlink>
      <w:r w:rsidRPr="0054246A">
        <w:t xml:space="preserve">) showed that mature apple fruit is an inferior host to mature peach fruit for </w:t>
      </w:r>
      <w:r w:rsidRPr="0054246A">
        <w:rPr>
          <w:i/>
          <w:iCs/>
        </w:rPr>
        <w:t>G. molesta</w:t>
      </w:r>
      <w:r w:rsidRPr="0054246A">
        <w:t>, largely due to larvae developing significantly slower in apple versus peach fruit. However, adult moths that emerged from apples had significantly greater longevities than those emerging from peach (</w:t>
      </w:r>
      <w:hyperlink w:anchor="_ENREF_89" w:tooltip="Myers, 2007 #5590" w:history="1">
        <w:r w:rsidRPr="0054246A">
          <w:t>Myers, Hull &amp; Krawczyk 2007</w:t>
        </w:r>
      </w:hyperlink>
      <w:r w:rsidRPr="0054246A">
        <w:t xml:space="preserve">), while Najar-Rodriguez (2013) showed that adult longevity, fecundity and body mass were not significantly different when larva were reared on apple or peach. Sarker and Lim (2019) showed that, while </w:t>
      </w:r>
      <w:r w:rsidRPr="003D273A">
        <w:rPr>
          <w:i/>
          <w:iCs/>
        </w:rPr>
        <w:t>G. molesta</w:t>
      </w:r>
      <w:r w:rsidRPr="0054246A">
        <w:t xml:space="preserve"> larvae developed more slowly in immature apple fruit than immature peach and plum fruit, the collective consideration of all performance indicators suggested that immature apple and plum </w:t>
      </w:r>
      <w:r w:rsidRPr="003830A3">
        <w:t xml:space="preserve">fruit were more suitable hosts than immature peach fruit. Host suitability for </w:t>
      </w:r>
      <w:r w:rsidRPr="003830A3">
        <w:rPr>
          <w:i/>
          <w:iCs/>
        </w:rPr>
        <w:t xml:space="preserve">G. molesta </w:t>
      </w:r>
      <w:r w:rsidRPr="003830A3">
        <w:t>therefore appears to be dependent on the level of fruit maturity (Sarker &amp; Lim 2019; Sarker, Woo &amp; Lim 2021). Collectively, the</w:t>
      </w:r>
      <w:r w:rsidRPr="0054246A">
        <w:t xml:space="preserve"> results of studies on the host status of apple for </w:t>
      </w:r>
      <w:r w:rsidRPr="008109FF">
        <w:rPr>
          <w:i/>
          <w:iCs/>
        </w:rPr>
        <w:t>G. molesta</w:t>
      </w:r>
      <w:r w:rsidRPr="0054246A">
        <w:t xml:space="preserve"> indicate that both immature and mature apple fruit are suitable hosts. </w:t>
      </w:r>
    </w:p>
    <w:p w14:paraId="7D04DB7E" w14:textId="77777777" w:rsidR="003438A2" w:rsidRPr="00357280" w:rsidRDefault="003438A2" w:rsidP="003438A2">
      <w:pPr>
        <w:pStyle w:val="ListBullet"/>
        <w:numPr>
          <w:ilvl w:val="0"/>
          <w:numId w:val="15"/>
        </w:numPr>
      </w:pPr>
      <w:r>
        <w:rPr>
          <w:lang w:eastAsia="en-AU"/>
        </w:rPr>
        <w:t>H</w:t>
      </w:r>
      <w:r w:rsidRPr="002C5088">
        <w:rPr>
          <w:lang w:eastAsia="en-AU"/>
        </w:rPr>
        <w:t>ost</w:t>
      </w:r>
      <w:r>
        <w:rPr>
          <w:lang w:eastAsia="en-AU"/>
        </w:rPr>
        <w:t>s</w:t>
      </w:r>
      <w:r w:rsidRPr="002C5088">
        <w:rPr>
          <w:lang w:eastAsia="en-AU"/>
        </w:rPr>
        <w:t xml:space="preserve"> of </w:t>
      </w:r>
      <w:r w:rsidRPr="0014181D">
        <w:rPr>
          <w:i/>
          <w:lang w:eastAsia="en-AU"/>
        </w:rPr>
        <w:t>G. prunivora</w:t>
      </w:r>
      <w:r w:rsidRPr="002C5088">
        <w:rPr>
          <w:lang w:eastAsia="en-AU"/>
        </w:rPr>
        <w:t xml:space="preserve"> </w:t>
      </w:r>
      <w:r w:rsidRPr="005D4502">
        <w:rPr>
          <w:lang w:eastAsia="en-AU"/>
        </w:rPr>
        <w:t>includ</w:t>
      </w:r>
      <w:r>
        <w:rPr>
          <w:lang w:eastAsia="en-AU"/>
        </w:rPr>
        <w:t>e</w:t>
      </w:r>
      <w:r w:rsidRPr="005D4502">
        <w:rPr>
          <w:lang w:eastAsia="en-AU"/>
        </w:rPr>
        <w:t xml:space="preserve"> most cultivated pome and stone fruit</w:t>
      </w:r>
      <w:r>
        <w:rPr>
          <w:lang w:eastAsia="en-AU"/>
        </w:rPr>
        <w:t xml:space="preserve"> </w:t>
      </w:r>
      <w:r>
        <w:rPr>
          <w:noProof/>
        </w:rPr>
        <w:t>(CABI 2022; Krawczyk &amp; Johnson 1996),</w:t>
      </w:r>
      <w:r w:rsidRPr="005D4502">
        <w:rPr>
          <w:noProof/>
        </w:rPr>
        <w:t xml:space="preserve"> </w:t>
      </w:r>
      <w:r>
        <w:rPr>
          <w:noProof/>
        </w:rPr>
        <w:t>although</w:t>
      </w:r>
      <w:r w:rsidRPr="005D4502">
        <w:rPr>
          <w:noProof/>
        </w:rPr>
        <w:t xml:space="preserve"> </w:t>
      </w:r>
      <w:r w:rsidRPr="005D4502">
        <w:rPr>
          <w:lang w:eastAsia="en-AU"/>
        </w:rPr>
        <w:t>crabapple</w:t>
      </w:r>
      <w:r w:rsidRPr="002C5088">
        <w:rPr>
          <w:lang w:eastAsia="en-AU"/>
        </w:rPr>
        <w:t xml:space="preserve">, </w:t>
      </w:r>
      <w:r>
        <w:rPr>
          <w:lang w:eastAsia="en-AU"/>
        </w:rPr>
        <w:t>hawthorn and</w:t>
      </w:r>
      <w:r w:rsidRPr="002C5088">
        <w:rPr>
          <w:lang w:eastAsia="en-AU"/>
        </w:rPr>
        <w:t xml:space="preserve"> wild roses</w:t>
      </w:r>
      <w:r>
        <w:rPr>
          <w:lang w:eastAsia="en-AU"/>
        </w:rPr>
        <w:t xml:space="preserve"> are reported as main hosts</w:t>
      </w:r>
      <w:r w:rsidRPr="002C5088">
        <w:rPr>
          <w:lang w:eastAsia="en-AU"/>
        </w:rPr>
        <w:t xml:space="preserve"> </w:t>
      </w:r>
      <w:r>
        <w:rPr>
          <w:noProof/>
        </w:rPr>
        <w:t>(Wiman &amp; Stoven 2021b)</w:t>
      </w:r>
      <w:r>
        <w:t>.</w:t>
      </w:r>
    </w:p>
    <w:p w14:paraId="3E657399" w14:textId="77777777" w:rsidR="003438A2" w:rsidRPr="00A9486B" w:rsidRDefault="003438A2" w:rsidP="003438A2">
      <w:pPr>
        <w:pStyle w:val="ListBullet"/>
        <w:numPr>
          <w:ilvl w:val="0"/>
          <w:numId w:val="15"/>
        </w:numPr>
      </w:pPr>
      <w:bookmarkStart w:id="290" w:name="_Hlk108367724"/>
      <w:r w:rsidRPr="002C5088">
        <w:rPr>
          <w:i/>
          <w:lang w:eastAsia="en-AU"/>
        </w:rPr>
        <w:t>Grapholita</w:t>
      </w:r>
      <w:r w:rsidRPr="002C5088">
        <w:rPr>
          <w:i/>
        </w:rPr>
        <w:t xml:space="preserve"> p</w:t>
      </w:r>
      <w:r>
        <w:rPr>
          <w:i/>
        </w:rPr>
        <w:t xml:space="preserve">ackardi </w:t>
      </w:r>
      <w:r>
        <w:rPr>
          <w:iCs/>
        </w:rPr>
        <w:t xml:space="preserve">is recorded to feed on fruit crops in the families Rosaceae and Ericaceae </w:t>
      </w:r>
      <w:r>
        <w:rPr>
          <w:noProof/>
          <w:lang w:eastAsia="en-AU"/>
        </w:rPr>
        <w:t>(Gilligan &amp; Epstein 2014c)</w:t>
      </w:r>
      <w:r>
        <w:rPr>
          <w:lang w:eastAsia="en-AU"/>
        </w:rPr>
        <w:t xml:space="preserve">. </w:t>
      </w:r>
      <w:r w:rsidRPr="002C5088">
        <w:rPr>
          <w:i/>
          <w:lang w:eastAsia="en-AU"/>
        </w:rPr>
        <w:t>Grapholita</w:t>
      </w:r>
      <w:r w:rsidRPr="002C5088">
        <w:rPr>
          <w:i/>
        </w:rPr>
        <w:t xml:space="preserve"> p</w:t>
      </w:r>
      <w:r>
        <w:rPr>
          <w:i/>
        </w:rPr>
        <w:t xml:space="preserve">ackardi </w:t>
      </w:r>
      <w:r>
        <w:rPr>
          <w:iCs/>
        </w:rPr>
        <w:t xml:space="preserve">is mainly a pest of blueberry and cherry, although it can also attack apples and other fruit </w:t>
      </w:r>
      <w:r>
        <w:rPr>
          <w:noProof/>
        </w:rPr>
        <w:t>(Gilligan, Baixeras &amp; Brown 2018; Kaur 2021; Wise, Vander Poppen &amp; Isaacs 2012)</w:t>
      </w:r>
      <w:r>
        <w:t>.</w:t>
      </w:r>
      <w:r>
        <w:rPr>
          <w:iCs/>
        </w:rPr>
        <w:t xml:space="preserve"> </w:t>
      </w:r>
    </w:p>
    <w:bookmarkEnd w:id="290"/>
    <w:p w14:paraId="5510941D" w14:textId="77777777" w:rsidR="003438A2" w:rsidRDefault="003438A2" w:rsidP="005A3F8B">
      <w:r>
        <w:t>Grapholita moths are not recognised as pests of commercially produced apples in the PNW-USA.</w:t>
      </w:r>
    </w:p>
    <w:p w14:paraId="780F0D13" w14:textId="77777777" w:rsidR="003438A2" w:rsidRPr="00A7024B" w:rsidRDefault="003438A2" w:rsidP="003438A2">
      <w:pPr>
        <w:pStyle w:val="ListBullet"/>
        <w:numPr>
          <w:ilvl w:val="0"/>
          <w:numId w:val="15"/>
        </w:numPr>
      </w:pPr>
      <w:r w:rsidRPr="00FB29F6">
        <w:rPr>
          <w:i/>
          <w:iCs/>
        </w:rPr>
        <w:t>Grapholita molesta</w:t>
      </w:r>
      <w:r w:rsidRPr="00A7024B">
        <w:t xml:space="preserve"> is a</w:t>
      </w:r>
      <w:r>
        <w:t>n</w:t>
      </w:r>
      <w:r w:rsidRPr="00A7024B">
        <w:t xml:space="preserve"> important pest of stone fruit, especially peaches and nectarines, in the PNW-US</w:t>
      </w:r>
      <w:r>
        <w:t xml:space="preserve">A </w:t>
      </w:r>
      <w:bookmarkStart w:id="291" w:name="_Hlk109902035"/>
      <w:r>
        <w:rPr>
          <w:noProof/>
        </w:rPr>
        <w:t xml:space="preserve">(Neven et al. 2018; </w:t>
      </w:r>
      <w:bookmarkEnd w:id="291"/>
      <w:r>
        <w:rPr>
          <w:noProof/>
        </w:rPr>
        <w:t xml:space="preserve">Wiman &amp; Stoven 2022). </w:t>
      </w:r>
      <w:r w:rsidRPr="00012AEB">
        <w:rPr>
          <w:i/>
          <w:iCs/>
        </w:rPr>
        <w:t>Grapholita</w:t>
      </w:r>
      <w:r w:rsidRPr="00A7024B">
        <w:t xml:space="preserve"> </w:t>
      </w:r>
      <w:r w:rsidRPr="00012AEB">
        <w:rPr>
          <w:i/>
          <w:iCs/>
        </w:rPr>
        <w:t>molesta</w:t>
      </w:r>
      <w:r w:rsidRPr="00A7024B">
        <w:t xml:space="preserve"> is not recognised as a pest of commercially produced apples in the PNW-USA but it may be found in neglected backyard apple trees</w:t>
      </w:r>
      <w:r>
        <w:t xml:space="preserve"> </w:t>
      </w:r>
      <w:r>
        <w:rPr>
          <w:noProof/>
        </w:rPr>
        <w:t xml:space="preserve">(Wiman &amp; Stoven 2022). </w:t>
      </w:r>
      <w:r w:rsidRPr="00776B86">
        <w:rPr>
          <w:i/>
          <w:iCs/>
        </w:rPr>
        <w:t>Grapholita molesta</w:t>
      </w:r>
      <w:r w:rsidRPr="00A7024B">
        <w:t xml:space="preserve"> has become a </w:t>
      </w:r>
      <w:r w:rsidRPr="00A7024B">
        <w:lastRenderedPageBreak/>
        <w:t>more important pest of apples in eastern USA since the late 1990s (</w:t>
      </w:r>
      <w:r w:rsidRPr="00776B86">
        <w:t>Myers, Hull &amp; Krawczyk 2007).</w:t>
      </w:r>
    </w:p>
    <w:p w14:paraId="74758B5C" w14:textId="77777777" w:rsidR="003438A2" w:rsidRPr="002971E2" w:rsidRDefault="003438A2" w:rsidP="003438A2">
      <w:pPr>
        <w:pStyle w:val="ListBullet"/>
        <w:numPr>
          <w:ilvl w:val="0"/>
          <w:numId w:val="15"/>
        </w:numPr>
        <w:rPr>
          <w:iCs/>
        </w:rPr>
      </w:pPr>
      <w:r>
        <w:t xml:space="preserve">Central parts of Washington State, where most apples in the PNW-USA are grown, and eastern parts of the state, have been shown through modelling to have relatively low </w:t>
      </w:r>
      <w:r>
        <w:rPr>
          <w:iCs/>
        </w:rPr>
        <w:t>habitat</w:t>
      </w:r>
      <w:r w:rsidRPr="004B6315">
        <w:rPr>
          <w:iCs/>
        </w:rPr>
        <w:t xml:space="preserve"> </w:t>
      </w:r>
      <w:r>
        <w:rPr>
          <w:iCs/>
        </w:rPr>
        <w:t xml:space="preserve">and climatic </w:t>
      </w:r>
      <w:r w:rsidRPr="004B6315">
        <w:rPr>
          <w:iCs/>
        </w:rPr>
        <w:t>suitability for</w:t>
      </w:r>
      <w:r>
        <w:rPr>
          <w:iCs/>
        </w:rPr>
        <w:t xml:space="preserve"> </w:t>
      </w:r>
      <w:r w:rsidRPr="002156D5">
        <w:rPr>
          <w:i/>
        </w:rPr>
        <w:t>G. molesta</w:t>
      </w:r>
      <w:r>
        <w:rPr>
          <w:iCs/>
        </w:rPr>
        <w:t xml:space="preserve">, in contrast to western parts of the state, consistent with the pest’s current distribution </w:t>
      </w:r>
      <w:r>
        <w:rPr>
          <w:noProof/>
        </w:rPr>
        <w:t>(Neven et al. 2018).</w:t>
      </w:r>
      <w:r>
        <w:t xml:space="preserve"> </w:t>
      </w:r>
    </w:p>
    <w:p w14:paraId="5C703331" w14:textId="77777777" w:rsidR="003438A2" w:rsidRPr="006E7036" w:rsidRDefault="003438A2" w:rsidP="003438A2">
      <w:pPr>
        <w:pStyle w:val="ListBullet"/>
        <w:numPr>
          <w:ilvl w:val="0"/>
          <w:numId w:val="15"/>
        </w:numPr>
      </w:pPr>
      <w:r>
        <w:t>Apart from low habitat and climatic suitability of parts of the PNW-</w:t>
      </w:r>
      <w:r w:rsidRPr="00964F1B">
        <w:t xml:space="preserve">USA, </w:t>
      </w:r>
      <w:hyperlink w:anchor="_ENREF_152" w:tooltip="Neven, 2018 #33426" w:history="1">
        <w:r w:rsidRPr="00964F1B">
          <w:rPr>
            <w:noProof/>
          </w:rPr>
          <w:t>Neven et al. (2018</w:t>
        </w:r>
      </w:hyperlink>
      <w:r w:rsidRPr="00964F1B">
        <w:rPr>
          <w:noProof/>
        </w:rPr>
        <w:t>)</w:t>
      </w:r>
      <w:r>
        <w:rPr>
          <w:noProof/>
        </w:rPr>
        <w:t xml:space="preserve"> </w:t>
      </w:r>
      <w:r>
        <w:t xml:space="preserve">proposed other reasons for why </w:t>
      </w:r>
      <w:r w:rsidRPr="006E7036">
        <w:rPr>
          <w:i/>
        </w:rPr>
        <w:t>G. molesta</w:t>
      </w:r>
      <w:r>
        <w:t xml:space="preserve"> is not a pest of commercial apples in the PNW-USA. These include apple orchards generally not adjoining stone fruit orchards and therefore being </w:t>
      </w:r>
      <w:r w:rsidRPr="00D50AB0">
        <w:t>less prone to attack</w:t>
      </w:r>
      <w:r>
        <w:t xml:space="preserve"> from moths flying in from stone fruit orchards, the low prevalence of alternate hosts in apple production areas, and insecticide spray programs.</w:t>
      </w:r>
    </w:p>
    <w:p w14:paraId="5768D8DC" w14:textId="77777777" w:rsidR="003438A2" w:rsidRDefault="003438A2" w:rsidP="003438A2">
      <w:pPr>
        <w:pStyle w:val="ListBullet"/>
        <w:numPr>
          <w:ilvl w:val="0"/>
          <w:numId w:val="15"/>
        </w:numPr>
      </w:pPr>
      <w:r>
        <w:t>Outside of the PNW-USA in Michigan,</w:t>
      </w:r>
      <w:r w:rsidRPr="006D757A">
        <w:rPr>
          <w:rFonts w:eastAsia="Times New Roman" w:cs="Calibri"/>
          <w:color w:val="000000"/>
          <w:lang w:eastAsia="en-AU"/>
        </w:rPr>
        <w:t xml:space="preserve"> Grapholita moths have been shown to be more common in abandoned apple orchards than commercial apple orchards</w:t>
      </w:r>
      <w:r>
        <w:rPr>
          <w:rFonts w:eastAsia="Times New Roman" w:cs="Calibri"/>
          <w:color w:val="000000"/>
          <w:lang w:eastAsia="en-AU"/>
        </w:rPr>
        <w:t xml:space="preserve"> (</w:t>
      </w:r>
      <w:r w:rsidRPr="00D403F6">
        <w:rPr>
          <w:noProof/>
          <w:lang w:eastAsia="en-AU"/>
        </w:rPr>
        <w:t>Krawczyk &amp; Johnson 1996</w:t>
      </w:r>
      <w:r>
        <w:rPr>
          <w:noProof/>
          <w:lang w:eastAsia="en-AU"/>
        </w:rPr>
        <w:t>)</w:t>
      </w:r>
      <w:r>
        <w:t xml:space="preserve">. </w:t>
      </w:r>
      <w:r w:rsidRPr="006D757A">
        <w:rPr>
          <w:i/>
          <w:iCs/>
        </w:rPr>
        <w:t>Grapholita prunivora</w:t>
      </w:r>
      <w:r>
        <w:t xml:space="preserve"> was the focus of the study of </w:t>
      </w:r>
      <w:r w:rsidRPr="00D403F6">
        <w:rPr>
          <w:noProof/>
          <w:lang w:eastAsia="en-AU"/>
        </w:rPr>
        <w:t xml:space="preserve">Krawczyk &amp; Johnson </w:t>
      </w:r>
      <w:r>
        <w:rPr>
          <w:noProof/>
          <w:lang w:eastAsia="en-AU"/>
        </w:rPr>
        <w:t>(</w:t>
      </w:r>
      <w:r w:rsidRPr="00D403F6">
        <w:rPr>
          <w:noProof/>
          <w:lang w:eastAsia="en-AU"/>
        </w:rPr>
        <w:t>1996</w:t>
      </w:r>
      <w:r>
        <w:rPr>
          <w:noProof/>
          <w:lang w:eastAsia="en-AU"/>
        </w:rPr>
        <w:t xml:space="preserve">) </w:t>
      </w:r>
      <w:r>
        <w:t xml:space="preserve">who reported no commercially produced apple fruit to be damaged by this species even though </w:t>
      </w:r>
      <w:r w:rsidRPr="006D757A">
        <w:rPr>
          <w:i/>
          <w:iCs/>
        </w:rPr>
        <w:t>G. prunivora</w:t>
      </w:r>
      <w:r>
        <w:t xml:space="preserve"> adults were trapped in orchards. However, in abandoned orchards, </w:t>
      </w:r>
      <w:r w:rsidRPr="006D757A">
        <w:rPr>
          <w:i/>
          <w:iCs/>
        </w:rPr>
        <w:t xml:space="preserve">G. molesta </w:t>
      </w:r>
      <w:r>
        <w:t xml:space="preserve">and </w:t>
      </w:r>
      <w:r w:rsidRPr="005D4502">
        <w:rPr>
          <w:i/>
          <w:iCs/>
        </w:rPr>
        <w:t>C. pomonella</w:t>
      </w:r>
      <w:r>
        <w:t xml:space="preserve"> were the main moth pests emerging from fruit, whereas </w:t>
      </w:r>
      <w:r w:rsidRPr="006D757A">
        <w:rPr>
          <w:i/>
          <w:iCs/>
        </w:rPr>
        <w:t>G</w:t>
      </w:r>
      <w:r>
        <w:rPr>
          <w:i/>
          <w:iCs/>
        </w:rPr>
        <w:t>.</w:t>
      </w:r>
      <w:r w:rsidRPr="006D757A">
        <w:rPr>
          <w:i/>
          <w:iCs/>
        </w:rPr>
        <w:t xml:space="preserve"> prunivora</w:t>
      </w:r>
      <w:r>
        <w:t xml:space="preserve"> and </w:t>
      </w:r>
      <w:r w:rsidRPr="00FD6383">
        <w:rPr>
          <w:i/>
          <w:iCs/>
        </w:rPr>
        <w:t>G. packardi</w:t>
      </w:r>
      <w:r>
        <w:t xml:space="preserve"> were reared in much lower numbers. </w:t>
      </w:r>
      <w:r w:rsidRPr="006D757A">
        <w:rPr>
          <w:i/>
          <w:iCs/>
        </w:rPr>
        <w:t>Grapholita packardi</w:t>
      </w:r>
      <w:r>
        <w:t xml:space="preserve"> was the only species not reared from abandoned orchard apple fruit on all sampling occasions.</w:t>
      </w:r>
    </w:p>
    <w:p w14:paraId="6C5445A3" w14:textId="77777777" w:rsidR="003438A2" w:rsidRDefault="003438A2" w:rsidP="003438A2">
      <w:pPr>
        <w:pStyle w:val="ListBullet"/>
        <w:numPr>
          <w:ilvl w:val="0"/>
          <w:numId w:val="15"/>
        </w:numPr>
      </w:pPr>
      <w:r>
        <w:t xml:space="preserve">There is very little additional information or evidence for </w:t>
      </w:r>
      <w:r w:rsidRPr="00FD6383">
        <w:rPr>
          <w:i/>
          <w:iCs/>
        </w:rPr>
        <w:t>G. prunivora</w:t>
      </w:r>
      <w:r>
        <w:t xml:space="preserve"> and </w:t>
      </w:r>
      <w:r w:rsidRPr="00FD6383">
        <w:rPr>
          <w:i/>
          <w:iCs/>
        </w:rPr>
        <w:t>G. packardi</w:t>
      </w:r>
      <w:r>
        <w:t xml:space="preserve"> in apples in the PNW-USA or wider north America. Most information relating to the two species in apples and other fruit is quite old and the absence of contemporary records indicates that they are either rare and/or effectively controlled in commercial orchards.</w:t>
      </w:r>
    </w:p>
    <w:p w14:paraId="7800769F" w14:textId="77777777" w:rsidR="003438A2" w:rsidRDefault="003438A2" w:rsidP="005A3F8B">
      <w:r>
        <w:t>Grapholita moths may not be detected during harvest or post-harvest processes.</w:t>
      </w:r>
    </w:p>
    <w:p w14:paraId="44D3AE11" w14:textId="77777777" w:rsidR="003438A2" w:rsidRDefault="003438A2" w:rsidP="003438A2">
      <w:pPr>
        <w:pStyle w:val="ListBullet"/>
        <w:numPr>
          <w:ilvl w:val="0"/>
          <w:numId w:val="15"/>
        </w:numPr>
      </w:pPr>
      <w:r>
        <w:rPr>
          <w:noProof/>
          <w:lang w:eastAsia="en-AU"/>
        </w:rPr>
        <w:t xml:space="preserve">Larvae of the three </w:t>
      </w:r>
      <w:r w:rsidRPr="00402094">
        <w:rPr>
          <w:i/>
          <w:iCs/>
          <w:noProof/>
          <w:lang w:eastAsia="en-AU"/>
        </w:rPr>
        <w:t>Grapholita</w:t>
      </w:r>
      <w:r>
        <w:rPr>
          <w:noProof/>
          <w:lang w:eastAsia="en-AU"/>
        </w:rPr>
        <w:t xml:space="preserve"> species feed internally in fruit and signs of damage are often apparent, which would mean infested fruit would likely be detected during harvest or post-harvest processes in the packing house.</w:t>
      </w:r>
    </w:p>
    <w:p w14:paraId="07C9A935" w14:textId="77777777" w:rsidR="003438A2" w:rsidRDefault="003438A2" w:rsidP="003438A2">
      <w:pPr>
        <w:pStyle w:val="ListBullet"/>
        <w:numPr>
          <w:ilvl w:val="0"/>
          <w:numId w:val="15"/>
        </w:numPr>
      </w:pPr>
      <w:r>
        <w:rPr>
          <w:noProof/>
          <w:lang w:eastAsia="en-AU"/>
        </w:rPr>
        <w:t xml:space="preserve">Larvae of </w:t>
      </w:r>
      <w:r>
        <w:rPr>
          <w:i/>
          <w:iCs/>
          <w:noProof/>
          <w:lang w:eastAsia="en-AU"/>
        </w:rPr>
        <w:t xml:space="preserve">G. molesta </w:t>
      </w:r>
      <w:bookmarkStart w:id="292" w:name="_Hlk109833514"/>
      <w:r w:rsidRPr="002C6E8D">
        <w:rPr>
          <w:noProof/>
          <w:lang w:eastAsia="en-AU"/>
        </w:rPr>
        <w:t>(Stearns &amp; Neiswander 1930 in</w:t>
      </w:r>
      <w:r>
        <w:rPr>
          <w:noProof/>
          <w:lang w:eastAsia="en-AU"/>
        </w:rPr>
        <w:t xml:space="preserve"> </w:t>
      </w:r>
      <w:r>
        <w:rPr>
          <w:noProof/>
        </w:rPr>
        <w:t>Sarker and Lim (2022)</w:t>
      </w:r>
      <w:r>
        <w:t xml:space="preserve">), </w:t>
      </w:r>
      <w:bookmarkEnd w:id="292"/>
      <w:r w:rsidRPr="00B1464C">
        <w:rPr>
          <w:i/>
          <w:iCs/>
          <w:noProof/>
          <w:lang w:eastAsia="en-AU"/>
        </w:rPr>
        <w:t>G</w:t>
      </w:r>
      <w:r>
        <w:rPr>
          <w:i/>
          <w:iCs/>
          <w:noProof/>
          <w:lang w:eastAsia="en-AU"/>
        </w:rPr>
        <w:t>.</w:t>
      </w:r>
      <w:r w:rsidRPr="00B1464C">
        <w:rPr>
          <w:i/>
          <w:iCs/>
          <w:noProof/>
          <w:lang w:eastAsia="en-AU"/>
        </w:rPr>
        <w:t xml:space="preserve"> prunivora</w:t>
      </w:r>
      <w:r>
        <w:rPr>
          <w:noProof/>
          <w:lang w:eastAsia="en-AU"/>
        </w:rPr>
        <w:t xml:space="preserve"> (</w:t>
      </w:r>
      <w:hyperlink w:anchor="_ENREF_421" w:tooltip="Kaur, 2021 #44761" w:history="1">
        <w:r w:rsidRPr="009701B0">
          <w:rPr>
            <w:noProof/>
            <w:lang w:eastAsia="en-AU"/>
          </w:rPr>
          <w:t>Kaur 2021</w:t>
        </w:r>
      </w:hyperlink>
      <w:r>
        <w:rPr>
          <w:noProof/>
          <w:lang w:eastAsia="en-AU"/>
        </w:rPr>
        <w:t xml:space="preserve">) and </w:t>
      </w:r>
      <w:r w:rsidRPr="00EF606C">
        <w:rPr>
          <w:i/>
          <w:iCs/>
          <w:noProof/>
          <w:lang w:eastAsia="en-AU"/>
        </w:rPr>
        <w:t>G. packardi</w:t>
      </w:r>
      <w:r>
        <w:rPr>
          <w:noProof/>
          <w:lang w:eastAsia="en-AU"/>
        </w:rPr>
        <w:t xml:space="preserve"> (</w:t>
      </w:r>
      <w:hyperlink w:anchor="_ENREF_601" w:tooltip="Pfeiffer, 2013 #19831" w:history="1">
        <w:r>
          <w:rPr>
            <w:noProof/>
          </w:rPr>
          <w:t>Pfeiffer 2013</w:t>
        </w:r>
      </w:hyperlink>
      <w:r>
        <w:rPr>
          <w:noProof/>
        </w:rPr>
        <w:t xml:space="preserve">; </w:t>
      </w:r>
      <w:hyperlink w:anchor="_ENREF_839" w:tooltip="Wise, 2012 #19830" w:history="1">
        <w:r>
          <w:rPr>
            <w:noProof/>
          </w:rPr>
          <w:t>Wise, Vander Poppen &amp; Isaacs 2012</w:t>
        </w:r>
      </w:hyperlink>
      <w:r>
        <w:rPr>
          <w:noProof/>
        </w:rPr>
        <w:t xml:space="preserve">) </w:t>
      </w:r>
      <w:r>
        <w:rPr>
          <w:noProof/>
          <w:lang w:eastAsia="en-AU"/>
        </w:rPr>
        <w:t>may enter fruit through the calyx or stalk end. As a result, signs of internal feeding may not be easily apparent leading to some infested fruit not being detected during harvest or post-harvest processes.</w:t>
      </w:r>
    </w:p>
    <w:p w14:paraId="5E6D005D" w14:textId="77777777" w:rsidR="003438A2" w:rsidRDefault="003438A2" w:rsidP="005A3F8B">
      <w:r>
        <w:t>Grapholita moths may survive cold temperatures during storage in the PNW-USA and transport to Australia</w:t>
      </w:r>
    </w:p>
    <w:p w14:paraId="16B3CCC6" w14:textId="77777777" w:rsidR="003438A2" w:rsidRPr="009F0C50" w:rsidRDefault="003438A2" w:rsidP="003438A2">
      <w:pPr>
        <w:pStyle w:val="ListBullet"/>
        <w:numPr>
          <w:ilvl w:val="0"/>
          <w:numId w:val="15"/>
        </w:numPr>
      </w:pPr>
      <w:r w:rsidRPr="009F0C50">
        <w:t xml:space="preserve">Harvested apples are normally cold stored at 0°C to 2°C </w:t>
      </w:r>
      <w:r w:rsidRPr="009F0C50">
        <w:rPr>
          <w:noProof/>
        </w:rPr>
        <w:t>(Good Fruit Grower 2014; Iowa State University Extension and Outreach 2008; Kupferman 1996; University of Maine 2020)</w:t>
      </w:r>
      <w:r w:rsidRPr="009F0C50">
        <w:t>. Fruit will be transported to Australia at similar cold temperatures, with sea freight the likely preferred method of transport, which takes about 5 weeks.</w:t>
      </w:r>
    </w:p>
    <w:p w14:paraId="0AC38B5E" w14:textId="77777777" w:rsidR="003438A2" w:rsidRDefault="003438A2" w:rsidP="003438A2">
      <w:pPr>
        <w:pStyle w:val="ListBullet"/>
        <w:numPr>
          <w:ilvl w:val="0"/>
          <w:numId w:val="15"/>
        </w:numPr>
      </w:pPr>
      <w:r>
        <w:t>Immature stages of Grapholita moths may</w:t>
      </w:r>
      <w:r w:rsidRPr="0063545D">
        <w:t xml:space="preserve"> survive </w:t>
      </w:r>
      <w:r>
        <w:t xml:space="preserve">such </w:t>
      </w:r>
      <w:r w:rsidRPr="0063545D">
        <w:t xml:space="preserve">cold </w:t>
      </w:r>
      <w:r>
        <w:t>temperatures</w:t>
      </w:r>
      <w:r w:rsidRPr="0063545D">
        <w:t xml:space="preserve"> </w:t>
      </w:r>
      <w:r>
        <w:t xml:space="preserve">as studies have shown </w:t>
      </w:r>
      <w:r w:rsidRPr="003C6C53">
        <w:t>they</w:t>
      </w:r>
      <w:r>
        <w:t xml:space="preserve"> can survive in apple fruit for extended periods at low temperatures. </w:t>
      </w:r>
    </w:p>
    <w:p w14:paraId="0AC65AE9" w14:textId="77777777" w:rsidR="003438A2" w:rsidRDefault="003438A2" w:rsidP="003438A2">
      <w:pPr>
        <w:pStyle w:val="ListBullet"/>
        <w:numPr>
          <w:ilvl w:val="0"/>
          <w:numId w:val="15"/>
        </w:numPr>
      </w:pPr>
      <w:r>
        <w:rPr>
          <w:noProof/>
        </w:rPr>
        <w:t xml:space="preserve">Hansen (2002) </w:t>
      </w:r>
      <w:r>
        <w:t xml:space="preserve">reported complete mortality of </w:t>
      </w:r>
      <w:r w:rsidRPr="002C6E8D">
        <w:rPr>
          <w:i/>
          <w:iCs/>
        </w:rPr>
        <w:t>G. molesta</w:t>
      </w:r>
      <w:r>
        <w:t xml:space="preserve"> in apples at 3.3°C for </w:t>
      </w:r>
      <w:r w:rsidRPr="00BE0DA8">
        <w:t>eggs and early instar</w:t>
      </w:r>
      <w:r>
        <w:t xml:space="preserve"> larvae</w:t>
      </w:r>
      <w:r w:rsidRPr="00BE0DA8">
        <w:t xml:space="preserve"> </w:t>
      </w:r>
      <w:r>
        <w:t>after 8</w:t>
      </w:r>
      <w:r w:rsidRPr="00BE0DA8">
        <w:t xml:space="preserve"> week</w:t>
      </w:r>
      <w:r>
        <w:t>s</w:t>
      </w:r>
      <w:r w:rsidRPr="00BE0DA8">
        <w:t>, and for late instar</w:t>
      </w:r>
      <w:r>
        <w:t xml:space="preserve"> larvae</w:t>
      </w:r>
      <w:r w:rsidRPr="00BE0DA8">
        <w:t xml:space="preserve"> </w:t>
      </w:r>
      <w:r>
        <w:t>after 10</w:t>
      </w:r>
      <w:r w:rsidRPr="00BE0DA8">
        <w:t xml:space="preserve"> week</w:t>
      </w:r>
      <w:r>
        <w:t xml:space="preserve">s; </w:t>
      </w:r>
      <w:r w:rsidRPr="002630ED">
        <w:t>and at 0.7°C ±</w:t>
      </w:r>
      <w:r w:rsidRPr="002C6E8D">
        <w:rPr>
          <w:color w:val="333333"/>
          <w:shd w:val="clear" w:color="auto" w:fill="FFFFFF"/>
        </w:rPr>
        <w:t xml:space="preserve"> 0.4°C </w:t>
      </w:r>
      <w:r w:rsidRPr="002630ED">
        <w:t>for</w:t>
      </w:r>
      <w:r>
        <w:t xml:space="preserve"> </w:t>
      </w:r>
      <w:r w:rsidRPr="00BE0DA8">
        <w:t>eggs and early instar</w:t>
      </w:r>
      <w:r>
        <w:t xml:space="preserve"> larvae</w:t>
      </w:r>
      <w:r w:rsidRPr="00BE0DA8">
        <w:t xml:space="preserve"> </w:t>
      </w:r>
      <w:r>
        <w:t>after 4</w:t>
      </w:r>
      <w:r w:rsidRPr="00BE0DA8">
        <w:t xml:space="preserve"> week</w:t>
      </w:r>
      <w:r>
        <w:t>s</w:t>
      </w:r>
      <w:r w:rsidRPr="00BE0DA8">
        <w:t>, and for late instar</w:t>
      </w:r>
      <w:r>
        <w:t xml:space="preserve"> larvae</w:t>
      </w:r>
      <w:r w:rsidRPr="00BE0DA8">
        <w:t xml:space="preserve"> </w:t>
      </w:r>
      <w:r>
        <w:t>after 6</w:t>
      </w:r>
      <w:r w:rsidRPr="00BE0DA8">
        <w:t xml:space="preserve"> week</w:t>
      </w:r>
      <w:r>
        <w:t>s.</w:t>
      </w:r>
    </w:p>
    <w:p w14:paraId="769A543D" w14:textId="77777777" w:rsidR="003438A2" w:rsidRDefault="003438A2" w:rsidP="003438A2">
      <w:pPr>
        <w:pStyle w:val="ListBullet"/>
        <w:numPr>
          <w:ilvl w:val="0"/>
          <w:numId w:val="15"/>
        </w:numPr>
      </w:pPr>
      <w:r>
        <w:t xml:space="preserve">For </w:t>
      </w:r>
      <w:r w:rsidRPr="00BE0DA8">
        <w:rPr>
          <w:i/>
          <w:iCs/>
        </w:rPr>
        <w:t>G. prunivora</w:t>
      </w:r>
      <w:r>
        <w:t>, 99% mortality of late-stage eggs, first instar larvae and fourth instar larvae was achieved in apple stored at 2°C after 52 days, 46 days and 236 days, respectively (</w:t>
      </w:r>
      <w:hyperlink w:anchor="_ENREF_154" w:tooltip="Neven, 2004 #11894" w:history="1">
        <w:r>
          <w:rPr>
            <w:noProof/>
          </w:rPr>
          <w:t>Neven 2004</w:t>
        </w:r>
      </w:hyperlink>
      <w:r>
        <w:rPr>
          <w:noProof/>
        </w:rPr>
        <w:t>).</w:t>
      </w:r>
      <w:r>
        <w:t xml:space="preserve"> </w:t>
      </w:r>
    </w:p>
    <w:p w14:paraId="199E9FD3" w14:textId="77777777" w:rsidR="003438A2" w:rsidRPr="005D07A3" w:rsidRDefault="003438A2" w:rsidP="005A3F8B">
      <w:r w:rsidRPr="00656E1C">
        <w:rPr>
          <w:iCs/>
        </w:rPr>
        <w:lastRenderedPageBreak/>
        <w:t xml:space="preserve">For the reasons outlined above, the likelihood of importation of </w:t>
      </w:r>
      <w:r w:rsidRPr="002C6E8D">
        <w:rPr>
          <w:iCs/>
        </w:rPr>
        <w:t>Grapholita moths</w:t>
      </w:r>
      <w:r w:rsidRPr="00656E1C">
        <w:rPr>
          <w:i/>
        </w:rPr>
        <w:t xml:space="preserve"> </w:t>
      </w:r>
      <w:r w:rsidRPr="00656E1C">
        <w:rPr>
          <w:iCs/>
        </w:rPr>
        <w:t xml:space="preserve">on imported apples sourced from PNW-USA is rated as </w:t>
      </w:r>
      <w:r>
        <w:rPr>
          <w:iCs/>
        </w:rPr>
        <w:t>Very Low</w:t>
      </w:r>
      <w:r w:rsidRPr="00656E1C">
        <w:rPr>
          <w:iCs/>
        </w:rPr>
        <w:t>.</w:t>
      </w:r>
    </w:p>
    <w:p w14:paraId="75661846" w14:textId="77777777" w:rsidR="003438A2" w:rsidRDefault="003438A2" w:rsidP="005A3F8B">
      <w:pPr>
        <w:pStyle w:val="Heading5"/>
      </w:pPr>
      <w:r w:rsidRPr="00A3009B">
        <w:t>Likelihood of distribution</w:t>
      </w:r>
    </w:p>
    <w:p w14:paraId="68BE1F3A" w14:textId="77777777" w:rsidR="003438A2" w:rsidRPr="00964F1B" w:rsidRDefault="003438A2" w:rsidP="005A3F8B">
      <w:r w:rsidRPr="00A3009B">
        <w:t xml:space="preserve">The likelihood that </w:t>
      </w:r>
      <w:r>
        <w:t xml:space="preserve">Grapholita moths </w:t>
      </w:r>
      <w:r w:rsidRPr="00A3009B">
        <w:t xml:space="preserve">will be distributed within Australia in a viable state as a result of the processing, sale or disposal of apples from the PNW-USA, and subsequently transfer to a </w:t>
      </w:r>
      <w:r w:rsidRPr="00964F1B">
        <w:t xml:space="preserve">susceptible part of a host is considered to be similar to those in the previous assessments for these moths </w:t>
      </w:r>
      <w:bookmarkStart w:id="293" w:name="_Hlk112747253"/>
      <w:r w:rsidRPr="00964F1B">
        <w:rPr>
          <w:noProof/>
        </w:rPr>
        <w:t>(Biosecurity Australia 2006a, 2010b, a)</w:t>
      </w:r>
      <w:bookmarkEnd w:id="293"/>
      <w:r w:rsidRPr="00964F1B">
        <w:rPr>
          <w:noProof/>
        </w:rPr>
        <w:t xml:space="preserve">. </w:t>
      </w:r>
      <w:r w:rsidRPr="00964F1B">
        <w:t>Therefore, the same rating of Moderate for the likelihood of distribution previously assessed for these moths</w:t>
      </w:r>
      <w:r w:rsidRPr="00964F1B">
        <w:rPr>
          <w:iCs/>
        </w:rPr>
        <w:t xml:space="preserve"> is adopted for Grapholita moths on the apples from PNW-USA pathway. </w:t>
      </w:r>
    </w:p>
    <w:p w14:paraId="60C0E031" w14:textId="77777777" w:rsidR="003438A2" w:rsidRPr="00964F1B" w:rsidRDefault="003438A2" w:rsidP="005A3F8B">
      <w:pPr>
        <w:pStyle w:val="Heading5"/>
      </w:pPr>
      <w:r w:rsidRPr="00964F1B">
        <w:t>Overall likelihood of entry</w:t>
      </w:r>
    </w:p>
    <w:p w14:paraId="626595C2" w14:textId="77777777" w:rsidR="003438A2" w:rsidRPr="00964F1B" w:rsidRDefault="003438A2" w:rsidP="005A3F8B">
      <w:r w:rsidRPr="00964F1B">
        <w:t xml:space="preserve">The overall likelihood of entry for Grapholita moths is determined as Very Low by combining the assessed likelihood of importation of Very Low with the adopted likelihood of distribution of Moderate, </w:t>
      </w:r>
      <w:r w:rsidRPr="00964F1B">
        <w:rPr>
          <w:rFonts w:cstheme="minorHAnsi"/>
        </w:rPr>
        <w:t xml:space="preserve">using the matrix of rules in </w:t>
      </w:r>
      <w:r w:rsidRPr="00964F1B">
        <w:rPr>
          <w:rFonts w:cstheme="minorHAnsi"/>
        </w:rPr>
        <w:fldChar w:fldCharType="begin" w:fldLock="1"/>
      </w:r>
      <w:r w:rsidRPr="00964F1B">
        <w:rPr>
          <w:rFonts w:cstheme="minorHAnsi"/>
        </w:rPr>
        <w:instrText xml:space="preserve"> REF _Ref457826328 \h </w:instrText>
      </w:r>
      <w:r>
        <w:rPr>
          <w:rFonts w:cstheme="minorHAnsi"/>
        </w:rPr>
        <w:instrText xml:space="preserve"> \* MERGEFORMAT </w:instrText>
      </w:r>
      <w:r w:rsidRPr="00964F1B">
        <w:rPr>
          <w:rFonts w:cstheme="minorHAnsi"/>
        </w:rPr>
      </w:r>
      <w:r w:rsidRPr="00964F1B">
        <w:rPr>
          <w:rFonts w:cstheme="minorHAnsi"/>
        </w:rPr>
        <w:fldChar w:fldCharType="separate"/>
      </w:r>
      <w:r w:rsidRPr="00DB5F8D">
        <w:t xml:space="preserve">Table </w:t>
      </w:r>
      <w:r>
        <w:rPr>
          <w:noProof/>
        </w:rPr>
        <w:t>2.2</w:t>
      </w:r>
      <w:r w:rsidRPr="00964F1B">
        <w:rPr>
          <w:rFonts w:cstheme="minorHAnsi"/>
        </w:rPr>
        <w:fldChar w:fldCharType="end"/>
      </w:r>
      <w:r w:rsidRPr="00964F1B">
        <w:t>.</w:t>
      </w:r>
    </w:p>
    <w:p w14:paraId="6E2F2B22" w14:textId="77777777" w:rsidR="003438A2" w:rsidRPr="00964F1B" w:rsidRDefault="003438A2" w:rsidP="003438A2">
      <w:pPr>
        <w:pStyle w:val="Heading4"/>
        <w:numPr>
          <w:ilvl w:val="2"/>
          <w:numId w:val="25"/>
        </w:numPr>
        <w:tabs>
          <w:tab w:val="clear" w:pos="794"/>
          <w:tab w:val="num" w:pos="993"/>
          <w:tab w:val="num" w:pos="1929"/>
        </w:tabs>
        <w:ind w:left="1929" w:hanging="936"/>
      </w:pPr>
      <w:r w:rsidRPr="00964F1B">
        <w:t>Likelihoods of establishment and spread</w:t>
      </w:r>
    </w:p>
    <w:p w14:paraId="2296BAA1" w14:textId="77777777" w:rsidR="003438A2" w:rsidRPr="00964F1B" w:rsidRDefault="003438A2" w:rsidP="00BC0576">
      <w:pPr>
        <w:spacing w:after="0" w:line="240" w:lineRule="auto"/>
      </w:pPr>
      <w:r w:rsidRPr="00964F1B">
        <w:t xml:space="preserve">The likelihoods of establishment and spread of Grapholita moths in Australia from the PNW-USA apple pathway have been assessed as similar to those in the previous assessments for these moths, which were rated as High and High, respectively </w:t>
      </w:r>
      <w:r w:rsidRPr="00964F1B">
        <w:rPr>
          <w:noProof/>
        </w:rPr>
        <w:t xml:space="preserve">(Biosecurity Australia 2006a, 2010b, a). </w:t>
      </w:r>
      <w:r w:rsidRPr="00964F1B">
        <w:t>These likelihoods relate specifically to events that occur in Australia and are principally independent of the import pathway.</w:t>
      </w:r>
    </w:p>
    <w:p w14:paraId="0B826EF5" w14:textId="77777777" w:rsidR="003438A2" w:rsidRPr="00964F1B" w:rsidRDefault="003438A2" w:rsidP="003438A2">
      <w:pPr>
        <w:pStyle w:val="Heading4"/>
        <w:numPr>
          <w:ilvl w:val="2"/>
          <w:numId w:val="25"/>
        </w:numPr>
        <w:tabs>
          <w:tab w:val="clear" w:pos="794"/>
          <w:tab w:val="num" w:pos="993"/>
          <w:tab w:val="num" w:pos="1929"/>
        </w:tabs>
        <w:ind w:left="1929" w:hanging="936"/>
      </w:pPr>
      <w:r w:rsidRPr="00964F1B">
        <w:t>Overall likelihood of entry, establishment and spread</w:t>
      </w:r>
    </w:p>
    <w:p w14:paraId="25E776E3" w14:textId="77777777" w:rsidR="003438A2" w:rsidRPr="00964F1B" w:rsidRDefault="003438A2" w:rsidP="005A3F8B">
      <w:pPr>
        <w:autoSpaceDE w:val="0"/>
        <w:autoSpaceDN w:val="0"/>
        <w:adjustRightInd w:val="0"/>
      </w:pPr>
      <w:r w:rsidRPr="00964F1B">
        <w:t xml:space="preserve">The overall likelihood of entry, establishment and spread is determined by combining the likelihoods of entry, of establishment and of spread using the matrix of rules shown in </w:t>
      </w:r>
      <w:r w:rsidRPr="00964F1B">
        <w:fldChar w:fldCharType="begin" w:fldLock="1"/>
      </w:r>
      <w:r w:rsidRPr="00964F1B">
        <w:instrText xml:space="preserve"> REF _Ref457826328 \h </w:instrText>
      </w:r>
      <w:r>
        <w:instrText xml:space="preserve"> \* MERGEFORMAT </w:instrText>
      </w:r>
      <w:r w:rsidRPr="00964F1B">
        <w:fldChar w:fldCharType="separate"/>
      </w:r>
      <w:r w:rsidRPr="00DB5F8D">
        <w:t xml:space="preserve">Table </w:t>
      </w:r>
      <w:r>
        <w:rPr>
          <w:noProof/>
        </w:rPr>
        <w:t>2.2</w:t>
      </w:r>
      <w:r w:rsidRPr="00964F1B">
        <w:fldChar w:fldCharType="end"/>
      </w:r>
      <w:r w:rsidRPr="00964F1B">
        <w:t>.</w:t>
      </w:r>
    </w:p>
    <w:p w14:paraId="3BC899B0" w14:textId="77777777" w:rsidR="003438A2" w:rsidRPr="00964F1B" w:rsidRDefault="003438A2" w:rsidP="005A3F8B">
      <w:pPr>
        <w:autoSpaceDE w:val="0"/>
        <w:autoSpaceDN w:val="0"/>
        <w:adjustRightInd w:val="0"/>
        <w:rPr>
          <w:rFonts w:cstheme="minorHAnsi"/>
        </w:rPr>
      </w:pPr>
      <w:r w:rsidRPr="00964F1B">
        <w:t>The overall likelihood that Grapholita moths will enter Australia as a result of trade in apples from the PNW-USA, be distributed in a viable state to a susceptible part of a host, establish in Australia, and subsequently spread within Australia is assessed as Very Low</w:t>
      </w:r>
      <w:r w:rsidRPr="00964F1B">
        <w:rPr>
          <w:rFonts w:cstheme="minorHAnsi"/>
        </w:rPr>
        <w:t xml:space="preserve">. </w:t>
      </w:r>
    </w:p>
    <w:p w14:paraId="19BCC9C2" w14:textId="77777777" w:rsidR="003438A2" w:rsidRPr="00964F1B" w:rsidRDefault="003438A2" w:rsidP="003438A2">
      <w:pPr>
        <w:pStyle w:val="Heading4"/>
        <w:numPr>
          <w:ilvl w:val="2"/>
          <w:numId w:val="25"/>
        </w:numPr>
        <w:tabs>
          <w:tab w:val="clear" w:pos="794"/>
          <w:tab w:val="num" w:pos="993"/>
          <w:tab w:val="num" w:pos="1929"/>
        </w:tabs>
        <w:ind w:left="1929" w:hanging="936"/>
      </w:pPr>
      <w:r w:rsidRPr="00964F1B">
        <w:t>Consequences</w:t>
      </w:r>
    </w:p>
    <w:p w14:paraId="7A94E2A0" w14:textId="77777777" w:rsidR="003438A2" w:rsidRPr="00610EFD" w:rsidRDefault="003438A2" w:rsidP="005A3F8B">
      <w:r w:rsidRPr="00964F1B">
        <w:t xml:space="preserve">The potential consequences of the entry, establishment and spread of Grapholita moths in Australia are similar to those in the previous assessments for these moths, which were assessed as Moderate </w:t>
      </w:r>
      <w:r w:rsidRPr="00964F1B">
        <w:rPr>
          <w:noProof/>
        </w:rPr>
        <w:t xml:space="preserve">(Biosecurity Australia 2006a, 2010b, a). </w:t>
      </w:r>
      <w:r w:rsidRPr="00964F1B">
        <w:t>The overall</w:t>
      </w:r>
      <w:r w:rsidRPr="00A3009B">
        <w:t xml:space="preserve"> consequences for </w:t>
      </w:r>
      <w:r>
        <w:t xml:space="preserve">Grapholita moths </w:t>
      </w:r>
      <w:r w:rsidRPr="00A3009B">
        <w:t>on</w:t>
      </w:r>
      <w:r>
        <w:t xml:space="preserve"> the</w:t>
      </w:r>
      <w:r w:rsidRPr="00A3009B">
        <w:t xml:space="preserve"> apples from PNW-USA pathway are also assessed as </w:t>
      </w:r>
      <w:r>
        <w:t>Moderate</w:t>
      </w:r>
      <w:r w:rsidRPr="00A3009B">
        <w:t>.</w:t>
      </w:r>
    </w:p>
    <w:p w14:paraId="3CC71B72" w14:textId="77777777" w:rsidR="003438A2" w:rsidRPr="00C35FD7" w:rsidRDefault="003438A2" w:rsidP="003438A2">
      <w:pPr>
        <w:pStyle w:val="Heading4"/>
        <w:numPr>
          <w:ilvl w:val="2"/>
          <w:numId w:val="25"/>
        </w:numPr>
        <w:tabs>
          <w:tab w:val="clear" w:pos="794"/>
          <w:tab w:val="num" w:pos="993"/>
          <w:tab w:val="num" w:pos="1929"/>
        </w:tabs>
        <w:ind w:left="1929" w:hanging="936"/>
      </w:pPr>
      <w:r w:rsidRPr="00C35FD7">
        <w:t>Unrestricted risk estimate</w:t>
      </w:r>
    </w:p>
    <w:p w14:paraId="3D74C00D" w14:textId="77777777" w:rsidR="003438A2" w:rsidRPr="00945121" w:rsidRDefault="003438A2" w:rsidP="005A3F8B">
      <w:r w:rsidRPr="00945121">
        <w:t>Unrestricted risk is the result of combining the</w:t>
      </w:r>
      <w:r>
        <w:t xml:space="preserve"> overall</w:t>
      </w:r>
      <w:r w:rsidRPr="00945121">
        <w:t xml:space="preserve"> likelihood of entry, establishment and spread with the outcome of overall consequences. </w:t>
      </w:r>
      <w:r>
        <w:t>The overall l</w:t>
      </w:r>
      <w:r w:rsidRPr="00945121">
        <w:t xml:space="preserve">ikelihood and consequences are combined using the risk estimation matrix shown in </w:t>
      </w:r>
      <w:r>
        <w:fldChar w:fldCharType="begin" w:fldLock="1"/>
      </w:r>
      <w:r>
        <w:instrText xml:space="preserve"> REF _Ref457826369 \h </w:instrText>
      </w:r>
      <w:r>
        <w:fldChar w:fldCharType="separate"/>
      </w:r>
      <w:r>
        <w:t xml:space="preserve">Table </w:t>
      </w:r>
      <w:r>
        <w:rPr>
          <w:noProof/>
        </w:rPr>
        <w:t>2</w:t>
      </w:r>
      <w:r>
        <w:t>.</w:t>
      </w:r>
      <w:r>
        <w:rPr>
          <w:noProof/>
        </w:rPr>
        <w:t>5</w:t>
      </w:r>
      <w:r>
        <w:fldChar w:fldCharType="end"/>
      </w:r>
      <w:r w:rsidRPr="00945121">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3438A2" w:rsidRPr="00462ECF" w14:paraId="550CD849" w14:textId="77777777" w:rsidTr="008B4F4B">
        <w:trPr>
          <w:trHeight w:val="423"/>
        </w:trPr>
        <w:tc>
          <w:tcPr>
            <w:tcW w:w="5000" w:type="pct"/>
            <w:gridSpan w:val="2"/>
            <w:tcBorders>
              <w:top w:val="single" w:sz="4" w:space="0" w:color="auto"/>
              <w:bottom w:val="single" w:sz="4" w:space="0" w:color="auto"/>
            </w:tcBorders>
            <w:shd w:val="clear" w:color="auto" w:fill="auto"/>
          </w:tcPr>
          <w:p w14:paraId="42F8922E" w14:textId="77777777" w:rsidR="003438A2" w:rsidRPr="00462ECF" w:rsidRDefault="003438A2" w:rsidP="008B4F4B">
            <w:pPr>
              <w:pStyle w:val="TableHeading"/>
            </w:pPr>
            <w:r w:rsidRPr="00462ECF">
              <w:t xml:space="preserve">Unrestricted risk estimate for </w:t>
            </w:r>
            <w:r w:rsidRPr="00462ECF">
              <w:rPr>
                <w:i/>
                <w:iCs/>
              </w:rPr>
              <w:t xml:space="preserve">G. molesta, G. prunivora </w:t>
            </w:r>
            <w:r w:rsidRPr="00462ECF">
              <w:t>and</w:t>
            </w:r>
            <w:r w:rsidRPr="00462ECF">
              <w:rPr>
                <w:i/>
                <w:iCs/>
              </w:rPr>
              <w:t xml:space="preserve"> G. packardi</w:t>
            </w:r>
          </w:p>
        </w:tc>
      </w:tr>
      <w:tr w:rsidR="003438A2" w:rsidRPr="00462ECF" w14:paraId="18EC18F0" w14:textId="77777777" w:rsidTr="008B4F4B">
        <w:trPr>
          <w:trHeight w:val="273"/>
        </w:trPr>
        <w:tc>
          <w:tcPr>
            <w:tcW w:w="3417" w:type="pct"/>
            <w:tcBorders>
              <w:top w:val="single" w:sz="4" w:space="0" w:color="auto"/>
              <w:bottom w:val="nil"/>
            </w:tcBorders>
            <w:shd w:val="clear" w:color="auto" w:fill="auto"/>
          </w:tcPr>
          <w:p w14:paraId="68D23FBC" w14:textId="77777777" w:rsidR="003438A2" w:rsidRPr="00462ECF" w:rsidRDefault="003438A2" w:rsidP="008B4F4B">
            <w:pPr>
              <w:pStyle w:val="TableText"/>
            </w:pPr>
            <w:r w:rsidRPr="00462ECF">
              <w:t>Overall likelihood of entry, establishment and spread</w:t>
            </w:r>
          </w:p>
        </w:tc>
        <w:tc>
          <w:tcPr>
            <w:tcW w:w="1583" w:type="pct"/>
            <w:tcBorders>
              <w:top w:val="single" w:sz="4" w:space="0" w:color="auto"/>
              <w:bottom w:val="nil"/>
            </w:tcBorders>
            <w:shd w:val="clear" w:color="auto" w:fill="auto"/>
          </w:tcPr>
          <w:p w14:paraId="64E3F99E" w14:textId="77777777" w:rsidR="003438A2" w:rsidRPr="00462ECF" w:rsidRDefault="003438A2" w:rsidP="008B4F4B">
            <w:pPr>
              <w:pStyle w:val="TableText"/>
            </w:pPr>
            <w:r w:rsidRPr="00462ECF">
              <w:t>Very Low</w:t>
            </w:r>
          </w:p>
        </w:tc>
      </w:tr>
      <w:tr w:rsidR="003438A2" w:rsidRPr="00462ECF" w14:paraId="614BCE73" w14:textId="77777777" w:rsidTr="008B4F4B">
        <w:trPr>
          <w:trHeight w:val="284"/>
        </w:trPr>
        <w:tc>
          <w:tcPr>
            <w:tcW w:w="3417" w:type="pct"/>
            <w:tcBorders>
              <w:top w:val="nil"/>
              <w:bottom w:val="nil"/>
            </w:tcBorders>
            <w:shd w:val="clear" w:color="auto" w:fill="auto"/>
          </w:tcPr>
          <w:p w14:paraId="3485704D" w14:textId="77777777" w:rsidR="003438A2" w:rsidRPr="00462ECF" w:rsidRDefault="003438A2" w:rsidP="008B4F4B">
            <w:pPr>
              <w:pStyle w:val="TableText"/>
            </w:pPr>
            <w:r w:rsidRPr="00462ECF">
              <w:t>Consequences</w:t>
            </w:r>
          </w:p>
        </w:tc>
        <w:tc>
          <w:tcPr>
            <w:tcW w:w="1583" w:type="pct"/>
            <w:tcBorders>
              <w:top w:val="nil"/>
              <w:bottom w:val="nil"/>
            </w:tcBorders>
            <w:shd w:val="clear" w:color="auto" w:fill="auto"/>
          </w:tcPr>
          <w:p w14:paraId="7E320DE4" w14:textId="77777777" w:rsidR="003438A2" w:rsidRPr="00462ECF" w:rsidRDefault="003438A2" w:rsidP="008B4F4B">
            <w:pPr>
              <w:pStyle w:val="TableText"/>
            </w:pPr>
            <w:r w:rsidRPr="00462ECF">
              <w:t>Moderate</w:t>
            </w:r>
          </w:p>
        </w:tc>
      </w:tr>
      <w:tr w:rsidR="003438A2" w:rsidRPr="00462ECF" w14:paraId="11D31F41" w14:textId="77777777" w:rsidTr="008B4F4B">
        <w:trPr>
          <w:trHeight w:val="284"/>
        </w:trPr>
        <w:tc>
          <w:tcPr>
            <w:tcW w:w="3417" w:type="pct"/>
            <w:tcBorders>
              <w:top w:val="nil"/>
              <w:bottom w:val="single" w:sz="4" w:space="0" w:color="auto"/>
            </w:tcBorders>
            <w:shd w:val="clear" w:color="auto" w:fill="auto"/>
          </w:tcPr>
          <w:p w14:paraId="343BFDE6" w14:textId="77777777" w:rsidR="003438A2" w:rsidRPr="00462ECF" w:rsidRDefault="003438A2" w:rsidP="008B4F4B">
            <w:pPr>
              <w:pStyle w:val="TableText"/>
            </w:pPr>
            <w:r w:rsidRPr="00462ECF">
              <w:t>Unrestricted risk</w:t>
            </w:r>
          </w:p>
        </w:tc>
        <w:tc>
          <w:tcPr>
            <w:tcW w:w="1583" w:type="pct"/>
            <w:tcBorders>
              <w:top w:val="nil"/>
              <w:bottom w:val="single" w:sz="4" w:space="0" w:color="auto"/>
            </w:tcBorders>
            <w:shd w:val="clear" w:color="auto" w:fill="auto"/>
          </w:tcPr>
          <w:p w14:paraId="7C883E83" w14:textId="77777777" w:rsidR="003438A2" w:rsidRPr="00462ECF" w:rsidRDefault="003438A2" w:rsidP="008B4F4B">
            <w:pPr>
              <w:pStyle w:val="TableText"/>
            </w:pPr>
            <w:r w:rsidRPr="00462ECF">
              <w:t>Very Low</w:t>
            </w:r>
          </w:p>
        </w:tc>
      </w:tr>
    </w:tbl>
    <w:p w14:paraId="6B62B73C" w14:textId="77777777" w:rsidR="003438A2" w:rsidRDefault="003438A2" w:rsidP="005A3F8B">
      <w:r w:rsidRPr="00462ECF">
        <w:lastRenderedPageBreak/>
        <w:t xml:space="preserve">The unrestricted risk estimate for </w:t>
      </w:r>
      <w:r w:rsidRPr="00462ECF">
        <w:rPr>
          <w:i/>
          <w:iCs/>
        </w:rPr>
        <w:t>G. molesta</w:t>
      </w:r>
      <w:r w:rsidRPr="00462ECF">
        <w:t xml:space="preserve">, </w:t>
      </w:r>
      <w:r w:rsidRPr="00462ECF">
        <w:rPr>
          <w:i/>
          <w:iCs/>
        </w:rPr>
        <w:t>G. prunivora</w:t>
      </w:r>
      <w:r>
        <w:rPr>
          <w:i/>
          <w:iCs/>
        </w:rPr>
        <w:t xml:space="preserve"> </w:t>
      </w:r>
      <w:r w:rsidRPr="00610EFD">
        <w:t>and</w:t>
      </w:r>
      <w:r>
        <w:rPr>
          <w:i/>
          <w:iCs/>
        </w:rPr>
        <w:t xml:space="preserve"> G. packardi</w:t>
      </w:r>
      <w:r>
        <w:t xml:space="preserve"> o</w:t>
      </w:r>
      <w:r w:rsidRPr="00831946">
        <w:t xml:space="preserve">n </w:t>
      </w:r>
      <w:r>
        <w:t xml:space="preserve">the </w:t>
      </w:r>
      <w:r w:rsidRPr="00712FDA">
        <w:t xml:space="preserve">PNW-USA </w:t>
      </w:r>
      <w:r>
        <w:t xml:space="preserve">apple </w:t>
      </w:r>
      <w:r w:rsidRPr="00831946">
        <w:t>pathway is assessed</w:t>
      </w:r>
      <w:r>
        <w:t xml:space="preserve"> as Very Low, </w:t>
      </w:r>
      <w:r w:rsidRPr="00C36D8D">
        <w:t xml:space="preserve">which </w:t>
      </w:r>
      <w:r>
        <w:t xml:space="preserve">achieves </w:t>
      </w:r>
      <w:r w:rsidRPr="00C36D8D">
        <w:t xml:space="preserve">the ALOP for Australia. Therefore, </w:t>
      </w:r>
      <w:r>
        <w:t xml:space="preserve">no </w:t>
      </w:r>
      <w:r w:rsidRPr="00C36D8D">
        <w:t xml:space="preserve">specific risk management measures are required for </w:t>
      </w:r>
      <w:r>
        <w:rPr>
          <w:i/>
          <w:iCs/>
        </w:rPr>
        <w:t xml:space="preserve">G. prunivora </w:t>
      </w:r>
      <w:r w:rsidRPr="00610EFD">
        <w:t>and</w:t>
      </w:r>
      <w:r>
        <w:rPr>
          <w:i/>
          <w:iCs/>
        </w:rPr>
        <w:t xml:space="preserve"> G. packardi</w:t>
      </w:r>
      <w:r>
        <w:t xml:space="preserve"> on the PNW-USA apple pathway</w:t>
      </w:r>
      <w:r w:rsidRPr="00C36D8D">
        <w:t>.</w:t>
      </w:r>
    </w:p>
    <w:p w14:paraId="451C6298" w14:textId="77777777" w:rsidR="003438A2" w:rsidRDefault="003438A2" w:rsidP="00C67856">
      <w:r>
        <w:br w:type="page"/>
      </w:r>
    </w:p>
    <w:p w14:paraId="6CFF4D56" w14:textId="77777777" w:rsidR="003438A2" w:rsidRPr="00487ECA" w:rsidRDefault="003438A2" w:rsidP="00F843A1">
      <w:pPr>
        <w:pStyle w:val="Heading3"/>
        <w:numPr>
          <w:ilvl w:val="1"/>
          <w:numId w:val="25"/>
        </w:numPr>
      </w:pPr>
      <w:bookmarkStart w:id="294" w:name="_Ref108441834"/>
      <w:bookmarkStart w:id="295" w:name="_Toc112769013"/>
      <w:bookmarkStart w:id="296" w:name="_Toc524598953"/>
      <w:bookmarkStart w:id="297" w:name="_Ref15485310"/>
      <w:bookmarkStart w:id="298" w:name="_Ref15485317"/>
      <w:bookmarkStart w:id="299" w:name="_Ref15485360"/>
      <w:bookmarkStart w:id="300" w:name="_Ref15485383"/>
      <w:bookmarkStart w:id="301" w:name="_Ref15485418"/>
      <w:bookmarkStart w:id="302" w:name="_Ref15485441"/>
      <w:r w:rsidRPr="00487ECA">
        <w:lastRenderedPageBreak/>
        <w:t>Apple fruit moth</w:t>
      </w:r>
      <w:bookmarkEnd w:id="294"/>
      <w:bookmarkEnd w:id="295"/>
    </w:p>
    <w:p w14:paraId="1946E091" w14:textId="77777777" w:rsidR="003438A2" w:rsidRPr="00815A3A" w:rsidRDefault="003438A2" w:rsidP="00C67856">
      <w:pPr>
        <w:pStyle w:val="Heading4"/>
        <w:numPr>
          <w:ilvl w:val="0"/>
          <w:numId w:val="0"/>
        </w:numPr>
        <w:rPr>
          <w:color w:val="000000"/>
        </w:rPr>
      </w:pPr>
      <w:bookmarkStart w:id="303" w:name="_Hlk110862745"/>
      <w:r w:rsidRPr="00815A3A">
        <w:rPr>
          <w:i/>
        </w:rPr>
        <w:t>Argyresthia conjugella</w:t>
      </w:r>
      <w:r w:rsidRPr="00815A3A">
        <w:t xml:space="preserve"> (EP)</w:t>
      </w:r>
    </w:p>
    <w:p w14:paraId="4F21EC1F" w14:textId="77777777" w:rsidR="003438A2" w:rsidRDefault="003438A2" w:rsidP="00C67856">
      <w:r w:rsidRPr="00815A3A">
        <w:rPr>
          <w:i/>
        </w:rPr>
        <w:t>Argyresthia conjugella</w:t>
      </w:r>
      <w:r w:rsidRPr="00815A3A">
        <w:t xml:space="preserve"> Zeller (apple fruit moth) belongs to the family Yponomeutidae</w:t>
      </w:r>
      <w:r>
        <w:t>.</w:t>
      </w:r>
      <w:r>
        <w:rPr>
          <w:i/>
        </w:rPr>
        <w:t xml:space="preserve"> </w:t>
      </w:r>
      <w:r w:rsidRPr="00815A3A">
        <w:rPr>
          <w:i/>
        </w:rPr>
        <w:t>Argyresthia</w:t>
      </w:r>
      <w:r w:rsidRPr="00815A3A">
        <w:t> </w:t>
      </w:r>
      <w:r w:rsidRPr="00815A3A">
        <w:rPr>
          <w:i/>
        </w:rPr>
        <w:t>conjugella</w:t>
      </w:r>
      <w:r w:rsidRPr="00815A3A">
        <w:t xml:space="preserve"> is mainly distributed in </w:t>
      </w:r>
      <w:r>
        <w:t xml:space="preserve">the </w:t>
      </w:r>
      <w:r w:rsidRPr="00815A3A">
        <w:t xml:space="preserve">temperate climatic zones of </w:t>
      </w:r>
      <w:r w:rsidRPr="009723D1">
        <w:t xml:space="preserve">Europe </w:t>
      </w:r>
      <w:r>
        <w:rPr>
          <w:noProof/>
        </w:rPr>
        <w:t>(Russell 2009)</w:t>
      </w:r>
      <w:r w:rsidRPr="009723D1">
        <w:t>, North America, Japan, the Middle East, Central Asia, Siberia and</w:t>
      </w:r>
      <w:r w:rsidRPr="00815A3A">
        <w:t xml:space="preserve"> the Far East </w:t>
      </w:r>
      <w:r>
        <w:rPr>
          <w:noProof/>
        </w:rPr>
        <w:t>(Ovsyannikova &amp; Grichanov 2008)</w:t>
      </w:r>
      <w:r w:rsidRPr="00815A3A">
        <w:t xml:space="preserve">. </w:t>
      </w:r>
      <w:r w:rsidRPr="00815A3A">
        <w:rPr>
          <w:i/>
        </w:rPr>
        <w:t>Argyresthia</w:t>
      </w:r>
      <w:r w:rsidRPr="00815A3A">
        <w:t> </w:t>
      </w:r>
      <w:r w:rsidRPr="00815A3A">
        <w:rPr>
          <w:i/>
        </w:rPr>
        <w:t>conjugella</w:t>
      </w:r>
      <w:r w:rsidRPr="00815A3A">
        <w:t xml:space="preserve"> is a major pest of apple in Nordic </w:t>
      </w:r>
      <w:r>
        <w:t>c</w:t>
      </w:r>
      <w:r w:rsidRPr="00815A3A">
        <w:t>ountries</w:t>
      </w:r>
      <w:r>
        <w:t xml:space="preserve"> such as</w:t>
      </w:r>
      <w:r w:rsidRPr="00815A3A">
        <w:t xml:space="preserve"> Norway </w:t>
      </w:r>
      <w:r>
        <w:rPr>
          <w:noProof/>
        </w:rPr>
        <w:t>(EPPO 1999; Kobro et al. 2003)</w:t>
      </w:r>
      <w:r w:rsidRPr="00804F74">
        <w:t xml:space="preserve">. </w:t>
      </w:r>
      <w:bookmarkStart w:id="304" w:name="_Hlk40080892"/>
      <w:r w:rsidRPr="00815A3A">
        <w:rPr>
          <w:i/>
        </w:rPr>
        <w:t>Argyresthia conjugella</w:t>
      </w:r>
      <w:r w:rsidRPr="00815A3A">
        <w:t xml:space="preserve"> </w:t>
      </w:r>
      <w:r>
        <w:t>has been present as</w:t>
      </w:r>
      <w:r w:rsidRPr="00815A3A">
        <w:t xml:space="preserve"> an exotic pest in Washington</w:t>
      </w:r>
      <w:r>
        <w:t xml:space="preserve">, including in apple production areas, </w:t>
      </w:r>
      <w:r w:rsidRPr="00960312">
        <w:t>since 1985</w:t>
      </w:r>
      <w:r>
        <w:t xml:space="preserve"> </w:t>
      </w:r>
      <w:r>
        <w:rPr>
          <w:noProof/>
        </w:rPr>
        <w:t>(LaGasa 2008)</w:t>
      </w:r>
      <w:r>
        <w:t xml:space="preserve">. </w:t>
      </w:r>
      <w:bookmarkEnd w:id="304"/>
    </w:p>
    <w:p w14:paraId="636C4C1C" w14:textId="77777777" w:rsidR="003438A2" w:rsidRPr="00737959" w:rsidRDefault="003438A2" w:rsidP="00C67856">
      <w:r w:rsidRPr="00145BA6">
        <w:rPr>
          <w:i/>
        </w:rPr>
        <w:t>Argyresthia conjugella</w:t>
      </w:r>
      <w:r w:rsidRPr="00145BA6">
        <w:t xml:space="preserve"> is recorded as feeding on seeds of two rosaceous species, apple and rowan (</w:t>
      </w:r>
      <w:r w:rsidRPr="00145BA6">
        <w:rPr>
          <w:i/>
        </w:rPr>
        <w:t>Sorbus aucuparia</w:t>
      </w:r>
      <w:r w:rsidRPr="00145BA6">
        <w:t>), with rowan being the preferred host</w:t>
      </w:r>
      <w:r>
        <w:t xml:space="preserve"> </w:t>
      </w:r>
      <w:r>
        <w:rPr>
          <w:noProof/>
        </w:rPr>
        <w:t>(CABI 2022; Kobro et al. 2003; Pasini 2015)</w:t>
      </w:r>
      <w:r>
        <w:t xml:space="preserve">. </w:t>
      </w:r>
      <w:r w:rsidRPr="00145BA6">
        <w:t xml:space="preserve">It also invades apple as an alternative host, particularly in low rowan-berry production years </w:t>
      </w:r>
      <w:r w:rsidRPr="00145BA6">
        <w:rPr>
          <w:noProof/>
        </w:rPr>
        <w:t>(Knudsen et al. 2008; Kobro et al. 2003; Pasini 2015)</w:t>
      </w:r>
      <w:r w:rsidRPr="00145BA6">
        <w:t>, however other fruits such as pears and plum are not reported as hosts</w:t>
      </w:r>
      <w:r>
        <w:t xml:space="preserve"> </w:t>
      </w:r>
      <w:r w:rsidRPr="00CE40D1">
        <w:rPr>
          <w:noProof/>
        </w:rPr>
        <w:t>(CABI 2022; Pasini 2015)</w:t>
      </w:r>
      <w:r w:rsidRPr="00CE40D1">
        <w:t>.</w:t>
      </w:r>
      <w:r w:rsidRPr="00145BA6">
        <w:t xml:space="preserve"> In the United States, the economic consequences caused by its feeding are not well documented. However, </w:t>
      </w:r>
      <w:r w:rsidRPr="00145BA6">
        <w:rPr>
          <w:i/>
        </w:rPr>
        <w:t>A. conjugella</w:t>
      </w:r>
      <w:r w:rsidRPr="00145BA6">
        <w:t xml:space="preserve"> is probably a minor pest for apple in the PNW-USA, as it has not been listed as a pest of apple in these states</w:t>
      </w:r>
      <w:r>
        <w:t xml:space="preserve"> (</w:t>
      </w:r>
      <w:hyperlink w:anchor="_ENREF_233" w:tooltip="Wiman, 2022 #47115" w:history="1">
        <w:r>
          <w:rPr>
            <w:noProof/>
          </w:rPr>
          <w:t>Wiman &amp; Stoven 2022</w:t>
        </w:r>
      </w:hyperlink>
      <w:r>
        <w:rPr>
          <w:noProof/>
        </w:rPr>
        <w:t>).</w:t>
      </w:r>
    </w:p>
    <w:p w14:paraId="4CB0A8C2" w14:textId="77777777" w:rsidR="003438A2" w:rsidRDefault="003438A2" w:rsidP="00C67856">
      <w:r w:rsidRPr="00815A3A">
        <w:rPr>
          <w:i/>
        </w:rPr>
        <w:t>Argyresthia</w:t>
      </w:r>
      <w:r w:rsidRPr="00815A3A">
        <w:t> </w:t>
      </w:r>
      <w:r w:rsidRPr="00815A3A">
        <w:rPr>
          <w:i/>
        </w:rPr>
        <w:t>conjugella</w:t>
      </w:r>
      <w:r w:rsidRPr="00815A3A">
        <w:t xml:space="preserve"> has</w:t>
      </w:r>
      <w:r w:rsidRPr="00815A3A">
        <w:rPr>
          <w:lang w:eastAsia="en-AU"/>
        </w:rPr>
        <w:t xml:space="preserve"> </w:t>
      </w:r>
      <w:r>
        <w:rPr>
          <w:lang w:eastAsia="en-AU"/>
        </w:rPr>
        <w:t>four</w:t>
      </w:r>
      <w:r w:rsidRPr="00815A3A">
        <w:rPr>
          <w:lang w:eastAsia="en-AU"/>
        </w:rPr>
        <w:t xml:space="preserve"> life stages: egg, larva, pupa and adult. </w:t>
      </w:r>
      <w:r>
        <w:rPr>
          <w:lang w:eastAsia="en-AU"/>
        </w:rPr>
        <w:t xml:space="preserve">The </w:t>
      </w:r>
      <w:r w:rsidRPr="00815A3A">
        <w:t>adult</w:t>
      </w:r>
      <w:r>
        <w:t>, with a wingspan</w:t>
      </w:r>
      <w:r w:rsidRPr="00815A3A">
        <w:t xml:space="preserve"> </w:t>
      </w:r>
      <w:r>
        <w:t>of</w:t>
      </w:r>
      <w:r w:rsidRPr="00815A3A">
        <w:t xml:space="preserve"> 10</w:t>
      </w:r>
      <w:r>
        <w:t xml:space="preserve"> to </w:t>
      </w:r>
      <w:r w:rsidRPr="00815A3A">
        <w:t>12</w:t>
      </w:r>
      <w:r>
        <w:t xml:space="preserve"> </w:t>
      </w:r>
      <w:r w:rsidRPr="00815A3A">
        <w:t>mm</w:t>
      </w:r>
      <w:r>
        <w:t xml:space="preserve">, has </w:t>
      </w:r>
      <w:r w:rsidRPr="00815A3A">
        <w:t xml:space="preserve">whitish markings </w:t>
      </w:r>
      <w:r>
        <w:t xml:space="preserve">and </w:t>
      </w:r>
      <w:r w:rsidRPr="00815A3A">
        <w:t>dark pur</w:t>
      </w:r>
      <w:r>
        <w:t>p</w:t>
      </w:r>
      <w:r w:rsidRPr="00815A3A">
        <w:t>lish</w:t>
      </w:r>
      <w:r>
        <w:t>-</w:t>
      </w:r>
      <w:r w:rsidRPr="00815A3A">
        <w:t xml:space="preserve">brown forewings. </w:t>
      </w:r>
      <w:r>
        <w:t>A</w:t>
      </w:r>
      <w:r w:rsidRPr="00815A3A">
        <w:rPr>
          <w:lang w:eastAsia="en-AU"/>
        </w:rPr>
        <w:t>dult</w:t>
      </w:r>
      <w:r>
        <w:rPr>
          <w:lang w:eastAsia="en-AU"/>
        </w:rPr>
        <w:t>s</w:t>
      </w:r>
      <w:r w:rsidRPr="00815A3A">
        <w:rPr>
          <w:lang w:eastAsia="en-AU"/>
        </w:rPr>
        <w:t xml:space="preserve"> emerge from overwintering sites in the soil and</w:t>
      </w:r>
      <w:r>
        <w:rPr>
          <w:lang w:eastAsia="en-AU"/>
        </w:rPr>
        <w:t>,</w:t>
      </w:r>
      <w:r w:rsidRPr="00815A3A">
        <w:rPr>
          <w:lang w:eastAsia="en-AU"/>
        </w:rPr>
        <w:t xml:space="preserve"> after mating</w:t>
      </w:r>
      <w:r>
        <w:rPr>
          <w:lang w:eastAsia="en-AU"/>
        </w:rPr>
        <w:t>,</w:t>
      </w:r>
      <w:r w:rsidRPr="00815A3A">
        <w:rPr>
          <w:lang w:eastAsia="en-AU"/>
        </w:rPr>
        <w:t xml:space="preserve"> females oviposit about 20</w:t>
      </w:r>
      <w:r>
        <w:rPr>
          <w:lang w:eastAsia="en-AU"/>
        </w:rPr>
        <w:t xml:space="preserve"> to </w:t>
      </w:r>
      <w:r w:rsidRPr="00815A3A">
        <w:rPr>
          <w:lang w:eastAsia="en-AU"/>
        </w:rPr>
        <w:t xml:space="preserve">30 eggs on rowan green berries or </w:t>
      </w:r>
      <w:r>
        <w:rPr>
          <w:lang w:eastAsia="en-AU"/>
        </w:rPr>
        <w:t>on immature</w:t>
      </w:r>
      <w:r w:rsidRPr="00815A3A">
        <w:rPr>
          <w:lang w:eastAsia="en-AU"/>
        </w:rPr>
        <w:t xml:space="preserve"> apple</w:t>
      </w:r>
      <w:r>
        <w:rPr>
          <w:lang w:eastAsia="en-AU"/>
        </w:rPr>
        <w:t xml:space="preserve"> fruit</w:t>
      </w:r>
      <w:r w:rsidRPr="00815A3A">
        <w:rPr>
          <w:lang w:eastAsia="en-AU"/>
        </w:rPr>
        <w:t xml:space="preserve"> </w:t>
      </w:r>
      <w:r>
        <w:rPr>
          <w:noProof/>
        </w:rPr>
        <w:t>(Kobro et al. 2003; Pasini 2015)</w:t>
      </w:r>
      <w:r w:rsidRPr="000A13B9">
        <w:t>.</w:t>
      </w:r>
      <w:r w:rsidRPr="00815A3A">
        <w:t xml:space="preserve"> </w:t>
      </w:r>
      <w:r>
        <w:t>The o</w:t>
      </w:r>
      <w:r w:rsidRPr="00815A3A">
        <w:t>val, flat and whitish eggs</w:t>
      </w:r>
      <w:r>
        <w:t>, with dimensions</w:t>
      </w:r>
      <w:r w:rsidRPr="00815A3A">
        <w:t xml:space="preserve"> of 0.5 </w:t>
      </w:r>
      <w:r>
        <w:t>x</w:t>
      </w:r>
      <w:r w:rsidRPr="00815A3A">
        <w:t xml:space="preserve"> 0.3</w:t>
      </w:r>
      <w:r>
        <w:t xml:space="preserve"> </w:t>
      </w:r>
      <w:r w:rsidRPr="00815A3A">
        <w:t>mm,</w:t>
      </w:r>
      <w:r w:rsidRPr="00815A3A">
        <w:rPr>
          <w:lang w:eastAsia="en-AU"/>
        </w:rPr>
        <w:t xml:space="preserve"> hatch in about 10</w:t>
      </w:r>
      <w:r>
        <w:rPr>
          <w:lang w:eastAsia="en-AU"/>
        </w:rPr>
        <w:t xml:space="preserve"> to </w:t>
      </w:r>
      <w:r w:rsidRPr="00815A3A">
        <w:rPr>
          <w:lang w:eastAsia="en-AU"/>
        </w:rPr>
        <w:t>14 days</w:t>
      </w:r>
      <w:r>
        <w:t xml:space="preserve">. Emerging </w:t>
      </w:r>
      <w:r w:rsidRPr="00815A3A">
        <w:t xml:space="preserve">larvae immediately </w:t>
      </w:r>
      <w:r>
        <w:t xml:space="preserve">bore into the fruit and </w:t>
      </w:r>
      <w:r w:rsidRPr="00815A3A">
        <w:t xml:space="preserve">make tunnels in </w:t>
      </w:r>
      <w:r w:rsidRPr="00076EA2">
        <w:t xml:space="preserve">the apple flesh in search of the seeds </w:t>
      </w:r>
      <w:r>
        <w:rPr>
          <w:noProof/>
        </w:rPr>
        <w:t>(Alford 2007; Furenhed 2006)</w:t>
      </w:r>
      <w:r w:rsidRPr="00076EA2">
        <w:t>. This can be seen on the fruit as sunken discoloured spots with the holes filled with frass, which can</w:t>
      </w:r>
      <w:r>
        <w:t xml:space="preserve"> </w:t>
      </w:r>
      <w:r w:rsidRPr="00815A3A">
        <w:t xml:space="preserve">result in secondary infections that lead to fruit rot </w:t>
      </w:r>
      <w:r>
        <w:rPr>
          <w:noProof/>
        </w:rPr>
        <w:t>(Carter 1984)</w:t>
      </w:r>
      <w:r w:rsidRPr="00815A3A">
        <w:t xml:space="preserve">. </w:t>
      </w:r>
      <w:r>
        <w:t xml:space="preserve">The mature larvae, </w:t>
      </w:r>
      <w:r w:rsidRPr="00815A3A">
        <w:t>dull</w:t>
      </w:r>
      <w:r>
        <w:t>-</w:t>
      </w:r>
      <w:r w:rsidRPr="00815A3A">
        <w:t xml:space="preserve">bodied </w:t>
      </w:r>
      <w:r>
        <w:t>and measuring</w:t>
      </w:r>
      <w:r w:rsidRPr="00815A3A">
        <w:t xml:space="preserve"> up to 7</w:t>
      </w:r>
      <w:r>
        <w:t xml:space="preserve"> </w:t>
      </w:r>
      <w:r w:rsidRPr="00815A3A">
        <w:t xml:space="preserve">mm </w:t>
      </w:r>
      <w:r>
        <w:t xml:space="preserve">in length, generally exit the fruit by piercing the fruit skin and making numerous visible holes </w:t>
      </w:r>
      <w:r>
        <w:rPr>
          <w:noProof/>
        </w:rPr>
        <w:t>(Alford 2007)</w:t>
      </w:r>
      <w:r w:rsidRPr="006D3FBE">
        <w:t>.</w:t>
      </w:r>
      <w:r>
        <w:t xml:space="preserve"> Pupation then occurs </w:t>
      </w:r>
      <w:r w:rsidRPr="00815A3A">
        <w:t>amongst dead leaves on the ground or under bark</w:t>
      </w:r>
      <w:r>
        <w:t xml:space="preserve"> </w:t>
      </w:r>
      <w:r>
        <w:rPr>
          <w:noProof/>
        </w:rPr>
        <w:t>(Alford 2007; Carter 1984)</w:t>
      </w:r>
      <w:r w:rsidRPr="006D3FBE">
        <w:t>.</w:t>
      </w:r>
      <w:r>
        <w:t xml:space="preserve"> Although rare, sometimes the larva pupates in the cavity within the seeds </w:t>
      </w:r>
      <w:r>
        <w:rPr>
          <w:noProof/>
        </w:rPr>
        <w:t>(Furenhed 2006)</w:t>
      </w:r>
      <w:r>
        <w:t xml:space="preserve">. The </w:t>
      </w:r>
      <w:r w:rsidRPr="00815A3A">
        <w:t>brown pupa is 5</w:t>
      </w:r>
      <w:r>
        <w:t xml:space="preserve"> </w:t>
      </w:r>
      <w:r w:rsidRPr="00815A3A">
        <w:t xml:space="preserve">mm </w:t>
      </w:r>
      <w:r>
        <w:t>in length</w:t>
      </w:r>
      <w:r w:rsidRPr="00815A3A">
        <w:t xml:space="preserve"> </w:t>
      </w:r>
      <w:r>
        <w:rPr>
          <w:noProof/>
        </w:rPr>
        <w:t>(Alford 2007)</w:t>
      </w:r>
      <w:r w:rsidRPr="006D3FBE">
        <w:t>.</w:t>
      </w:r>
      <w:r>
        <w:t xml:space="preserve"> </w:t>
      </w:r>
      <w:r w:rsidRPr="00815A3A">
        <w:t xml:space="preserve">Depending on the climate, </w:t>
      </w:r>
      <w:r w:rsidRPr="00815A3A">
        <w:rPr>
          <w:i/>
        </w:rPr>
        <w:t>A. conjugella</w:t>
      </w:r>
      <w:r w:rsidRPr="00815A3A">
        <w:t xml:space="preserve"> </w:t>
      </w:r>
      <w:r>
        <w:t>overwinters</w:t>
      </w:r>
      <w:r w:rsidRPr="00815A3A">
        <w:t xml:space="preserve"> as a larva or pupa, </w:t>
      </w:r>
      <w:r>
        <w:t>for</w:t>
      </w:r>
      <w:r w:rsidRPr="00815A3A">
        <w:t xml:space="preserve"> a period of 6 to 8 months </w:t>
      </w:r>
      <w:r>
        <w:rPr>
          <w:noProof/>
        </w:rPr>
        <w:t>(Pasini 2015)</w:t>
      </w:r>
      <w:r w:rsidRPr="000A13B9">
        <w:t>.</w:t>
      </w:r>
      <w:r w:rsidRPr="00815A3A">
        <w:t xml:space="preserve"> </w:t>
      </w:r>
      <w:r w:rsidRPr="002D14DB">
        <w:rPr>
          <w:i/>
          <w:iCs/>
        </w:rPr>
        <w:t>Argyresthia</w:t>
      </w:r>
      <w:r>
        <w:rPr>
          <w:i/>
          <w:iCs/>
        </w:rPr>
        <w:t xml:space="preserve"> conjugella </w:t>
      </w:r>
      <w:r>
        <w:t>undergoes</w:t>
      </w:r>
      <w:r w:rsidRPr="00357098">
        <w:t xml:space="preserve"> </w:t>
      </w:r>
      <w:r>
        <w:t>one</w:t>
      </w:r>
      <w:r w:rsidRPr="00357098">
        <w:t xml:space="preserve"> generation per year</w:t>
      </w:r>
      <w:r>
        <w:t xml:space="preserve"> </w:t>
      </w:r>
      <w:r>
        <w:rPr>
          <w:noProof/>
        </w:rPr>
        <w:t>(Elameen, Eiken &amp; Knudsen 2016; UC IPM 2019)</w:t>
      </w:r>
      <w:r w:rsidRPr="002344D8">
        <w:t>.</w:t>
      </w:r>
      <w:r>
        <w:t xml:space="preserve"> </w:t>
      </w:r>
    </w:p>
    <w:p w14:paraId="30470B78" w14:textId="77777777" w:rsidR="003438A2" w:rsidRPr="00B65882" w:rsidRDefault="003438A2" w:rsidP="00C67856">
      <w:pPr>
        <w:autoSpaceDE w:val="0"/>
        <w:autoSpaceDN w:val="0"/>
        <w:adjustRightInd w:val="0"/>
        <w:rPr>
          <w:color w:val="00B050"/>
        </w:rPr>
      </w:pPr>
      <w:r w:rsidRPr="00E83C64">
        <w:t>The risk scenario of biosecurity concern is that larval</w:t>
      </w:r>
      <w:r>
        <w:t xml:space="preserve"> and pupal</w:t>
      </w:r>
      <w:r w:rsidRPr="00E83C64">
        <w:t xml:space="preserve"> stages of </w:t>
      </w:r>
      <w:r w:rsidRPr="00E83C64">
        <w:rPr>
          <w:i/>
        </w:rPr>
        <w:t>A</w:t>
      </w:r>
      <w:r>
        <w:rPr>
          <w:i/>
        </w:rPr>
        <w:t xml:space="preserve">. </w:t>
      </w:r>
      <w:r w:rsidRPr="00E83C64">
        <w:rPr>
          <w:i/>
        </w:rPr>
        <w:t>conjugella</w:t>
      </w:r>
      <w:r w:rsidRPr="00E83C64">
        <w:t xml:space="preserve"> may be present within mature apple fruit </w:t>
      </w:r>
      <w:r>
        <w:t>from</w:t>
      </w:r>
      <w:r w:rsidRPr="00E83C64">
        <w:t xml:space="preserve"> </w:t>
      </w:r>
      <w:r>
        <w:t xml:space="preserve">the </w:t>
      </w:r>
      <w:r w:rsidRPr="00E83C64">
        <w:t>PNW-USA</w:t>
      </w:r>
      <w:r>
        <w:t>.</w:t>
      </w:r>
    </w:p>
    <w:p w14:paraId="308FD123" w14:textId="77777777" w:rsidR="003438A2" w:rsidRDefault="003438A2" w:rsidP="00C67856">
      <w:pPr>
        <w:autoSpaceDE w:val="0"/>
        <w:autoSpaceDN w:val="0"/>
        <w:adjustRightInd w:val="0"/>
      </w:pPr>
      <w:r>
        <w:t xml:space="preserve">A </w:t>
      </w:r>
      <w:r w:rsidRPr="00815A3A">
        <w:t xml:space="preserve">congeneric species, </w:t>
      </w:r>
      <w:r w:rsidRPr="00815A3A">
        <w:rPr>
          <w:i/>
        </w:rPr>
        <w:t>Argyresthia assimilis</w:t>
      </w:r>
      <w:r w:rsidRPr="00815A3A">
        <w:t xml:space="preserve"> </w:t>
      </w:r>
      <w:r>
        <w:t>has been</w:t>
      </w:r>
      <w:r w:rsidRPr="00815A3A">
        <w:t xml:space="preserve"> assessed in the policy for fresh apple fruit from the People’s Republic of China </w:t>
      </w:r>
      <w:r>
        <w:rPr>
          <w:noProof/>
        </w:rPr>
        <w:t>(Biosecurity Australia 2010a)</w:t>
      </w:r>
      <w:r w:rsidRPr="00815A3A">
        <w:t>.</w:t>
      </w:r>
      <w:r>
        <w:t xml:space="preserve"> </w:t>
      </w:r>
      <w:r w:rsidRPr="00190276">
        <w:rPr>
          <w:rFonts w:cs="Arial"/>
        </w:rPr>
        <w:t xml:space="preserve">In </w:t>
      </w:r>
      <w:r>
        <w:rPr>
          <w:rFonts w:cs="Arial"/>
        </w:rPr>
        <w:t>the China apple</w:t>
      </w:r>
      <w:r w:rsidRPr="00190276">
        <w:rPr>
          <w:rFonts w:cs="Arial"/>
        </w:rPr>
        <w:t xml:space="preserve"> policy, the unrestricted risk estimate for </w:t>
      </w:r>
      <w:r w:rsidRPr="00190276">
        <w:rPr>
          <w:i/>
        </w:rPr>
        <w:t xml:space="preserve">A. </w:t>
      </w:r>
      <w:r w:rsidRPr="00815A3A">
        <w:rPr>
          <w:i/>
        </w:rPr>
        <w:t>assimilis</w:t>
      </w:r>
      <w:r w:rsidRPr="00190276">
        <w:t xml:space="preserve"> </w:t>
      </w:r>
      <w:r w:rsidRPr="00190276">
        <w:rPr>
          <w:rFonts w:cs="Arial"/>
        </w:rPr>
        <w:t>was assessed as Very Low</w:t>
      </w:r>
      <w:r>
        <w:rPr>
          <w:rFonts w:cs="Arial"/>
        </w:rPr>
        <w:t>,</w:t>
      </w:r>
      <w:r w:rsidRPr="00190276">
        <w:rPr>
          <w:rFonts w:cs="Arial"/>
        </w:rPr>
        <w:t xml:space="preserve"> which achieve</w:t>
      </w:r>
      <w:r>
        <w:rPr>
          <w:rFonts w:cs="Arial"/>
        </w:rPr>
        <w:t>s</w:t>
      </w:r>
      <w:r w:rsidRPr="00190276">
        <w:rPr>
          <w:rFonts w:cs="Arial"/>
        </w:rPr>
        <w:t xml:space="preserve"> </w:t>
      </w:r>
      <w:r w:rsidRPr="00190276">
        <w:t xml:space="preserve">the ALOP for Australia. </w:t>
      </w:r>
    </w:p>
    <w:p w14:paraId="1856FDB0" w14:textId="77777777" w:rsidR="003438A2" w:rsidRDefault="003438A2" w:rsidP="00C67856">
      <w:pPr>
        <w:rPr>
          <w:iCs/>
        </w:rPr>
      </w:pPr>
      <w:r w:rsidRPr="00E26990">
        <w:rPr>
          <w:i/>
        </w:rPr>
        <w:t xml:space="preserve">Argyresthia assimilis </w:t>
      </w:r>
      <w:r w:rsidRPr="00E26990">
        <w:rPr>
          <w:iCs/>
        </w:rPr>
        <w:t>and</w:t>
      </w:r>
      <w:r w:rsidRPr="00E26990">
        <w:rPr>
          <w:i/>
        </w:rPr>
        <w:t xml:space="preserve"> A. conjugella </w:t>
      </w:r>
      <w:r w:rsidRPr="00E26990">
        <w:rPr>
          <w:iCs/>
        </w:rPr>
        <w:t>share a number of biological similarities including univoltine lifecycle, narrow host range</w:t>
      </w:r>
      <w:r>
        <w:rPr>
          <w:iCs/>
        </w:rPr>
        <w:t xml:space="preserve"> </w:t>
      </w:r>
      <w:r w:rsidRPr="00E26990">
        <w:rPr>
          <w:iCs/>
        </w:rPr>
        <w:t>and fruit seed feeding behaviour.</w:t>
      </w:r>
    </w:p>
    <w:p w14:paraId="5C4F17D6" w14:textId="77777777" w:rsidR="003438A2" w:rsidRPr="00815A3A" w:rsidRDefault="003438A2" w:rsidP="00C67856">
      <w:r w:rsidRPr="00815A3A">
        <w:t>Therefore</w:t>
      </w:r>
      <w:r>
        <w:t>,</w:t>
      </w:r>
      <w:r w:rsidRPr="00815A3A">
        <w:t xml:space="preserve"> it is considered that </w:t>
      </w:r>
      <w:r w:rsidRPr="00815A3A">
        <w:rPr>
          <w:i/>
        </w:rPr>
        <w:t>A. conjugella</w:t>
      </w:r>
      <w:r w:rsidRPr="00815A3A">
        <w:t xml:space="preserve"> </w:t>
      </w:r>
      <w:r>
        <w:t xml:space="preserve">and </w:t>
      </w:r>
      <w:r w:rsidRPr="00815A3A">
        <w:rPr>
          <w:i/>
        </w:rPr>
        <w:t>A</w:t>
      </w:r>
      <w:r>
        <w:rPr>
          <w:i/>
        </w:rPr>
        <w:t>.</w:t>
      </w:r>
      <w:r w:rsidRPr="00815A3A">
        <w:rPr>
          <w:i/>
        </w:rPr>
        <w:t xml:space="preserve"> assimilis</w:t>
      </w:r>
      <w:r w:rsidRPr="00815A3A">
        <w:t xml:space="preserve"> pose similar </w:t>
      </w:r>
      <w:r>
        <w:t xml:space="preserve">biosecurity </w:t>
      </w:r>
      <w:r w:rsidRPr="00815A3A">
        <w:t xml:space="preserve">risks and </w:t>
      </w:r>
      <w:r>
        <w:t xml:space="preserve">will </w:t>
      </w:r>
      <w:r w:rsidRPr="00815A3A">
        <w:t xml:space="preserve">require similar risk management measures. </w:t>
      </w:r>
      <w:r>
        <w:t>Given the similarities between the two species</w:t>
      </w:r>
      <w:r w:rsidRPr="00815A3A">
        <w:t xml:space="preserve">, </w:t>
      </w:r>
      <w:r>
        <w:lastRenderedPageBreak/>
        <w:t xml:space="preserve">the </w:t>
      </w:r>
      <w:r w:rsidRPr="00815A3A">
        <w:t xml:space="preserve">assessment for </w:t>
      </w:r>
      <w:r w:rsidRPr="00815A3A">
        <w:rPr>
          <w:i/>
        </w:rPr>
        <w:t>A. assimilis</w:t>
      </w:r>
      <w:r w:rsidRPr="00815A3A">
        <w:t xml:space="preserve"> for </w:t>
      </w:r>
      <w:r>
        <w:t xml:space="preserve">the fresh </w:t>
      </w:r>
      <w:r w:rsidRPr="00815A3A">
        <w:t>apple</w:t>
      </w:r>
      <w:r>
        <w:t xml:space="preserve"> fruit from China pathway</w:t>
      </w:r>
      <w:r w:rsidRPr="00815A3A">
        <w:t xml:space="preserve"> is </w:t>
      </w:r>
      <w:r>
        <w:t>considered in the assessment of</w:t>
      </w:r>
      <w:r w:rsidRPr="00815A3A">
        <w:t xml:space="preserve"> </w:t>
      </w:r>
      <w:r w:rsidRPr="00815A3A">
        <w:rPr>
          <w:i/>
        </w:rPr>
        <w:t>A. conjugella</w:t>
      </w:r>
      <w:r w:rsidRPr="00815A3A">
        <w:t xml:space="preserve"> on </w:t>
      </w:r>
      <w:r>
        <w:t xml:space="preserve">the PNW-USA apple </w:t>
      </w:r>
      <w:r w:rsidRPr="00815A3A">
        <w:t>pathway.</w:t>
      </w:r>
    </w:p>
    <w:p w14:paraId="615250D8" w14:textId="77777777" w:rsidR="003438A2" w:rsidRDefault="003438A2" w:rsidP="00C67856">
      <w:r w:rsidRPr="00815A3A">
        <w:t xml:space="preserve">The department has assessed the likelihood of </w:t>
      </w:r>
      <w:r w:rsidRPr="00E106BD">
        <w:t xml:space="preserve">importation of </w:t>
      </w:r>
      <w:r w:rsidRPr="00E106BD">
        <w:rPr>
          <w:i/>
        </w:rPr>
        <w:t>A. assimilis</w:t>
      </w:r>
      <w:r w:rsidRPr="00E106BD">
        <w:t xml:space="preserve"> on fresh apple fruit from China as Low </w:t>
      </w:r>
      <w:r>
        <w:rPr>
          <w:noProof/>
        </w:rPr>
        <w:t>(Biosecurity Australia 2010a)</w:t>
      </w:r>
      <w:r w:rsidRPr="00E106BD">
        <w:t>. However</w:t>
      </w:r>
      <w:r w:rsidRPr="00815A3A">
        <w:t>,</w:t>
      </w:r>
      <w:r>
        <w:t xml:space="preserve"> differences in </w:t>
      </w:r>
      <w:r w:rsidRPr="00815A3A">
        <w:t>pest prevalence</w:t>
      </w:r>
      <w:r>
        <w:t xml:space="preserve">, </w:t>
      </w:r>
      <w:r w:rsidRPr="00815A3A">
        <w:t>climate and horticultur</w:t>
      </w:r>
      <w:r>
        <w:t>al</w:t>
      </w:r>
      <w:r w:rsidRPr="00815A3A">
        <w:t xml:space="preserve"> practices </w:t>
      </w:r>
      <w:r>
        <w:t>between</w:t>
      </w:r>
      <w:r w:rsidRPr="00815A3A">
        <w:t xml:space="preserve"> </w:t>
      </w:r>
      <w:r>
        <w:t xml:space="preserve">the </w:t>
      </w:r>
      <w:r w:rsidRPr="00815A3A">
        <w:t>export areas make it necessary to re</w:t>
      </w:r>
      <w:r>
        <w:t>-</w:t>
      </w:r>
      <w:r w:rsidRPr="00815A3A">
        <w:t xml:space="preserve">assess the likelihood of importation of </w:t>
      </w:r>
      <w:r w:rsidRPr="00815A3A">
        <w:rPr>
          <w:i/>
        </w:rPr>
        <w:t xml:space="preserve">A. conjugella </w:t>
      </w:r>
      <w:r w:rsidRPr="00815A3A">
        <w:t xml:space="preserve">associated with </w:t>
      </w:r>
      <w:r>
        <w:t xml:space="preserve">the </w:t>
      </w:r>
      <w:r w:rsidRPr="00815A3A">
        <w:t>PNW-USA</w:t>
      </w:r>
      <w:r>
        <w:t xml:space="preserve"> apple pathway</w:t>
      </w:r>
      <w:r w:rsidRPr="00815A3A">
        <w:t>.</w:t>
      </w:r>
    </w:p>
    <w:p w14:paraId="2DF46216" w14:textId="77777777" w:rsidR="003438A2" w:rsidRPr="005B5F62" w:rsidRDefault="003438A2" w:rsidP="00C67856">
      <w:r>
        <w:t xml:space="preserve">Previous assessment of </w:t>
      </w:r>
      <w:r w:rsidRPr="00C966AC">
        <w:rPr>
          <w:i/>
        </w:rPr>
        <w:t xml:space="preserve">A. assimilis </w:t>
      </w:r>
      <w:r>
        <w:t>on the fresh apple fruit from China</w:t>
      </w:r>
      <w:r>
        <w:rPr>
          <w:rFonts w:eastAsia="Times New Roman" w:cs="Times New Roman"/>
          <w:color w:val="000000"/>
        </w:rPr>
        <w:t xml:space="preserve"> </w:t>
      </w:r>
      <w:r>
        <w:t xml:space="preserve">pathway rated the likelihood of distribution as Moderate. </w:t>
      </w:r>
      <w:r w:rsidRPr="00815A3A">
        <w:t>Fresh apple</w:t>
      </w:r>
      <w:r>
        <w:t xml:space="preserve"> fruit </w:t>
      </w:r>
      <w:r w:rsidRPr="00815A3A">
        <w:t xml:space="preserve">from the PNW-USA </w:t>
      </w:r>
      <w:r>
        <w:t>are</w:t>
      </w:r>
      <w:r w:rsidRPr="00815A3A">
        <w:t xml:space="preserve"> expected to be distributed in Australia</w:t>
      </w:r>
      <w:r>
        <w:t>, as a result of processing, sale or disposal,</w:t>
      </w:r>
      <w:r w:rsidRPr="00815A3A">
        <w:t xml:space="preserve"> in </w:t>
      </w:r>
      <w:r>
        <w:t xml:space="preserve">a similar </w:t>
      </w:r>
      <w:r w:rsidRPr="00815A3A">
        <w:t xml:space="preserve">way </w:t>
      </w:r>
      <w:r>
        <w:t xml:space="preserve">to </w:t>
      </w:r>
      <w:r w:rsidRPr="00815A3A">
        <w:t xml:space="preserve">apples </w:t>
      </w:r>
      <w:r>
        <w:t xml:space="preserve">from China. Apples can be imported all year round, therefore, </w:t>
      </w:r>
      <w:r w:rsidRPr="00B81F41">
        <w:t>there would be no seasonal differences between both import pathways to contribute to variation in the risk rating for likelihood of distribution</w:t>
      </w:r>
      <w:r>
        <w:t xml:space="preserve">. Due to the narrow host range (rowan and apple) of this pest – adults lay eggs on host fruit, and larvae only feed on fruit, particularly immature fruit – </w:t>
      </w:r>
      <w:r w:rsidRPr="009D7B93">
        <w:rPr>
          <w:i/>
          <w:iCs/>
        </w:rPr>
        <w:t>A. conjugella</w:t>
      </w:r>
      <w:r>
        <w:t xml:space="preserve"> may have some difficulty finding a host in Australia.</w:t>
      </w:r>
      <w:bookmarkStart w:id="305" w:name="_Hlk105442001"/>
    </w:p>
    <w:bookmarkEnd w:id="305"/>
    <w:p w14:paraId="1363A3E3" w14:textId="77777777" w:rsidR="003438A2" w:rsidRPr="00815A3A" w:rsidRDefault="003438A2" w:rsidP="00C67856">
      <w:r>
        <w:t>F</w:t>
      </w:r>
      <w:r w:rsidRPr="009D7B93">
        <w:t>lowering and fruit setting of rowan are cyclic (</w:t>
      </w:r>
      <w:r>
        <w:rPr>
          <w:noProof/>
        </w:rPr>
        <w:t>Pasini 2015</w:t>
      </w:r>
      <w:r w:rsidRPr="009D7B93">
        <w:t>)</w:t>
      </w:r>
      <w:r>
        <w:t xml:space="preserve"> and fruit are not always available. </w:t>
      </w:r>
      <w:r>
        <w:rPr>
          <w:iCs/>
        </w:rPr>
        <w:t xml:space="preserve">Apples are </w:t>
      </w:r>
      <w:r>
        <w:t xml:space="preserve">grown commercially and in household gardens in many parts of Australia, with developing and mature apples available for about half the year. </w:t>
      </w:r>
      <w:r w:rsidRPr="00815A3A">
        <w:t xml:space="preserve">Therefore, the rating of </w:t>
      </w:r>
      <w:r>
        <w:t>Moderate</w:t>
      </w:r>
      <w:r w:rsidRPr="00815A3A">
        <w:t xml:space="preserve"> for the likelihood of distribution for </w:t>
      </w:r>
      <w:r w:rsidRPr="00815A3A">
        <w:rPr>
          <w:i/>
        </w:rPr>
        <w:t>A</w:t>
      </w:r>
      <w:r w:rsidRPr="00815A3A">
        <w:t xml:space="preserve">. </w:t>
      </w:r>
      <w:r w:rsidRPr="00815A3A">
        <w:rPr>
          <w:i/>
        </w:rPr>
        <w:t xml:space="preserve">assimilis </w:t>
      </w:r>
      <w:r>
        <w:t xml:space="preserve">on the apples from China pathway </w:t>
      </w:r>
      <w:r w:rsidRPr="00815A3A">
        <w:t xml:space="preserve">is </w:t>
      </w:r>
      <w:r>
        <w:t xml:space="preserve">also </w:t>
      </w:r>
      <w:r w:rsidRPr="00815A3A">
        <w:t xml:space="preserve">adopted for </w:t>
      </w:r>
      <w:r w:rsidRPr="00815A3A">
        <w:rPr>
          <w:i/>
        </w:rPr>
        <w:t>A. conjugella</w:t>
      </w:r>
      <w:r w:rsidRPr="00815A3A">
        <w:t xml:space="preserve"> </w:t>
      </w:r>
      <w:r>
        <w:t xml:space="preserve">on </w:t>
      </w:r>
      <w:r w:rsidRPr="00815A3A">
        <w:t>the PNW-USA</w:t>
      </w:r>
      <w:r>
        <w:t xml:space="preserve"> apple pathway</w:t>
      </w:r>
      <w:r w:rsidRPr="00815A3A">
        <w:t>.</w:t>
      </w:r>
    </w:p>
    <w:p w14:paraId="7092F049" w14:textId="77777777" w:rsidR="003438A2" w:rsidRPr="00815A3A" w:rsidRDefault="003438A2" w:rsidP="00C67856">
      <w:r w:rsidRPr="00815A3A">
        <w:t xml:space="preserve">The likelihoods of establishment and spread of </w:t>
      </w:r>
      <w:r w:rsidRPr="00815A3A">
        <w:rPr>
          <w:i/>
        </w:rPr>
        <w:t>A. conjugella</w:t>
      </w:r>
      <w:r w:rsidRPr="00815A3A">
        <w:t xml:space="preserve"> in Australia from </w:t>
      </w:r>
      <w:r>
        <w:t xml:space="preserve">the </w:t>
      </w:r>
      <w:r w:rsidRPr="00815A3A">
        <w:t xml:space="preserve">PNW-USA apple pathway </w:t>
      </w:r>
      <w:r>
        <w:t>are considered to</w:t>
      </w:r>
      <w:r w:rsidRPr="00815A3A">
        <w:t xml:space="preserve"> be similar to those </w:t>
      </w:r>
      <w:r>
        <w:t xml:space="preserve">for </w:t>
      </w:r>
      <w:r w:rsidRPr="00815A3A">
        <w:rPr>
          <w:i/>
        </w:rPr>
        <w:t>A</w:t>
      </w:r>
      <w:r w:rsidRPr="00815A3A">
        <w:t xml:space="preserve">. </w:t>
      </w:r>
      <w:r w:rsidRPr="00815A3A">
        <w:rPr>
          <w:i/>
        </w:rPr>
        <w:t xml:space="preserve">assimilis </w:t>
      </w:r>
      <w:r>
        <w:t xml:space="preserve">on apples from China, namely, </w:t>
      </w:r>
      <w:r w:rsidRPr="00357E57">
        <w:t>High and Moderate</w:t>
      </w:r>
      <w:r>
        <w:t>, respectively</w:t>
      </w:r>
      <w:r w:rsidRPr="00815A3A">
        <w:t>. Those likelihoods relate specifically to events that occur in Australia and are essentially independent of</w:t>
      </w:r>
      <w:r>
        <w:t xml:space="preserve"> the</w:t>
      </w:r>
      <w:r w:rsidRPr="00815A3A">
        <w:t xml:space="preserve"> import pathway. The consequences of entry</w:t>
      </w:r>
      <w:r>
        <w:t>,</w:t>
      </w:r>
      <w:r w:rsidRPr="00815A3A">
        <w:t xml:space="preserve"> establishment and spread for </w:t>
      </w:r>
      <w:r w:rsidRPr="00815A3A">
        <w:rPr>
          <w:i/>
        </w:rPr>
        <w:t>A. conjugella</w:t>
      </w:r>
      <w:r w:rsidRPr="00815A3A">
        <w:t xml:space="preserve"> are also independent of the import pathway and </w:t>
      </w:r>
      <w:r>
        <w:t xml:space="preserve">considered to be </w:t>
      </w:r>
      <w:r w:rsidRPr="00815A3A">
        <w:t>similar between pest risk assessments</w:t>
      </w:r>
      <w:r>
        <w:t>, and therefore rated</w:t>
      </w:r>
      <w:r w:rsidRPr="00815A3A">
        <w:t xml:space="preserve"> as Low. Therefore, the ratings for the likelihoods </w:t>
      </w:r>
      <w:r>
        <w:t>of</w:t>
      </w:r>
      <w:r w:rsidRPr="00815A3A">
        <w:t xml:space="preserve"> establishment and spread</w:t>
      </w:r>
      <w:r>
        <w:t>,</w:t>
      </w:r>
      <w:r w:rsidRPr="00815A3A">
        <w:t xml:space="preserve"> </w:t>
      </w:r>
      <w:r>
        <w:t xml:space="preserve">and the </w:t>
      </w:r>
      <w:r w:rsidRPr="00815A3A">
        <w:t xml:space="preserve">rating for overall consequences for </w:t>
      </w:r>
      <w:r w:rsidRPr="00815A3A">
        <w:rPr>
          <w:i/>
        </w:rPr>
        <w:t>A.</w:t>
      </w:r>
      <w:r>
        <w:rPr>
          <w:i/>
        </w:rPr>
        <w:t xml:space="preserve"> </w:t>
      </w:r>
      <w:r w:rsidRPr="00815A3A">
        <w:rPr>
          <w:i/>
        </w:rPr>
        <w:t>assimilis</w:t>
      </w:r>
      <w:r w:rsidRPr="00815A3A">
        <w:t xml:space="preserve"> </w:t>
      </w:r>
      <w:r>
        <w:t xml:space="preserve">on the China apple pathway </w:t>
      </w:r>
      <w:r w:rsidRPr="00815A3A">
        <w:t xml:space="preserve">have been adopted for </w:t>
      </w:r>
      <w:r w:rsidRPr="00815A3A">
        <w:rPr>
          <w:i/>
        </w:rPr>
        <w:t xml:space="preserve">A. conjugella </w:t>
      </w:r>
      <w:r w:rsidRPr="00554A12">
        <w:t>on</w:t>
      </w:r>
      <w:r>
        <w:rPr>
          <w:i/>
        </w:rPr>
        <w:t xml:space="preserve"> </w:t>
      </w:r>
      <w:r w:rsidRPr="00815A3A">
        <w:t xml:space="preserve">the PNW-USA </w:t>
      </w:r>
      <w:r>
        <w:t xml:space="preserve">apple </w:t>
      </w:r>
      <w:r w:rsidRPr="00815A3A">
        <w:t>pathway.</w:t>
      </w:r>
    </w:p>
    <w:p w14:paraId="501922E5" w14:textId="77777777" w:rsidR="003438A2" w:rsidRDefault="003438A2" w:rsidP="00C67856">
      <w:r w:rsidRPr="00815A3A">
        <w:t>In addition, the department has reviewed the latest literature — for example</w:t>
      </w:r>
      <w:r>
        <w:t xml:space="preserve">, </w:t>
      </w:r>
      <w:r>
        <w:rPr>
          <w:noProof/>
        </w:rPr>
        <w:t>Elameen, Eiken and Knudsen (2016) and Pasini (2015).</w:t>
      </w:r>
      <w:r>
        <w:t xml:space="preserve"> N</w:t>
      </w:r>
      <w:r w:rsidRPr="00815A3A">
        <w:t>o new information has been identified that would significantly change the risk ratings for distribution, establishment</w:t>
      </w:r>
      <w:r>
        <w:t>, spread</w:t>
      </w:r>
      <w:r w:rsidRPr="00815A3A">
        <w:t xml:space="preserve"> and consequences, as set out for its congeneric species</w:t>
      </w:r>
      <w:r>
        <w:t>,</w:t>
      </w:r>
      <w:r w:rsidRPr="006008EF">
        <w:rPr>
          <w:i/>
        </w:rPr>
        <w:t xml:space="preserve"> </w:t>
      </w:r>
      <w:r w:rsidRPr="00815A3A">
        <w:rPr>
          <w:i/>
        </w:rPr>
        <w:t>A.</w:t>
      </w:r>
      <w:r>
        <w:rPr>
          <w:i/>
        </w:rPr>
        <w:t xml:space="preserve"> </w:t>
      </w:r>
      <w:r w:rsidRPr="00815A3A">
        <w:rPr>
          <w:i/>
        </w:rPr>
        <w:t>assimilis</w:t>
      </w:r>
      <w:r>
        <w:rPr>
          <w:iCs/>
        </w:rPr>
        <w:t>,</w:t>
      </w:r>
      <w:r w:rsidRPr="00815A3A">
        <w:t xml:space="preserve"> in the existing polic</w:t>
      </w:r>
      <w:r>
        <w:t>y</w:t>
      </w:r>
      <w:r w:rsidRPr="00815A3A">
        <w:t>.</w:t>
      </w:r>
    </w:p>
    <w:p w14:paraId="6F5C8720" w14:textId="77777777" w:rsidR="003438A2" w:rsidRPr="005F6521" w:rsidRDefault="003438A2" w:rsidP="00F843A1">
      <w:pPr>
        <w:pStyle w:val="Heading4"/>
        <w:numPr>
          <w:ilvl w:val="2"/>
          <w:numId w:val="29"/>
        </w:numPr>
        <w:ind w:firstLine="199"/>
      </w:pPr>
      <w:r w:rsidRPr="005F6521">
        <w:t>Likelihood of entry</w:t>
      </w:r>
    </w:p>
    <w:p w14:paraId="4BB8D1F5" w14:textId="77777777" w:rsidR="003438A2" w:rsidRPr="004A2E85" w:rsidRDefault="003438A2" w:rsidP="00C67856">
      <w:r w:rsidRPr="004A2E85">
        <w:t xml:space="preserve">The likelihood of entry is considered in </w:t>
      </w:r>
      <w:r>
        <w:t>2</w:t>
      </w:r>
      <w:r w:rsidRPr="004A2E85">
        <w:t xml:space="preserve"> parts, the likelihood of importation and the likelihood of distribution, which consider pre-border and post-border issues, respectively.</w:t>
      </w:r>
    </w:p>
    <w:p w14:paraId="0C5B7D3F" w14:textId="77777777" w:rsidR="003438A2" w:rsidRDefault="003438A2" w:rsidP="00C67856">
      <w:pPr>
        <w:pStyle w:val="Heading5"/>
      </w:pPr>
      <w:r w:rsidRPr="00487ECA">
        <w:t>Likelihood of importation</w:t>
      </w:r>
      <w:r w:rsidRPr="000A77D8">
        <w:t xml:space="preserve"> </w:t>
      </w:r>
    </w:p>
    <w:p w14:paraId="2CE09A2D" w14:textId="77777777" w:rsidR="003438A2" w:rsidRPr="00815A3A" w:rsidRDefault="003438A2" w:rsidP="00C67856">
      <w:r w:rsidRPr="00815A3A">
        <w:t xml:space="preserve">The likelihood that </w:t>
      </w:r>
      <w:r w:rsidRPr="00815A3A">
        <w:rPr>
          <w:i/>
        </w:rPr>
        <w:t>A. conjugella</w:t>
      </w:r>
      <w:r w:rsidRPr="00815A3A">
        <w:t xml:space="preserve"> will arrive in Australia with the importation of apples from the PNW-USA is assessed as Low.</w:t>
      </w:r>
    </w:p>
    <w:p w14:paraId="3F878458" w14:textId="77777777" w:rsidR="003438A2" w:rsidRPr="00815A3A" w:rsidRDefault="003438A2" w:rsidP="00C67856">
      <w:r w:rsidRPr="00815A3A">
        <w:t>The following information provides supporting evidence for this assessment</w:t>
      </w:r>
      <w:r>
        <w:t>.</w:t>
      </w:r>
    </w:p>
    <w:p w14:paraId="4CECEF32" w14:textId="77777777" w:rsidR="003438A2" w:rsidRDefault="003438A2">
      <w:pPr>
        <w:spacing w:after="0" w:line="240" w:lineRule="auto"/>
        <w:rPr>
          <w:i/>
        </w:rPr>
      </w:pPr>
      <w:r>
        <w:rPr>
          <w:i/>
        </w:rPr>
        <w:br w:type="page"/>
      </w:r>
    </w:p>
    <w:p w14:paraId="38A13917" w14:textId="77777777" w:rsidR="003438A2" w:rsidRPr="00815A3A" w:rsidRDefault="003438A2" w:rsidP="00C67856">
      <w:r w:rsidRPr="00815A3A">
        <w:rPr>
          <w:i/>
        </w:rPr>
        <w:lastRenderedPageBreak/>
        <w:t>Argyresthia</w:t>
      </w:r>
      <w:r w:rsidRPr="00815A3A">
        <w:t> </w:t>
      </w:r>
      <w:r w:rsidRPr="00815A3A">
        <w:rPr>
          <w:i/>
        </w:rPr>
        <w:t>conjugella</w:t>
      </w:r>
      <w:r w:rsidRPr="00815A3A">
        <w:t xml:space="preserve"> </w:t>
      </w:r>
      <w:r>
        <w:t>is present in apple production areas in t</w:t>
      </w:r>
      <w:r w:rsidRPr="00815A3A">
        <w:t>he PNW-USA</w:t>
      </w:r>
      <w:r>
        <w:t>.</w:t>
      </w:r>
    </w:p>
    <w:p w14:paraId="1C17FEB9" w14:textId="77777777" w:rsidR="003438A2" w:rsidRDefault="003438A2" w:rsidP="003438A2">
      <w:pPr>
        <w:pStyle w:val="ListBullet"/>
        <w:numPr>
          <w:ilvl w:val="0"/>
          <w:numId w:val="15"/>
        </w:numPr>
      </w:pPr>
      <w:r w:rsidRPr="00815A3A">
        <w:rPr>
          <w:i/>
        </w:rPr>
        <w:t>Argyresthia</w:t>
      </w:r>
      <w:r w:rsidRPr="00815A3A">
        <w:t xml:space="preserve"> </w:t>
      </w:r>
      <w:r w:rsidRPr="00815A3A">
        <w:rPr>
          <w:i/>
        </w:rPr>
        <w:t>conjugella</w:t>
      </w:r>
      <w:r w:rsidRPr="00815A3A">
        <w:t xml:space="preserve"> has </w:t>
      </w:r>
      <w:r>
        <w:t xml:space="preserve">been present </w:t>
      </w:r>
      <w:r w:rsidRPr="00815A3A">
        <w:t>in Washington since 1985</w:t>
      </w:r>
      <w:r>
        <w:t xml:space="preserve"> </w:t>
      </w:r>
      <w:r>
        <w:rPr>
          <w:noProof/>
        </w:rPr>
        <w:t>(LaGasa 2008).</w:t>
      </w:r>
      <w:r w:rsidRPr="00815A3A">
        <w:t xml:space="preserve"> This species is reported to be found in eastern and western North America</w:t>
      </w:r>
      <w:r>
        <w:t>,</w:t>
      </w:r>
      <w:r w:rsidRPr="00815A3A">
        <w:t xml:space="preserve"> includ</w:t>
      </w:r>
      <w:r>
        <w:t>ing</w:t>
      </w:r>
      <w:r w:rsidRPr="00815A3A">
        <w:t xml:space="preserve"> </w:t>
      </w:r>
      <w:r>
        <w:t xml:space="preserve">in </w:t>
      </w:r>
      <w:r w:rsidRPr="00815A3A">
        <w:t>apple</w:t>
      </w:r>
      <w:r>
        <w:t xml:space="preserve"> production </w:t>
      </w:r>
      <w:r w:rsidRPr="00815A3A">
        <w:t>area</w:t>
      </w:r>
      <w:r>
        <w:t>s in the PNW-USA</w:t>
      </w:r>
      <w:r w:rsidRPr="00815A3A">
        <w:t xml:space="preserve"> </w:t>
      </w:r>
      <w:r>
        <w:rPr>
          <w:noProof/>
        </w:rPr>
        <w:t>(WSDA 2019)</w:t>
      </w:r>
      <w:r w:rsidRPr="00302725">
        <w:t>.</w:t>
      </w:r>
    </w:p>
    <w:p w14:paraId="5F93D11A" w14:textId="77777777" w:rsidR="003438A2" w:rsidRDefault="003438A2" w:rsidP="003438A2">
      <w:pPr>
        <w:pStyle w:val="ListBullet"/>
        <w:numPr>
          <w:ilvl w:val="0"/>
          <w:numId w:val="15"/>
        </w:numPr>
      </w:pPr>
      <w:r w:rsidRPr="0065102D">
        <w:rPr>
          <w:i/>
        </w:rPr>
        <w:t>Argyresthia conjugella</w:t>
      </w:r>
      <w:r w:rsidRPr="00815A3A">
        <w:t xml:space="preserve"> </w:t>
      </w:r>
      <w:r>
        <w:t>feeds primarily on seeds</w:t>
      </w:r>
      <w:r w:rsidRPr="00815A3A">
        <w:t xml:space="preserve"> of row</w:t>
      </w:r>
      <w:r>
        <w:t>a</w:t>
      </w:r>
      <w:r w:rsidRPr="00815A3A">
        <w:t>n (</w:t>
      </w:r>
      <w:r w:rsidRPr="0065102D">
        <w:rPr>
          <w:i/>
        </w:rPr>
        <w:t>Sorbus aucuparia</w:t>
      </w:r>
      <w:r w:rsidRPr="00815A3A">
        <w:t xml:space="preserve">) </w:t>
      </w:r>
      <w:r>
        <w:rPr>
          <w:noProof/>
        </w:rPr>
        <w:t>(Alford 2007; Pasini 2015)</w:t>
      </w:r>
      <w:r w:rsidRPr="00815A3A">
        <w:t xml:space="preserve">. </w:t>
      </w:r>
      <w:r>
        <w:t>I</w:t>
      </w:r>
      <w:r w:rsidRPr="00815A3A">
        <w:t xml:space="preserve">t can also </w:t>
      </w:r>
      <w:r>
        <w:t>attack</w:t>
      </w:r>
      <w:r w:rsidRPr="00815A3A">
        <w:t xml:space="preserve"> apple</w:t>
      </w:r>
      <w:r>
        <w:t>, particularly i</w:t>
      </w:r>
      <w:r w:rsidRPr="00815A3A">
        <w:t>n low row</w:t>
      </w:r>
      <w:r>
        <w:t>a</w:t>
      </w:r>
      <w:r w:rsidRPr="00815A3A">
        <w:t>n</w:t>
      </w:r>
      <w:r>
        <w:t>-</w:t>
      </w:r>
      <w:r w:rsidRPr="00815A3A">
        <w:t>berry production year</w:t>
      </w:r>
      <w:r>
        <w:t>s</w:t>
      </w:r>
      <w:r w:rsidRPr="00815A3A">
        <w:t xml:space="preserve"> </w:t>
      </w:r>
      <w:r>
        <w:rPr>
          <w:noProof/>
        </w:rPr>
        <w:t>(Knudsen et al. 2008; Kobro et al. 2003; Pasini 2015)</w:t>
      </w:r>
      <w:r>
        <w:t>,</w:t>
      </w:r>
      <w:r w:rsidRPr="00815A3A">
        <w:t xml:space="preserve"> and cause fruit damage</w:t>
      </w:r>
      <w:r>
        <w:t xml:space="preserve"> </w:t>
      </w:r>
      <w:r>
        <w:rPr>
          <w:noProof/>
        </w:rPr>
        <w:t>(Pasini 2015)</w:t>
      </w:r>
      <w:r w:rsidRPr="000A13B9">
        <w:t>.</w:t>
      </w:r>
    </w:p>
    <w:p w14:paraId="44C9C0BD" w14:textId="77777777" w:rsidR="003438A2" w:rsidRPr="005845AE" w:rsidRDefault="003438A2" w:rsidP="003438A2">
      <w:pPr>
        <w:pStyle w:val="ListBullet"/>
        <w:numPr>
          <w:ilvl w:val="0"/>
          <w:numId w:val="15"/>
        </w:numPr>
      </w:pPr>
      <w:r w:rsidRPr="00815A3A">
        <w:rPr>
          <w:i/>
        </w:rPr>
        <w:t>Argyresthia</w:t>
      </w:r>
      <w:r w:rsidRPr="00815A3A">
        <w:t xml:space="preserve"> </w:t>
      </w:r>
      <w:r w:rsidRPr="00815A3A">
        <w:rPr>
          <w:i/>
        </w:rPr>
        <w:t>conjugella</w:t>
      </w:r>
      <w:r w:rsidRPr="00815A3A">
        <w:t xml:space="preserve"> </w:t>
      </w:r>
      <w:r>
        <w:t xml:space="preserve">is considered to be a minor pest for apple </w:t>
      </w:r>
      <w:r w:rsidRPr="005845AE">
        <w:t xml:space="preserve">in the PNW-USA on the basis that it has not been listed as a pest of </w:t>
      </w:r>
      <w:r>
        <w:t xml:space="preserve">commercially produced </w:t>
      </w:r>
      <w:r w:rsidRPr="005845AE">
        <w:t>apples in the PNW-USA</w:t>
      </w:r>
      <w:r>
        <w:t xml:space="preserve"> (</w:t>
      </w:r>
      <w:r>
        <w:rPr>
          <w:noProof/>
        </w:rPr>
        <w:t>Wiman &amp; Stoven 2022).</w:t>
      </w:r>
    </w:p>
    <w:p w14:paraId="0AF3FAE4" w14:textId="77777777" w:rsidR="003438A2" w:rsidRPr="001A0C0F" w:rsidRDefault="003438A2" w:rsidP="00C67856">
      <w:r w:rsidRPr="00815A3A">
        <w:rPr>
          <w:i/>
        </w:rPr>
        <w:t>Argyresthia</w:t>
      </w:r>
      <w:r w:rsidRPr="00815A3A">
        <w:t xml:space="preserve"> </w:t>
      </w:r>
      <w:r w:rsidRPr="00815A3A">
        <w:rPr>
          <w:i/>
        </w:rPr>
        <w:t>conjugella</w:t>
      </w:r>
      <w:r>
        <w:rPr>
          <w:i/>
        </w:rPr>
        <w:t xml:space="preserve"> </w:t>
      </w:r>
      <w:r>
        <w:t>may be associated with apple fruit at harvest.</w:t>
      </w:r>
    </w:p>
    <w:p w14:paraId="4CECA357" w14:textId="77777777" w:rsidR="003438A2" w:rsidRDefault="003438A2" w:rsidP="003438A2">
      <w:pPr>
        <w:pStyle w:val="ListBullet"/>
        <w:numPr>
          <w:ilvl w:val="0"/>
          <w:numId w:val="15"/>
        </w:numPr>
      </w:pPr>
      <w:r w:rsidRPr="0065102D">
        <w:rPr>
          <w:i/>
        </w:rPr>
        <w:t>Argyresthia conjugella</w:t>
      </w:r>
      <w:r w:rsidRPr="00815A3A">
        <w:t xml:space="preserve"> </w:t>
      </w:r>
      <w:r>
        <w:t>can successfully develop in apple fruit (</w:t>
      </w:r>
      <w:r>
        <w:rPr>
          <w:noProof/>
        </w:rPr>
        <w:t>Ovsyannikova and Grichanov (2008)</w:t>
      </w:r>
      <w:r>
        <w:t xml:space="preserve"> even though older studies indicate that apple is a poor larval host for</w:t>
      </w:r>
      <w:r w:rsidRPr="00100E1A">
        <w:rPr>
          <w:iCs/>
        </w:rPr>
        <w:t xml:space="preserve"> this pest</w:t>
      </w:r>
      <w:r w:rsidRPr="00100E1A">
        <w:rPr>
          <w:i/>
        </w:rPr>
        <w:t xml:space="preserve">, </w:t>
      </w:r>
      <w:r w:rsidRPr="00100E1A">
        <w:rPr>
          <w:noProof/>
        </w:rPr>
        <w:t xml:space="preserve">as reported in </w:t>
      </w:r>
      <w:r>
        <w:rPr>
          <w:noProof/>
        </w:rPr>
        <w:t xml:space="preserve">Furenhed (2006). </w:t>
      </w:r>
    </w:p>
    <w:p w14:paraId="2D432862" w14:textId="77777777" w:rsidR="003438A2" w:rsidRPr="00815A3A" w:rsidRDefault="003438A2" w:rsidP="003438A2">
      <w:pPr>
        <w:pStyle w:val="ListBullet"/>
        <w:numPr>
          <w:ilvl w:val="0"/>
          <w:numId w:val="15"/>
        </w:numPr>
      </w:pPr>
      <w:r w:rsidRPr="00815A3A">
        <w:rPr>
          <w:lang w:eastAsia="en-AU"/>
        </w:rPr>
        <w:t>Adult</w:t>
      </w:r>
      <w:r>
        <w:rPr>
          <w:lang w:eastAsia="en-AU"/>
        </w:rPr>
        <w:t xml:space="preserve">s of </w:t>
      </w:r>
      <w:r w:rsidRPr="0065102D">
        <w:rPr>
          <w:i/>
        </w:rPr>
        <w:t>A. conjugella</w:t>
      </w:r>
      <w:r w:rsidRPr="00815A3A">
        <w:rPr>
          <w:lang w:eastAsia="en-AU"/>
        </w:rPr>
        <w:t xml:space="preserve"> emerge from overwintering sites in the soil and</w:t>
      </w:r>
      <w:r>
        <w:rPr>
          <w:lang w:eastAsia="en-AU"/>
        </w:rPr>
        <w:t>, after mating,</w:t>
      </w:r>
      <w:r w:rsidRPr="00815A3A">
        <w:rPr>
          <w:lang w:eastAsia="en-AU"/>
        </w:rPr>
        <w:t xml:space="preserve"> females oviposit about 20</w:t>
      </w:r>
      <w:r>
        <w:rPr>
          <w:lang w:eastAsia="en-AU"/>
        </w:rPr>
        <w:t xml:space="preserve"> to </w:t>
      </w:r>
      <w:r w:rsidRPr="00815A3A">
        <w:rPr>
          <w:lang w:eastAsia="en-AU"/>
        </w:rPr>
        <w:t xml:space="preserve">30 eggs on </w:t>
      </w:r>
      <w:r>
        <w:rPr>
          <w:lang w:eastAsia="en-AU"/>
        </w:rPr>
        <w:t xml:space="preserve">unripe apple </w:t>
      </w:r>
      <w:r w:rsidRPr="00EE1157">
        <w:rPr>
          <w:lang w:eastAsia="en-AU"/>
        </w:rPr>
        <w:t>fruit</w:t>
      </w:r>
      <w:r>
        <w:rPr>
          <w:lang w:eastAsia="en-AU"/>
        </w:rPr>
        <w:t xml:space="preserve">. </w:t>
      </w:r>
      <w:r>
        <w:t>Eggs hatch after about two weeks</w:t>
      </w:r>
      <w:r w:rsidRPr="00EE1157">
        <w:rPr>
          <w:lang w:eastAsia="en-AU"/>
        </w:rPr>
        <w:t xml:space="preserve"> </w:t>
      </w:r>
      <w:r>
        <w:rPr>
          <w:noProof/>
        </w:rPr>
        <w:t>(Pasini 2015)</w:t>
      </w:r>
      <w:r>
        <w:t xml:space="preserve"> </w:t>
      </w:r>
      <w:bookmarkStart w:id="306" w:name="_Hlk96946458"/>
      <w:r>
        <w:t>and would not be expected to be present on fruit at the time of harvest.</w:t>
      </w:r>
      <w:bookmarkEnd w:id="306"/>
    </w:p>
    <w:p w14:paraId="04710109" w14:textId="77777777" w:rsidR="003438A2" w:rsidRPr="00815A3A" w:rsidRDefault="003438A2" w:rsidP="003438A2">
      <w:pPr>
        <w:pStyle w:val="ListBullet"/>
        <w:numPr>
          <w:ilvl w:val="0"/>
          <w:numId w:val="15"/>
        </w:numPr>
      </w:pPr>
      <w:r>
        <w:t>L</w:t>
      </w:r>
      <w:r w:rsidRPr="00815A3A">
        <w:t xml:space="preserve">arvae of </w:t>
      </w:r>
      <w:r w:rsidRPr="00815A3A">
        <w:rPr>
          <w:i/>
        </w:rPr>
        <w:t>A. conjugella</w:t>
      </w:r>
      <w:r w:rsidRPr="00815A3A">
        <w:t xml:space="preserve"> bore tunnels in apple fruit in search of the seeds </w:t>
      </w:r>
      <w:r>
        <w:rPr>
          <w:noProof/>
        </w:rPr>
        <w:t>(Furenhed 2006)</w:t>
      </w:r>
      <w:r w:rsidRPr="00815A3A">
        <w:t>. Larval development lasts 40</w:t>
      </w:r>
      <w:r>
        <w:t xml:space="preserve"> to </w:t>
      </w:r>
      <w:r w:rsidRPr="00815A3A">
        <w:t xml:space="preserve">50 days </w:t>
      </w:r>
      <w:r>
        <w:rPr>
          <w:noProof/>
        </w:rPr>
        <w:t>(Ovsyannikova &amp; Grichanov 2008)</w:t>
      </w:r>
      <w:r>
        <w:t>,</w:t>
      </w:r>
      <w:r w:rsidRPr="004925DA">
        <w:t xml:space="preserve"> </w:t>
      </w:r>
      <w:r>
        <w:t>with most larvae exiting the fruit to pupate before harvest. However,</w:t>
      </w:r>
      <w:r w:rsidRPr="00815A3A">
        <w:t xml:space="preserve"> some larvae could </w:t>
      </w:r>
      <w:r>
        <w:t>remain with</w:t>
      </w:r>
      <w:r w:rsidRPr="00815A3A">
        <w:t xml:space="preserve">in </w:t>
      </w:r>
      <w:r>
        <w:t xml:space="preserve">infested </w:t>
      </w:r>
      <w:r w:rsidRPr="00815A3A">
        <w:t>fruit</w:t>
      </w:r>
      <w:r>
        <w:t xml:space="preserve"> at the time of harvest</w:t>
      </w:r>
      <w:r w:rsidRPr="00815A3A">
        <w:t>.</w:t>
      </w:r>
      <w:r w:rsidRPr="001852A3">
        <w:t xml:space="preserve"> </w:t>
      </w:r>
    </w:p>
    <w:p w14:paraId="7E416A0B" w14:textId="77777777" w:rsidR="003438A2" w:rsidRDefault="003438A2" w:rsidP="003438A2">
      <w:pPr>
        <w:pStyle w:val="ListBullet"/>
        <w:numPr>
          <w:ilvl w:val="0"/>
          <w:numId w:val="15"/>
        </w:numPr>
      </w:pPr>
      <w:r>
        <w:t>Pupation generally occurs outside the fruit, but l</w:t>
      </w:r>
      <w:r w:rsidRPr="00815A3A">
        <w:t>arva</w:t>
      </w:r>
      <w:r>
        <w:t>e</w:t>
      </w:r>
      <w:r w:rsidRPr="00815A3A">
        <w:t xml:space="preserve"> </w:t>
      </w:r>
      <w:r>
        <w:t xml:space="preserve">can </w:t>
      </w:r>
      <w:r w:rsidRPr="00815A3A">
        <w:t xml:space="preserve">pupate in the </w:t>
      </w:r>
      <w:r>
        <w:t xml:space="preserve">seed </w:t>
      </w:r>
      <w:r w:rsidRPr="00815A3A">
        <w:t xml:space="preserve">cavity </w:t>
      </w:r>
      <w:r>
        <w:rPr>
          <w:noProof/>
        </w:rPr>
        <w:t>(Pasini 2015)</w:t>
      </w:r>
      <w:r w:rsidRPr="000A13B9">
        <w:t>.</w:t>
      </w:r>
      <w:r w:rsidRPr="001852A3">
        <w:t xml:space="preserve"> </w:t>
      </w:r>
      <w:r>
        <w:t>Some pupae could be present in infested fruit at the time of harvest.</w:t>
      </w:r>
    </w:p>
    <w:p w14:paraId="2E8E158B" w14:textId="77777777" w:rsidR="003438A2" w:rsidRPr="00815A3A" w:rsidRDefault="003438A2" w:rsidP="00C67856">
      <w:r>
        <w:rPr>
          <w:iCs/>
        </w:rPr>
        <w:t xml:space="preserve">Some </w:t>
      </w:r>
      <w:r w:rsidRPr="0065102D">
        <w:rPr>
          <w:i/>
        </w:rPr>
        <w:t>A</w:t>
      </w:r>
      <w:r>
        <w:rPr>
          <w:i/>
        </w:rPr>
        <w:t>.</w:t>
      </w:r>
      <w:r w:rsidRPr="0065102D">
        <w:rPr>
          <w:i/>
        </w:rPr>
        <w:t xml:space="preserve"> conjugella</w:t>
      </w:r>
      <w:r w:rsidRPr="00E72B28">
        <w:t xml:space="preserve"> </w:t>
      </w:r>
      <w:r>
        <w:t>may not</w:t>
      </w:r>
      <w:r w:rsidRPr="00815A3A">
        <w:t xml:space="preserve"> be detected during harvest or post-harvest process</w:t>
      </w:r>
      <w:r>
        <w:t>es</w:t>
      </w:r>
      <w:r w:rsidRPr="00815A3A">
        <w:t>.</w:t>
      </w:r>
    </w:p>
    <w:p w14:paraId="1BDD3E8E" w14:textId="77777777" w:rsidR="003438A2" w:rsidRDefault="003438A2" w:rsidP="003438A2">
      <w:pPr>
        <w:pStyle w:val="ListBullet"/>
        <w:numPr>
          <w:ilvl w:val="0"/>
          <w:numId w:val="15"/>
        </w:numPr>
      </w:pPr>
      <w:r w:rsidRPr="00815A3A">
        <w:t>Tunnel</w:t>
      </w:r>
      <w:r>
        <w:t>s</w:t>
      </w:r>
      <w:r w:rsidRPr="00815A3A">
        <w:t xml:space="preserve"> </w:t>
      </w:r>
      <w:r>
        <w:t>made</w:t>
      </w:r>
      <w:r w:rsidRPr="00815A3A">
        <w:t xml:space="preserve"> by </w:t>
      </w:r>
      <w:r w:rsidRPr="00815A3A">
        <w:rPr>
          <w:i/>
        </w:rPr>
        <w:t>A. conjugella</w:t>
      </w:r>
      <w:r w:rsidRPr="00815A3A">
        <w:t xml:space="preserve"> </w:t>
      </w:r>
      <w:r>
        <w:t>larvae may</w:t>
      </w:r>
      <w:r w:rsidRPr="00815A3A">
        <w:t xml:space="preserve"> </w:t>
      </w:r>
      <w:r>
        <w:t>cause</w:t>
      </w:r>
      <w:r w:rsidRPr="00815A3A">
        <w:t xml:space="preserve"> secondary infections that lead to fruit rot</w:t>
      </w:r>
      <w:r>
        <w:t>. The outside of infested apple fruit show sunken, discoloured patches on the skin</w:t>
      </w:r>
      <w:r w:rsidRPr="00815A3A">
        <w:t xml:space="preserve"> </w:t>
      </w:r>
      <w:r>
        <w:rPr>
          <w:noProof/>
        </w:rPr>
        <w:t>(Carter 1984)</w:t>
      </w:r>
      <w:r w:rsidRPr="00815A3A">
        <w:t xml:space="preserve">. </w:t>
      </w:r>
      <w:r w:rsidRPr="00815A3A">
        <w:rPr>
          <w:rFonts w:eastAsia="Calibri"/>
        </w:rPr>
        <w:t>Visible rotten fruit will be removed during harvest or packing</w:t>
      </w:r>
      <w:r>
        <w:rPr>
          <w:rFonts w:eastAsia="Calibri"/>
        </w:rPr>
        <w:t xml:space="preserve"> </w:t>
      </w:r>
      <w:r w:rsidRPr="00815A3A">
        <w:rPr>
          <w:rFonts w:eastAsia="Calibri"/>
        </w:rPr>
        <w:t>house process</w:t>
      </w:r>
      <w:r>
        <w:rPr>
          <w:rFonts w:eastAsia="Calibri"/>
        </w:rPr>
        <w:t>es</w:t>
      </w:r>
      <w:r w:rsidRPr="00815A3A">
        <w:rPr>
          <w:rFonts w:eastAsia="Calibri"/>
        </w:rPr>
        <w:t>.</w:t>
      </w:r>
    </w:p>
    <w:p w14:paraId="11B584E3" w14:textId="77777777" w:rsidR="003438A2" w:rsidRPr="00E30DEE" w:rsidRDefault="003438A2" w:rsidP="003438A2">
      <w:pPr>
        <w:pStyle w:val="ListBullet"/>
        <w:numPr>
          <w:ilvl w:val="0"/>
          <w:numId w:val="15"/>
        </w:numPr>
      </w:pPr>
      <w:r w:rsidRPr="00E30DEE">
        <w:t>The mature larvae measure up to 7</w:t>
      </w:r>
      <w:r>
        <w:t xml:space="preserve"> </w:t>
      </w:r>
      <w:r w:rsidRPr="00E30DEE">
        <w:t>mm in length and generally exit the fruit by piercing the fruit skin and making numerous visible holes</w:t>
      </w:r>
      <w:r>
        <w:t xml:space="preserve"> </w:t>
      </w:r>
      <w:r>
        <w:rPr>
          <w:noProof/>
        </w:rPr>
        <w:t>(Carter 1984; Ovsyannikova &amp; Grichanov 2008)</w:t>
      </w:r>
      <w:r>
        <w:t>.</w:t>
      </w:r>
      <w:r w:rsidRPr="00E30DEE">
        <w:t xml:space="preserve"> Packing house procedures may not detect larvae still feeding inside the fruit, or pupae in the cavity within the apple core, because the point where larvae enter the fruit is small and often concealed in the calyx </w:t>
      </w:r>
      <w:r w:rsidRPr="00E30DEE">
        <w:rPr>
          <w:noProof/>
        </w:rPr>
        <w:t>(Ovsyannikova &amp; Grichanov 2008)</w:t>
      </w:r>
      <w:r w:rsidRPr="00E30DEE">
        <w:t>.</w:t>
      </w:r>
    </w:p>
    <w:p w14:paraId="7BB7ADE3" w14:textId="77777777" w:rsidR="003438A2" w:rsidRPr="00815A3A" w:rsidRDefault="003438A2" w:rsidP="00C67856">
      <w:r w:rsidRPr="00E30DEE">
        <w:rPr>
          <w:i/>
        </w:rPr>
        <w:t>Argyresthia conjugella</w:t>
      </w:r>
      <w:r w:rsidRPr="00E30DEE">
        <w:t xml:space="preserve"> could survive cold temperatures during storage in the PNW-USA and transport to Australia.</w:t>
      </w:r>
    </w:p>
    <w:p w14:paraId="5096CADC" w14:textId="77777777" w:rsidR="003438A2" w:rsidRDefault="003438A2" w:rsidP="003438A2">
      <w:pPr>
        <w:pStyle w:val="ListBullet"/>
        <w:numPr>
          <w:ilvl w:val="0"/>
          <w:numId w:val="15"/>
        </w:numPr>
      </w:pPr>
      <w:r w:rsidRPr="00B45E0B">
        <w:t>Harvested apples are normally cold stored at</w:t>
      </w:r>
      <w:r>
        <w:t xml:space="preserve"> 0</w:t>
      </w:r>
      <w:r w:rsidRPr="00A824CD">
        <w:rPr>
          <w:rFonts w:cstheme="minorHAnsi"/>
        </w:rPr>
        <w:t>°</w:t>
      </w:r>
      <w:r>
        <w:rPr>
          <w:rFonts w:cstheme="minorHAnsi"/>
        </w:rPr>
        <w:t>C</w:t>
      </w:r>
      <w:r>
        <w:t xml:space="preserve"> to 2</w:t>
      </w:r>
      <w:r w:rsidRPr="00A824CD">
        <w:rPr>
          <w:rFonts w:cstheme="minorHAnsi"/>
        </w:rPr>
        <w:t>°</w:t>
      </w:r>
      <w:r w:rsidRPr="00654D57">
        <w:t>C</w:t>
      </w:r>
      <w:r>
        <w:t xml:space="preserve"> </w:t>
      </w:r>
      <w:r>
        <w:rPr>
          <w:noProof/>
        </w:rPr>
        <w:t>(Good Fruit Grower 2014; Iowa State University Extension and Outreach 2008; Kupferman 1996; University of Maine 2020)</w:t>
      </w:r>
      <w:r>
        <w:t>. Fruit will be transported to Australia at similar cold temperatures, with sea freight the likely preferred method of transport, which takes about five weeks.</w:t>
      </w:r>
    </w:p>
    <w:p w14:paraId="43F13B41" w14:textId="77777777" w:rsidR="003438A2" w:rsidRDefault="003438A2" w:rsidP="003438A2">
      <w:pPr>
        <w:pStyle w:val="ListBullet"/>
        <w:numPr>
          <w:ilvl w:val="0"/>
          <w:numId w:val="15"/>
        </w:numPr>
      </w:pPr>
      <w:r w:rsidRPr="0063545D">
        <w:t xml:space="preserve">Mature larvae and pupae of </w:t>
      </w:r>
      <w:r w:rsidRPr="0063545D">
        <w:rPr>
          <w:i/>
          <w:iCs/>
        </w:rPr>
        <w:t>A. conjugella</w:t>
      </w:r>
      <w:r w:rsidRPr="0063545D">
        <w:t xml:space="preserve"> are likely to survive </w:t>
      </w:r>
      <w:r>
        <w:t xml:space="preserve">such </w:t>
      </w:r>
      <w:r w:rsidRPr="0063545D">
        <w:t xml:space="preserve">cold </w:t>
      </w:r>
      <w:r>
        <w:t>temperatures</w:t>
      </w:r>
      <w:r w:rsidRPr="0063545D">
        <w:t xml:space="preserve"> as they overwinter for extended periods</w:t>
      </w:r>
      <w:r>
        <w:t xml:space="preserve"> </w:t>
      </w:r>
      <w:r w:rsidRPr="0063545D">
        <w:t>in sub-zero temperatures</w:t>
      </w:r>
      <w:r>
        <w:t xml:space="preserve"> </w:t>
      </w:r>
      <w:r>
        <w:rPr>
          <w:noProof/>
        </w:rPr>
        <w:t>(Pasini 2015)</w:t>
      </w:r>
      <w:r w:rsidRPr="0063545D">
        <w:t>.</w:t>
      </w:r>
    </w:p>
    <w:p w14:paraId="187B0495" w14:textId="77777777" w:rsidR="003438A2" w:rsidRPr="00815A3A" w:rsidRDefault="003438A2" w:rsidP="00C67856">
      <w:r w:rsidRPr="00815A3A">
        <w:rPr>
          <w:i/>
        </w:rPr>
        <w:t>Argyresthia conjugella</w:t>
      </w:r>
      <w:r w:rsidRPr="00815A3A">
        <w:t xml:space="preserve"> is known </w:t>
      </w:r>
      <w:r>
        <w:t>to be associated with</w:t>
      </w:r>
      <w:r w:rsidRPr="00815A3A">
        <w:t xml:space="preserve"> apple</w:t>
      </w:r>
      <w:r>
        <w:t xml:space="preserve"> fruit,</w:t>
      </w:r>
      <w:r w:rsidRPr="00815A3A">
        <w:t xml:space="preserve"> </w:t>
      </w:r>
      <w:r>
        <w:t xml:space="preserve">and larvae </w:t>
      </w:r>
      <w:r w:rsidRPr="00815A3A">
        <w:t>bore</w:t>
      </w:r>
      <w:r>
        <w:t xml:space="preserve"> into </w:t>
      </w:r>
      <w:r w:rsidRPr="00815A3A">
        <w:t>apple</w:t>
      </w:r>
      <w:r>
        <w:t>s</w:t>
      </w:r>
      <w:r w:rsidRPr="00815A3A">
        <w:t xml:space="preserve"> in search of seeds</w:t>
      </w:r>
      <w:r>
        <w:t xml:space="preserve">. </w:t>
      </w:r>
      <w:bookmarkStart w:id="307" w:name="_Hlk110267943"/>
      <w:r>
        <w:t>Most larvae generally exit from infested fruit to pupate before harvest, but some larvae may remain in fruit and pupation can sometimes occur</w:t>
      </w:r>
      <w:r w:rsidRPr="00815A3A">
        <w:t xml:space="preserve"> inside </w:t>
      </w:r>
      <w:r>
        <w:t xml:space="preserve">infested </w:t>
      </w:r>
      <w:r w:rsidRPr="00815A3A">
        <w:t>apple fruit</w:t>
      </w:r>
      <w:bookmarkEnd w:id="307"/>
      <w:r w:rsidRPr="00815A3A">
        <w:t xml:space="preserve">. </w:t>
      </w:r>
      <w:r>
        <w:t>Larval</w:t>
      </w:r>
      <w:r w:rsidRPr="00815A3A">
        <w:t xml:space="preserve"> </w:t>
      </w:r>
      <w:r>
        <w:t>feeding in fruit</w:t>
      </w:r>
      <w:r w:rsidRPr="00815A3A">
        <w:t xml:space="preserve"> often results in visible secondary infections. </w:t>
      </w:r>
      <w:r>
        <w:t>A</w:t>
      </w:r>
      <w:r w:rsidRPr="00815A3A">
        <w:t xml:space="preserve">pple is not the preferred host of </w:t>
      </w:r>
      <w:r w:rsidRPr="00815A3A">
        <w:rPr>
          <w:i/>
        </w:rPr>
        <w:lastRenderedPageBreak/>
        <w:t>A</w:t>
      </w:r>
      <w:r>
        <w:rPr>
          <w:i/>
        </w:rPr>
        <w:t>. </w:t>
      </w:r>
      <w:r w:rsidRPr="00815A3A">
        <w:rPr>
          <w:i/>
        </w:rPr>
        <w:t>conjugella</w:t>
      </w:r>
      <w:r>
        <w:rPr>
          <w:iCs/>
        </w:rPr>
        <w:t>,</w:t>
      </w:r>
      <w:r>
        <w:t xml:space="preserve"> and </w:t>
      </w:r>
      <w:r w:rsidRPr="00815A3A">
        <w:t>this species</w:t>
      </w:r>
      <w:r>
        <w:t xml:space="preserve"> is considered to be a minor pest of apples in the PNW-USA. For the reasons outlined, </w:t>
      </w:r>
      <w:r w:rsidRPr="00815A3A">
        <w:t xml:space="preserve">the likelihood </w:t>
      </w:r>
      <w:r>
        <w:t>of</w:t>
      </w:r>
      <w:r w:rsidRPr="00815A3A">
        <w:t xml:space="preserve"> importation of </w:t>
      </w:r>
      <w:r w:rsidRPr="00815A3A">
        <w:rPr>
          <w:i/>
        </w:rPr>
        <w:t>A. conjugella</w:t>
      </w:r>
      <w:r w:rsidRPr="00815A3A">
        <w:t xml:space="preserve"> on </w:t>
      </w:r>
      <w:r>
        <w:t xml:space="preserve">apples from </w:t>
      </w:r>
      <w:r w:rsidRPr="00815A3A">
        <w:t>PNW-USA</w:t>
      </w:r>
      <w:r>
        <w:t xml:space="preserve"> </w:t>
      </w:r>
      <w:r w:rsidRPr="00815A3A">
        <w:t xml:space="preserve">is </w:t>
      </w:r>
      <w:r>
        <w:t xml:space="preserve">assessed as </w:t>
      </w:r>
      <w:r w:rsidRPr="00815A3A">
        <w:t>Low.</w:t>
      </w:r>
    </w:p>
    <w:p w14:paraId="426B850C" w14:textId="77777777" w:rsidR="003438A2" w:rsidRDefault="003438A2" w:rsidP="00C67856">
      <w:pPr>
        <w:pStyle w:val="Heading5"/>
      </w:pPr>
      <w:r w:rsidRPr="00A3009B">
        <w:t>Likelihood of distribution</w:t>
      </w:r>
    </w:p>
    <w:p w14:paraId="31DBEAB0" w14:textId="77777777" w:rsidR="003438A2" w:rsidRPr="00175958" w:rsidRDefault="003438A2" w:rsidP="00C67856">
      <w:r w:rsidRPr="00A3009B">
        <w:t xml:space="preserve">The likelihood that </w:t>
      </w:r>
      <w:r>
        <w:rPr>
          <w:i/>
          <w:iCs/>
        </w:rPr>
        <w:t>A. conjugella</w:t>
      </w:r>
      <w:r w:rsidRPr="0008105F">
        <w:t xml:space="preserve"> </w:t>
      </w:r>
      <w:r w:rsidRPr="00A3009B">
        <w:t xml:space="preserve">will be distributed within Australia in a viable state as a result of the processing, sale or disposal of apples from the PNW-USA, and subsequently transfer to a susceptible part of a host is considered to be similar to </w:t>
      </w:r>
      <w:r w:rsidRPr="00E106BD">
        <w:rPr>
          <w:i/>
        </w:rPr>
        <w:t>A. assimilis</w:t>
      </w:r>
      <w:r w:rsidRPr="00E106BD">
        <w:t xml:space="preserve"> on fresh apple fruit from China</w:t>
      </w:r>
      <w:r w:rsidRPr="00A3009B">
        <w:t xml:space="preserve">. Therefore, the same rating of </w:t>
      </w:r>
      <w:r>
        <w:t>Moderate</w:t>
      </w:r>
      <w:r w:rsidRPr="00A3009B">
        <w:t xml:space="preserve"> for the likelihood of distribution previously assessed </w:t>
      </w:r>
      <w:r>
        <w:t xml:space="preserve">for </w:t>
      </w:r>
      <w:r w:rsidRPr="00E106BD">
        <w:rPr>
          <w:i/>
        </w:rPr>
        <w:t>A. assimilis</w:t>
      </w:r>
      <w:r w:rsidRPr="00E106BD">
        <w:t xml:space="preserve"> on </w:t>
      </w:r>
      <w:r>
        <w:t xml:space="preserve">the </w:t>
      </w:r>
      <w:r w:rsidRPr="00E106BD">
        <w:t xml:space="preserve">fresh apple fruit from China </w:t>
      </w:r>
      <w:r w:rsidRPr="00A3009B">
        <w:rPr>
          <w:iCs/>
        </w:rPr>
        <w:t xml:space="preserve">pathway is adopted for </w:t>
      </w:r>
      <w:r>
        <w:rPr>
          <w:i/>
          <w:iCs/>
        </w:rPr>
        <w:t>A. conjugella</w:t>
      </w:r>
      <w:r w:rsidRPr="0008105F">
        <w:t xml:space="preserve"> </w:t>
      </w:r>
      <w:r w:rsidRPr="00A3009B">
        <w:rPr>
          <w:iCs/>
        </w:rPr>
        <w:t xml:space="preserve">on </w:t>
      </w:r>
      <w:r>
        <w:rPr>
          <w:iCs/>
        </w:rPr>
        <w:t xml:space="preserve">the </w:t>
      </w:r>
      <w:r w:rsidRPr="00A3009B">
        <w:rPr>
          <w:iCs/>
        </w:rPr>
        <w:t xml:space="preserve">apples from PNW-USA pathway. </w:t>
      </w:r>
    </w:p>
    <w:p w14:paraId="5CC726CC" w14:textId="77777777" w:rsidR="003438A2" w:rsidRDefault="003438A2" w:rsidP="00C67856">
      <w:pPr>
        <w:pStyle w:val="Heading5"/>
      </w:pPr>
      <w:r>
        <w:t>Overall likelihood of entry</w:t>
      </w:r>
    </w:p>
    <w:p w14:paraId="5F28372D" w14:textId="77777777" w:rsidR="003438A2" w:rsidRDefault="003438A2" w:rsidP="00C67856">
      <w:r>
        <w:t xml:space="preserve">The overall likelihood of entry is determined as Low by combining the adopted likelihood of importation of Low with the adopted likelihood of distribution of Moderate, </w:t>
      </w:r>
      <w:r w:rsidRPr="00945121">
        <w:rPr>
          <w:rFonts w:cstheme="minorHAnsi"/>
        </w:rPr>
        <w:t xml:space="preserve">using the matrix of rules in </w:t>
      </w:r>
      <w:r>
        <w:rPr>
          <w:rFonts w:cstheme="minorHAnsi"/>
          <w:lang w:val="en-US"/>
        </w:rPr>
        <w:fldChar w:fldCharType="begin" w:fldLock="1"/>
      </w:r>
      <w:r>
        <w:rPr>
          <w:rFonts w:cstheme="minorHAnsi"/>
        </w:rPr>
        <w:instrText xml:space="preserve"> REF _Ref457826328 \h </w:instrText>
      </w:r>
      <w:r>
        <w:rPr>
          <w:rFonts w:cstheme="minorHAnsi"/>
          <w:lang w:val="en-US"/>
        </w:rPr>
      </w:r>
      <w:r>
        <w:rPr>
          <w:rFonts w:cstheme="minorHAnsi"/>
          <w:lang w:val="en-US"/>
        </w:rPr>
        <w:fldChar w:fldCharType="separate"/>
      </w:r>
      <w:r w:rsidRPr="00DB5F8D">
        <w:t xml:space="preserve">Table </w:t>
      </w:r>
      <w:r>
        <w:rPr>
          <w:noProof/>
        </w:rPr>
        <w:t>2</w:t>
      </w:r>
      <w:r>
        <w:t>.</w:t>
      </w:r>
      <w:r>
        <w:rPr>
          <w:noProof/>
        </w:rPr>
        <w:t>2</w:t>
      </w:r>
      <w:r>
        <w:rPr>
          <w:rFonts w:cstheme="minorHAnsi"/>
          <w:lang w:val="en-US"/>
        </w:rPr>
        <w:fldChar w:fldCharType="end"/>
      </w:r>
      <w:r>
        <w:rPr>
          <w:rFonts w:cstheme="minorHAnsi"/>
          <w:lang w:val="en-US"/>
        </w:rPr>
        <w:t>.</w:t>
      </w:r>
    </w:p>
    <w:p w14:paraId="24D995BC" w14:textId="77777777" w:rsidR="003438A2" w:rsidRPr="00826514" w:rsidRDefault="003438A2" w:rsidP="00F843A1">
      <w:pPr>
        <w:pStyle w:val="Heading4"/>
        <w:numPr>
          <w:ilvl w:val="2"/>
          <w:numId w:val="29"/>
        </w:numPr>
        <w:ind w:firstLine="199"/>
      </w:pPr>
      <w:r w:rsidRPr="00826514">
        <w:t>Likelihood</w:t>
      </w:r>
      <w:r>
        <w:t>s</w:t>
      </w:r>
      <w:r w:rsidRPr="00826514">
        <w:t xml:space="preserve"> of establishment and spread</w:t>
      </w:r>
    </w:p>
    <w:p w14:paraId="4A5225B6" w14:textId="77777777" w:rsidR="003438A2" w:rsidRDefault="003438A2" w:rsidP="00C67856">
      <w:r>
        <w:t xml:space="preserve">The likelihoods of establishment and spread of </w:t>
      </w:r>
      <w:r>
        <w:rPr>
          <w:i/>
          <w:iCs/>
        </w:rPr>
        <w:t>A. conjugella</w:t>
      </w:r>
      <w:r w:rsidRPr="0008105F">
        <w:t xml:space="preserve"> </w:t>
      </w:r>
      <w:r>
        <w:t xml:space="preserve">in Australia from the PNW-USA apple pathway have been assessed as similar to those of the previous assessments, which were rated as High and Moderate respectively, for </w:t>
      </w:r>
      <w:r w:rsidRPr="00E106BD">
        <w:rPr>
          <w:i/>
        </w:rPr>
        <w:t>A. assimilis</w:t>
      </w:r>
      <w:r w:rsidRPr="00E106BD">
        <w:t xml:space="preserve"> on </w:t>
      </w:r>
      <w:r>
        <w:t xml:space="preserve">the </w:t>
      </w:r>
      <w:r w:rsidRPr="00E106BD">
        <w:t>fresh apple fruit from China</w:t>
      </w:r>
      <w:r>
        <w:rPr>
          <w:rFonts w:eastAsia="Times New Roman" w:cs="Times New Roman"/>
          <w:color w:val="000000"/>
        </w:rPr>
        <w:t xml:space="preserve"> pathway </w:t>
      </w:r>
      <w:r>
        <w:rPr>
          <w:noProof/>
        </w:rPr>
        <w:t>(Biosecurity Australia 2010a)</w:t>
      </w:r>
      <w:r>
        <w:t>. These likelihoods relate specifically to events that occur in Australia and are principally independent of the import pathway.</w:t>
      </w:r>
    </w:p>
    <w:p w14:paraId="4C7D9DD8" w14:textId="77777777" w:rsidR="003438A2" w:rsidRPr="002306B4" w:rsidRDefault="003438A2" w:rsidP="00F843A1">
      <w:pPr>
        <w:pStyle w:val="Heading4"/>
        <w:numPr>
          <w:ilvl w:val="2"/>
          <w:numId w:val="29"/>
        </w:numPr>
        <w:ind w:firstLine="199"/>
      </w:pPr>
      <w:r w:rsidRPr="002306B4">
        <w:t>Overall likelihood of entry, establishment and spread</w:t>
      </w:r>
    </w:p>
    <w:p w14:paraId="0A1D426F" w14:textId="77777777" w:rsidR="003438A2" w:rsidRPr="002306B4" w:rsidRDefault="003438A2" w:rsidP="00C67856">
      <w:pPr>
        <w:autoSpaceDE w:val="0"/>
        <w:autoSpaceDN w:val="0"/>
        <w:adjustRightInd w:val="0"/>
      </w:pPr>
      <w:r w:rsidRPr="002306B4">
        <w:t xml:space="preserve">The overall likelihood of entry, establishment and spread is determined by combining the likelihoods of entry, of establishment and of spread using the matrix of rules shown in </w:t>
      </w:r>
      <w:r>
        <w:fldChar w:fldCharType="begin" w:fldLock="1"/>
      </w:r>
      <w:r>
        <w:instrText xml:space="preserve"> REF _Ref457826328 \h </w:instrText>
      </w:r>
      <w:r>
        <w:fldChar w:fldCharType="separate"/>
      </w:r>
      <w:r w:rsidRPr="00DB5F8D">
        <w:t xml:space="preserve">Table </w:t>
      </w:r>
      <w:r>
        <w:rPr>
          <w:noProof/>
        </w:rPr>
        <w:t>2</w:t>
      </w:r>
      <w:r>
        <w:t>.</w:t>
      </w:r>
      <w:r>
        <w:rPr>
          <w:noProof/>
        </w:rPr>
        <w:t>2</w:t>
      </w:r>
      <w:r>
        <w:fldChar w:fldCharType="end"/>
      </w:r>
      <w:r w:rsidRPr="002306B4">
        <w:t>.</w:t>
      </w:r>
    </w:p>
    <w:p w14:paraId="1F8A636F" w14:textId="77777777" w:rsidR="003438A2" w:rsidRPr="002306B4" w:rsidRDefault="003438A2" w:rsidP="00C67856">
      <w:pPr>
        <w:autoSpaceDE w:val="0"/>
        <w:autoSpaceDN w:val="0"/>
        <w:adjustRightInd w:val="0"/>
        <w:rPr>
          <w:rFonts w:cstheme="minorHAnsi"/>
        </w:rPr>
      </w:pPr>
      <w:r w:rsidRPr="002306B4">
        <w:t xml:space="preserve">The overall likelihood that </w:t>
      </w:r>
      <w:r>
        <w:rPr>
          <w:i/>
          <w:iCs/>
        </w:rPr>
        <w:t>A. conjugella</w:t>
      </w:r>
      <w:r w:rsidRPr="0008105F">
        <w:t xml:space="preserve"> </w:t>
      </w:r>
      <w:r w:rsidRPr="002306B4">
        <w:t xml:space="preserve">will enter Australia as a result of trade in apples from the PNW-USA, be distributed in a viable state to a susceptible part of a host, establish in Australia and subsequently spread within Australia is assessed as </w:t>
      </w:r>
      <w:r>
        <w:t>Low</w:t>
      </w:r>
      <w:r w:rsidRPr="002306B4">
        <w:rPr>
          <w:rFonts w:cstheme="minorHAnsi"/>
        </w:rPr>
        <w:t>.</w:t>
      </w:r>
    </w:p>
    <w:p w14:paraId="1B155B44" w14:textId="77777777" w:rsidR="003438A2" w:rsidRPr="00A3009B" w:rsidRDefault="003438A2" w:rsidP="00F843A1">
      <w:pPr>
        <w:pStyle w:val="Heading4"/>
        <w:numPr>
          <w:ilvl w:val="2"/>
          <w:numId w:val="29"/>
        </w:numPr>
        <w:ind w:firstLine="199"/>
      </w:pPr>
      <w:r w:rsidRPr="00A3009B">
        <w:t>Consequences</w:t>
      </w:r>
    </w:p>
    <w:p w14:paraId="1D5AED30" w14:textId="77777777" w:rsidR="003438A2" w:rsidRPr="00A3009B" w:rsidRDefault="003438A2" w:rsidP="00C67856">
      <w:pPr>
        <w:autoSpaceDE w:val="0"/>
        <w:autoSpaceDN w:val="0"/>
        <w:adjustRightInd w:val="0"/>
        <w:rPr>
          <w:rFonts w:cstheme="minorHAnsi"/>
        </w:rPr>
      </w:pPr>
      <w:r w:rsidRPr="00A3009B">
        <w:t xml:space="preserve">The potential consequences of the entry, establishment and spread of </w:t>
      </w:r>
      <w:r>
        <w:rPr>
          <w:i/>
          <w:iCs/>
        </w:rPr>
        <w:t>A. conjugella</w:t>
      </w:r>
      <w:r w:rsidRPr="0008105F">
        <w:t xml:space="preserve"> </w:t>
      </w:r>
      <w:r w:rsidRPr="00A3009B">
        <w:t xml:space="preserve">in Australia are similar to those in the previous assessment for </w:t>
      </w:r>
      <w:r w:rsidRPr="00E106BD">
        <w:rPr>
          <w:i/>
        </w:rPr>
        <w:t>A. assimilis</w:t>
      </w:r>
      <w:r w:rsidRPr="00E106BD">
        <w:t xml:space="preserve"> on </w:t>
      </w:r>
      <w:r>
        <w:t xml:space="preserve">the </w:t>
      </w:r>
      <w:r w:rsidRPr="00E106BD">
        <w:t>fresh apple fruit from China</w:t>
      </w:r>
      <w:r>
        <w:rPr>
          <w:rFonts w:eastAsia="Times New Roman" w:cs="Times New Roman"/>
          <w:color w:val="000000"/>
        </w:rPr>
        <w:t xml:space="preserve"> </w:t>
      </w:r>
      <w:r w:rsidRPr="00A3009B">
        <w:t xml:space="preserve">pathway, which were assessed as </w:t>
      </w:r>
      <w:r>
        <w:t xml:space="preserve">Low </w:t>
      </w:r>
      <w:bookmarkStart w:id="308" w:name="_Hlk108942082"/>
      <w:r>
        <w:rPr>
          <w:noProof/>
        </w:rPr>
        <w:t>(Biosecurity Australia 2010a)</w:t>
      </w:r>
      <w:bookmarkEnd w:id="308"/>
      <w:r>
        <w:t xml:space="preserve">. </w:t>
      </w:r>
      <w:r w:rsidRPr="00A3009B">
        <w:t xml:space="preserve">The overall consequences for </w:t>
      </w:r>
      <w:r>
        <w:rPr>
          <w:i/>
          <w:iCs/>
        </w:rPr>
        <w:t>A. conjugella</w:t>
      </w:r>
      <w:r w:rsidRPr="0008105F">
        <w:t xml:space="preserve"> </w:t>
      </w:r>
      <w:r w:rsidRPr="00A3009B">
        <w:t>on</w:t>
      </w:r>
      <w:r>
        <w:t xml:space="preserve"> the</w:t>
      </w:r>
      <w:r w:rsidRPr="00A3009B">
        <w:t xml:space="preserve"> apples from PNW-USA pathway are also assessed as </w:t>
      </w:r>
      <w:r>
        <w:t>Low</w:t>
      </w:r>
      <w:r w:rsidRPr="00A3009B">
        <w:t>.</w:t>
      </w:r>
    </w:p>
    <w:p w14:paraId="444A07BB" w14:textId="77777777" w:rsidR="003438A2" w:rsidRPr="00C35FD7" w:rsidRDefault="003438A2" w:rsidP="00F843A1">
      <w:pPr>
        <w:pStyle w:val="Heading4"/>
        <w:numPr>
          <w:ilvl w:val="2"/>
          <w:numId w:val="29"/>
        </w:numPr>
        <w:ind w:firstLine="199"/>
      </w:pPr>
      <w:r w:rsidRPr="00C35FD7">
        <w:t>Unrestricted risk estimate</w:t>
      </w:r>
    </w:p>
    <w:p w14:paraId="67175ABC" w14:textId="77777777" w:rsidR="003438A2" w:rsidRPr="00945121" w:rsidRDefault="003438A2" w:rsidP="00C67856">
      <w:r w:rsidRPr="00945121">
        <w:t xml:space="preserve">Unrestricted risk is the result of combining the </w:t>
      </w:r>
      <w:r>
        <w:t xml:space="preserve">overall </w:t>
      </w:r>
      <w:r w:rsidRPr="00945121">
        <w:t xml:space="preserve">likelihood of entry, establishment and spread with the outcome of overall consequences. </w:t>
      </w:r>
      <w:r>
        <w:t>The overall l</w:t>
      </w:r>
      <w:r w:rsidRPr="00945121">
        <w:t xml:space="preserve">ikelihood and consequences are combined using the risk estimation matrix shown in </w:t>
      </w:r>
      <w:r>
        <w:fldChar w:fldCharType="begin" w:fldLock="1"/>
      </w:r>
      <w:r>
        <w:instrText xml:space="preserve"> REF _Ref457826369 \h </w:instrText>
      </w:r>
      <w:r>
        <w:fldChar w:fldCharType="separate"/>
      </w:r>
      <w:r>
        <w:t xml:space="preserve">Table </w:t>
      </w:r>
      <w:r>
        <w:rPr>
          <w:noProof/>
        </w:rPr>
        <w:t>2</w:t>
      </w:r>
      <w:r>
        <w:t>.</w:t>
      </w:r>
      <w:r>
        <w:rPr>
          <w:noProof/>
        </w:rPr>
        <w:t>5</w:t>
      </w:r>
      <w:r>
        <w:fldChar w:fldCharType="end"/>
      </w:r>
      <w:r>
        <w:t>.</w:t>
      </w:r>
    </w:p>
    <w:p w14:paraId="0600DB48" w14:textId="77777777" w:rsidR="003438A2" w:rsidRDefault="003438A2">
      <w:r>
        <w:rPr>
          <w:b/>
        </w:rPr>
        <w:br w:type="page"/>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3438A2" w:rsidRPr="00A3009B" w14:paraId="2C73F614" w14:textId="77777777" w:rsidTr="00EF0A05">
        <w:trPr>
          <w:trHeight w:val="423"/>
        </w:trPr>
        <w:tc>
          <w:tcPr>
            <w:tcW w:w="5000" w:type="pct"/>
            <w:gridSpan w:val="2"/>
            <w:tcBorders>
              <w:top w:val="single" w:sz="4" w:space="0" w:color="auto"/>
              <w:bottom w:val="single" w:sz="4" w:space="0" w:color="auto"/>
            </w:tcBorders>
            <w:shd w:val="clear" w:color="auto" w:fill="auto"/>
          </w:tcPr>
          <w:p w14:paraId="69E90BBB" w14:textId="77777777" w:rsidR="003438A2" w:rsidRPr="00A3009B" w:rsidRDefault="003438A2" w:rsidP="00EF0A05">
            <w:pPr>
              <w:pStyle w:val="TableHeading"/>
            </w:pPr>
            <w:r w:rsidRPr="00A3009B">
              <w:lastRenderedPageBreak/>
              <w:t xml:space="preserve">Unrestricted risk estimate for </w:t>
            </w:r>
            <w:r w:rsidRPr="00815A3A">
              <w:rPr>
                <w:i/>
              </w:rPr>
              <w:t>A</w:t>
            </w:r>
            <w:r>
              <w:rPr>
                <w:i/>
              </w:rPr>
              <w:t>.</w:t>
            </w:r>
            <w:r w:rsidRPr="00815A3A">
              <w:rPr>
                <w:i/>
              </w:rPr>
              <w:t> </w:t>
            </w:r>
            <w:r>
              <w:rPr>
                <w:i/>
                <w:iCs/>
              </w:rPr>
              <w:t>conjugella</w:t>
            </w:r>
          </w:p>
        </w:tc>
      </w:tr>
      <w:tr w:rsidR="003438A2" w:rsidRPr="00A3009B" w14:paraId="2162B488" w14:textId="77777777" w:rsidTr="00EF0A05">
        <w:trPr>
          <w:trHeight w:val="273"/>
        </w:trPr>
        <w:tc>
          <w:tcPr>
            <w:tcW w:w="3417" w:type="pct"/>
            <w:tcBorders>
              <w:top w:val="single" w:sz="4" w:space="0" w:color="auto"/>
              <w:bottom w:val="nil"/>
            </w:tcBorders>
            <w:shd w:val="clear" w:color="auto" w:fill="auto"/>
          </w:tcPr>
          <w:p w14:paraId="77B41B61" w14:textId="77777777" w:rsidR="003438A2" w:rsidRPr="00A3009B" w:rsidRDefault="003438A2" w:rsidP="00EF0A05">
            <w:pPr>
              <w:pStyle w:val="TableText"/>
            </w:pPr>
            <w:r w:rsidRPr="00A3009B">
              <w:t>Overall likelihood of entry, establishment and spread</w:t>
            </w:r>
          </w:p>
        </w:tc>
        <w:tc>
          <w:tcPr>
            <w:tcW w:w="1583" w:type="pct"/>
            <w:tcBorders>
              <w:top w:val="single" w:sz="4" w:space="0" w:color="auto"/>
              <w:bottom w:val="nil"/>
            </w:tcBorders>
            <w:shd w:val="clear" w:color="auto" w:fill="auto"/>
          </w:tcPr>
          <w:p w14:paraId="538B4855" w14:textId="77777777" w:rsidR="003438A2" w:rsidRPr="00A3009B" w:rsidRDefault="003438A2" w:rsidP="00EF0A05">
            <w:pPr>
              <w:pStyle w:val="TableText"/>
            </w:pPr>
            <w:r>
              <w:t>Low</w:t>
            </w:r>
          </w:p>
        </w:tc>
      </w:tr>
      <w:tr w:rsidR="003438A2" w:rsidRPr="00A3009B" w14:paraId="3338199E" w14:textId="77777777" w:rsidTr="00EF0A05">
        <w:trPr>
          <w:trHeight w:val="284"/>
        </w:trPr>
        <w:tc>
          <w:tcPr>
            <w:tcW w:w="3417" w:type="pct"/>
            <w:tcBorders>
              <w:top w:val="nil"/>
              <w:bottom w:val="nil"/>
            </w:tcBorders>
            <w:shd w:val="clear" w:color="auto" w:fill="auto"/>
          </w:tcPr>
          <w:p w14:paraId="62B47C1A" w14:textId="77777777" w:rsidR="003438A2" w:rsidRPr="00A3009B" w:rsidRDefault="003438A2" w:rsidP="00EF0A05">
            <w:pPr>
              <w:pStyle w:val="TableText"/>
            </w:pPr>
            <w:r w:rsidRPr="00A3009B">
              <w:t>Consequences</w:t>
            </w:r>
          </w:p>
        </w:tc>
        <w:tc>
          <w:tcPr>
            <w:tcW w:w="1583" w:type="pct"/>
            <w:tcBorders>
              <w:top w:val="nil"/>
              <w:bottom w:val="nil"/>
            </w:tcBorders>
            <w:shd w:val="clear" w:color="auto" w:fill="auto"/>
          </w:tcPr>
          <w:p w14:paraId="4109E236" w14:textId="77777777" w:rsidR="003438A2" w:rsidRPr="00A3009B" w:rsidRDefault="003438A2" w:rsidP="00EF0A05">
            <w:pPr>
              <w:pStyle w:val="TableText"/>
            </w:pPr>
            <w:r>
              <w:t>Low</w:t>
            </w:r>
          </w:p>
        </w:tc>
      </w:tr>
      <w:tr w:rsidR="003438A2" w:rsidRPr="00A3009B" w14:paraId="7BFF1334" w14:textId="77777777" w:rsidTr="00EF0A05">
        <w:trPr>
          <w:trHeight w:val="284"/>
        </w:trPr>
        <w:tc>
          <w:tcPr>
            <w:tcW w:w="3417" w:type="pct"/>
            <w:tcBorders>
              <w:top w:val="nil"/>
              <w:bottom w:val="single" w:sz="4" w:space="0" w:color="auto"/>
            </w:tcBorders>
            <w:shd w:val="clear" w:color="auto" w:fill="auto"/>
          </w:tcPr>
          <w:p w14:paraId="0A3BA0BD" w14:textId="77777777" w:rsidR="003438A2" w:rsidRPr="00A3009B" w:rsidRDefault="003438A2" w:rsidP="00EF0A05">
            <w:pPr>
              <w:pStyle w:val="TableText"/>
            </w:pPr>
            <w:r w:rsidRPr="00A3009B">
              <w:t>Unrestricted risk</w:t>
            </w:r>
          </w:p>
        </w:tc>
        <w:tc>
          <w:tcPr>
            <w:tcW w:w="1583" w:type="pct"/>
            <w:tcBorders>
              <w:top w:val="nil"/>
              <w:bottom w:val="single" w:sz="4" w:space="0" w:color="auto"/>
            </w:tcBorders>
            <w:shd w:val="clear" w:color="auto" w:fill="auto"/>
          </w:tcPr>
          <w:p w14:paraId="2C921A13" w14:textId="77777777" w:rsidR="003438A2" w:rsidRPr="00A3009B" w:rsidRDefault="003438A2" w:rsidP="00EF0A05">
            <w:pPr>
              <w:pStyle w:val="TableText"/>
            </w:pPr>
            <w:r>
              <w:t>Very Low</w:t>
            </w:r>
          </w:p>
        </w:tc>
      </w:tr>
    </w:tbl>
    <w:p w14:paraId="0390BCF6" w14:textId="77777777" w:rsidR="003438A2" w:rsidRDefault="003438A2" w:rsidP="00C67856">
      <w:r w:rsidRPr="00F87E08">
        <w:t xml:space="preserve">The unrestricted risk estimate for </w:t>
      </w:r>
      <w:r>
        <w:rPr>
          <w:i/>
          <w:iCs/>
        </w:rPr>
        <w:t>A. conjugella</w:t>
      </w:r>
      <w:r w:rsidRPr="0008105F">
        <w:t xml:space="preserve"> </w:t>
      </w:r>
      <w:r w:rsidRPr="00831946">
        <w:t xml:space="preserve">on </w:t>
      </w:r>
      <w:r>
        <w:t xml:space="preserve">the </w:t>
      </w:r>
      <w:r w:rsidRPr="00712FDA">
        <w:t xml:space="preserve">PNW-USA </w:t>
      </w:r>
      <w:r>
        <w:t xml:space="preserve">apple </w:t>
      </w:r>
      <w:r w:rsidRPr="00831946">
        <w:t>pathway is assessed</w:t>
      </w:r>
      <w:r>
        <w:t xml:space="preserve"> as Very Low, </w:t>
      </w:r>
      <w:r w:rsidRPr="00C36D8D">
        <w:t xml:space="preserve">which </w:t>
      </w:r>
      <w:r>
        <w:t xml:space="preserve">achieves </w:t>
      </w:r>
      <w:r w:rsidRPr="00C36D8D">
        <w:t xml:space="preserve">the ALOP for Australia. Therefore, </w:t>
      </w:r>
      <w:r>
        <w:t xml:space="preserve">no </w:t>
      </w:r>
      <w:r w:rsidRPr="00C36D8D">
        <w:t xml:space="preserve">specific risk management measures are required for </w:t>
      </w:r>
      <w:r w:rsidRPr="00EE2F06">
        <w:rPr>
          <w:i/>
          <w:iCs/>
        </w:rPr>
        <w:t>A. conjugella</w:t>
      </w:r>
      <w:r>
        <w:t xml:space="preserve"> on the PNW-USA apple pathway</w:t>
      </w:r>
      <w:r w:rsidRPr="00C36D8D">
        <w:t>.</w:t>
      </w:r>
    </w:p>
    <w:p w14:paraId="62ADE1A3" w14:textId="77777777" w:rsidR="003438A2" w:rsidRDefault="003438A2" w:rsidP="00C67856">
      <w:pPr>
        <w:spacing w:after="0" w:line="240" w:lineRule="auto"/>
      </w:pPr>
      <w:r>
        <w:br w:type="page"/>
      </w:r>
    </w:p>
    <w:p w14:paraId="43B613DD" w14:textId="77777777" w:rsidR="003438A2" w:rsidRDefault="003438A2" w:rsidP="00F843A1">
      <w:pPr>
        <w:pStyle w:val="Heading3"/>
        <w:numPr>
          <w:ilvl w:val="1"/>
          <w:numId w:val="25"/>
        </w:numPr>
      </w:pPr>
      <w:bookmarkStart w:id="309" w:name="_Toc10009727"/>
      <w:bookmarkStart w:id="310" w:name="_Ref46059969"/>
      <w:bookmarkStart w:id="311" w:name="_Ref46060374"/>
      <w:bookmarkStart w:id="312" w:name="_Ref46060520"/>
      <w:bookmarkStart w:id="313" w:name="_Ref46060595"/>
      <w:bookmarkStart w:id="314" w:name="_Ref46060645"/>
      <w:bookmarkStart w:id="315" w:name="_Ref46060825"/>
      <w:bookmarkStart w:id="316" w:name="_Toc112769014"/>
      <w:bookmarkEnd w:id="258"/>
      <w:bookmarkEnd w:id="296"/>
      <w:bookmarkEnd w:id="297"/>
      <w:bookmarkEnd w:id="298"/>
      <w:bookmarkEnd w:id="299"/>
      <w:bookmarkEnd w:id="300"/>
      <w:bookmarkEnd w:id="301"/>
      <w:bookmarkEnd w:id="302"/>
      <w:bookmarkEnd w:id="303"/>
      <w:r w:rsidRPr="000C4B3C">
        <w:lastRenderedPageBreak/>
        <w:t>Thrips</w:t>
      </w:r>
      <w:bookmarkEnd w:id="309"/>
      <w:bookmarkEnd w:id="310"/>
      <w:bookmarkEnd w:id="311"/>
      <w:bookmarkEnd w:id="312"/>
      <w:bookmarkEnd w:id="313"/>
      <w:bookmarkEnd w:id="314"/>
      <w:bookmarkEnd w:id="315"/>
      <w:bookmarkEnd w:id="316"/>
    </w:p>
    <w:p w14:paraId="3B24E378" w14:textId="77777777" w:rsidR="003438A2" w:rsidRDefault="003438A2" w:rsidP="00C67856">
      <w:pPr>
        <w:pStyle w:val="Heading4"/>
        <w:numPr>
          <w:ilvl w:val="0"/>
          <w:numId w:val="0"/>
        </w:numPr>
      </w:pPr>
      <w:r w:rsidRPr="00C10F75">
        <w:rPr>
          <w:i/>
        </w:rPr>
        <w:t>Frankliniella occidentalis</w:t>
      </w:r>
      <w:r w:rsidRPr="00C10F75">
        <w:t> (GP, NT</w:t>
      </w:r>
      <w:r w:rsidRPr="004D6624">
        <w:t>, RA</w:t>
      </w:r>
      <w:r w:rsidRPr="00C10F75">
        <w:t>)</w:t>
      </w:r>
      <w:r>
        <w:t xml:space="preserve"> and</w:t>
      </w:r>
      <w:r w:rsidRPr="006378D7">
        <w:rPr>
          <w:i/>
        </w:rPr>
        <w:t xml:space="preserve"> </w:t>
      </w:r>
      <w:r w:rsidRPr="00BD10BA">
        <w:rPr>
          <w:i/>
        </w:rPr>
        <w:t xml:space="preserve">Frankliniella </w:t>
      </w:r>
      <w:r>
        <w:rPr>
          <w:i/>
        </w:rPr>
        <w:t>tritici</w:t>
      </w:r>
      <w:r w:rsidRPr="00C10F75">
        <w:t xml:space="preserve"> (GP)</w:t>
      </w:r>
    </w:p>
    <w:p w14:paraId="113758CD" w14:textId="77777777" w:rsidR="003438A2" w:rsidRPr="00CA6E54" w:rsidRDefault="003438A2" w:rsidP="00C67856">
      <w:r w:rsidRPr="00CA6E54">
        <w:t xml:space="preserve">Two thrips species were identified on the fresh apple fruit from the PNW-USA apple pathway that are quarantine pests and/or regulated articles for Australia: </w:t>
      </w:r>
      <w:r w:rsidRPr="00CA6E54">
        <w:rPr>
          <w:i/>
        </w:rPr>
        <w:t xml:space="preserve">Frankliniella occidentalis </w:t>
      </w:r>
      <w:r w:rsidRPr="00CA6E54">
        <w:t xml:space="preserve">and </w:t>
      </w:r>
      <w:r w:rsidRPr="00CA6E54">
        <w:rPr>
          <w:i/>
        </w:rPr>
        <w:t xml:space="preserve">F. tritici </w:t>
      </w:r>
      <w:r w:rsidRPr="00CA6E54">
        <w:rPr>
          <w:iCs/>
        </w:rPr>
        <w:t>(</w:t>
      </w:r>
      <w:r w:rsidRPr="00CA6E54">
        <w:rPr>
          <w:iCs/>
        </w:rPr>
        <w:fldChar w:fldCharType="begin" w:fldLock="1"/>
      </w:r>
      <w:r w:rsidRPr="00CA6E54">
        <w:rPr>
          <w:iCs/>
        </w:rPr>
        <w:instrText xml:space="preserve"> REF _Ref45009354 \h  \* MERGEFORMAT </w:instrText>
      </w:r>
      <w:r w:rsidRPr="00CA6E54">
        <w:rPr>
          <w:iCs/>
        </w:rPr>
      </w:r>
      <w:r w:rsidRPr="00CA6E54">
        <w:rPr>
          <w:iCs/>
        </w:rPr>
        <w:fldChar w:fldCharType="separate"/>
      </w:r>
      <w:r w:rsidRPr="003E403B">
        <w:t xml:space="preserve">Table </w:t>
      </w:r>
      <w:r>
        <w:rPr>
          <w:noProof/>
        </w:rPr>
        <w:t>4</w:t>
      </w:r>
      <w:r w:rsidRPr="003E403B">
        <w:rPr>
          <w:noProof/>
        </w:rPr>
        <w:t>.</w:t>
      </w:r>
      <w:r>
        <w:rPr>
          <w:noProof/>
        </w:rPr>
        <w:t>5</w:t>
      </w:r>
      <w:r w:rsidRPr="00CA6E54">
        <w:rPr>
          <w:iCs/>
        </w:rPr>
        <w:fldChar w:fldCharType="end"/>
      </w:r>
      <w:r w:rsidRPr="00CA6E54">
        <w:rPr>
          <w:iCs/>
        </w:rPr>
        <w:t>)</w:t>
      </w:r>
      <w:r w:rsidRPr="00CA6E54">
        <w:t>.</w:t>
      </w:r>
      <w:r w:rsidRPr="00CA6E54">
        <w:rPr>
          <w:i/>
        </w:rPr>
        <w:t xml:space="preserve"> </w:t>
      </w:r>
    </w:p>
    <w:p w14:paraId="13565AA9" w14:textId="77777777" w:rsidR="003438A2" w:rsidRPr="00CA6E54" w:rsidRDefault="003438A2" w:rsidP="00C67856">
      <w:r w:rsidRPr="003D46B6">
        <w:rPr>
          <w:i/>
        </w:rPr>
        <w:t xml:space="preserve">Frankliniella </w:t>
      </w:r>
      <w:r w:rsidRPr="00CA6E54">
        <w:rPr>
          <w:i/>
        </w:rPr>
        <w:t>occidentalis</w:t>
      </w:r>
      <w:r w:rsidRPr="00CA6E54">
        <w:t xml:space="preserve"> is not present in the Northern Territory and is a regional quarantine pest for that territory. </w:t>
      </w:r>
      <w:r w:rsidRPr="00CA6E54">
        <w:rPr>
          <w:i/>
        </w:rPr>
        <w:t>Frankliniella occidentalis</w:t>
      </w:r>
      <w:r w:rsidRPr="00CA6E54">
        <w:t xml:space="preserve"> is also identified as a regulated article for Australia, because it is capable of harbouring and spreading (vectoring) emerging orthotospoviruses that are quarantine pests for Australia, as detailed in the thrips Group PRA </w:t>
      </w:r>
      <w:r w:rsidRPr="00CA6E54">
        <w:rPr>
          <w:noProof/>
        </w:rPr>
        <w:t>(DAWR 2017)</w:t>
      </w:r>
      <w:r w:rsidRPr="00CA6E54">
        <w:t>. For simplicity, thrips identified as regulated articles are referred to as regulated thrips.</w:t>
      </w:r>
    </w:p>
    <w:p w14:paraId="72E0C2FC" w14:textId="77777777" w:rsidR="003438A2" w:rsidRPr="00CA6E54" w:rsidRDefault="003438A2" w:rsidP="00C67856">
      <w:r w:rsidRPr="00CA6E54">
        <w:rPr>
          <w:i/>
          <w:iCs/>
        </w:rPr>
        <w:t>Frankliniella tritici</w:t>
      </w:r>
      <w:r w:rsidRPr="00CA6E54">
        <w:t xml:space="preserve"> is not present in Australia and is a quarantine pest for Australia.</w:t>
      </w:r>
    </w:p>
    <w:p w14:paraId="33A5233A" w14:textId="77777777" w:rsidR="003438A2" w:rsidRDefault="003438A2" w:rsidP="00C67856">
      <w:r w:rsidRPr="00CA6E54">
        <w:t xml:space="preserve">The indicative likelihood of entry for </w:t>
      </w:r>
      <w:r w:rsidRPr="00462ECF">
        <w:t>all quarantine and/or regulated thrips is assessed</w:t>
      </w:r>
      <w:r w:rsidRPr="00CA6E54">
        <w:t xml:space="preserve"> in the thrips Group PRA as Moderate </w:t>
      </w:r>
      <w:r w:rsidRPr="00CA6E54">
        <w:rPr>
          <w:noProof/>
        </w:rPr>
        <w:t>(DAWR 2017)</w:t>
      </w:r>
      <w:r w:rsidRPr="00CA6E54">
        <w:t xml:space="preserve">. </w:t>
      </w:r>
      <w:r w:rsidRPr="00C10F75">
        <w:rPr>
          <w:i/>
        </w:rPr>
        <w:t>Frankliniella occidentalis</w:t>
      </w:r>
      <w:r w:rsidRPr="00C10F75">
        <w:t> </w:t>
      </w:r>
      <w:r w:rsidRPr="001022C1">
        <w:t xml:space="preserve">and </w:t>
      </w:r>
      <w:r w:rsidRPr="001022C1">
        <w:rPr>
          <w:i/>
        </w:rPr>
        <w:t>F</w:t>
      </w:r>
      <w:r>
        <w:rPr>
          <w:i/>
        </w:rPr>
        <w:t>.</w:t>
      </w:r>
      <w:r w:rsidRPr="001022C1">
        <w:rPr>
          <w:i/>
        </w:rPr>
        <w:t xml:space="preserve"> tritici</w:t>
      </w:r>
      <w:r w:rsidRPr="00881624">
        <w:t xml:space="preserve"> </w:t>
      </w:r>
      <w:r>
        <w:t xml:space="preserve">are </w:t>
      </w:r>
      <w:r w:rsidRPr="0032664E">
        <w:t>reported t</w:t>
      </w:r>
      <w:r>
        <w:t xml:space="preserve">o be present in Idaho, Oregon and Washington </w:t>
      </w:r>
      <w:r>
        <w:rPr>
          <w:noProof/>
        </w:rPr>
        <w:t>(APHIS 2007; CABI 2018)</w:t>
      </w:r>
      <w:r>
        <w:t xml:space="preserve"> and are associated with </w:t>
      </w:r>
      <w:r w:rsidRPr="00CA6E54">
        <w:t xml:space="preserve">fresh </w:t>
      </w:r>
      <w:r>
        <w:t xml:space="preserve">apple fruit </w:t>
      </w:r>
      <w:r>
        <w:rPr>
          <w:noProof/>
        </w:rPr>
        <w:t>(APHIS 2007; CABI 2022)</w:t>
      </w:r>
      <w:r>
        <w:t xml:space="preserve">. </w:t>
      </w:r>
      <w:r>
        <w:rPr>
          <w:rFonts w:eastAsia="Calibri" w:cs="Times New Roman"/>
          <w:lang w:val="pt-BR"/>
        </w:rPr>
        <w:t xml:space="preserve">Standard packing house processes and transportation are not expected to eliminate these thrips from the pathway. </w:t>
      </w:r>
      <w:r w:rsidRPr="00905B12">
        <w:t>After assessment of relevant pathwa</w:t>
      </w:r>
      <w:r>
        <w:t xml:space="preserve">y-specific </w:t>
      </w:r>
      <w:r w:rsidRPr="00884F32">
        <w:t>factors (Section</w:t>
      </w:r>
      <w:r>
        <w:t xml:space="preserve">s </w:t>
      </w:r>
      <w:r>
        <w:fldChar w:fldCharType="begin" w:fldLock="1"/>
      </w:r>
      <w:r>
        <w:instrText xml:space="preserve"> REF _Ref523924726 \n \h </w:instrText>
      </w:r>
      <w:r>
        <w:fldChar w:fldCharType="separate"/>
      </w:r>
      <w:r>
        <w:t>2.2.6</w:t>
      </w:r>
      <w:r>
        <w:fldChar w:fldCharType="end"/>
      </w:r>
      <w:r>
        <w:t xml:space="preserve"> and </w:t>
      </w:r>
      <w:r>
        <w:fldChar w:fldCharType="begin" w:fldLock="1"/>
      </w:r>
      <w:r>
        <w:instrText xml:space="preserve"> REF _Ref523924658 \n \h </w:instrText>
      </w:r>
      <w:r>
        <w:fldChar w:fldCharType="separate"/>
      </w:r>
      <w:r>
        <w:t>2.2.7</w:t>
      </w:r>
      <w:r>
        <w:fldChar w:fldCharType="end"/>
      </w:r>
      <w:r w:rsidRPr="00884F32">
        <w:t>) for</w:t>
      </w:r>
      <w:r>
        <w:t xml:space="preserve"> fresh</w:t>
      </w:r>
      <w:r w:rsidRPr="00905B12">
        <w:t xml:space="preserve"> </w:t>
      </w:r>
      <w:r>
        <w:t>apple fruit from the PNW-USA</w:t>
      </w:r>
      <w:r w:rsidRPr="00905B12">
        <w:t xml:space="preserve">, </w:t>
      </w:r>
      <w:r>
        <w:t xml:space="preserve">the </w:t>
      </w:r>
      <w:r w:rsidRPr="00905B12">
        <w:t>likelihood of entry of Moderate</w:t>
      </w:r>
      <w:r>
        <w:t xml:space="preserve">, </w:t>
      </w:r>
      <w:r w:rsidRPr="00905B12">
        <w:t>w</w:t>
      </w:r>
      <w:r>
        <w:t>as</w:t>
      </w:r>
      <w:r w:rsidRPr="00905B12">
        <w:t xml:space="preserve"> verified as appropriate for these thrips</w:t>
      </w:r>
      <w:r>
        <w:t xml:space="preserve"> (</w:t>
      </w:r>
      <w:r>
        <w:fldChar w:fldCharType="begin" w:fldLock="1"/>
      </w:r>
      <w:r>
        <w:instrText xml:space="preserve"> REF _Ref45009354 \h </w:instrText>
      </w:r>
      <w:r>
        <w:fldChar w:fldCharType="separate"/>
      </w:r>
      <w:r w:rsidRPr="003E403B">
        <w:t xml:space="preserve">Table </w:t>
      </w:r>
      <w:r>
        <w:rPr>
          <w:noProof/>
        </w:rPr>
        <w:t>4</w:t>
      </w:r>
      <w:r w:rsidRPr="003E403B">
        <w:t>.</w:t>
      </w:r>
      <w:r>
        <w:rPr>
          <w:noProof/>
        </w:rPr>
        <w:t>5</w:t>
      </w:r>
      <w:r>
        <w:fldChar w:fldCharType="end"/>
      </w:r>
      <w:r>
        <w:t>).</w:t>
      </w:r>
    </w:p>
    <w:p w14:paraId="61452E47" w14:textId="77777777" w:rsidR="003438A2" w:rsidRPr="003E403B" w:rsidRDefault="003438A2" w:rsidP="004615C5">
      <w:pPr>
        <w:pStyle w:val="Caption"/>
      </w:pPr>
      <w:bookmarkStart w:id="317" w:name="_Ref45009354"/>
      <w:bookmarkStart w:id="318" w:name="_Toc112770166"/>
      <w:r w:rsidRPr="003E403B">
        <w:t xml:space="preserve">Table </w:t>
      </w:r>
      <w:fldSimple w:instr=" STYLEREF 2 \s " w:fldLock="1">
        <w:r>
          <w:rPr>
            <w:noProof/>
          </w:rPr>
          <w:t>4</w:t>
        </w:r>
      </w:fldSimple>
      <w:r w:rsidRPr="003E403B">
        <w:t>.</w:t>
      </w:r>
      <w:fldSimple w:instr=" SEQ Table \* ARABIC \s 2 " w:fldLock="1">
        <w:r>
          <w:rPr>
            <w:noProof/>
          </w:rPr>
          <w:t>5</w:t>
        </w:r>
      </w:fldSimple>
      <w:bookmarkEnd w:id="317"/>
      <w:r w:rsidRPr="003E403B">
        <w:t xml:space="preserve"> Quarantine thrips species for fresh apple fruit from the PNW-USA</w:t>
      </w:r>
      <w:bookmarkEnd w:id="318"/>
    </w:p>
    <w:tbl>
      <w:tblPr>
        <w:tblW w:w="5000" w:type="pct"/>
        <w:tblBorders>
          <w:top w:val="single" w:sz="4" w:space="0" w:color="auto"/>
          <w:bottom w:val="single" w:sz="4" w:space="0" w:color="auto"/>
        </w:tblBorders>
        <w:shd w:val="clear" w:color="auto" w:fill="D5DCE4" w:themeFill="text2" w:themeFillTint="33"/>
        <w:tblLook w:val="00A0" w:firstRow="1" w:lastRow="0" w:firstColumn="1" w:lastColumn="0" w:noHBand="0" w:noVBand="0"/>
      </w:tblPr>
      <w:tblGrid>
        <w:gridCol w:w="1916"/>
        <w:gridCol w:w="1146"/>
        <w:gridCol w:w="1160"/>
        <w:gridCol w:w="1148"/>
        <w:gridCol w:w="1148"/>
        <w:gridCol w:w="2552"/>
      </w:tblGrid>
      <w:tr w:rsidR="003438A2" w:rsidRPr="000914BF" w14:paraId="276A82AB" w14:textId="77777777" w:rsidTr="00557E08">
        <w:trPr>
          <w:cantSplit/>
        </w:trPr>
        <w:tc>
          <w:tcPr>
            <w:tcW w:w="1056" w:type="pct"/>
            <w:tcBorders>
              <w:top w:val="single" w:sz="4" w:space="0" w:color="auto"/>
              <w:bottom w:val="single" w:sz="4" w:space="0" w:color="auto"/>
            </w:tcBorders>
            <w:shd w:val="clear" w:color="auto" w:fill="auto"/>
            <w:vAlign w:val="center"/>
          </w:tcPr>
          <w:p w14:paraId="360D3B33" w14:textId="77777777" w:rsidR="003438A2" w:rsidRPr="000914BF" w:rsidRDefault="003438A2" w:rsidP="00EF0A05">
            <w:pPr>
              <w:pStyle w:val="TableHeading"/>
            </w:pPr>
            <w:r w:rsidRPr="000914BF">
              <w:t>Pest</w:t>
            </w:r>
          </w:p>
        </w:tc>
        <w:tc>
          <w:tcPr>
            <w:tcW w:w="632" w:type="pct"/>
            <w:tcBorders>
              <w:top w:val="single" w:sz="4" w:space="0" w:color="auto"/>
              <w:bottom w:val="single" w:sz="4" w:space="0" w:color="auto"/>
            </w:tcBorders>
          </w:tcPr>
          <w:p w14:paraId="34A4F276" w14:textId="77777777" w:rsidR="003438A2" w:rsidRPr="000914BF" w:rsidRDefault="003438A2" w:rsidP="00EF0A05">
            <w:pPr>
              <w:pStyle w:val="TableHeading"/>
            </w:pPr>
            <w:r w:rsidRPr="000914BF">
              <w:t xml:space="preserve">In thrips </w:t>
            </w:r>
            <w:r>
              <w:t>G</w:t>
            </w:r>
            <w:r w:rsidRPr="000914BF">
              <w:t>roup PRA</w:t>
            </w:r>
          </w:p>
        </w:tc>
        <w:tc>
          <w:tcPr>
            <w:tcW w:w="639" w:type="pct"/>
            <w:tcBorders>
              <w:top w:val="single" w:sz="4" w:space="0" w:color="auto"/>
              <w:bottom w:val="single" w:sz="4" w:space="0" w:color="auto"/>
            </w:tcBorders>
          </w:tcPr>
          <w:p w14:paraId="36F67807" w14:textId="77777777" w:rsidR="003438A2" w:rsidRPr="000914BF" w:rsidRDefault="003438A2" w:rsidP="00EF0A05">
            <w:pPr>
              <w:pStyle w:val="TableHeading"/>
            </w:pPr>
            <w:r>
              <w:t>Q</w:t>
            </w:r>
            <w:r w:rsidRPr="000914BF">
              <w:t>uarantine pest</w:t>
            </w:r>
          </w:p>
        </w:tc>
        <w:tc>
          <w:tcPr>
            <w:tcW w:w="633" w:type="pct"/>
            <w:tcBorders>
              <w:top w:val="single" w:sz="4" w:space="0" w:color="auto"/>
              <w:bottom w:val="single" w:sz="4" w:space="0" w:color="auto"/>
            </w:tcBorders>
          </w:tcPr>
          <w:p w14:paraId="2867723F" w14:textId="77777777" w:rsidR="003438A2" w:rsidRPr="000914BF" w:rsidRDefault="003438A2" w:rsidP="00EF0A05">
            <w:pPr>
              <w:pStyle w:val="TableHeading"/>
            </w:pPr>
            <w:r>
              <w:t>Regulated thrips</w:t>
            </w:r>
          </w:p>
        </w:tc>
        <w:tc>
          <w:tcPr>
            <w:tcW w:w="633" w:type="pct"/>
            <w:tcBorders>
              <w:top w:val="single" w:sz="4" w:space="0" w:color="auto"/>
              <w:bottom w:val="single" w:sz="4" w:space="0" w:color="auto"/>
            </w:tcBorders>
          </w:tcPr>
          <w:p w14:paraId="23969C3A" w14:textId="77777777" w:rsidR="003438A2" w:rsidRPr="000914BF" w:rsidRDefault="003438A2" w:rsidP="00EF0A05">
            <w:pPr>
              <w:pStyle w:val="TableHeading"/>
            </w:pPr>
            <w:r w:rsidRPr="000914BF">
              <w:t xml:space="preserve">On </w:t>
            </w:r>
            <w:r>
              <w:t xml:space="preserve">apple </w:t>
            </w:r>
            <w:r w:rsidRPr="000914BF">
              <w:t>pathway</w:t>
            </w:r>
          </w:p>
        </w:tc>
        <w:tc>
          <w:tcPr>
            <w:tcW w:w="1407" w:type="pct"/>
            <w:tcBorders>
              <w:top w:val="single" w:sz="4" w:space="0" w:color="auto"/>
              <w:bottom w:val="single" w:sz="4" w:space="0" w:color="auto"/>
            </w:tcBorders>
          </w:tcPr>
          <w:p w14:paraId="63F41F88" w14:textId="77777777" w:rsidR="003438A2" w:rsidRPr="000914BF" w:rsidRDefault="003438A2" w:rsidP="00EF0A05">
            <w:pPr>
              <w:pStyle w:val="TableHeading"/>
            </w:pPr>
            <w:r>
              <w:t>L</w:t>
            </w:r>
            <w:r w:rsidRPr="000914BF">
              <w:t xml:space="preserve">ikelihood of entry </w:t>
            </w:r>
          </w:p>
        </w:tc>
      </w:tr>
      <w:tr w:rsidR="003438A2" w:rsidRPr="000914BF" w14:paraId="75C1B3E8" w14:textId="77777777" w:rsidTr="00557E08">
        <w:trPr>
          <w:cantSplit/>
          <w:trHeight w:val="75"/>
        </w:trPr>
        <w:tc>
          <w:tcPr>
            <w:tcW w:w="1056" w:type="pct"/>
            <w:tcBorders>
              <w:top w:val="single" w:sz="4" w:space="0" w:color="auto"/>
            </w:tcBorders>
            <w:shd w:val="clear" w:color="auto" w:fill="auto"/>
          </w:tcPr>
          <w:p w14:paraId="3C23A0EE" w14:textId="77777777" w:rsidR="003438A2" w:rsidRPr="004B03FE" w:rsidRDefault="003438A2" w:rsidP="00EF0A05">
            <w:pPr>
              <w:pStyle w:val="TableText"/>
              <w:rPr>
                <w:lang w:val="en-US"/>
              </w:rPr>
            </w:pPr>
            <w:r w:rsidRPr="00093E36">
              <w:rPr>
                <w:i/>
                <w:lang w:val="en-US"/>
              </w:rPr>
              <w:t xml:space="preserve">Frankliniella </w:t>
            </w:r>
            <w:r>
              <w:rPr>
                <w:i/>
                <w:lang w:val="en-US"/>
              </w:rPr>
              <w:t xml:space="preserve">tritici </w:t>
            </w:r>
          </w:p>
        </w:tc>
        <w:tc>
          <w:tcPr>
            <w:tcW w:w="632" w:type="pct"/>
            <w:tcBorders>
              <w:top w:val="single" w:sz="4" w:space="0" w:color="auto"/>
            </w:tcBorders>
          </w:tcPr>
          <w:p w14:paraId="3DE196E3" w14:textId="77777777" w:rsidR="003438A2" w:rsidRPr="000914BF" w:rsidRDefault="003438A2" w:rsidP="00EF0A05">
            <w:pPr>
              <w:pStyle w:val="TableText"/>
              <w:rPr>
                <w:lang w:val="en-US"/>
              </w:rPr>
            </w:pPr>
            <w:r w:rsidRPr="000914BF">
              <w:rPr>
                <w:lang w:val="en-US"/>
              </w:rPr>
              <w:t>Y</w:t>
            </w:r>
            <w:r>
              <w:rPr>
                <w:lang w:val="en-US"/>
              </w:rPr>
              <w:t>es</w:t>
            </w:r>
          </w:p>
        </w:tc>
        <w:tc>
          <w:tcPr>
            <w:tcW w:w="639" w:type="pct"/>
            <w:tcBorders>
              <w:top w:val="single" w:sz="4" w:space="0" w:color="auto"/>
            </w:tcBorders>
          </w:tcPr>
          <w:p w14:paraId="126666CC" w14:textId="77777777" w:rsidR="003438A2" w:rsidRPr="000914BF" w:rsidRDefault="003438A2" w:rsidP="00EF0A05">
            <w:pPr>
              <w:pStyle w:val="TableText"/>
              <w:rPr>
                <w:lang w:val="en-US"/>
              </w:rPr>
            </w:pPr>
            <w:r w:rsidRPr="000914BF">
              <w:rPr>
                <w:lang w:val="en-US"/>
              </w:rPr>
              <w:t>Y</w:t>
            </w:r>
            <w:r>
              <w:rPr>
                <w:lang w:val="en-US"/>
              </w:rPr>
              <w:t>es</w:t>
            </w:r>
          </w:p>
        </w:tc>
        <w:tc>
          <w:tcPr>
            <w:tcW w:w="633" w:type="pct"/>
            <w:tcBorders>
              <w:top w:val="single" w:sz="4" w:space="0" w:color="auto"/>
            </w:tcBorders>
          </w:tcPr>
          <w:p w14:paraId="7D825BE6" w14:textId="77777777" w:rsidR="003438A2" w:rsidRPr="000914BF" w:rsidRDefault="003438A2" w:rsidP="00EF0A05">
            <w:pPr>
              <w:pStyle w:val="TableText"/>
              <w:rPr>
                <w:lang w:val="en-US"/>
              </w:rPr>
            </w:pPr>
            <w:r>
              <w:rPr>
                <w:lang w:val="en-US"/>
              </w:rPr>
              <w:t>No</w:t>
            </w:r>
          </w:p>
        </w:tc>
        <w:tc>
          <w:tcPr>
            <w:tcW w:w="633" w:type="pct"/>
            <w:tcBorders>
              <w:top w:val="single" w:sz="4" w:space="0" w:color="auto"/>
            </w:tcBorders>
          </w:tcPr>
          <w:p w14:paraId="0D0C84D0" w14:textId="77777777" w:rsidR="003438A2" w:rsidRPr="000914BF" w:rsidRDefault="003438A2" w:rsidP="00EF0A05">
            <w:pPr>
              <w:pStyle w:val="TableText"/>
              <w:rPr>
                <w:lang w:val="en-US"/>
              </w:rPr>
            </w:pPr>
            <w:r w:rsidRPr="000914BF">
              <w:rPr>
                <w:lang w:val="en-US"/>
              </w:rPr>
              <w:t>Yes</w:t>
            </w:r>
          </w:p>
        </w:tc>
        <w:tc>
          <w:tcPr>
            <w:tcW w:w="1407" w:type="pct"/>
            <w:tcBorders>
              <w:top w:val="single" w:sz="4" w:space="0" w:color="auto"/>
            </w:tcBorders>
          </w:tcPr>
          <w:p w14:paraId="344FD596" w14:textId="77777777" w:rsidR="003438A2" w:rsidRPr="000914BF" w:rsidRDefault="003438A2" w:rsidP="00EF0A05">
            <w:pPr>
              <w:pStyle w:val="TableText"/>
              <w:rPr>
                <w:lang w:val="en-US"/>
              </w:rPr>
            </w:pPr>
            <w:r>
              <w:rPr>
                <w:lang w:val="en-US"/>
              </w:rPr>
              <w:t>Moderate</w:t>
            </w:r>
          </w:p>
        </w:tc>
      </w:tr>
      <w:tr w:rsidR="003438A2" w:rsidRPr="000914BF" w14:paraId="4785B5BF" w14:textId="77777777" w:rsidTr="00EF0A05">
        <w:trPr>
          <w:cantSplit/>
          <w:trHeight w:val="75"/>
        </w:trPr>
        <w:tc>
          <w:tcPr>
            <w:tcW w:w="1056" w:type="pct"/>
            <w:shd w:val="clear" w:color="auto" w:fill="auto"/>
          </w:tcPr>
          <w:p w14:paraId="231FB203" w14:textId="77777777" w:rsidR="003438A2" w:rsidRPr="004B03FE" w:rsidRDefault="003438A2" w:rsidP="00EF0A05">
            <w:pPr>
              <w:pStyle w:val="TableText"/>
              <w:rPr>
                <w:lang w:val="en-US"/>
              </w:rPr>
            </w:pPr>
            <w:r w:rsidRPr="00093E36">
              <w:rPr>
                <w:i/>
                <w:lang w:val="en-US"/>
              </w:rPr>
              <w:t xml:space="preserve">Frankliniella </w:t>
            </w:r>
            <w:r w:rsidRPr="00093E36">
              <w:rPr>
                <w:i/>
              </w:rPr>
              <w:t>occidentalis</w:t>
            </w:r>
            <w:r>
              <w:rPr>
                <w:i/>
              </w:rPr>
              <w:t xml:space="preserve"> </w:t>
            </w:r>
          </w:p>
        </w:tc>
        <w:tc>
          <w:tcPr>
            <w:tcW w:w="632" w:type="pct"/>
          </w:tcPr>
          <w:p w14:paraId="11FCD1C4" w14:textId="77777777" w:rsidR="003438A2" w:rsidRPr="000914BF" w:rsidRDefault="003438A2" w:rsidP="00EF0A05">
            <w:pPr>
              <w:pStyle w:val="TableText"/>
              <w:rPr>
                <w:lang w:val="en-US"/>
              </w:rPr>
            </w:pPr>
            <w:r w:rsidRPr="000914BF">
              <w:rPr>
                <w:lang w:val="en-US"/>
              </w:rPr>
              <w:t>Y</w:t>
            </w:r>
            <w:r>
              <w:rPr>
                <w:lang w:val="en-US"/>
              </w:rPr>
              <w:t>es</w:t>
            </w:r>
          </w:p>
        </w:tc>
        <w:tc>
          <w:tcPr>
            <w:tcW w:w="639" w:type="pct"/>
          </w:tcPr>
          <w:p w14:paraId="2B081A48" w14:textId="77777777" w:rsidR="003438A2" w:rsidRPr="000914BF" w:rsidRDefault="003438A2" w:rsidP="00EF0A05">
            <w:pPr>
              <w:pStyle w:val="TableText"/>
              <w:rPr>
                <w:lang w:val="en-US"/>
              </w:rPr>
            </w:pPr>
            <w:r w:rsidRPr="000914BF">
              <w:rPr>
                <w:lang w:val="en-US"/>
              </w:rPr>
              <w:t>Y</w:t>
            </w:r>
            <w:r>
              <w:rPr>
                <w:lang w:val="en-US"/>
              </w:rPr>
              <w:t>es</w:t>
            </w:r>
            <w:r w:rsidRPr="000914BF">
              <w:rPr>
                <w:lang w:val="en-US"/>
              </w:rPr>
              <w:t xml:space="preserve"> (NT)</w:t>
            </w:r>
          </w:p>
        </w:tc>
        <w:tc>
          <w:tcPr>
            <w:tcW w:w="633" w:type="pct"/>
          </w:tcPr>
          <w:p w14:paraId="70E4F9F8" w14:textId="77777777" w:rsidR="003438A2" w:rsidRPr="000914BF" w:rsidRDefault="003438A2" w:rsidP="00EF0A05">
            <w:pPr>
              <w:pStyle w:val="TableText"/>
              <w:rPr>
                <w:lang w:val="en-US"/>
              </w:rPr>
            </w:pPr>
            <w:r>
              <w:rPr>
                <w:lang w:val="en-US"/>
              </w:rPr>
              <w:t>Yes</w:t>
            </w:r>
          </w:p>
        </w:tc>
        <w:tc>
          <w:tcPr>
            <w:tcW w:w="633" w:type="pct"/>
          </w:tcPr>
          <w:p w14:paraId="1B5699AE" w14:textId="77777777" w:rsidR="003438A2" w:rsidRPr="000914BF" w:rsidRDefault="003438A2" w:rsidP="00EF0A05">
            <w:pPr>
              <w:pStyle w:val="TableText"/>
              <w:rPr>
                <w:lang w:val="en-US"/>
              </w:rPr>
            </w:pPr>
            <w:r w:rsidRPr="000914BF">
              <w:rPr>
                <w:lang w:val="en-US"/>
              </w:rPr>
              <w:t>Yes</w:t>
            </w:r>
          </w:p>
        </w:tc>
        <w:tc>
          <w:tcPr>
            <w:tcW w:w="1407" w:type="pct"/>
          </w:tcPr>
          <w:p w14:paraId="645261FB" w14:textId="77777777" w:rsidR="003438A2" w:rsidRPr="000914BF" w:rsidRDefault="003438A2" w:rsidP="00EF0A05">
            <w:pPr>
              <w:pStyle w:val="TableText"/>
              <w:rPr>
                <w:lang w:val="en-US"/>
              </w:rPr>
            </w:pPr>
            <w:r>
              <w:rPr>
                <w:lang w:val="en-US"/>
              </w:rPr>
              <w:t>Moderate</w:t>
            </w:r>
          </w:p>
        </w:tc>
      </w:tr>
    </w:tbl>
    <w:p w14:paraId="6F9A38E0" w14:textId="77777777" w:rsidR="003438A2" w:rsidRDefault="003438A2" w:rsidP="00C67856">
      <w:pPr>
        <w:pStyle w:val="FigureTableNoteSource"/>
      </w:pPr>
      <w:bookmarkStart w:id="319" w:name="_Ref512848211"/>
      <w:r>
        <w:rPr>
          <w:b/>
        </w:rPr>
        <w:t xml:space="preserve">NT: </w:t>
      </w:r>
      <w:r w:rsidRPr="008A7721">
        <w:t xml:space="preserve">Pest of biosecurity concern for </w:t>
      </w:r>
      <w:r>
        <w:t>the Northern Territory.</w:t>
      </w:r>
    </w:p>
    <w:p w14:paraId="0A84D713" w14:textId="77777777" w:rsidR="003438A2" w:rsidRPr="00CA6E54" w:rsidRDefault="003438A2" w:rsidP="00C67856">
      <w:pPr>
        <w:spacing w:before="240"/>
      </w:pPr>
      <w:bookmarkStart w:id="320" w:name="_Ref45009422"/>
      <w:bookmarkEnd w:id="319"/>
      <w:r w:rsidRPr="00CA6E54">
        <w:t xml:space="preserve">A summary of the risk assessment for quarantine thrips is presented in </w:t>
      </w:r>
      <w:r w:rsidRPr="00CA6E54">
        <w:fldChar w:fldCharType="begin" w:fldLock="1"/>
      </w:r>
      <w:r w:rsidRPr="00CA6E54">
        <w:instrText xml:space="preserve"> REF _Ref89628829 \h </w:instrText>
      </w:r>
      <w:r>
        <w:instrText xml:space="preserve"> \* MERGEFORMAT </w:instrText>
      </w:r>
      <w:r w:rsidRPr="00CA6E54">
        <w:fldChar w:fldCharType="separate"/>
      </w:r>
      <w:r>
        <w:t xml:space="preserve">Table </w:t>
      </w:r>
      <w:r>
        <w:rPr>
          <w:noProof/>
        </w:rPr>
        <w:t>4.6</w:t>
      </w:r>
      <w:r w:rsidRPr="00CA6E54">
        <w:fldChar w:fldCharType="end"/>
      </w:r>
      <w:r w:rsidRPr="00CA6E54">
        <w:t xml:space="preserve"> for convenience.</w:t>
      </w:r>
    </w:p>
    <w:p w14:paraId="253BA462" w14:textId="77777777" w:rsidR="003438A2" w:rsidRDefault="003438A2" w:rsidP="00C67856">
      <w:pPr>
        <w:pStyle w:val="Caption"/>
      </w:pPr>
      <w:bookmarkStart w:id="321" w:name="_Ref89628829"/>
      <w:bookmarkStart w:id="322" w:name="_Toc112770167"/>
      <w:r>
        <w:t xml:space="preserve">Table </w:t>
      </w:r>
      <w:fldSimple w:instr=" STYLEREF 2 \s " w:fldLock="1">
        <w:r>
          <w:rPr>
            <w:noProof/>
          </w:rPr>
          <w:t>4</w:t>
        </w:r>
      </w:fldSimple>
      <w:r>
        <w:t>.</w:t>
      </w:r>
      <w:fldSimple w:instr=" SEQ Table \* ARABIC \s 2 " w:fldLock="1">
        <w:r>
          <w:rPr>
            <w:noProof/>
          </w:rPr>
          <w:t>6</w:t>
        </w:r>
      </w:fldSimple>
      <w:bookmarkEnd w:id="320"/>
      <w:bookmarkEnd w:id="321"/>
      <w:r>
        <w:t xml:space="preserve"> </w:t>
      </w:r>
      <w:r w:rsidRPr="004B04EF">
        <w:t>Risk estimates for quarantine thrips</w:t>
      </w:r>
      <w:bookmarkEnd w:id="322"/>
    </w:p>
    <w:tbl>
      <w:tblPr>
        <w:tblW w:w="5000" w:type="pct"/>
        <w:tblLook w:val="01E0" w:firstRow="1" w:lastRow="1" w:firstColumn="1" w:lastColumn="1" w:noHBand="0" w:noVBand="0"/>
      </w:tblPr>
      <w:tblGrid>
        <w:gridCol w:w="5654"/>
        <w:gridCol w:w="3416"/>
      </w:tblGrid>
      <w:tr w:rsidR="003438A2" w:rsidRPr="00511428" w14:paraId="2821C076" w14:textId="77777777" w:rsidTr="00557E08">
        <w:tc>
          <w:tcPr>
            <w:tcW w:w="3117" w:type="pct"/>
            <w:tcBorders>
              <w:top w:val="single" w:sz="4" w:space="0" w:color="auto"/>
              <w:bottom w:val="single" w:sz="4" w:space="0" w:color="auto"/>
            </w:tcBorders>
            <w:shd w:val="clear" w:color="auto" w:fill="auto"/>
          </w:tcPr>
          <w:p w14:paraId="7C1E0B14" w14:textId="77777777" w:rsidR="003438A2" w:rsidRPr="00511428" w:rsidRDefault="003438A2" w:rsidP="00EF0A05">
            <w:pPr>
              <w:pStyle w:val="TableHeading"/>
            </w:pPr>
            <w:r w:rsidRPr="00511428">
              <w:t xml:space="preserve">Risk component </w:t>
            </w:r>
          </w:p>
        </w:tc>
        <w:tc>
          <w:tcPr>
            <w:tcW w:w="1883" w:type="pct"/>
            <w:tcBorders>
              <w:top w:val="single" w:sz="4" w:space="0" w:color="auto"/>
              <w:bottom w:val="single" w:sz="4" w:space="0" w:color="auto"/>
            </w:tcBorders>
            <w:shd w:val="clear" w:color="auto" w:fill="auto"/>
          </w:tcPr>
          <w:p w14:paraId="279C0969" w14:textId="77777777" w:rsidR="003438A2" w:rsidRPr="00511428" w:rsidRDefault="003438A2" w:rsidP="00EF0A05">
            <w:pPr>
              <w:pStyle w:val="TableHeading"/>
            </w:pPr>
            <w:r w:rsidRPr="00511428">
              <w:t>Rating for quarantine thrips</w:t>
            </w:r>
          </w:p>
        </w:tc>
      </w:tr>
      <w:tr w:rsidR="003438A2" w:rsidRPr="00511428" w14:paraId="50187ABE" w14:textId="77777777" w:rsidTr="00557E08">
        <w:tc>
          <w:tcPr>
            <w:tcW w:w="3117" w:type="pct"/>
            <w:tcBorders>
              <w:top w:val="single" w:sz="4" w:space="0" w:color="auto"/>
            </w:tcBorders>
            <w:shd w:val="clear" w:color="auto" w:fill="auto"/>
          </w:tcPr>
          <w:p w14:paraId="31E13500" w14:textId="77777777" w:rsidR="003438A2" w:rsidRPr="00511428" w:rsidRDefault="003438A2" w:rsidP="00EF0A05">
            <w:pPr>
              <w:pStyle w:val="TableText"/>
            </w:pPr>
            <w:r w:rsidRPr="00511428">
              <w:t>Likelihood of entry</w:t>
            </w:r>
            <w:r>
              <w:t xml:space="preserve"> </w:t>
            </w:r>
            <w:r w:rsidRPr="00511428">
              <w:t>(importation x distribution)</w:t>
            </w:r>
          </w:p>
        </w:tc>
        <w:tc>
          <w:tcPr>
            <w:tcW w:w="1883" w:type="pct"/>
            <w:tcBorders>
              <w:top w:val="single" w:sz="4" w:space="0" w:color="auto"/>
            </w:tcBorders>
            <w:shd w:val="clear" w:color="auto" w:fill="auto"/>
          </w:tcPr>
          <w:p w14:paraId="27BB1B71" w14:textId="77777777" w:rsidR="003438A2" w:rsidRPr="00511428" w:rsidRDefault="003438A2" w:rsidP="00EF0A05">
            <w:pPr>
              <w:pStyle w:val="TableText"/>
            </w:pPr>
            <w:r w:rsidRPr="00511428">
              <w:t>Moderate (High x Moderate)</w:t>
            </w:r>
          </w:p>
        </w:tc>
      </w:tr>
      <w:tr w:rsidR="003438A2" w:rsidRPr="00511428" w14:paraId="7B48742D" w14:textId="77777777" w:rsidTr="00EF0A05">
        <w:tc>
          <w:tcPr>
            <w:tcW w:w="3117" w:type="pct"/>
            <w:shd w:val="clear" w:color="auto" w:fill="auto"/>
          </w:tcPr>
          <w:p w14:paraId="5629A9CF" w14:textId="77777777" w:rsidR="003438A2" w:rsidRPr="00511428" w:rsidRDefault="003438A2" w:rsidP="00EF0A05">
            <w:pPr>
              <w:pStyle w:val="TableText"/>
            </w:pPr>
            <w:r w:rsidRPr="00511428">
              <w:t>Likelihood of establishment</w:t>
            </w:r>
          </w:p>
        </w:tc>
        <w:tc>
          <w:tcPr>
            <w:tcW w:w="1883" w:type="pct"/>
            <w:shd w:val="clear" w:color="auto" w:fill="auto"/>
          </w:tcPr>
          <w:p w14:paraId="17643B6D" w14:textId="77777777" w:rsidR="003438A2" w:rsidRPr="00511428" w:rsidRDefault="003438A2" w:rsidP="00EF0A05">
            <w:pPr>
              <w:pStyle w:val="TableText"/>
            </w:pPr>
            <w:r w:rsidRPr="00511428">
              <w:t>High</w:t>
            </w:r>
          </w:p>
        </w:tc>
      </w:tr>
      <w:tr w:rsidR="003438A2" w:rsidRPr="00511428" w14:paraId="0C94E12C" w14:textId="77777777" w:rsidTr="00EF0A05">
        <w:tc>
          <w:tcPr>
            <w:tcW w:w="3117" w:type="pct"/>
            <w:shd w:val="clear" w:color="auto" w:fill="auto"/>
          </w:tcPr>
          <w:p w14:paraId="259DC94D" w14:textId="77777777" w:rsidR="003438A2" w:rsidRPr="00511428" w:rsidRDefault="003438A2" w:rsidP="00EF0A05">
            <w:pPr>
              <w:pStyle w:val="TableText"/>
            </w:pPr>
            <w:r w:rsidRPr="00511428">
              <w:t>Likelihood of spread</w:t>
            </w:r>
          </w:p>
        </w:tc>
        <w:tc>
          <w:tcPr>
            <w:tcW w:w="1883" w:type="pct"/>
            <w:shd w:val="clear" w:color="auto" w:fill="auto"/>
          </w:tcPr>
          <w:p w14:paraId="314058A1" w14:textId="77777777" w:rsidR="003438A2" w:rsidRPr="00511428" w:rsidRDefault="003438A2" w:rsidP="00EF0A05">
            <w:pPr>
              <w:pStyle w:val="TableText"/>
            </w:pPr>
            <w:r w:rsidRPr="00511428">
              <w:t>High</w:t>
            </w:r>
          </w:p>
        </w:tc>
      </w:tr>
      <w:tr w:rsidR="003438A2" w:rsidRPr="00511428" w14:paraId="2A5FD8CF" w14:textId="77777777" w:rsidTr="00EF0A05">
        <w:tc>
          <w:tcPr>
            <w:tcW w:w="3117" w:type="pct"/>
            <w:shd w:val="clear" w:color="auto" w:fill="auto"/>
            <w:hideMark/>
          </w:tcPr>
          <w:p w14:paraId="468F0FCE" w14:textId="77777777" w:rsidR="003438A2" w:rsidRPr="00511428" w:rsidRDefault="003438A2" w:rsidP="00EF0A05">
            <w:pPr>
              <w:pStyle w:val="TableText"/>
            </w:pPr>
            <w:r w:rsidRPr="00511428">
              <w:t xml:space="preserve">Overall likelihood of entry, establishment and spread </w:t>
            </w:r>
          </w:p>
        </w:tc>
        <w:tc>
          <w:tcPr>
            <w:tcW w:w="1883" w:type="pct"/>
            <w:shd w:val="clear" w:color="auto" w:fill="auto"/>
            <w:hideMark/>
          </w:tcPr>
          <w:p w14:paraId="795E1BDD" w14:textId="77777777" w:rsidR="003438A2" w:rsidRPr="00511428" w:rsidRDefault="003438A2" w:rsidP="00EF0A05">
            <w:pPr>
              <w:pStyle w:val="TableText"/>
            </w:pPr>
            <w:r w:rsidRPr="00511428">
              <w:t>Moderate</w:t>
            </w:r>
          </w:p>
        </w:tc>
      </w:tr>
      <w:tr w:rsidR="003438A2" w:rsidRPr="00511428" w14:paraId="159D78F9" w14:textId="77777777" w:rsidTr="00EF0A05">
        <w:tc>
          <w:tcPr>
            <w:tcW w:w="3117" w:type="pct"/>
            <w:shd w:val="clear" w:color="auto" w:fill="auto"/>
            <w:hideMark/>
          </w:tcPr>
          <w:p w14:paraId="3A0D49DA" w14:textId="77777777" w:rsidR="003438A2" w:rsidRPr="00511428" w:rsidRDefault="003438A2" w:rsidP="00EF0A05">
            <w:pPr>
              <w:pStyle w:val="TableText"/>
            </w:pPr>
            <w:r w:rsidRPr="00511428">
              <w:t xml:space="preserve">Consequences </w:t>
            </w:r>
          </w:p>
        </w:tc>
        <w:tc>
          <w:tcPr>
            <w:tcW w:w="1883" w:type="pct"/>
            <w:shd w:val="clear" w:color="auto" w:fill="auto"/>
            <w:hideMark/>
          </w:tcPr>
          <w:p w14:paraId="2AD70311" w14:textId="77777777" w:rsidR="003438A2" w:rsidRPr="00511428" w:rsidRDefault="003438A2" w:rsidP="00EF0A05">
            <w:pPr>
              <w:pStyle w:val="TableText"/>
            </w:pPr>
            <w:r w:rsidRPr="00511428">
              <w:t>Low</w:t>
            </w:r>
          </w:p>
        </w:tc>
      </w:tr>
      <w:tr w:rsidR="003438A2" w:rsidRPr="00BE12C4" w14:paraId="541EE1BA" w14:textId="77777777" w:rsidTr="00EF0A05">
        <w:tc>
          <w:tcPr>
            <w:tcW w:w="3117" w:type="pct"/>
            <w:tcBorders>
              <w:bottom w:val="single" w:sz="4" w:space="0" w:color="auto"/>
            </w:tcBorders>
            <w:shd w:val="clear" w:color="auto" w:fill="auto"/>
            <w:hideMark/>
          </w:tcPr>
          <w:p w14:paraId="55369B1C" w14:textId="77777777" w:rsidR="003438A2" w:rsidRPr="00BE12C4" w:rsidRDefault="003438A2" w:rsidP="00EF0A05">
            <w:pPr>
              <w:pStyle w:val="TableText"/>
              <w:rPr>
                <w:b/>
              </w:rPr>
            </w:pPr>
            <w:r w:rsidRPr="00BE12C4">
              <w:rPr>
                <w:b/>
              </w:rPr>
              <w:t xml:space="preserve">Unrestricted risk </w:t>
            </w:r>
          </w:p>
        </w:tc>
        <w:tc>
          <w:tcPr>
            <w:tcW w:w="1883" w:type="pct"/>
            <w:tcBorders>
              <w:bottom w:val="single" w:sz="4" w:space="0" w:color="auto"/>
            </w:tcBorders>
            <w:shd w:val="clear" w:color="auto" w:fill="auto"/>
            <w:hideMark/>
          </w:tcPr>
          <w:p w14:paraId="2AE952EC" w14:textId="77777777" w:rsidR="003438A2" w:rsidRPr="00BE12C4" w:rsidRDefault="003438A2" w:rsidP="00EF0A05">
            <w:pPr>
              <w:pStyle w:val="TableText"/>
              <w:rPr>
                <w:b/>
              </w:rPr>
            </w:pPr>
            <w:r w:rsidRPr="00BE12C4">
              <w:rPr>
                <w:b/>
              </w:rPr>
              <w:t>Low</w:t>
            </w:r>
          </w:p>
        </w:tc>
      </w:tr>
    </w:tbl>
    <w:p w14:paraId="3FC68D0A" w14:textId="77777777" w:rsidR="003438A2" w:rsidRPr="00B351FF" w:rsidRDefault="003438A2" w:rsidP="00C67856">
      <w:pPr>
        <w:spacing w:before="240"/>
        <w:rPr>
          <w:strike/>
        </w:rPr>
      </w:pPr>
      <w:r>
        <w:t>A</w:t>
      </w:r>
      <w:r w:rsidRPr="009B5D3B">
        <w:t xml:space="preserve">s assessed in the thrips </w:t>
      </w:r>
      <w:r>
        <w:t>G</w:t>
      </w:r>
      <w:r w:rsidRPr="009B5D3B">
        <w:t>roup PRA</w:t>
      </w:r>
      <w:r>
        <w:t xml:space="preserve">, the indicative </w:t>
      </w:r>
      <w:r w:rsidRPr="009B5D3B">
        <w:t>unrestricted risk estimate for thrips is Low</w:t>
      </w:r>
      <w:r>
        <w:t xml:space="preserve"> (</w:t>
      </w:r>
      <w:r>
        <w:fldChar w:fldCharType="begin" w:fldLock="1"/>
      </w:r>
      <w:r>
        <w:instrText xml:space="preserve"> REF _Ref89628829 \h </w:instrText>
      </w:r>
      <w:r>
        <w:fldChar w:fldCharType="separate"/>
      </w:r>
      <w:r>
        <w:t xml:space="preserve">Table </w:t>
      </w:r>
      <w:r>
        <w:rPr>
          <w:noProof/>
        </w:rPr>
        <w:t>4</w:t>
      </w:r>
      <w:r>
        <w:t>.</w:t>
      </w:r>
      <w:r>
        <w:rPr>
          <w:noProof/>
        </w:rPr>
        <w:t>6</w:t>
      </w:r>
      <w:r>
        <w:fldChar w:fldCharType="end"/>
      </w:r>
      <w:r>
        <w:t xml:space="preserve">), </w:t>
      </w:r>
      <w:r w:rsidRPr="009B5D3B">
        <w:t>which does not achieve the ALOP for Australia</w:t>
      </w:r>
      <w:r>
        <w:t>.</w:t>
      </w:r>
      <w:r w:rsidRPr="009B5D3B">
        <w:t xml:space="preserve"> </w:t>
      </w:r>
    </w:p>
    <w:p w14:paraId="3F1D84C3" w14:textId="77777777" w:rsidR="003438A2" w:rsidRPr="00FE07F1" w:rsidRDefault="003438A2" w:rsidP="00C67856">
      <w:pPr>
        <w:spacing w:before="240"/>
      </w:pPr>
      <w:r w:rsidRPr="00507C4B">
        <w:lastRenderedPageBreak/>
        <w:t>This indicative unrestricted risk estimate is considered to be applicable for the quarantine thrips species present on the fresh apple fruit from PNW-USA pathway.</w:t>
      </w:r>
      <w:r>
        <w:t xml:space="preserve"> Therefore, specific risk </w:t>
      </w:r>
      <w:r w:rsidRPr="00FE07F1">
        <w:t>management measures are required for quarantine thrips on the PNW-USA apple pathway.</w:t>
      </w:r>
    </w:p>
    <w:p w14:paraId="6A7AF54B" w14:textId="77777777" w:rsidR="003438A2" w:rsidRPr="00D35591" w:rsidRDefault="003438A2" w:rsidP="00C67856">
      <w:pPr>
        <w:spacing w:before="240"/>
      </w:pPr>
      <w:r w:rsidRPr="00FE07F1">
        <w:t xml:space="preserve">As </w:t>
      </w:r>
      <w:r w:rsidRPr="00FE07F1">
        <w:rPr>
          <w:i/>
          <w:iCs/>
        </w:rPr>
        <w:t>F. occidentalis</w:t>
      </w:r>
      <w:r w:rsidRPr="00FE07F1">
        <w:t xml:space="preserve"> can vector orthotospoviruses that are quarantine pests for Australia, a </w:t>
      </w:r>
      <w:r w:rsidRPr="00D35591">
        <w:t xml:space="preserve">summary of the risk assessment for quarantine orthotospoviruses transmitted by thrips is presented in </w:t>
      </w:r>
      <w:r>
        <w:fldChar w:fldCharType="begin" w:fldLock="1"/>
      </w:r>
      <w:r>
        <w:instrText xml:space="preserve"> REF _Ref45009451 \h </w:instrText>
      </w:r>
      <w:r>
        <w:fldChar w:fldCharType="separate"/>
      </w:r>
      <w:r>
        <w:t xml:space="preserve">Table </w:t>
      </w:r>
      <w:r>
        <w:rPr>
          <w:noProof/>
        </w:rPr>
        <w:t>4</w:t>
      </w:r>
      <w:r>
        <w:t>.</w:t>
      </w:r>
      <w:r>
        <w:rPr>
          <w:noProof/>
        </w:rPr>
        <w:t>7</w:t>
      </w:r>
      <w:r>
        <w:fldChar w:fldCharType="end"/>
      </w:r>
      <w:r>
        <w:t xml:space="preserve"> </w:t>
      </w:r>
      <w:r w:rsidRPr="00D35591">
        <w:t>for convenience.</w:t>
      </w:r>
    </w:p>
    <w:p w14:paraId="0A2130E4" w14:textId="77777777" w:rsidR="003438A2" w:rsidRPr="00D35591" w:rsidRDefault="003438A2" w:rsidP="00C67856">
      <w:pPr>
        <w:pStyle w:val="Caption"/>
      </w:pPr>
      <w:bookmarkStart w:id="323" w:name="_Ref45009451"/>
      <w:bookmarkStart w:id="324" w:name="_Toc524599158"/>
      <w:bookmarkStart w:id="325" w:name="_Ref9584665"/>
      <w:bookmarkStart w:id="326" w:name="_Toc112770168"/>
      <w:r>
        <w:t xml:space="preserve">Table </w:t>
      </w:r>
      <w:fldSimple w:instr=" STYLEREF 2 \s " w:fldLock="1">
        <w:r>
          <w:rPr>
            <w:noProof/>
          </w:rPr>
          <w:t>4</w:t>
        </w:r>
      </w:fldSimple>
      <w:r>
        <w:t>.</w:t>
      </w:r>
      <w:fldSimple w:instr=" SEQ Table \* ARABIC \s 2 " w:fldLock="1">
        <w:r>
          <w:rPr>
            <w:noProof/>
          </w:rPr>
          <w:t>7</w:t>
        </w:r>
      </w:fldSimple>
      <w:bookmarkEnd w:id="323"/>
      <w:r w:rsidRPr="00D35591">
        <w:t xml:space="preserve"> Risk estimates for emerging quarantine orthotospoviruses vectored by regulated thrips</w:t>
      </w:r>
      <w:bookmarkEnd w:id="324"/>
      <w:bookmarkEnd w:id="325"/>
      <w:bookmarkEnd w:id="326"/>
    </w:p>
    <w:tbl>
      <w:tblPr>
        <w:tblW w:w="5000" w:type="pct"/>
        <w:tblLook w:val="01E0" w:firstRow="1" w:lastRow="1" w:firstColumn="1" w:lastColumn="1" w:noHBand="0" w:noVBand="0"/>
      </w:tblPr>
      <w:tblGrid>
        <w:gridCol w:w="5388"/>
        <w:gridCol w:w="3682"/>
      </w:tblGrid>
      <w:tr w:rsidR="003438A2" w:rsidRPr="003A5B91" w14:paraId="09719726" w14:textId="77777777" w:rsidTr="00557E08">
        <w:tc>
          <w:tcPr>
            <w:tcW w:w="2970" w:type="pct"/>
            <w:tcBorders>
              <w:top w:val="single" w:sz="4" w:space="0" w:color="auto"/>
              <w:bottom w:val="single" w:sz="4" w:space="0" w:color="auto"/>
            </w:tcBorders>
            <w:shd w:val="clear" w:color="auto" w:fill="auto"/>
          </w:tcPr>
          <w:p w14:paraId="365D4ADC" w14:textId="77777777" w:rsidR="003438A2" w:rsidRPr="00D35591" w:rsidRDefault="003438A2" w:rsidP="00EF0A05">
            <w:pPr>
              <w:pStyle w:val="TableHeading"/>
            </w:pPr>
            <w:r w:rsidRPr="00D35591">
              <w:t xml:space="preserve">Risk component </w:t>
            </w:r>
          </w:p>
        </w:tc>
        <w:tc>
          <w:tcPr>
            <w:tcW w:w="2030" w:type="pct"/>
            <w:tcBorders>
              <w:top w:val="single" w:sz="4" w:space="0" w:color="auto"/>
              <w:bottom w:val="single" w:sz="4" w:space="0" w:color="auto"/>
            </w:tcBorders>
            <w:shd w:val="clear" w:color="auto" w:fill="auto"/>
          </w:tcPr>
          <w:p w14:paraId="340D9DF5" w14:textId="77777777" w:rsidR="003438A2" w:rsidRPr="003A5B91" w:rsidRDefault="003438A2" w:rsidP="00EF0A05">
            <w:pPr>
              <w:pStyle w:val="TableHeading"/>
            </w:pPr>
            <w:r w:rsidRPr="00D35591">
              <w:t>Rating for emerging quarantine orthotospoviruses (a)</w:t>
            </w:r>
          </w:p>
        </w:tc>
      </w:tr>
      <w:tr w:rsidR="003438A2" w:rsidRPr="003A5B91" w14:paraId="3BE2B585" w14:textId="77777777" w:rsidTr="00557E08">
        <w:tc>
          <w:tcPr>
            <w:tcW w:w="2970" w:type="pct"/>
            <w:tcBorders>
              <w:top w:val="single" w:sz="4" w:space="0" w:color="auto"/>
            </w:tcBorders>
            <w:shd w:val="clear" w:color="auto" w:fill="auto"/>
          </w:tcPr>
          <w:p w14:paraId="65C049CB" w14:textId="77777777" w:rsidR="003438A2" w:rsidRPr="003A5B91" w:rsidRDefault="003438A2" w:rsidP="00EF0A05">
            <w:pPr>
              <w:pStyle w:val="TableText"/>
              <w:keepNext/>
            </w:pPr>
            <w:r w:rsidRPr="003A5B91">
              <w:t>Likelihood of entry (importation x distribution)</w:t>
            </w:r>
          </w:p>
        </w:tc>
        <w:tc>
          <w:tcPr>
            <w:tcW w:w="2030" w:type="pct"/>
            <w:tcBorders>
              <w:top w:val="single" w:sz="4" w:space="0" w:color="auto"/>
            </w:tcBorders>
            <w:shd w:val="clear" w:color="auto" w:fill="auto"/>
          </w:tcPr>
          <w:p w14:paraId="1CDBEB68" w14:textId="77777777" w:rsidR="003438A2" w:rsidRPr="003A5B91" w:rsidRDefault="003438A2" w:rsidP="00EF0A05">
            <w:pPr>
              <w:pStyle w:val="TableText"/>
              <w:keepNext/>
            </w:pPr>
            <w:r w:rsidRPr="003A5B91">
              <w:t>Low (Moderate x Moderate)</w:t>
            </w:r>
          </w:p>
        </w:tc>
      </w:tr>
      <w:tr w:rsidR="003438A2" w:rsidRPr="003A5B91" w14:paraId="233788C8" w14:textId="77777777" w:rsidTr="00EF0A05">
        <w:tc>
          <w:tcPr>
            <w:tcW w:w="2970" w:type="pct"/>
            <w:shd w:val="clear" w:color="auto" w:fill="auto"/>
          </w:tcPr>
          <w:p w14:paraId="035A86C3" w14:textId="77777777" w:rsidR="003438A2" w:rsidRPr="003A5B91" w:rsidRDefault="003438A2" w:rsidP="00EF0A05">
            <w:pPr>
              <w:pStyle w:val="TableText"/>
              <w:keepNext/>
            </w:pPr>
            <w:r w:rsidRPr="003A5B91">
              <w:t>Likelihood of establishment</w:t>
            </w:r>
          </w:p>
        </w:tc>
        <w:tc>
          <w:tcPr>
            <w:tcW w:w="2030" w:type="pct"/>
            <w:shd w:val="clear" w:color="auto" w:fill="auto"/>
          </w:tcPr>
          <w:p w14:paraId="42F09957" w14:textId="77777777" w:rsidR="003438A2" w:rsidRPr="003A5B91" w:rsidRDefault="003438A2" w:rsidP="00EF0A05">
            <w:pPr>
              <w:pStyle w:val="TableText"/>
              <w:keepNext/>
            </w:pPr>
            <w:r w:rsidRPr="003A5B91">
              <w:t>Moderate</w:t>
            </w:r>
          </w:p>
        </w:tc>
      </w:tr>
      <w:tr w:rsidR="003438A2" w:rsidRPr="003A5B91" w14:paraId="494DF208" w14:textId="77777777" w:rsidTr="00EF0A05">
        <w:tc>
          <w:tcPr>
            <w:tcW w:w="2970" w:type="pct"/>
            <w:shd w:val="clear" w:color="auto" w:fill="auto"/>
          </w:tcPr>
          <w:p w14:paraId="248722E5" w14:textId="77777777" w:rsidR="003438A2" w:rsidRPr="003A5B91" w:rsidRDefault="003438A2" w:rsidP="00EF0A05">
            <w:pPr>
              <w:pStyle w:val="TableText"/>
              <w:keepNext/>
            </w:pPr>
            <w:r w:rsidRPr="003A5B91">
              <w:t>Likelihood of spread</w:t>
            </w:r>
          </w:p>
        </w:tc>
        <w:tc>
          <w:tcPr>
            <w:tcW w:w="2030" w:type="pct"/>
            <w:shd w:val="clear" w:color="auto" w:fill="auto"/>
          </w:tcPr>
          <w:p w14:paraId="6F52748B" w14:textId="77777777" w:rsidR="003438A2" w:rsidRPr="003A5B91" w:rsidRDefault="003438A2" w:rsidP="00EF0A05">
            <w:pPr>
              <w:pStyle w:val="TableText"/>
              <w:keepNext/>
            </w:pPr>
            <w:r w:rsidRPr="003A5B91">
              <w:t>High</w:t>
            </w:r>
          </w:p>
        </w:tc>
      </w:tr>
      <w:tr w:rsidR="003438A2" w:rsidRPr="003A5B91" w14:paraId="458CE0D5" w14:textId="77777777" w:rsidTr="00EF0A05">
        <w:tc>
          <w:tcPr>
            <w:tcW w:w="2970" w:type="pct"/>
            <w:shd w:val="clear" w:color="auto" w:fill="auto"/>
            <w:hideMark/>
          </w:tcPr>
          <w:p w14:paraId="4E4AE85C" w14:textId="77777777" w:rsidR="003438A2" w:rsidRPr="003A5B91" w:rsidRDefault="003438A2" w:rsidP="00EF0A05">
            <w:pPr>
              <w:pStyle w:val="TableText"/>
              <w:keepNext/>
            </w:pPr>
            <w:r w:rsidRPr="003A5B91">
              <w:t xml:space="preserve">Overall likelihood of entry, establishment and spread </w:t>
            </w:r>
          </w:p>
        </w:tc>
        <w:tc>
          <w:tcPr>
            <w:tcW w:w="2030" w:type="pct"/>
            <w:shd w:val="clear" w:color="auto" w:fill="auto"/>
          </w:tcPr>
          <w:p w14:paraId="2AC0E7E4" w14:textId="77777777" w:rsidR="003438A2" w:rsidRPr="003A5B91" w:rsidRDefault="003438A2" w:rsidP="00EF0A05">
            <w:pPr>
              <w:pStyle w:val="TableText"/>
              <w:keepNext/>
            </w:pPr>
            <w:r w:rsidRPr="003A5B91">
              <w:t>Low</w:t>
            </w:r>
          </w:p>
        </w:tc>
      </w:tr>
      <w:tr w:rsidR="003438A2" w:rsidRPr="003A5B91" w14:paraId="4E1679CB" w14:textId="77777777" w:rsidTr="00EF0A05">
        <w:tc>
          <w:tcPr>
            <w:tcW w:w="2970" w:type="pct"/>
            <w:shd w:val="clear" w:color="auto" w:fill="auto"/>
            <w:hideMark/>
          </w:tcPr>
          <w:p w14:paraId="489A1E66" w14:textId="77777777" w:rsidR="003438A2" w:rsidRPr="003A5B91" w:rsidRDefault="003438A2" w:rsidP="00EF0A05">
            <w:pPr>
              <w:pStyle w:val="TableText"/>
              <w:keepNext/>
            </w:pPr>
            <w:r w:rsidRPr="003A5B91">
              <w:t xml:space="preserve">Consequences </w:t>
            </w:r>
          </w:p>
        </w:tc>
        <w:tc>
          <w:tcPr>
            <w:tcW w:w="2030" w:type="pct"/>
            <w:shd w:val="clear" w:color="auto" w:fill="auto"/>
          </w:tcPr>
          <w:p w14:paraId="5B8D12C8" w14:textId="77777777" w:rsidR="003438A2" w:rsidRPr="003A5B91" w:rsidRDefault="003438A2" w:rsidP="00EF0A05">
            <w:pPr>
              <w:pStyle w:val="TableText"/>
              <w:keepNext/>
            </w:pPr>
            <w:r w:rsidRPr="003A5B91">
              <w:t>Moderate</w:t>
            </w:r>
          </w:p>
        </w:tc>
      </w:tr>
      <w:tr w:rsidR="003438A2" w:rsidRPr="003A5B91" w14:paraId="0F1BC15E" w14:textId="77777777" w:rsidTr="00EF0A05">
        <w:tc>
          <w:tcPr>
            <w:tcW w:w="2970" w:type="pct"/>
            <w:tcBorders>
              <w:bottom w:val="single" w:sz="4" w:space="0" w:color="auto"/>
            </w:tcBorders>
            <w:shd w:val="clear" w:color="auto" w:fill="auto"/>
            <w:hideMark/>
          </w:tcPr>
          <w:p w14:paraId="4F4B333E" w14:textId="77777777" w:rsidR="003438A2" w:rsidRPr="003A5B91" w:rsidRDefault="003438A2" w:rsidP="00EF0A05">
            <w:pPr>
              <w:pStyle w:val="TableHeading"/>
            </w:pPr>
            <w:r w:rsidRPr="003A5B91">
              <w:t>Unrestricted risk</w:t>
            </w:r>
          </w:p>
        </w:tc>
        <w:tc>
          <w:tcPr>
            <w:tcW w:w="2030" w:type="pct"/>
            <w:tcBorders>
              <w:bottom w:val="single" w:sz="4" w:space="0" w:color="auto"/>
            </w:tcBorders>
            <w:shd w:val="clear" w:color="auto" w:fill="auto"/>
          </w:tcPr>
          <w:p w14:paraId="12F9AAD7" w14:textId="77777777" w:rsidR="003438A2" w:rsidRPr="003A5B91" w:rsidRDefault="003438A2" w:rsidP="00EF0A05">
            <w:pPr>
              <w:pStyle w:val="TableHeading"/>
            </w:pPr>
            <w:r w:rsidRPr="003A5B91">
              <w:t>Low</w:t>
            </w:r>
          </w:p>
        </w:tc>
      </w:tr>
    </w:tbl>
    <w:p w14:paraId="36D5DCA9" w14:textId="77777777" w:rsidR="003438A2" w:rsidRPr="009B653E" w:rsidRDefault="003438A2" w:rsidP="00C67856">
      <w:pPr>
        <w:pStyle w:val="FigureTableNoteSource"/>
        <w:rPr>
          <w:b/>
          <w:bCs/>
        </w:rPr>
      </w:pPr>
      <w:r w:rsidRPr="005B53AE">
        <w:rPr>
          <w:b/>
        </w:rPr>
        <w:t>(a):</w:t>
      </w:r>
      <w:r w:rsidRPr="005B53AE">
        <w:t xml:space="preserve"> </w:t>
      </w:r>
      <w:r w:rsidRPr="00945121">
        <w:t xml:space="preserve">Risk estimates for orthotospoviruses adopted from the thrips Group PRA </w:t>
      </w:r>
      <w:r w:rsidRPr="00945121">
        <w:rPr>
          <w:noProof/>
        </w:rPr>
        <w:t>(DAWR 2017a)</w:t>
      </w:r>
      <w:r w:rsidRPr="00945121">
        <w:t>.</w:t>
      </w:r>
    </w:p>
    <w:p w14:paraId="457F0AFF" w14:textId="77777777" w:rsidR="003438A2" w:rsidRPr="00945121" w:rsidRDefault="003438A2" w:rsidP="00C67856">
      <w:pPr>
        <w:spacing w:before="240"/>
      </w:pPr>
      <w:r w:rsidRPr="00945121">
        <w:t>As assessed in the thrips Group PRA, the U</w:t>
      </w:r>
      <w:r>
        <w:t>nrestricted Risk Estimate</w:t>
      </w:r>
      <w:r w:rsidRPr="00945121">
        <w:t xml:space="preserve"> for emerging quarantine orthotospoviruses transmitted by regulated thrips is Low (</w:t>
      </w:r>
      <w:r>
        <w:fldChar w:fldCharType="begin" w:fldLock="1"/>
      </w:r>
      <w:r>
        <w:instrText xml:space="preserve"> REF _Ref45009451 \h </w:instrText>
      </w:r>
      <w:r>
        <w:fldChar w:fldCharType="separate"/>
      </w:r>
      <w:r>
        <w:t xml:space="preserve">Table </w:t>
      </w:r>
      <w:r>
        <w:rPr>
          <w:noProof/>
        </w:rPr>
        <w:t>4</w:t>
      </w:r>
      <w:r>
        <w:t>.</w:t>
      </w:r>
      <w:r>
        <w:rPr>
          <w:noProof/>
        </w:rPr>
        <w:t>7</w:t>
      </w:r>
      <w:r>
        <w:fldChar w:fldCharType="end"/>
      </w:r>
      <w:r w:rsidRPr="00945121">
        <w:t>), which does not achieve the ALOP for Australia.</w:t>
      </w:r>
    </w:p>
    <w:p w14:paraId="35D5BD0B" w14:textId="77777777" w:rsidR="003438A2" w:rsidRDefault="003438A2" w:rsidP="00C67856">
      <w:pPr>
        <w:spacing w:before="240"/>
      </w:pPr>
      <w:r w:rsidRPr="00A759D6">
        <w:t xml:space="preserve">This </w:t>
      </w:r>
      <w:r w:rsidRPr="00945121">
        <w:t>U</w:t>
      </w:r>
      <w:r>
        <w:t xml:space="preserve">nrestricted Risk Estimate </w:t>
      </w:r>
      <w:r w:rsidRPr="00A759D6">
        <w:t xml:space="preserve">is considered to be applicable for the emerging orthotospoviruses known to be vectored by </w:t>
      </w:r>
      <w:r w:rsidRPr="008E6BB1">
        <w:rPr>
          <w:i/>
          <w:iCs/>
        </w:rPr>
        <w:t xml:space="preserve">F. occidentalis </w:t>
      </w:r>
      <w:r w:rsidRPr="00A759D6">
        <w:t xml:space="preserve">present on </w:t>
      </w:r>
      <w:r>
        <w:t>the PNW-USA</w:t>
      </w:r>
      <w:r w:rsidRPr="00A759D6">
        <w:t xml:space="preserve"> </w:t>
      </w:r>
      <w:r>
        <w:t xml:space="preserve">apple </w:t>
      </w:r>
      <w:r w:rsidRPr="00A759D6">
        <w:t xml:space="preserve">pathway. Therefore, specific risk management measures are required for </w:t>
      </w:r>
      <w:r>
        <w:t xml:space="preserve">this </w:t>
      </w:r>
      <w:r w:rsidRPr="00A759D6">
        <w:t>regulated thrips to mitigate the risk</w:t>
      </w:r>
      <w:r>
        <w:t>s</w:t>
      </w:r>
      <w:r w:rsidRPr="00A759D6">
        <w:t xml:space="preserve"> posed by emerging quarantine orthotospoviruses.</w:t>
      </w:r>
    </w:p>
    <w:p w14:paraId="63C211C1" w14:textId="77777777" w:rsidR="003438A2" w:rsidRPr="00641B0B" w:rsidRDefault="003438A2" w:rsidP="00C67856">
      <w:pPr>
        <w:spacing w:before="240"/>
      </w:pPr>
      <w:r>
        <w:t xml:space="preserve">This risk assessment, which is based on the thrips Group PRA, applies to all phytophagous quarantine </w:t>
      </w:r>
      <w:r w:rsidRPr="002C5105">
        <w:t>thrips and regulated thrips</w:t>
      </w:r>
      <w:r>
        <w:t xml:space="preserve"> on the PNW-USA apple pathway, irrespective of the species identification in this document. </w:t>
      </w:r>
      <w:r w:rsidRPr="00641B0B">
        <w:t xml:space="preserve">This is explained in Section </w:t>
      </w:r>
      <w:r>
        <w:fldChar w:fldCharType="begin" w:fldLock="1"/>
      </w:r>
      <w:r>
        <w:instrText xml:space="preserve"> REF _Ref523924658 \n \h </w:instrText>
      </w:r>
      <w:r>
        <w:fldChar w:fldCharType="separate"/>
      </w:r>
      <w:r>
        <w:t>2.2.7</w:t>
      </w:r>
      <w:r>
        <w:fldChar w:fldCharType="end"/>
      </w:r>
      <w:r w:rsidRPr="00641B0B">
        <w:t>.</w:t>
      </w:r>
    </w:p>
    <w:p w14:paraId="27301340" w14:textId="77777777" w:rsidR="003438A2" w:rsidRDefault="003438A2" w:rsidP="00C67856">
      <w:pPr>
        <w:spacing w:before="240"/>
      </w:pPr>
    </w:p>
    <w:p w14:paraId="7A5F3492" w14:textId="77777777" w:rsidR="003438A2" w:rsidRDefault="003438A2" w:rsidP="00C67856"/>
    <w:p w14:paraId="3170B954" w14:textId="77777777" w:rsidR="003438A2" w:rsidRDefault="003438A2" w:rsidP="00C67856"/>
    <w:p w14:paraId="4C82A1C2" w14:textId="77777777" w:rsidR="003438A2" w:rsidRDefault="003438A2" w:rsidP="00C67856">
      <w:pPr>
        <w:spacing w:after="0" w:line="240" w:lineRule="auto"/>
      </w:pPr>
      <w:r>
        <w:br w:type="page"/>
      </w:r>
    </w:p>
    <w:p w14:paraId="4A846BF0" w14:textId="77777777" w:rsidR="003438A2" w:rsidRPr="00A47E67" w:rsidRDefault="003438A2" w:rsidP="00F843A1">
      <w:pPr>
        <w:pStyle w:val="Heading3"/>
        <w:numPr>
          <w:ilvl w:val="1"/>
          <w:numId w:val="25"/>
        </w:numPr>
      </w:pPr>
      <w:bookmarkStart w:id="327" w:name="_Toc10009728"/>
      <w:bookmarkStart w:id="328" w:name="_Ref108445345"/>
      <w:bookmarkStart w:id="329" w:name="_Toc112769015"/>
      <w:bookmarkStart w:id="330" w:name="_Hlk82798461"/>
      <w:bookmarkStart w:id="331" w:name="_Hlk43806927"/>
      <w:bookmarkStart w:id="332" w:name="_Toc16000261"/>
      <w:bookmarkStart w:id="333" w:name="_Toc256600553"/>
      <w:bookmarkStart w:id="334" w:name="_Toc257729667"/>
      <w:bookmarkStart w:id="335" w:name="_Ref9585021"/>
      <w:bookmarkStart w:id="336" w:name="_Ref9585030"/>
      <w:bookmarkStart w:id="337" w:name="_Ref15897857"/>
      <w:bookmarkStart w:id="338" w:name="_Toc238278606"/>
      <w:r w:rsidRPr="00A47E67">
        <w:lastRenderedPageBreak/>
        <w:t>Fire blight</w:t>
      </w:r>
      <w:bookmarkEnd w:id="327"/>
      <w:bookmarkEnd w:id="328"/>
      <w:bookmarkEnd w:id="329"/>
    </w:p>
    <w:p w14:paraId="552DB592" w14:textId="77777777" w:rsidR="003438A2" w:rsidRPr="003844E5" w:rsidRDefault="003438A2" w:rsidP="00C67856">
      <w:pPr>
        <w:pStyle w:val="Heading4"/>
        <w:numPr>
          <w:ilvl w:val="0"/>
          <w:numId w:val="0"/>
        </w:numPr>
      </w:pPr>
      <w:r w:rsidRPr="0096672D">
        <w:rPr>
          <w:i/>
        </w:rPr>
        <w:t xml:space="preserve">Erwinia </w:t>
      </w:r>
      <w:r w:rsidRPr="00031D86">
        <w:rPr>
          <w:i/>
        </w:rPr>
        <w:t>amylovora</w:t>
      </w:r>
      <w:r w:rsidRPr="00031D86">
        <w:t xml:space="preserve"> (</w:t>
      </w:r>
      <w:r>
        <w:t>EP)</w:t>
      </w:r>
    </w:p>
    <w:p w14:paraId="559B84A5" w14:textId="77777777" w:rsidR="003438A2" w:rsidRPr="00CE2863" w:rsidRDefault="003438A2" w:rsidP="00C67856">
      <w:r w:rsidRPr="00C4393C">
        <w:t>Fire blight is a</w:t>
      </w:r>
      <w:r>
        <w:t xml:space="preserve"> </w:t>
      </w:r>
      <w:r w:rsidRPr="00C4393C">
        <w:t xml:space="preserve">bacterial disease of apple, pear and other rosaceous hosts caused by </w:t>
      </w:r>
      <w:r w:rsidRPr="00C4393C">
        <w:rPr>
          <w:i/>
        </w:rPr>
        <w:t>Erwinia</w:t>
      </w:r>
      <w:r>
        <w:rPr>
          <w:i/>
        </w:rPr>
        <w:t> </w:t>
      </w:r>
      <w:r w:rsidRPr="00C4393C">
        <w:rPr>
          <w:i/>
        </w:rPr>
        <w:t>amylovora</w:t>
      </w:r>
      <w:r>
        <w:t xml:space="preserve"> </w:t>
      </w:r>
      <w:r>
        <w:rPr>
          <w:noProof/>
        </w:rPr>
        <w:t>(Beer 1990; Dupont 2019c; Ordax et al. 2010a; Teviotdale 2011)</w:t>
      </w:r>
      <w:r>
        <w:rPr>
          <w:iCs/>
        </w:rPr>
        <w:t>,</w:t>
      </w:r>
      <w:r w:rsidRPr="00C4393C">
        <w:t xml:space="preserve"> </w:t>
      </w:r>
      <w:r>
        <w:t>which is a member of the order Enterobacterales</w:t>
      </w:r>
      <w:r w:rsidRPr="00CE2863">
        <w:t xml:space="preserve">. </w:t>
      </w:r>
      <w:r w:rsidRPr="00CE2863">
        <w:rPr>
          <w:i/>
        </w:rPr>
        <w:t>Erwinia amylovora</w:t>
      </w:r>
      <w:r w:rsidRPr="00CE2863">
        <w:t xml:space="preserve"> is considered to have originated on wild hosts such as hawthorn (</w:t>
      </w:r>
      <w:r w:rsidRPr="00CE2863">
        <w:rPr>
          <w:i/>
          <w:iCs/>
        </w:rPr>
        <w:t>Crataegus</w:t>
      </w:r>
      <w:r w:rsidRPr="00CE2863">
        <w:t xml:space="preserve"> spp.) in northeastern USA and then to have spread to apple and pear following their importation for cultivation </w:t>
      </w:r>
      <w:r w:rsidRPr="00CE2863">
        <w:rPr>
          <w:noProof/>
        </w:rPr>
        <w:t>(Van der Zwet &amp; Keil 1979)</w:t>
      </w:r>
      <w:r w:rsidRPr="00CE2863">
        <w:t>. Pear</w:t>
      </w:r>
      <w:r>
        <w:t>s</w:t>
      </w:r>
      <w:r w:rsidRPr="00CE2863">
        <w:t xml:space="preserve"> (</w:t>
      </w:r>
      <w:r w:rsidRPr="00CE2863">
        <w:rPr>
          <w:i/>
          <w:iCs/>
        </w:rPr>
        <w:t>Pyrus</w:t>
      </w:r>
      <w:r w:rsidRPr="00CE2863">
        <w:t xml:space="preserve"> spp.) are very susceptible to fire blight</w:t>
      </w:r>
      <w:r>
        <w:t xml:space="preserve"> </w:t>
      </w:r>
      <w:r>
        <w:rPr>
          <w:noProof/>
        </w:rPr>
        <w:t>(Teviotdale 2011)</w:t>
      </w:r>
      <w:r>
        <w:t xml:space="preserve">; </w:t>
      </w:r>
      <w:r w:rsidRPr="00CE2863">
        <w:t>apple</w:t>
      </w:r>
      <w:r>
        <w:t>s</w:t>
      </w:r>
      <w:r w:rsidRPr="00CE2863">
        <w:t xml:space="preserve"> (</w:t>
      </w:r>
      <w:r w:rsidRPr="00CE2863">
        <w:rPr>
          <w:i/>
          <w:iCs/>
        </w:rPr>
        <w:t>Malus</w:t>
      </w:r>
      <w:r w:rsidRPr="00CE2863">
        <w:t xml:space="preserve"> spp.) are less susceptible </w:t>
      </w:r>
      <w:r w:rsidRPr="00CE2863">
        <w:rPr>
          <w:noProof/>
        </w:rPr>
        <w:t>(Johnson 2014)</w:t>
      </w:r>
      <w:r w:rsidRPr="00CE2863">
        <w:t>. In addition to hawthorn, pear and apple, other</w:t>
      </w:r>
      <w:r>
        <w:t xml:space="preserve"> less</w:t>
      </w:r>
      <w:r w:rsidRPr="00CE2863">
        <w:t xml:space="preserve"> common hosts of this pathogen include </w:t>
      </w:r>
      <w:r w:rsidRPr="00CE2863">
        <w:rPr>
          <w:i/>
          <w:iCs/>
        </w:rPr>
        <w:t>Cydonia</w:t>
      </w:r>
      <w:r w:rsidRPr="00CE2863">
        <w:t xml:space="preserve"> spp. (quince), </w:t>
      </w:r>
      <w:r w:rsidRPr="00CE2863">
        <w:rPr>
          <w:i/>
          <w:iCs/>
        </w:rPr>
        <w:t>Eriobotrya japonica</w:t>
      </w:r>
      <w:r w:rsidRPr="00CE2863">
        <w:t xml:space="preserve"> (loquat), </w:t>
      </w:r>
      <w:r w:rsidRPr="00CE2863">
        <w:rPr>
          <w:i/>
          <w:iCs/>
        </w:rPr>
        <w:t>Cotoneaster</w:t>
      </w:r>
      <w:r w:rsidRPr="00CE2863">
        <w:t xml:space="preserve"> spp. (cotoneaster) and </w:t>
      </w:r>
      <w:r w:rsidRPr="00CE2863">
        <w:rPr>
          <w:i/>
          <w:iCs/>
        </w:rPr>
        <w:t>Pyracantha</w:t>
      </w:r>
      <w:r w:rsidRPr="00CE2863">
        <w:t xml:space="preserve"> spp. (firethorn) </w:t>
      </w:r>
      <w:r>
        <w:rPr>
          <w:noProof/>
        </w:rPr>
        <w:t>(Teviotdale)</w:t>
      </w:r>
      <w:r w:rsidRPr="00CE2863">
        <w:t>. These hosts all belong to the sub-family Maloideae of the family Rosaceae</w:t>
      </w:r>
      <w:r w:rsidRPr="00CE2863">
        <w:rPr>
          <w:rFonts w:eastAsia="Arial Unicode MS"/>
          <w:iCs/>
          <w:sz w:val="24"/>
          <w:szCs w:val="24"/>
        </w:rPr>
        <w:t>.</w:t>
      </w:r>
    </w:p>
    <w:p w14:paraId="4A3C8947" w14:textId="77777777" w:rsidR="003438A2" w:rsidRPr="00CE2863" w:rsidRDefault="003438A2" w:rsidP="00C67856">
      <w:r w:rsidRPr="00CE2863">
        <w:rPr>
          <w:i/>
        </w:rPr>
        <w:t>Erwinia amylovora</w:t>
      </w:r>
      <w:r w:rsidRPr="00CE2863">
        <w:t xml:space="preserve"> is present in all parts of the PNW-USA </w:t>
      </w:r>
      <w:r>
        <w:rPr>
          <w:noProof/>
        </w:rPr>
        <w:t>(Bonn &amp; Van der Zwet 2000; Dupont 2019c; Smith 1999)</w:t>
      </w:r>
      <w:r w:rsidRPr="00CE2863">
        <w:t>. The</w:t>
      </w:r>
      <w:r w:rsidRPr="008F49DF">
        <w:t xml:space="preserve"> pathogen overwinters almost exclusively in the </w:t>
      </w:r>
      <w:bookmarkStart w:id="339" w:name="_Hlk44594921"/>
      <w:r w:rsidRPr="008F49DF">
        <w:t>previous season’s cankers</w:t>
      </w:r>
      <w:r>
        <w:t>,</w:t>
      </w:r>
      <w:r w:rsidRPr="008F49DF">
        <w:t xml:space="preserve"> </w:t>
      </w:r>
      <w:r>
        <w:t xml:space="preserve">which are concentrated sites of infection in woody tissues of the host </w:t>
      </w:r>
      <w:r>
        <w:rPr>
          <w:noProof/>
        </w:rPr>
        <w:t>(Beer &amp; Norelli 1977; Dupont 2019c)</w:t>
      </w:r>
      <w:r>
        <w:t>. T</w:t>
      </w:r>
      <w:r w:rsidRPr="008F49DF">
        <w:t xml:space="preserve">he primary inoculum is produced mostly as </w:t>
      </w:r>
      <w:bookmarkEnd w:id="339"/>
      <w:r w:rsidRPr="008F49DF">
        <w:t>bacterial ooze on the surface of cankers</w:t>
      </w:r>
      <w:r>
        <w:t xml:space="preserve"> </w:t>
      </w:r>
      <w:r w:rsidRPr="00CE2863">
        <w:rPr>
          <w:noProof/>
        </w:rPr>
        <w:t>(Acimovic et al. 2019)</w:t>
      </w:r>
      <w:r w:rsidRPr="00CE2863">
        <w:t xml:space="preserve"> when the humidity is high, and enters a new host through natural openings (for example, stomata or floral nectaries) </w:t>
      </w:r>
      <w:r>
        <w:rPr>
          <w:noProof/>
        </w:rPr>
        <w:t>(Dupont 2019c)</w:t>
      </w:r>
      <w:r w:rsidRPr="00CE2863">
        <w:t xml:space="preserve"> or wounds such as those caused by pruning or hail </w:t>
      </w:r>
      <w:r>
        <w:rPr>
          <w:noProof/>
        </w:rPr>
        <w:t>(Teviotdale)</w:t>
      </w:r>
      <w:r w:rsidRPr="00CE2863">
        <w:t xml:space="preserve">. Insects, wind, rain and pruning tools are all important means by which primary inoculum of </w:t>
      </w:r>
      <w:r w:rsidRPr="00CE2863">
        <w:rPr>
          <w:i/>
          <w:iCs/>
        </w:rPr>
        <w:t xml:space="preserve">E. amylovora </w:t>
      </w:r>
      <w:r w:rsidRPr="00CE2863">
        <w:t>can be spread</w:t>
      </w:r>
      <w:r>
        <w:t xml:space="preserve"> </w:t>
      </w:r>
      <w:r>
        <w:rPr>
          <w:noProof/>
        </w:rPr>
        <w:t>(Teviotdale)</w:t>
      </w:r>
      <w:r w:rsidRPr="00CE2863">
        <w:t xml:space="preserve">. </w:t>
      </w:r>
    </w:p>
    <w:p w14:paraId="0F6B52BF" w14:textId="77777777" w:rsidR="003438A2" w:rsidRPr="00CE2863" w:rsidRDefault="003438A2" w:rsidP="00C67856">
      <w:r w:rsidRPr="003536F8">
        <w:rPr>
          <w:i/>
          <w:iCs/>
        </w:rPr>
        <w:t>E</w:t>
      </w:r>
      <w:r w:rsidRPr="00793FE2">
        <w:rPr>
          <w:i/>
          <w:iCs/>
        </w:rPr>
        <w:t>rwinia amylovora</w:t>
      </w:r>
      <w:r w:rsidRPr="00793FE2">
        <w:t xml:space="preserve"> </w:t>
      </w:r>
      <w:r>
        <w:t xml:space="preserve">can </w:t>
      </w:r>
      <w:r w:rsidRPr="00793FE2">
        <w:t xml:space="preserve">infect flowers, young leaves, stems and immature fruits. </w:t>
      </w:r>
      <w:r>
        <w:t xml:space="preserve">Fire blight infections are initiated as blossom blight </w:t>
      </w:r>
      <w:r>
        <w:rPr>
          <w:noProof/>
        </w:rPr>
        <w:t>(Slack et al. 2019)</w:t>
      </w:r>
      <w:r>
        <w:t xml:space="preserve"> and i</w:t>
      </w:r>
      <w:r w:rsidRPr="002B76F9">
        <w:t>nfections</w:t>
      </w:r>
      <w:r>
        <w:t xml:space="preserve"> commonly</w:t>
      </w:r>
      <w:r w:rsidRPr="002B76F9">
        <w:t xml:space="preserve"> occur during bloom </w:t>
      </w:r>
      <w:r>
        <w:t>and for about three</w:t>
      </w:r>
      <w:r w:rsidRPr="002B76F9">
        <w:t xml:space="preserve"> weeks following petal fall a</w:t>
      </w:r>
      <w:r>
        <w:t>s</w:t>
      </w:r>
      <w:r w:rsidRPr="002B76F9">
        <w:t xml:space="preserve"> bacterial c</w:t>
      </w:r>
      <w:r>
        <w:t>ells</w:t>
      </w:r>
      <w:r w:rsidRPr="002B76F9">
        <w:t xml:space="preserve"> are washed down the style into </w:t>
      </w:r>
      <w:r>
        <w:t xml:space="preserve">the </w:t>
      </w:r>
      <w:r w:rsidRPr="002B76F9">
        <w:t xml:space="preserve">floral cup by water </w:t>
      </w:r>
      <w:r>
        <w:rPr>
          <w:noProof/>
        </w:rPr>
        <w:t>(Dupont 2019c)</w:t>
      </w:r>
      <w:r w:rsidRPr="002B76F9">
        <w:t xml:space="preserve">. During </w:t>
      </w:r>
      <w:r>
        <w:t xml:space="preserve">the course of </w:t>
      </w:r>
      <w:r w:rsidRPr="002B76F9">
        <w:t>infection, floral parts become water-soaked</w:t>
      </w:r>
      <w:r>
        <w:t xml:space="preserve"> and</w:t>
      </w:r>
      <w:r w:rsidRPr="002B76F9">
        <w:t xml:space="preserve"> gr</w:t>
      </w:r>
      <w:r>
        <w:t>e</w:t>
      </w:r>
      <w:r w:rsidRPr="002B76F9">
        <w:t>yish</w:t>
      </w:r>
      <w:r>
        <w:t>-</w:t>
      </w:r>
      <w:r w:rsidRPr="002B76F9">
        <w:t>green in appearance</w:t>
      </w:r>
      <w:r>
        <w:t>,</w:t>
      </w:r>
      <w:r w:rsidRPr="002B76F9">
        <w:t xml:space="preserve"> </w:t>
      </w:r>
      <w:r>
        <w:t>and</w:t>
      </w:r>
      <w:r w:rsidRPr="002B76F9">
        <w:t xml:space="preserve"> later shrivel and turn brown </w:t>
      </w:r>
      <w:r>
        <w:t>or</w:t>
      </w:r>
      <w:r w:rsidRPr="002B76F9">
        <w:t xml:space="preserve"> black </w:t>
      </w:r>
      <w:r>
        <w:rPr>
          <w:noProof/>
        </w:rPr>
        <w:t>(Agrios 2008; Dupont 2019c)</w:t>
      </w:r>
      <w:r w:rsidRPr="008D4D3D">
        <w:t xml:space="preserve">. </w:t>
      </w:r>
      <w:r w:rsidRPr="00CE2863">
        <w:t xml:space="preserve">Epiphytic colonisation of the stigmatic surfaces of flowers by </w:t>
      </w:r>
      <w:r w:rsidRPr="00CE2863">
        <w:rPr>
          <w:i/>
          <w:iCs/>
        </w:rPr>
        <w:t>E. amylovora</w:t>
      </w:r>
      <w:r w:rsidRPr="00CE2863">
        <w:t xml:space="preserve"> may result in bacteria persisting in low numbers on the dry flower parts subsumed into the calyx-end of fruit, where they are known to persist at low levels and decline over time </w:t>
      </w:r>
      <w:r w:rsidRPr="00CE2863">
        <w:rPr>
          <w:iCs/>
          <w:noProof/>
        </w:rPr>
        <w:t>(Hale, McRae &amp; Thomson 1987; Sholberg, Gaunce &amp; Owen 1988)</w:t>
      </w:r>
      <w:r w:rsidRPr="00CE2863">
        <w:t xml:space="preserve">. Bees are the primary agents for secondary spread of inoculum from infected flowers to newly opened ones </w:t>
      </w:r>
      <w:r w:rsidRPr="00CE2863">
        <w:rPr>
          <w:noProof/>
        </w:rPr>
        <w:t>(Grove et al. 2003; Thomson 2000)</w:t>
      </w:r>
      <w:r w:rsidRPr="00CE2863">
        <w:t xml:space="preserve">. Mediterranean fruit fly has been suggested as a potential vector of </w:t>
      </w:r>
      <w:r w:rsidRPr="00CE2863">
        <w:rPr>
          <w:i/>
          <w:iCs/>
        </w:rPr>
        <w:t>E. amylovora</w:t>
      </w:r>
      <w:r>
        <w:rPr>
          <w:i/>
          <w:iCs/>
        </w:rPr>
        <w:t xml:space="preserve"> </w:t>
      </w:r>
      <w:r>
        <w:rPr>
          <w:rFonts w:cs="Arial"/>
          <w:noProof/>
        </w:rPr>
        <w:t>(Ordax et al. 2015)</w:t>
      </w:r>
      <w:r>
        <w:rPr>
          <w:rFonts w:cs="Arial"/>
        </w:rPr>
        <w:t xml:space="preserve">, </w:t>
      </w:r>
      <w:r w:rsidRPr="005A7930">
        <w:t>but the</w:t>
      </w:r>
      <w:r w:rsidRPr="00CE2863">
        <w:t xml:space="preserve"> evidence is </w:t>
      </w:r>
      <w:r>
        <w:t>derived</w:t>
      </w:r>
      <w:r w:rsidRPr="00CE2863">
        <w:t xml:space="preserve"> only from laboratory experiments</w:t>
      </w:r>
      <w:r>
        <w:t>; while the likelihood of occurrence</w:t>
      </w:r>
      <w:r w:rsidRPr="00CE2863">
        <w:t xml:space="preserve"> under field conditions</w:t>
      </w:r>
      <w:r>
        <w:t xml:space="preserve"> is currently undetermined, it is considered unlikely to be substantial</w:t>
      </w:r>
      <w:r w:rsidRPr="00CE2863">
        <w:t xml:space="preserve">. </w:t>
      </w:r>
    </w:p>
    <w:p w14:paraId="235216B8" w14:textId="77777777" w:rsidR="003438A2" w:rsidRDefault="003438A2" w:rsidP="00C67856">
      <w:r>
        <w:t>F</w:t>
      </w:r>
      <w:r w:rsidRPr="002B76F9">
        <w:t xml:space="preserve">ruits </w:t>
      </w:r>
      <w:r>
        <w:t xml:space="preserve">formed by infected flowers generally do not mature, and </w:t>
      </w:r>
      <w:r w:rsidRPr="002B76F9">
        <w:t xml:space="preserve">differ in appearance depending on </w:t>
      </w:r>
      <w:r>
        <w:t>the stage at which</w:t>
      </w:r>
      <w:r w:rsidRPr="002B76F9">
        <w:t xml:space="preserve"> they </w:t>
      </w:r>
      <w:r>
        <w:t>became</w:t>
      </w:r>
      <w:r w:rsidRPr="002B76F9">
        <w:t xml:space="preserve"> infected. </w:t>
      </w:r>
      <w:r>
        <w:t>Such</w:t>
      </w:r>
      <w:r w:rsidRPr="002B76F9">
        <w:t xml:space="preserve"> fruit </w:t>
      </w:r>
      <w:r>
        <w:t>usually</w:t>
      </w:r>
      <w:r w:rsidRPr="002B76F9">
        <w:t xml:space="preserve"> shrivel </w:t>
      </w:r>
      <w:r>
        <w:t xml:space="preserve">and discolour, </w:t>
      </w:r>
      <w:r w:rsidRPr="002B76F9">
        <w:t xml:space="preserve">and remain attached to trees through winter, but do not show signs of </w:t>
      </w:r>
      <w:r>
        <w:t xml:space="preserve">bacterial </w:t>
      </w:r>
      <w:r w:rsidRPr="002B76F9">
        <w:t>ooz</w:t>
      </w:r>
      <w:r>
        <w:t>e</w:t>
      </w:r>
      <w:r w:rsidRPr="002B76F9">
        <w:t>.</w:t>
      </w:r>
      <w:r w:rsidRPr="000F01D3">
        <w:t xml:space="preserve"> Fruit infected as a result of progressive infection of branches are less shrivelled and discoloured</w:t>
      </w:r>
      <w:r>
        <w:t>, while t</w:t>
      </w:r>
      <w:r w:rsidRPr="000F01D3">
        <w:t xml:space="preserve">hose infected following injury by hail or insects often develop lesions and </w:t>
      </w:r>
      <w:r w:rsidRPr="00DB6D97">
        <w:t xml:space="preserve">may exude ooze </w:t>
      </w:r>
      <w:r>
        <w:rPr>
          <w:noProof/>
        </w:rPr>
        <w:t>(Beer 1990)</w:t>
      </w:r>
      <w:r w:rsidRPr="000F01D3">
        <w:t>.</w:t>
      </w:r>
    </w:p>
    <w:p w14:paraId="1F3E6690" w14:textId="77777777" w:rsidR="003438A2" w:rsidRDefault="003438A2" w:rsidP="00C67856">
      <w:r w:rsidRPr="002B76F9">
        <w:t xml:space="preserve">Leaves are rarely infected, but </w:t>
      </w:r>
      <w:r>
        <w:t xml:space="preserve">can be </w:t>
      </w:r>
      <w:r w:rsidRPr="002B76F9">
        <w:t xml:space="preserve">prone to infection after hail damage </w:t>
      </w:r>
      <w:r>
        <w:rPr>
          <w:noProof/>
        </w:rPr>
        <w:t>(Beer 1990)</w:t>
      </w:r>
      <w:r w:rsidRPr="002B76F9">
        <w:t xml:space="preserve">. </w:t>
      </w:r>
      <w:r>
        <w:t>Studies</w:t>
      </w:r>
      <w:r w:rsidRPr="002B76F9">
        <w:t xml:space="preserve"> of </w:t>
      </w:r>
      <w:r w:rsidRPr="002B76F9">
        <w:rPr>
          <w:i/>
          <w:iCs/>
        </w:rPr>
        <w:t>E. amylovora</w:t>
      </w:r>
      <w:r w:rsidRPr="002B76F9">
        <w:t xml:space="preserve"> </w:t>
      </w:r>
      <w:r>
        <w:t xml:space="preserve">found that multiplication of the bacterium </w:t>
      </w:r>
      <w:r w:rsidRPr="002B76F9">
        <w:t xml:space="preserve">could not be demonstrated on </w:t>
      </w:r>
      <w:r w:rsidRPr="005A58CB">
        <w:t>intact</w:t>
      </w:r>
      <w:r>
        <w:t xml:space="preserve"> </w:t>
      </w:r>
      <w:r w:rsidRPr="002B76F9">
        <w:t xml:space="preserve">leaf surfaces, and </w:t>
      </w:r>
      <w:r>
        <w:t xml:space="preserve">that the </w:t>
      </w:r>
      <w:r w:rsidRPr="002B76F9">
        <w:t>bacteria died within a few hours when exposed to solar radiation or</w:t>
      </w:r>
      <w:r>
        <w:t xml:space="preserve">, </w:t>
      </w:r>
      <w:r>
        <w:lastRenderedPageBreak/>
        <w:t>as a consequence of exopolysaccharide disruption,</w:t>
      </w:r>
      <w:r w:rsidRPr="002B76F9">
        <w:t xml:space="preserve"> </w:t>
      </w:r>
      <w:r>
        <w:t xml:space="preserve">at </w:t>
      </w:r>
      <w:r w:rsidRPr="002B76F9">
        <w:t xml:space="preserve">humidity levels </w:t>
      </w:r>
      <w:r>
        <w:t xml:space="preserve">over 75% </w:t>
      </w:r>
      <w:r>
        <w:rPr>
          <w:noProof/>
        </w:rPr>
        <w:t>(Maas Geesteranus &amp; de Vries 1984)</w:t>
      </w:r>
      <w:r w:rsidRPr="002B76F9">
        <w:t>.</w:t>
      </w:r>
    </w:p>
    <w:p w14:paraId="37F1745C" w14:textId="77777777" w:rsidR="003438A2" w:rsidRDefault="003438A2" w:rsidP="00C67856">
      <w:r w:rsidRPr="00256DB0">
        <w:t>Apples from PNW-USA are usually harves</w:t>
      </w:r>
      <w:r>
        <w:t>ted from August to early November and</w:t>
      </w:r>
      <w:r w:rsidRPr="00256DB0">
        <w:t xml:space="preserve"> stored at </w:t>
      </w:r>
      <w:r>
        <w:t>0</w:t>
      </w:r>
      <w:r w:rsidRPr="00A824CD">
        <w:rPr>
          <w:rFonts w:cstheme="minorHAnsi"/>
        </w:rPr>
        <w:t>°</w:t>
      </w:r>
      <w:r>
        <w:rPr>
          <w:rFonts w:cstheme="minorHAnsi"/>
        </w:rPr>
        <w:t>C</w:t>
      </w:r>
      <w:r>
        <w:t xml:space="preserve"> to 2</w:t>
      </w:r>
      <w:r w:rsidRPr="00A824CD">
        <w:rPr>
          <w:rFonts w:cstheme="minorHAnsi"/>
        </w:rPr>
        <w:t>°</w:t>
      </w:r>
      <w:r w:rsidRPr="00654D57">
        <w:t>C</w:t>
      </w:r>
      <w:r w:rsidRPr="00256DB0">
        <w:t xml:space="preserve"> prior to being exported</w:t>
      </w:r>
      <w:r>
        <w:t xml:space="preserve"> </w:t>
      </w:r>
      <w:r>
        <w:rPr>
          <w:noProof/>
        </w:rPr>
        <w:t>(Good Fruit Grower 2014; Iowa State University Extension and Outreach 2008; Kupferman 1996; University of Maine 2020; WSU Tree Fruit 2021c)</w:t>
      </w:r>
      <w:r>
        <w:t xml:space="preserve">. </w:t>
      </w:r>
      <w:r w:rsidRPr="00256DB0">
        <w:t>Kupferman</w:t>
      </w:r>
      <w:r>
        <w:t xml:space="preserve"> </w:t>
      </w:r>
      <w:r>
        <w:rPr>
          <w:noProof/>
        </w:rPr>
        <w:t>(1996)</w:t>
      </w:r>
      <w:r>
        <w:t xml:space="preserve"> stated that s</w:t>
      </w:r>
      <w:r w:rsidRPr="00256DB0">
        <w:t xml:space="preserve">torage time may vary from </w:t>
      </w:r>
      <w:r>
        <w:t>one</w:t>
      </w:r>
      <w:r w:rsidRPr="00256DB0">
        <w:t xml:space="preserve"> day to more than 11 months, depending on the quality of the fruit and the marketing program. This </w:t>
      </w:r>
      <w:r>
        <w:t>would</w:t>
      </w:r>
      <w:r w:rsidRPr="00256DB0">
        <w:t xml:space="preserve"> allow apple fruit from the PNW-USA to be shipped to Australia all year round</w:t>
      </w:r>
      <w:r>
        <w:t>,</w:t>
      </w:r>
      <w:r w:rsidRPr="00256DB0">
        <w:t xml:space="preserve"> with sea freight </w:t>
      </w:r>
      <w:r>
        <w:t xml:space="preserve">that takes about five weeks likely to be </w:t>
      </w:r>
      <w:r w:rsidRPr="00256DB0">
        <w:t>the preferred method of transport</w:t>
      </w:r>
      <w:r>
        <w:t>.</w:t>
      </w:r>
    </w:p>
    <w:p w14:paraId="4509C34A" w14:textId="77777777" w:rsidR="003438A2" w:rsidRDefault="003438A2" w:rsidP="00C67856">
      <w:r>
        <w:t xml:space="preserve">The risk scenario of biosecurity concern is that </w:t>
      </w:r>
      <w:r w:rsidRPr="000F01D3">
        <w:rPr>
          <w:i/>
          <w:iCs/>
        </w:rPr>
        <w:t xml:space="preserve">E. amylovora </w:t>
      </w:r>
      <w:r>
        <w:t>associated with fruit may enter Australia and result in the establishment and spread of this pathogen in Australia.</w:t>
      </w:r>
    </w:p>
    <w:p w14:paraId="2295CDDE" w14:textId="77777777" w:rsidR="003438A2" w:rsidRPr="00851461" w:rsidRDefault="003438A2" w:rsidP="00C67856">
      <w:pPr>
        <w:rPr>
          <w:color w:val="00B050"/>
        </w:rPr>
      </w:pPr>
      <w:r w:rsidRPr="00C4393C">
        <w:rPr>
          <w:i/>
        </w:rPr>
        <w:t>Erwinia</w:t>
      </w:r>
      <w:r>
        <w:rPr>
          <w:i/>
        </w:rPr>
        <w:t> </w:t>
      </w:r>
      <w:r w:rsidRPr="00C4393C">
        <w:rPr>
          <w:i/>
        </w:rPr>
        <w:t>amylovora</w:t>
      </w:r>
      <w:r w:rsidRPr="00C4393C">
        <w:t xml:space="preserve"> </w:t>
      </w:r>
      <w:r>
        <w:t xml:space="preserve">was most recently assessed </w:t>
      </w:r>
      <w:r w:rsidRPr="00C4393C">
        <w:t xml:space="preserve">in the </w:t>
      </w:r>
      <w:r>
        <w:t xml:space="preserve">existing import policy for fresh apple fruit </w:t>
      </w:r>
      <w:r w:rsidRPr="00C54019">
        <w:t xml:space="preserve">from </w:t>
      </w:r>
      <w:r w:rsidRPr="00851461">
        <w:t xml:space="preserve">New Zealand </w:t>
      </w:r>
      <w:r w:rsidRPr="00851461">
        <w:rPr>
          <w:noProof/>
        </w:rPr>
        <w:t>(Biosecurity Australia 2011b)</w:t>
      </w:r>
      <w:r w:rsidRPr="00851461">
        <w:t xml:space="preserve">. In that policy, the unrestricted risk estimate for </w:t>
      </w:r>
      <w:r w:rsidRPr="00851461">
        <w:rPr>
          <w:i/>
        </w:rPr>
        <w:t>E. amylovora</w:t>
      </w:r>
      <w:r w:rsidRPr="00851461">
        <w:t xml:space="preserve"> was assessed as Very Low, which achieved the ALOP for Australia, </w:t>
      </w:r>
      <w:bookmarkStart w:id="340" w:name="_Hlk47294087"/>
      <w:r w:rsidRPr="00851461">
        <w:t>when certain commercial production practices such as in-field controls, fruit maturity testing at harvest, and packing house sanitation were routinely applied</w:t>
      </w:r>
      <w:bookmarkEnd w:id="340"/>
      <w:r w:rsidRPr="00851461">
        <w:t xml:space="preserve">. Therefore, no specific risk management measures are required for </w:t>
      </w:r>
      <w:r w:rsidRPr="00851461">
        <w:rPr>
          <w:i/>
        </w:rPr>
        <w:t>E. amylovora</w:t>
      </w:r>
      <w:r w:rsidRPr="00851461">
        <w:t xml:space="preserve"> on the New Zealand apple pathway. Similar commercial production practices are routinely applied as part of the PNW-USA apple production system (see Chapter 3), and the assessment of likelihood of importation explicitly relies on their continued implementation.</w:t>
      </w:r>
    </w:p>
    <w:p w14:paraId="68078B46" w14:textId="77777777" w:rsidR="003438A2" w:rsidRPr="00851461" w:rsidRDefault="003438A2" w:rsidP="00C67856">
      <w:r w:rsidRPr="00851461">
        <w:t xml:space="preserve">The department assessed the likelihood of importation of </w:t>
      </w:r>
      <w:r w:rsidRPr="00851461">
        <w:rPr>
          <w:i/>
        </w:rPr>
        <w:t>E. amylovora</w:t>
      </w:r>
      <w:r w:rsidRPr="00851461">
        <w:t xml:space="preserve"> on fresh apple fruit from New Zealand as Moderate </w:t>
      </w:r>
      <w:r w:rsidRPr="00851461">
        <w:rPr>
          <w:noProof/>
        </w:rPr>
        <w:t>(Biosecurity Australia 2011b)</w:t>
      </w:r>
      <w:r w:rsidRPr="00851461">
        <w:t xml:space="preserve">. Differences in pest prevalences and transport times between exporting areas make it necessary to assess the likelihood of importation of </w:t>
      </w:r>
      <w:r w:rsidRPr="00851461">
        <w:rPr>
          <w:i/>
        </w:rPr>
        <w:t>E. amylovora</w:t>
      </w:r>
      <w:r w:rsidRPr="00851461">
        <w:t xml:space="preserve"> on the PNW-USA apple pathway (see below).</w:t>
      </w:r>
    </w:p>
    <w:p w14:paraId="0476DD2B" w14:textId="77777777" w:rsidR="003438A2" w:rsidRPr="00CE2863" w:rsidRDefault="003438A2" w:rsidP="00C67856">
      <w:r w:rsidRPr="00851461">
        <w:t xml:space="preserve">The likelihood of distribution of </w:t>
      </w:r>
      <w:r w:rsidRPr="00851461">
        <w:rPr>
          <w:i/>
        </w:rPr>
        <w:t>E. amylovora</w:t>
      </w:r>
      <w:r w:rsidRPr="00851461">
        <w:t xml:space="preserve"> on the apples from New Zealand pathway was assessed as Extremely Low </w:t>
      </w:r>
      <w:r w:rsidRPr="00851461">
        <w:rPr>
          <w:noProof/>
        </w:rPr>
        <w:t>(Biosecurity Australia 2011b)</w:t>
      </w:r>
      <w:r w:rsidRPr="00851461">
        <w:t>. Apples</w:t>
      </w:r>
      <w:r w:rsidRPr="005F36CB">
        <w:t xml:space="preserve"> from the PNW-USA </w:t>
      </w:r>
      <w:r>
        <w:t>are</w:t>
      </w:r>
      <w:r w:rsidRPr="005F36CB">
        <w:t xml:space="preserve"> expected to be distributed in Australia </w:t>
      </w:r>
      <w:r w:rsidRPr="00CE2863">
        <w:t xml:space="preserve">(as a result of processing, sale or disposal) in a similar way to apples from New Zealand. Apples from New Zealand are harvested </w:t>
      </w:r>
      <w:r>
        <w:t>from</w:t>
      </w:r>
      <w:r w:rsidRPr="00CE2863">
        <w:t xml:space="preserve"> February to </w:t>
      </w:r>
      <w:r>
        <w:t>May</w:t>
      </w:r>
      <w:r w:rsidRPr="00CE2863">
        <w:t xml:space="preserve"> </w:t>
      </w:r>
      <w:bookmarkStart w:id="341" w:name="_Hlk107947703"/>
      <w:r w:rsidRPr="00E922B3">
        <w:rPr>
          <w:noProof/>
        </w:rPr>
        <w:t>(AgFirst 2022)</w:t>
      </w:r>
      <w:r w:rsidRPr="00C719BA">
        <w:t>,</w:t>
      </w:r>
      <w:r w:rsidRPr="00CE2863">
        <w:t xml:space="preserve"> </w:t>
      </w:r>
      <w:bookmarkEnd w:id="341"/>
      <w:r w:rsidRPr="00CE2863">
        <w:t xml:space="preserve">and in the PNW-USA, apples are harvested from August until early November </w:t>
      </w:r>
      <w:r w:rsidRPr="00AD5B76">
        <w:rPr>
          <w:noProof/>
        </w:rPr>
        <w:t>(Washington Apple Commission 2019)</w:t>
      </w:r>
      <w:r w:rsidRPr="00AD5B76">
        <w:t>. As ap</w:t>
      </w:r>
      <w:r w:rsidRPr="00CE2863">
        <w:t xml:space="preserve">ples from both New Zealand and the PNW-USA may be imported throughout the year, there would be no seasonal differences between </w:t>
      </w:r>
      <w:r>
        <w:t>the</w:t>
      </w:r>
      <w:r w:rsidRPr="00CE2863">
        <w:t xml:space="preserve"> import pathways to contribute to variation in the risk rating for likelihood of distribution.</w:t>
      </w:r>
    </w:p>
    <w:p w14:paraId="5F0F5AD7" w14:textId="77777777" w:rsidR="003438A2" w:rsidRDefault="003438A2" w:rsidP="00C67856">
      <w:r>
        <w:t>Hosts</w:t>
      </w:r>
      <w:r w:rsidRPr="00256DB0">
        <w:t xml:space="preserve"> </w:t>
      </w:r>
      <w:r>
        <w:t xml:space="preserve">of </w:t>
      </w:r>
      <w:r w:rsidRPr="00256DB0">
        <w:rPr>
          <w:i/>
        </w:rPr>
        <w:t>E. amylovora</w:t>
      </w:r>
      <w:r w:rsidRPr="00256DB0">
        <w:t xml:space="preserve"> </w:t>
      </w:r>
      <w:r>
        <w:t>are widely available in various parts of Australia. However, due to the</w:t>
      </w:r>
      <w:r w:rsidRPr="00256DB0">
        <w:t xml:space="preserve"> lack of suitable dispersal mechanisms</w:t>
      </w:r>
      <w:r>
        <w:t>,</w:t>
      </w:r>
      <w:r w:rsidRPr="00256DB0">
        <w:t xml:space="preserve"> </w:t>
      </w:r>
      <w:r>
        <w:t xml:space="preserve">the </w:t>
      </w:r>
      <w:r w:rsidRPr="00256DB0">
        <w:t xml:space="preserve">vulnerability </w:t>
      </w:r>
      <w:r>
        <w:t xml:space="preserve">of the bacterium to desiccation </w:t>
      </w:r>
      <w:r>
        <w:rPr>
          <w:noProof/>
        </w:rPr>
        <w:t>(Maas Geesteranus &amp; de Vries 1984)</w:t>
      </w:r>
      <w:r w:rsidRPr="002B76F9">
        <w:t xml:space="preserve"> </w:t>
      </w:r>
      <w:r>
        <w:t xml:space="preserve">and/or saprophytic competition, </w:t>
      </w:r>
      <w:r w:rsidRPr="00256DB0">
        <w:t xml:space="preserve">it is </w:t>
      </w:r>
      <w:r>
        <w:t xml:space="preserve">considered </w:t>
      </w:r>
      <w:r w:rsidRPr="00256DB0">
        <w:t xml:space="preserve">unlikely </w:t>
      </w:r>
      <w:r>
        <w:t xml:space="preserve">that </w:t>
      </w:r>
      <w:r w:rsidRPr="00256DB0">
        <w:rPr>
          <w:i/>
        </w:rPr>
        <w:t>E. amylovora</w:t>
      </w:r>
      <w:r>
        <w:rPr>
          <w:iCs/>
        </w:rPr>
        <w:t>, if present in imported fruit,</w:t>
      </w:r>
      <w:r w:rsidRPr="00256DB0">
        <w:t xml:space="preserve"> </w:t>
      </w:r>
      <w:r>
        <w:t>would</w:t>
      </w:r>
      <w:r w:rsidRPr="00256DB0">
        <w:t xml:space="preserve"> be </w:t>
      </w:r>
      <w:r>
        <w:t>transferred</w:t>
      </w:r>
      <w:r w:rsidRPr="00256DB0">
        <w:t xml:space="preserve"> </w:t>
      </w:r>
      <w:r>
        <w:t>to a susceptible part of a</w:t>
      </w:r>
      <w:r w:rsidRPr="00256DB0">
        <w:t xml:space="preserve"> host</w:t>
      </w:r>
      <w:r>
        <w:t xml:space="preserve"> in Australia in a viable state.</w:t>
      </w:r>
      <w:r w:rsidRPr="00256DB0">
        <w:t xml:space="preserve"> Therefore, the same rating o</w:t>
      </w:r>
      <w:r>
        <w:t>f</w:t>
      </w:r>
      <w:r w:rsidRPr="00256DB0">
        <w:t xml:space="preserve"> Extremely Low for the likelihood of distribution of </w:t>
      </w:r>
      <w:r w:rsidRPr="00256DB0">
        <w:rPr>
          <w:i/>
        </w:rPr>
        <w:t>E. amylovora</w:t>
      </w:r>
      <w:r w:rsidRPr="00256DB0">
        <w:t xml:space="preserve"> is adopted for </w:t>
      </w:r>
      <w:r>
        <w:t xml:space="preserve">the </w:t>
      </w:r>
      <w:r w:rsidRPr="00256DB0">
        <w:t>PNW-USA apple pathway.</w:t>
      </w:r>
    </w:p>
    <w:p w14:paraId="6B1CC7FD" w14:textId="77777777" w:rsidR="003438A2" w:rsidRDefault="003438A2" w:rsidP="00C67856">
      <w:r w:rsidRPr="00010B93">
        <w:t xml:space="preserve">The likelihoods of establishment and spread of </w:t>
      </w:r>
      <w:r w:rsidRPr="00010B93">
        <w:rPr>
          <w:i/>
        </w:rPr>
        <w:t>E. amylovora</w:t>
      </w:r>
      <w:r w:rsidRPr="00010B93">
        <w:t xml:space="preserve"> in Australia from the</w:t>
      </w:r>
      <w:r>
        <w:t xml:space="preserve"> PNW-USA apple pathway are also considered to be similar to those of the previous assessments of High for the apples from New Zealand pathway. These likelihoods relate specifically to events that occur in Australia and are principally independent of the import pathway. The consequences of entry, </w:t>
      </w:r>
      <w:r>
        <w:lastRenderedPageBreak/>
        <w:t xml:space="preserve">establishment and spread for </w:t>
      </w:r>
      <w:r w:rsidRPr="00C4393C">
        <w:rPr>
          <w:i/>
        </w:rPr>
        <w:t>E</w:t>
      </w:r>
      <w:r>
        <w:rPr>
          <w:i/>
        </w:rPr>
        <w:t>. </w:t>
      </w:r>
      <w:r w:rsidRPr="00C4393C">
        <w:rPr>
          <w:i/>
        </w:rPr>
        <w:t>amylovora</w:t>
      </w:r>
      <w:r w:rsidRPr="00C4393C">
        <w:t xml:space="preserve"> </w:t>
      </w:r>
      <w:r>
        <w:t>in Australia are also independent of the import pathway, and</w:t>
      </w:r>
      <w:r w:rsidRPr="00E6647A">
        <w:t xml:space="preserve"> </w:t>
      </w:r>
      <w:r>
        <w:t>have been assessed as</w:t>
      </w:r>
      <w:r w:rsidRPr="00E6647A">
        <w:t xml:space="preserve"> </w:t>
      </w:r>
      <w:r>
        <w:t xml:space="preserve">being </w:t>
      </w:r>
      <w:r w:rsidRPr="00E6647A">
        <w:t>similar between pest risk assessments</w:t>
      </w:r>
      <w:r>
        <w:t>, and rated as High. T</w:t>
      </w:r>
      <w:r w:rsidRPr="00815A3A">
        <w:t>he existing rating</w:t>
      </w:r>
      <w:r>
        <w:t>s</w:t>
      </w:r>
      <w:r w:rsidRPr="00815A3A">
        <w:t xml:space="preserve"> for the likelihoods of establishment and spread</w:t>
      </w:r>
      <w:r w:rsidRPr="005F428A">
        <w:t xml:space="preserve"> </w:t>
      </w:r>
      <w:r w:rsidRPr="00CE2863">
        <w:t xml:space="preserve">and for the overall </w:t>
      </w:r>
      <w:r w:rsidRPr="005F428A">
        <w:t>consequences</w:t>
      </w:r>
      <w:r>
        <w:t xml:space="preserve"> of High</w:t>
      </w:r>
      <w:r w:rsidRPr="00815A3A">
        <w:t xml:space="preserve"> have been adopted for the PNW-USA </w:t>
      </w:r>
      <w:r>
        <w:t xml:space="preserve">apple </w:t>
      </w:r>
      <w:r w:rsidRPr="00815A3A">
        <w:t>pathway.</w:t>
      </w:r>
      <w:r>
        <w:t xml:space="preserve"> </w:t>
      </w:r>
    </w:p>
    <w:p w14:paraId="4A31259A" w14:textId="77777777" w:rsidR="003438A2" w:rsidRDefault="003438A2" w:rsidP="00A01371">
      <w:r w:rsidRPr="00EF31AE">
        <w:t>In addition, the department has reviewed the latest literature</w:t>
      </w:r>
      <w:r>
        <w:t xml:space="preserve"> </w:t>
      </w:r>
      <w:r w:rsidRPr="00EF31AE">
        <w:t>—</w:t>
      </w:r>
      <w:r>
        <w:t xml:space="preserve"> </w:t>
      </w:r>
      <w:r w:rsidRPr="00EF31AE">
        <w:t>for example</w:t>
      </w:r>
      <w:r>
        <w:t xml:space="preserve">, </w:t>
      </w:r>
      <w:bookmarkStart w:id="342" w:name="_Hlk107931530"/>
      <w:r>
        <w:rPr>
          <w:noProof/>
        </w:rPr>
        <w:t>Dupont (2019c); IPPC (2016b); Johnson (2014); Pattemore et al. (2014); PNW Handbooks (2020a); QIA (2015); Rosenberger, Jentsch and Rugh (2020)</w:t>
      </w:r>
      <w:r>
        <w:t xml:space="preserve"> and </w:t>
      </w:r>
      <w:r w:rsidRPr="00851461">
        <w:rPr>
          <w:noProof/>
          <w:color w:val="000000"/>
        </w:rPr>
        <w:t>Tancos et al. (2017)</w:t>
      </w:r>
      <w:r w:rsidRPr="00851461">
        <w:rPr>
          <w:color w:val="000000"/>
        </w:rPr>
        <w:t>.</w:t>
      </w:r>
      <w:r w:rsidRPr="00851461">
        <w:t xml:space="preserve"> </w:t>
      </w:r>
      <w:bookmarkEnd w:id="342"/>
      <w:r w:rsidRPr="00851461">
        <w:t>No</w:t>
      </w:r>
      <w:r w:rsidRPr="00851461">
        <w:rPr>
          <w:rFonts w:ascii="Times New Roman" w:eastAsia="Cambria" w:hAnsi="Times New Roman" w:cs="Times New Roman"/>
          <w:sz w:val="24"/>
          <w:szCs w:val="24"/>
          <w:lang w:eastAsia="en-AU"/>
        </w:rPr>
        <w:t xml:space="preserve"> </w:t>
      </w:r>
      <w:r w:rsidRPr="00851461">
        <w:t>new information has been identified that would significantly change the risk ratings for distribu</w:t>
      </w:r>
      <w:r>
        <w:t xml:space="preserve">tion, establishment, spread or consequences as set out for </w:t>
      </w:r>
      <w:r w:rsidRPr="00C4393C">
        <w:rPr>
          <w:i/>
        </w:rPr>
        <w:t>E</w:t>
      </w:r>
      <w:r>
        <w:rPr>
          <w:i/>
        </w:rPr>
        <w:t>. </w:t>
      </w:r>
      <w:r w:rsidRPr="00C4393C">
        <w:rPr>
          <w:i/>
        </w:rPr>
        <w:t>amylovora</w:t>
      </w:r>
      <w:r>
        <w:t xml:space="preserve"> in the existing policy.</w:t>
      </w:r>
    </w:p>
    <w:p w14:paraId="5A7C65FA" w14:textId="77777777" w:rsidR="003438A2" w:rsidRDefault="003438A2" w:rsidP="00F843A1">
      <w:pPr>
        <w:pStyle w:val="Heading4"/>
        <w:numPr>
          <w:ilvl w:val="2"/>
          <w:numId w:val="30"/>
        </w:numPr>
        <w:tabs>
          <w:tab w:val="clear" w:pos="1362"/>
          <w:tab w:val="num" w:pos="794"/>
        </w:tabs>
        <w:ind w:left="1786"/>
      </w:pPr>
      <w:r>
        <w:t>Likelihood of entry</w:t>
      </w:r>
    </w:p>
    <w:p w14:paraId="71610A46" w14:textId="77777777" w:rsidR="003438A2" w:rsidRPr="00885F3D" w:rsidRDefault="003438A2" w:rsidP="00C67856">
      <w:r w:rsidRPr="00885F3D">
        <w:t>The likelihood of entry is considered in 2 parts, the likelihood of importation and the likelihood of distribution, which consider pre-border and post-border issues, respectively.</w:t>
      </w:r>
    </w:p>
    <w:p w14:paraId="32D41332" w14:textId="77777777" w:rsidR="003438A2" w:rsidRPr="00A47E67" w:rsidRDefault="003438A2" w:rsidP="00C67856">
      <w:pPr>
        <w:pStyle w:val="Heading5"/>
      </w:pPr>
      <w:r w:rsidRPr="00A47E67">
        <w:t xml:space="preserve">Likelihood of importation </w:t>
      </w:r>
    </w:p>
    <w:p w14:paraId="0CF13112" w14:textId="77777777" w:rsidR="003438A2" w:rsidRPr="00C4393C" w:rsidRDefault="003438A2" w:rsidP="00C67856">
      <w:pPr>
        <w:spacing w:before="120"/>
      </w:pPr>
      <w:r w:rsidRPr="00F47D44">
        <w:t xml:space="preserve">The </w:t>
      </w:r>
      <w:r w:rsidRPr="00AE638A">
        <w:t xml:space="preserve">likelihood that </w:t>
      </w:r>
      <w:r w:rsidRPr="00AE638A">
        <w:rPr>
          <w:i/>
        </w:rPr>
        <w:t>E. amylovora</w:t>
      </w:r>
      <w:r w:rsidRPr="00AE638A">
        <w:t xml:space="preserve"> will arrive in Australia</w:t>
      </w:r>
      <w:r w:rsidRPr="00F47D44">
        <w:t xml:space="preserve"> with the importation of apples from the </w:t>
      </w:r>
      <w:r>
        <w:t xml:space="preserve">PNW-USA is </w:t>
      </w:r>
      <w:r w:rsidRPr="00752331">
        <w:t xml:space="preserve">assessed as </w:t>
      </w:r>
      <w:r>
        <w:t>Moderate</w:t>
      </w:r>
      <w:r w:rsidRPr="00752331">
        <w:t>.</w:t>
      </w:r>
    </w:p>
    <w:p w14:paraId="1BF43318" w14:textId="77777777" w:rsidR="003438A2" w:rsidRDefault="003438A2" w:rsidP="00C67856">
      <w:pPr>
        <w:spacing w:after="240" w:line="240" w:lineRule="auto"/>
      </w:pPr>
      <w:r w:rsidRPr="00C4393C">
        <w:t>The following information provides supporti</w:t>
      </w:r>
      <w:r>
        <w:t>ng evidence for this assessment.</w:t>
      </w:r>
    </w:p>
    <w:p w14:paraId="0258D200" w14:textId="77777777" w:rsidR="003438A2" w:rsidRPr="00945750" w:rsidRDefault="003438A2" w:rsidP="00C67856">
      <w:bookmarkStart w:id="343" w:name="_Hlk44504941"/>
      <w:r w:rsidRPr="00945750">
        <w:rPr>
          <w:i/>
        </w:rPr>
        <w:t>Erwinia amylovora</w:t>
      </w:r>
      <w:r w:rsidRPr="00945750">
        <w:t xml:space="preserve"> is associated with apples in the PNW-USA.</w:t>
      </w:r>
    </w:p>
    <w:bookmarkEnd w:id="343"/>
    <w:p w14:paraId="247CF8E8" w14:textId="77777777" w:rsidR="003438A2" w:rsidRPr="00BF5610" w:rsidRDefault="003438A2" w:rsidP="003438A2">
      <w:pPr>
        <w:pStyle w:val="ListBullet"/>
        <w:numPr>
          <w:ilvl w:val="0"/>
          <w:numId w:val="15"/>
        </w:numPr>
      </w:pPr>
      <w:r w:rsidRPr="00CA10A5">
        <w:rPr>
          <w:i/>
        </w:rPr>
        <w:t>Erwinia amylovora</w:t>
      </w:r>
      <w:r w:rsidRPr="00C4393C">
        <w:t xml:space="preserve"> </w:t>
      </w:r>
      <w:r w:rsidRPr="005F13C4">
        <w:t xml:space="preserve">is </w:t>
      </w:r>
      <w:r>
        <w:t>present</w:t>
      </w:r>
      <w:r w:rsidRPr="005F13C4">
        <w:t xml:space="preserve"> in the PNW</w:t>
      </w:r>
      <w:r>
        <w:t>-USA</w:t>
      </w:r>
      <w:r w:rsidRPr="005F13C4">
        <w:t xml:space="preserve"> </w:t>
      </w:r>
      <w:r>
        <w:rPr>
          <w:noProof/>
        </w:rPr>
        <w:t>(Bonn &amp; Van der Zwet 2000; Dupont 2019c; Smith 1999)</w:t>
      </w:r>
      <w:r>
        <w:t>.</w:t>
      </w:r>
      <w:r w:rsidRPr="00BF5610">
        <w:rPr>
          <w:rFonts w:eastAsia="Calibri" w:cs="Times New Roman"/>
          <w:iCs/>
          <w:sz w:val="18"/>
          <w:szCs w:val="18"/>
        </w:rPr>
        <w:t xml:space="preserve"> </w:t>
      </w:r>
    </w:p>
    <w:p w14:paraId="6965AAE2" w14:textId="77777777" w:rsidR="003438A2" w:rsidRPr="00885F3D" w:rsidRDefault="003438A2" w:rsidP="003438A2">
      <w:pPr>
        <w:pStyle w:val="ListBullet"/>
        <w:numPr>
          <w:ilvl w:val="0"/>
          <w:numId w:val="15"/>
        </w:numPr>
        <w:rPr>
          <w:specVanish/>
        </w:rPr>
      </w:pPr>
      <w:r w:rsidRPr="00885F3D">
        <w:t xml:space="preserve">In Washington there have been minor outbreaks annually since 1991, and serious damage to foliage in about 5 to 10% of orchards was reported in 1993, 1997, 1998, 2005, 2009, 2012, 2015, 2016, 2017 and 2018 </w:t>
      </w:r>
      <w:r w:rsidRPr="00885F3D">
        <w:rPr>
          <w:noProof/>
        </w:rPr>
        <w:t>(Dupont 2019c)</w:t>
      </w:r>
      <w:r w:rsidRPr="00885F3D">
        <w:t>.</w:t>
      </w:r>
    </w:p>
    <w:p w14:paraId="7C597F55" w14:textId="77777777" w:rsidR="003438A2" w:rsidRPr="00885F3D" w:rsidRDefault="003438A2" w:rsidP="003438A2">
      <w:pPr>
        <w:pStyle w:val="ListBullet"/>
        <w:numPr>
          <w:ilvl w:val="0"/>
          <w:numId w:val="15"/>
        </w:numPr>
      </w:pPr>
      <w:r w:rsidRPr="00885F3D">
        <w:t xml:space="preserve">In 2017 and 2018, infections were severe due to multiple wetting events as well as high temperatures during bloom </w:t>
      </w:r>
      <w:r w:rsidRPr="00885F3D">
        <w:rPr>
          <w:noProof/>
        </w:rPr>
        <w:t>(DuPont 2019a)</w:t>
      </w:r>
      <w:r w:rsidRPr="00885F3D">
        <w:t>.</w:t>
      </w:r>
    </w:p>
    <w:p w14:paraId="1076DAEA" w14:textId="77777777" w:rsidR="003438A2" w:rsidRPr="00885F3D" w:rsidRDefault="003438A2" w:rsidP="003438A2">
      <w:pPr>
        <w:pStyle w:val="ListBullet"/>
        <w:numPr>
          <w:ilvl w:val="0"/>
          <w:numId w:val="15"/>
        </w:numPr>
        <w:rPr>
          <w:strike/>
        </w:rPr>
      </w:pPr>
      <w:r w:rsidRPr="00885F3D">
        <w:t xml:space="preserve">Surveys in Washington of 10% of apple and pear acreage showed that 88% of pear areas and 17% of apple areas were impacted by fire blight in 2018 </w:t>
      </w:r>
      <w:r w:rsidRPr="00885F3D">
        <w:rPr>
          <w:noProof/>
        </w:rPr>
        <w:t>(DuPont 2019a)</w:t>
      </w:r>
      <w:r w:rsidRPr="00885F3D">
        <w:t>.</w:t>
      </w:r>
      <w:r w:rsidRPr="00885F3D">
        <w:rPr>
          <w:strike/>
        </w:rPr>
        <w:t xml:space="preserve"> </w:t>
      </w:r>
    </w:p>
    <w:p w14:paraId="3AB90060" w14:textId="77777777" w:rsidR="003438A2" w:rsidRPr="00885F3D" w:rsidRDefault="003438A2" w:rsidP="003438A2">
      <w:pPr>
        <w:pStyle w:val="ListBullet"/>
        <w:numPr>
          <w:ilvl w:val="0"/>
          <w:numId w:val="15"/>
        </w:numPr>
      </w:pPr>
      <w:r>
        <w:t>S</w:t>
      </w:r>
      <w:r w:rsidRPr="00885F3D">
        <w:t xml:space="preserve">ome apple varieties nominated for export by the USA, such as Fuji, Gala and Granny Smith, are very susceptible to </w:t>
      </w:r>
      <w:r w:rsidRPr="00885F3D">
        <w:rPr>
          <w:i/>
        </w:rPr>
        <w:t>E. amylovora</w:t>
      </w:r>
      <w:r w:rsidRPr="00885F3D">
        <w:t xml:space="preserve"> </w:t>
      </w:r>
      <w:r w:rsidRPr="00885F3D">
        <w:rPr>
          <w:noProof/>
        </w:rPr>
        <w:t>(Douglas 2006)</w:t>
      </w:r>
      <w:r w:rsidRPr="00885F3D">
        <w:t xml:space="preserve">. This assessment considers all apple varieties (including rootstocks) are susceptible to </w:t>
      </w:r>
      <w:r w:rsidRPr="00885F3D">
        <w:rPr>
          <w:i/>
          <w:iCs/>
        </w:rPr>
        <w:t>E. amylovora</w:t>
      </w:r>
      <w:r w:rsidRPr="00885F3D">
        <w:t xml:space="preserve">. </w:t>
      </w:r>
    </w:p>
    <w:p w14:paraId="665033A5" w14:textId="77777777" w:rsidR="003438A2" w:rsidRPr="00885F3D" w:rsidRDefault="003438A2" w:rsidP="003F4A79">
      <w:bookmarkStart w:id="344" w:name="_Hlk44505510"/>
      <w:r w:rsidRPr="00885F3D">
        <w:rPr>
          <w:iCs/>
        </w:rPr>
        <w:t xml:space="preserve">In-field monitoring and controls in place for </w:t>
      </w:r>
      <w:r w:rsidRPr="00885F3D">
        <w:rPr>
          <w:i/>
        </w:rPr>
        <w:t>E. amylovora</w:t>
      </w:r>
      <w:r w:rsidRPr="00885F3D">
        <w:t xml:space="preserve"> in commercial orchards are likely to reduce inoculum to low levels.</w:t>
      </w:r>
    </w:p>
    <w:bookmarkEnd w:id="344"/>
    <w:p w14:paraId="2DDA39CD" w14:textId="77777777" w:rsidR="003438A2" w:rsidRPr="00F70DD6" w:rsidRDefault="003438A2" w:rsidP="003438A2">
      <w:pPr>
        <w:pStyle w:val="ListBullet"/>
        <w:numPr>
          <w:ilvl w:val="0"/>
          <w:numId w:val="15"/>
        </w:numPr>
        <w:autoSpaceDE w:val="0"/>
        <w:autoSpaceDN w:val="0"/>
        <w:adjustRightInd w:val="0"/>
        <w:spacing w:after="0"/>
        <w:rPr>
          <w:rFonts w:asciiTheme="majorHAnsi" w:eastAsia="Cambria" w:hAnsiTheme="majorHAnsi" w:cs="Palatino-Roman"/>
          <w:lang w:eastAsia="en-AU"/>
        </w:rPr>
      </w:pPr>
      <w:r w:rsidRPr="00F70DD6">
        <w:rPr>
          <w:rFonts w:eastAsia="Cambria" w:cs="Palatino-Roman"/>
          <w:lang w:eastAsia="en-AU"/>
        </w:rPr>
        <w:t xml:space="preserve">The </w:t>
      </w:r>
      <w:r w:rsidRPr="00F70DD6">
        <w:t xml:space="preserve">elements of </w:t>
      </w:r>
      <w:r w:rsidRPr="00F70DD6">
        <w:rPr>
          <w:i/>
        </w:rPr>
        <w:t>E. amylovora</w:t>
      </w:r>
      <w:r w:rsidRPr="00F70DD6">
        <w:t xml:space="preserve"> management in the PNW-USA include keeping field inoculum levels low through monitoring, winter pruning, </w:t>
      </w:r>
      <w:r>
        <w:t xml:space="preserve">use of </w:t>
      </w:r>
      <w:r w:rsidRPr="00F70DD6">
        <w:t>predictive modelling and application of chemical or biological controls.</w:t>
      </w:r>
    </w:p>
    <w:p w14:paraId="27E846CA" w14:textId="77777777" w:rsidR="003438A2" w:rsidRDefault="003438A2" w:rsidP="003438A2">
      <w:pPr>
        <w:pStyle w:val="ListBullet"/>
        <w:numPr>
          <w:ilvl w:val="0"/>
          <w:numId w:val="15"/>
        </w:numPr>
        <w:autoSpaceDE w:val="0"/>
        <w:autoSpaceDN w:val="0"/>
        <w:adjustRightInd w:val="0"/>
        <w:spacing w:after="0"/>
      </w:pPr>
      <w:r w:rsidRPr="00F70DD6">
        <w:t xml:space="preserve">Pacific Northwest states in the USA use the CougarBlight model </w:t>
      </w:r>
      <w:r>
        <w:rPr>
          <w:noProof/>
        </w:rPr>
        <w:t>(Smith 1999; Smith 2006)</w:t>
      </w:r>
      <w:r w:rsidRPr="00F70DD6">
        <w:t xml:space="preserve"> for disease event prediction, and for determining the timing of commencement of control measures in susceptible production areas. </w:t>
      </w:r>
    </w:p>
    <w:p w14:paraId="14F07AA4" w14:textId="77777777" w:rsidR="003438A2" w:rsidRPr="00626D2A" w:rsidRDefault="003438A2" w:rsidP="003438A2">
      <w:pPr>
        <w:pStyle w:val="ListBullet"/>
        <w:numPr>
          <w:ilvl w:val="0"/>
          <w:numId w:val="15"/>
        </w:numPr>
        <w:autoSpaceDE w:val="0"/>
        <w:autoSpaceDN w:val="0"/>
        <w:adjustRightInd w:val="0"/>
        <w:spacing w:after="0"/>
      </w:pPr>
      <w:r w:rsidRPr="00F70DD6">
        <w:t xml:space="preserve">The CougarBlight </w:t>
      </w:r>
      <w:r w:rsidRPr="00E53A3B">
        <w:t xml:space="preserve">prediction model </w:t>
      </w:r>
      <w:r w:rsidRPr="00626D2A">
        <w:t>estimates the risk of blossom blight, and predicts the disease event in spring</w:t>
      </w:r>
      <w:r>
        <w:t xml:space="preserve"> </w:t>
      </w:r>
      <w:r w:rsidRPr="00CE0AEB">
        <w:rPr>
          <w:noProof/>
          <w:color w:val="000000"/>
        </w:rPr>
        <w:t>(DuPont 2020a)</w:t>
      </w:r>
      <w:r w:rsidRPr="00626D2A">
        <w:t xml:space="preserve">, using a temperature risk value and predicted blossom wetting events. </w:t>
      </w:r>
    </w:p>
    <w:p w14:paraId="689DB573" w14:textId="77777777" w:rsidR="003438A2" w:rsidRPr="00626D2A" w:rsidRDefault="003438A2" w:rsidP="003438A2">
      <w:pPr>
        <w:pStyle w:val="ListBullet"/>
        <w:numPr>
          <w:ilvl w:val="0"/>
          <w:numId w:val="15"/>
        </w:numPr>
      </w:pPr>
      <w:r w:rsidRPr="00626D2A">
        <w:lastRenderedPageBreak/>
        <w:t>The model is available in the WSU Decision Aid System (DAS)</w:t>
      </w:r>
      <w:r>
        <w:t xml:space="preserve"> </w:t>
      </w:r>
      <w:r>
        <w:rPr>
          <w:noProof/>
        </w:rPr>
        <w:t>(Dupont 2019c, 2020a)</w:t>
      </w:r>
      <w:r w:rsidRPr="00626D2A">
        <w:t>, with risk determined on the basis of the temperature of the previous four days</w:t>
      </w:r>
      <w:r>
        <w:t xml:space="preserve"> </w:t>
      </w:r>
      <w:r>
        <w:rPr>
          <w:noProof/>
        </w:rPr>
        <w:t>(Dupont 2019c, 2020a)</w:t>
      </w:r>
      <w:r>
        <w:t xml:space="preserve"> </w:t>
      </w:r>
      <w:r w:rsidRPr="00626D2A">
        <w:t>and the number of hours of free moisture as a film of a droplet (0.25</w:t>
      </w:r>
      <w:r>
        <w:t xml:space="preserve"> </w:t>
      </w:r>
      <w:r w:rsidRPr="00626D2A">
        <w:t>mm or greater) at temperatures above 21</w:t>
      </w:r>
      <w:r w:rsidRPr="00626D2A">
        <w:rPr>
          <w:rFonts w:cstheme="minorHAnsi"/>
        </w:rPr>
        <w:t>°</w:t>
      </w:r>
      <w:r w:rsidRPr="00626D2A">
        <w:t xml:space="preserve">C over the previous four days </w:t>
      </w:r>
      <w:r w:rsidRPr="00626D2A">
        <w:rPr>
          <w:noProof/>
        </w:rPr>
        <w:t>(Pusey &amp; Curry 2004)</w:t>
      </w:r>
      <w:r w:rsidRPr="00626D2A">
        <w:t>.</w:t>
      </w:r>
    </w:p>
    <w:p w14:paraId="0546EEBF" w14:textId="77777777" w:rsidR="003438A2" w:rsidRPr="0060049F" w:rsidRDefault="003438A2" w:rsidP="003438A2">
      <w:pPr>
        <w:pStyle w:val="ListBullet"/>
        <w:numPr>
          <w:ilvl w:val="0"/>
          <w:numId w:val="15"/>
        </w:numPr>
      </w:pPr>
      <w:r w:rsidRPr="0060049F">
        <w:t xml:space="preserve">The CougarBlight Model was developed over 20 years ago, but was updated in 2010, and more recently in 2019 to lower the threshold for calculation of hourly temperature risk values from 15.6°C to 10°C, to ensure it remains current </w:t>
      </w:r>
      <w:r w:rsidRPr="00CE0AEB">
        <w:rPr>
          <w:noProof/>
          <w:color w:val="000000"/>
        </w:rPr>
        <w:t>(DuPont 2020a)</w:t>
      </w:r>
      <w:r w:rsidRPr="0060049F">
        <w:t>.</w:t>
      </w:r>
    </w:p>
    <w:p w14:paraId="0D41D36E" w14:textId="77777777" w:rsidR="003438A2" w:rsidRPr="007D234E" w:rsidRDefault="003438A2" w:rsidP="003438A2">
      <w:pPr>
        <w:pStyle w:val="ListBullet"/>
        <w:numPr>
          <w:ilvl w:val="0"/>
          <w:numId w:val="15"/>
        </w:numPr>
        <w:autoSpaceDE w:val="0"/>
        <w:autoSpaceDN w:val="0"/>
        <w:adjustRightInd w:val="0"/>
        <w:spacing w:after="0"/>
        <w:rPr>
          <w:rFonts w:asciiTheme="majorHAnsi" w:eastAsia="Cambria" w:hAnsiTheme="majorHAnsi" w:cs="Palatino-Roman"/>
          <w:lang w:eastAsia="en-AU"/>
        </w:rPr>
      </w:pPr>
      <w:r w:rsidRPr="00626D2A">
        <w:t xml:space="preserve">Following event prediction using models, in-field controls </w:t>
      </w:r>
      <w:r w:rsidRPr="00626D2A">
        <w:rPr>
          <w:lang w:eastAsia="en-AU"/>
        </w:rPr>
        <w:t>applied within the 12</w:t>
      </w:r>
      <w:r>
        <w:rPr>
          <w:lang w:eastAsia="en-AU"/>
        </w:rPr>
        <w:t xml:space="preserve"> to </w:t>
      </w:r>
      <w:r w:rsidRPr="00626D2A">
        <w:rPr>
          <w:lang w:eastAsia="en-AU"/>
        </w:rPr>
        <w:t xml:space="preserve">24 hour window before a wetting event produce best results </w:t>
      </w:r>
      <w:r>
        <w:rPr>
          <w:noProof/>
          <w:lang w:eastAsia="en-AU"/>
        </w:rPr>
        <w:t>(DuPont 2019d)</w:t>
      </w:r>
      <w:r w:rsidRPr="00626D2A">
        <w:rPr>
          <w:lang w:eastAsia="en-AU"/>
        </w:rPr>
        <w:t xml:space="preserve">. </w:t>
      </w:r>
      <w:r w:rsidRPr="00626D2A">
        <w:t xml:space="preserve">Spraying with antibiotics and/or release of biological control agents (for example Blossom Protect) </w:t>
      </w:r>
      <w:r w:rsidRPr="00F70DD6">
        <w:t xml:space="preserve">are commenced, along with the use of copper and lime </w:t>
      </w:r>
      <w:r>
        <w:t>sprays</w:t>
      </w:r>
      <w:r w:rsidRPr="00F70DD6">
        <w:t>.</w:t>
      </w:r>
      <w:r>
        <w:t xml:space="preserve"> </w:t>
      </w:r>
    </w:p>
    <w:p w14:paraId="3158E5B9" w14:textId="77777777" w:rsidR="003438A2" w:rsidRPr="00B4430B" w:rsidRDefault="003438A2" w:rsidP="003438A2">
      <w:pPr>
        <w:pStyle w:val="ListBullet"/>
        <w:numPr>
          <w:ilvl w:val="0"/>
          <w:numId w:val="15"/>
        </w:numPr>
      </w:pPr>
      <w:r w:rsidRPr="00B4430B">
        <w:t xml:space="preserve">Most infections in the PNW-USA occur during periods that the models indicate as being of high or extreme danger </w:t>
      </w:r>
      <w:bookmarkStart w:id="345" w:name="_Hlk48246742"/>
      <w:r>
        <w:rPr>
          <w:noProof/>
        </w:rPr>
        <w:t>(Smith 1999)</w:t>
      </w:r>
      <w:r w:rsidRPr="00B4430B">
        <w:t xml:space="preserve">. </w:t>
      </w:r>
      <w:bookmarkEnd w:id="345"/>
      <w:r w:rsidRPr="00B4430B">
        <w:t>Many growers applying sprays on the basis of predictions by the CougarBl</w:t>
      </w:r>
      <w:r>
        <w:t>ight</w:t>
      </w:r>
      <w:r w:rsidRPr="00B4430B">
        <w:t xml:space="preserve"> model have achieved enhanced control of the disease </w:t>
      </w:r>
      <w:r>
        <w:rPr>
          <w:noProof/>
        </w:rPr>
        <w:t>(Smith 2006)</w:t>
      </w:r>
      <w:r w:rsidRPr="00B4430B">
        <w:t>.</w:t>
      </w:r>
    </w:p>
    <w:p w14:paraId="3A71BDFA" w14:textId="77777777" w:rsidR="003438A2" w:rsidRPr="00F70DD6" w:rsidRDefault="003438A2" w:rsidP="003438A2">
      <w:pPr>
        <w:pStyle w:val="ListBullet"/>
        <w:numPr>
          <w:ilvl w:val="0"/>
          <w:numId w:val="15"/>
        </w:numPr>
      </w:pPr>
      <w:r w:rsidRPr="00F70DD6">
        <w:t>Bacteria overwintering in cankers in living tissues are actively managed during winter by pruning, in order to remove potential primary inoculum for the following season</w:t>
      </w:r>
      <w:r>
        <w:t xml:space="preserve"> </w:t>
      </w:r>
      <w:r w:rsidRPr="00D97793">
        <w:rPr>
          <w:noProof/>
        </w:rPr>
        <w:t>(Dupont 2018)</w:t>
      </w:r>
      <w:r>
        <w:t>.</w:t>
      </w:r>
    </w:p>
    <w:p w14:paraId="3891FC82" w14:textId="77777777" w:rsidR="003438A2" w:rsidRPr="00626D2A" w:rsidRDefault="003438A2" w:rsidP="00C67856">
      <w:bookmarkStart w:id="346" w:name="_Hlk44505082"/>
      <w:r w:rsidRPr="00626D2A">
        <w:t xml:space="preserve">There is no evidence that supports </w:t>
      </w:r>
      <w:r>
        <w:t xml:space="preserve">susceptibility </w:t>
      </w:r>
      <w:r w:rsidRPr="00626D2A">
        <w:t xml:space="preserve">of intact mature fruit </w:t>
      </w:r>
      <w:r>
        <w:t xml:space="preserve">to infection </w:t>
      </w:r>
      <w:r w:rsidRPr="00626D2A">
        <w:t xml:space="preserve">by </w:t>
      </w:r>
      <w:r w:rsidRPr="00626D2A">
        <w:rPr>
          <w:i/>
          <w:iCs/>
        </w:rPr>
        <w:t>E. amylovora</w:t>
      </w:r>
      <w:r w:rsidRPr="00626D2A">
        <w:t xml:space="preserve"> under natural conditions.</w:t>
      </w:r>
    </w:p>
    <w:bookmarkEnd w:id="346"/>
    <w:p w14:paraId="5390D527" w14:textId="77777777" w:rsidR="003438A2" w:rsidRPr="00606E2C" w:rsidRDefault="003438A2" w:rsidP="003438A2">
      <w:pPr>
        <w:pStyle w:val="ListBullet"/>
        <w:numPr>
          <w:ilvl w:val="0"/>
          <w:numId w:val="15"/>
        </w:numPr>
      </w:pPr>
      <w:r w:rsidRPr="00606E2C">
        <w:rPr>
          <w:lang w:val="en-US"/>
        </w:rPr>
        <w:t>Infection of developing fruit can occur in the PNW-USA during bloo</w:t>
      </w:r>
      <w:r w:rsidRPr="00606E2C">
        <w:t xml:space="preserve">m and in the three-week period following petal fall </w:t>
      </w:r>
      <w:r w:rsidRPr="00606E2C">
        <w:rPr>
          <w:noProof/>
        </w:rPr>
        <w:t>(Bonn &amp; Van der Zwet 2000; Dupont 2019c; Smith 1999)</w:t>
      </w:r>
      <w:r w:rsidRPr="00606E2C">
        <w:t xml:space="preserve">. </w:t>
      </w:r>
    </w:p>
    <w:p w14:paraId="764E0F68" w14:textId="77777777" w:rsidR="003438A2" w:rsidRPr="00626D2A" w:rsidRDefault="003438A2" w:rsidP="003438A2">
      <w:pPr>
        <w:pStyle w:val="ListBullet"/>
        <w:numPr>
          <w:ilvl w:val="0"/>
          <w:numId w:val="15"/>
        </w:numPr>
      </w:pPr>
      <w:r w:rsidRPr="00626D2A">
        <w:t>If a developing fruit is endophytically infected it does not reach maturity</w:t>
      </w:r>
      <w:r>
        <w:t>,</w:t>
      </w:r>
      <w:r w:rsidRPr="00626D2A">
        <w:t xml:space="preserve"> and may </w:t>
      </w:r>
      <w:r>
        <w:t xml:space="preserve">either </w:t>
      </w:r>
      <w:r w:rsidRPr="00626D2A">
        <w:t xml:space="preserve">drop prematurely or shrivel, discolour and remain attached to </w:t>
      </w:r>
      <w:r>
        <w:t xml:space="preserve">the </w:t>
      </w:r>
      <w:r w:rsidRPr="00626D2A">
        <w:t xml:space="preserve">tree </w:t>
      </w:r>
      <w:r w:rsidRPr="00626D2A">
        <w:rPr>
          <w:noProof/>
        </w:rPr>
        <w:t>(Beer 1990)</w:t>
      </w:r>
      <w:r w:rsidRPr="00626D2A">
        <w:t>.</w:t>
      </w:r>
    </w:p>
    <w:p w14:paraId="2BB20B9C" w14:textId="77777777" w:rsidR="003438A2" w:rsidRPr="00626D2A" w:rsidRDefault="003438A2" w:rsidP="003438A2">
      <w:pPr>
        <w:pStyle w:val="ListBullet"/>
        <w:numPr>
          <w:ilvl w:val="0"/>
          <w:numId w:val="15"/>
        </w:numPr>
      </w:pPr>
      <w:r w:rsidRPr="00626D2A">
        <w:t xml:space="preserve">Immature fruit will not be harvested for export. </w:t>
      </w:r>
    </w:p>
    <w:p w14:paraId="687418D7" w14:textId="77777777" w:rsidR="003438A2" w:rsidRPr="00851461" w:rsidRDefault="003438A2" w:rsidP="003438A2">
      <w:pPr>
        <w:pStyle w:val="ListBullet"/>
        <w:numPr>
          <w:ilvl w:val="0"/>
          <w:numId w:val="15"/>
        </w:numPr>
      </w:pPr>
      <w:bookmarkStart w:id="347" w:name="_Hlk110255758"/>
      <w:r w:rsidRPr="003F4A79">
        <w:rPr>
          <w:i/>
          <w:iCs/>
          <w:lang w:eastAsia="en-AU"/>
        </w:rPr>
        <w:t>Erwinia amylovora</w:t>
      </w:r>
      <w:r w:rsidRPr="00626D2A">
        <w:rPr>
          <w:lang w:eastAsia="en-AU"/>
        </w:rPr>
        <w:t xml:space="preserve"> is not internally </w:t>
      </w:r>
      <w:r w:rsidRPr="00851461">
        <w:rPr>
          <w:lang w:eastAsia="en-AU"/>
        </w:rPr>
        <w:t xml:space="preserve">associated with mature symptomless apple fruit </w:t>
      </w:r>
      <w:r w:rsidRPr="00851461">
        <w:rPr>
          <w:noProof/>
        </w:rPr>
        <w:t>(Roberts 2002)</w:t>
      </w:r>
      <w:r w:rsidRPr="00851461">
        <w:t xml:space="preserve">, </w:t>
      </w:r>
      <w:r w:rsidRPr="00851461">
        <w:rPr>
          <w:lang w:eastAsia="en-AU"/>
        </w:rPr>
        <w:t xml:space="preserve">and is only rarely externally associated with mature symptomless apple fruit, even when harvested from blighted trees and orchards </w:t>
      </w:r>
      <w:bookmarkEnd w:id="347"/>
      <w:r w:rsidRPr="00851461">
        <w:rPr>
          <w:noProof/>
          <w:lang w:eastAsia="en-AU"/>
        </w:rPr>
        <w:t>(Roberts, Reymond &amp; McLaughlin 1989)</w:t>
      </w:r>
      <w:r w:rsidRPr="00851461">
        <w:rPr>
          <w:lang w:eastAsia="en-AU"/>
        </w:rPr>
        <w:t xml:space="preserve">. </w:t>
      </w:r>
      <w:hyperlink w:anchor="_ENREF_55" w:tooltip="Deckers, 2010 #43637" w:history="1">
        <w:r w:rsidRPr="00851461">
          <w:rPr>
            <w:noProof/>
          </w:rPr>
          <w:t>Deckers (2010</w:t>
        </w:r>
      </w:hyperlink>
      <w:r w:rsidRPr="00851461">
        <w:t xml:space="preserve">) reported that endophytic infections have not been documented in mature symptomless apple fruit. It has been suggested that the bacteria cannot readily multiply in mature fruit due to the absence of its preferred starch source </w:t>
      </w:r>
      <w:r w:rsidRPr="00851461">
        <w:rPr>
          <w:noProof/>
        </w:rPr>
        <w:t>(Deckers 2010; Paulin 2010; WTO 2010)</w:t>
      </w:r>
      <w:r w:rsidRPr="00851461">
        <w:t>. A complex polysaccharide (starch) carbohydrate named amylum is found in young, immature fruit and is progressively converted to sugars during fruit maturation (</w:t>
      </w:r>
      <w:hyperlink w:anchor="_ENREF_55" w:tooltip="Deckers, 2010 #43637" w:history="1">
        <w:r w:rsidRPr="00851461">
          <w:rPr>
            <w:noProof/>
          </w:rPr>
          <w:t>Deckers 2010</w:t>
        </w:r>
      </w:hyperlink>
      <w:r w:rsidRPr="00851461">
        <w:rPr>
          <w:noProof/>
        </w:rPr>
        <w:t>)</w:t>
      </w:r>
      <w:r w:rsidRPr="00851461">
        <w:t xml:space="preserve">. </w:t>
      </w:r>
    </w:p>
    <w:p w14:paraId="48E9E0A6" w14:textId="77777777" w:rsidR="003438A2" w:rsidRPr="00851461" w:rsidRDefault="003438A2" w:rsidP="003438A2">
      <w:pPr>
        <w:pStyle w:val="ListBullet"/>
        <w:numPr>
          <w:ilvl w:val="0"/>
          <w:numId w:val="15"/>
        </w:numPr>
      </w:pPr>
      <w:r w:rsidRPr="00851461">
        <w:t xml:space="preserve">Maturity testing and sourcing only of mature symptomless fruit for export are current practices in place in PNW-USA; these practices are comparable to those required for apples from New Zealand in the existing policy </w:t>
      </w:r>
      <w:bookmarkStart w:id="348" w:name="_Hlk112744808"/>
      <w:r w:rsidRPr="00851461">
        <w:rPr>
          <w:noProof/>
          <w:color w:val="000000" w:themeColor="text1"/>
        </w:rPr>
        <w:t>(Biosecurity Australia 2006a, 2011b)</w:t>
      </w:r>
      <w:r w:rsidRPr="00851461">
        <w:rPr>
          <w:color w:val="000000" w:themeColor="text1"/>
        </w:rPr>
        <w:t>.</w:t>
      </w:r>
      <w:bookmarkEnd w:id="348"/>
      <w:r w:rsidRPr="00851461">
        <w:t xml:space="preserve"> Only fruit that meet maturity requirements will be eligible for export from the PNW-USA.</w:t>
      </w:r>
    </w:p>
    <w:p w14:paraId="4F5C1366" w14:textId="77777777" w:rsidR="003438A2" w:rsidRPr="00945750" w:rsidRDefault="003438A2" w:rsidP="007C51A5">
      <w:bookmarkStart w:id="349" w:name="_Hlk44505408"/>
      <w:r w:rsidRPr="00945750">
        <w:rPr>
          <w:i/>
        </w:rPr>
        <w:t>Erwinia amylovora</w:t>
      </w:r>
      <w:r w:rsidRPr="00945750">
        <w:t xml:space="preserve"> </w:t>
      </w:r>
      <w:r>
        <w:t>has poor</w:t>
      </w:r>
      <w:r w:rsidRPr="00945750">
        <w:t xml:space="preserve"> surviv</w:t>
      </w:r>
      <w:r>
        <w:t>al</w:t>
      </w:r>
      <w:r w:rsidRPr="00945750">
        <w:t xml:space="preserve"> epiphytically </w:t>
      </w:r>
      <w:r>
        <w:t xml:space="preserve">(externally) </w:t>
      </w:r>
      <w:r w:rsidRPr="00945750">
        <w:t>on apple fruit</w:t>
      </w:r>
      <w:r>
        <w:t xml:space="preserve"> surfaces</w:t>
      </w:r>
      <w:r w:rsidRPr="00945750">
        <w:t>.</w:t>
      </w:r>
    </w:p>
    <w:bookmarkEnd w:id="349"/>
    <w:p w14:paraId="1A611AC1" w14:textId="77777777" w:rsidR="003438A2" w:rsidRPr="00F70DD6" w:rsidRDefault="003438A2" w:rsidP="003438A2">
      <w:pPr>
        <w:pStyle w:val="ListBullet"/>
        <w:numPr>
          <w:ilvl w:val="0"/>
          <w:numId w:val="15"/>
        </w:numPr>
      </w:pPr>
      <w:r w:rsidRPr="00B44359">
        <w:rPr>
          <w:i/>
        </w:rPr>
        <w:t>Erwinia amylovora</w:t>
      </w:r>
      <w:r w:rsidRPr="001C1C74">
        <w:t xml:space="preserve"> </w:t>
      </w:r>
      <w:r>
        <w:t>was detected</w:t>
      </w:r>
      <w:r w:rsidRPr="001C1C74">
        <w:t xml:space="preserve"> on </w:t>
      </w:r>
      <w:r>
        <w:t>freshly harvested</w:t>
      </w:r>
      <w:r w:rsidRPr="001C1C74">
        <w:t xml:space="preserve">, blemish-free and apparently healthy </w:t>
      </w:r>
      <w:r>
        <w:t xml:space="preserve">mature </w:t>
      </w:r>
      <w:r w:rsidRPr="001C1C74">
        <w:t xml:space="preserve">apple fruit from </w:t>
      </w:r>
      <w:r w:rsidRPr="008806EE">
        <w:t xml:space="preserve">severely infected </w:t>
      </w:r>
      <w:r w:rsidRPr="00DC78DA">
        <w:t>orchard</w:t>
      </w:r>
      <w:r w:rsidRPr="008806EE">
        <w:t>s</w:t>
      </w:r>
      <w:r w:rsidRPr="001C1C74">
        <w:t xml:space="preserve"> </w:t>
      </w:r>
      <w:r>
        <w:rPr>
          <w:noProof/>
        </w:rPr>
        <w:t>(Douglas 2006; Sholberg, Gaunce &amp; Owen 1988)</w:t>
      </w:r>
      <w:r w:rsidRPr="00DC78DA">
        <w:t>.</w:t>
      </w:r>
      <w:r w:rsidRPr="00295993">
        <w:t xml:space="preserve"> </w:t>
      </w:r>
      <w:r>
        <w:t>However, e</w:t>
      </w:r>
      <w:r w:rsidRPr="00F70DD6">
        <w:t xml:space="preserve">piphytic colonies of </w:t>
      </w:r>
      <w:r w:rsidRPr="00F70DD6">
        <w:rPr>
          <w:i/>
        </w:rPr>
        <w:t>E. amylovora</w:t>
      </w:r>
      <w:r w:rsidRPr="00F70DD6">
        <w:t xml:space="preserve"> were not detected on calyces or surfaces of fruit of 6 susceptible apple cultivars from blighted orchards in West Virginia, USA </w:t>
      </w:r>
      <w:r>
        <w:rPr>
          <w:noProof/>
        </w:rPr>
        <w:t>(Van der Zwet, Brown &amp; Wells 1991)</w:t>
      </w:r>
      <w:r w:rsidRPr="00F70DD6">
        <w:t>.</w:t>
      </w:r>
    </w:p>
    <w:p w14:paraId="1A4C2AC4" w14:textId="77777777" w:rsidR="003438A2" w:rsidRPr="00F70DD6" w:rsidRDefault="003438A2" w:rsidP="003438A2">
      <w:pPr>
        <w:pStyle w:val="ListBullet"/>
        <w:numPr>
          <w:ilvl w:val="0"/>
          <w:numId w:val="15"/>
        </w:numPr>
      </w:pPr>
      <w:r>
        <w:t>O</w:t>
      </w:r>
      <w:r w:rsidRPr="00C72DE8">
        <w:t xml:space="preserve">n the surface of fruit, or other plant surfaces, </w:t>
      </w:r>
      <w:r w:rsidRPr="00EB2584">
        <w:rPr>
          <w:i/>
        </w:rPr>
        <w:t>E. amylovora</w:t>
      </w:r>
      <w:r w:rsidRPr="00C72DE8">
        <w:t xml:space="preserve"> is exposed to an adverse environment that results in </w:t>
      </w:r>
      <w:r>
        <w:t xml:space="preserve">a </w:t>
      </w:r>
      <w:r w:rsidRPr="00C72DE8">
        <w:t>very high decline in bacterial numbers. For example,</w:t>
      </w:r>
      <w:r>
        <w:t xml:space="preserve"> </w:t>
      </w:r>
      <w:r>
        <w:rPr>
          <w:noProof/>
        </w:rPr>
        <w:t xml:space="preserve">Sholberg, </w:t>
      </w:r>
      <w:r>
        <w:rPr>
          <w:noProof/>
        </w:rPr>
        <w:lastRenderedPageBreak/>
        <w:t>Gaunce and Owen (1988)</w:t>
      </w:r>
      <w:r>
        <w:t xml:space="preserve"> f</w:t>
      </w:r>
      <w:r w:rsidRPr="00C72DE8">
        <w:t>ound declines in bacterial numbers on fruit surface</w:t>
      </w:r>
      <w:r>
        <w:t>s</w:t>
      </w:r>
      <w:r w:rsidRPr="00C72DE8">
        <w:t xml:space="preserve"> under humid conditions or cold storage at 2</w:t>
      </w:r>
      <w:r w:rsidRPr="00EB2584">
        <w:rPr>
          <w:rFonts w:cstheme="minorHAnsi"/>
        </w:rPr>
        <w:t>°</w:t>
      </w:r>
      <w:r w:rsidRPr="00C72DE8">
        <w:t>C for five months</w:t>
      </w:r>
      <w:r>
        <w:t>,</w:t>
      </w:r>
      <w:r w:rsidRPr="00C72DE8">
        <w:t xml:space="preserve"> </w:t>
      </w:r>
      <w:r>
        <w:t xml:space="preserve">and </w:t>
      </w:r>
      <w:r w:rsidRPr="00C72DE8">
        <w:t>vulnerability of the bacterium to desiccation or 6 hours</w:t>
      </w:r>
      <w:r>
        <w:t xml:space="preserve"> of exposure to solar radiation was observed by </w:t>
      </w:r>
      <w:bookmarkStart w:id="350" w:name="_Hlk47297516"/>
      <w:r w:rsidRPr="00F70DD6">
        <w:t xml:space="preserve">Maas Geesteranus and de Vries </w:t>
      </w:r>
      <w:bookmarkEnd w:id="350"/>
      <w:r>
        <w:rPr>
          <w:noProof/>
        </w:rPr>
        <w:t>(1984)</w:t>
      </w:r>
      <w:r>
        <w:t>.</w:t>
      </w:r>
    </w:p>
    <w:p w14:paraId="77117412" w14:textId="77777777" w:rsidR="003438A2" w:rsidRPr="00F70DD6" w:rsidRDefault="003438A2" w:rsidP="003438A2">
      <w:pPr>
        <w:pStyle w:val="ListBullet"/>
        <w:numPr>
          <w:ilvl w:val="0"/>
          <w:numId w:val="15"/>
        </w:numPr>
      </w:pPr>
      <w:bookmarkStart w:id="351" w:name="_Hlk47297406"/>
      <w:r w:rsidRPr="00F70DD6">
        <w:t xml:space="preserve">Manceau </w:t>
      </w:r>
      <w:r>
        <w:rPr>
          <w:noProof/>
        </w:rPr>
        <w:t>(1990)</w:t>
      </w:r>
      <w:r w:rsidRPr="00F70DD6">
        <w:t xml:space="preserve"> </w:t>
      </w:r>
      <w:bookmarkEnd w:id="351"/>
      <w:r w:rsidRPr="00F70DD6">
        <w:t xml:space="preserve">concluded that </w:t>
      </w:r>
      <w:r w:rsidRPr="00F70DD6">
        <w:rPr>
          <w:i/>
        </w:rPr>
        <w:t xml:space="preserve">E. amylovora </w:t>
      </w:r>
      <w:r w:rsidRPr="00F70DD6">
        <w:t xml:space="preserve">had poor epiphytic fitness under the conditions observed in France. The epiphytic fitness of </w:t>
      </w:r>
      <w:r w:rsidRPr="00F70DD6">
        <w:rPr>
          <w:i/>
        </w:rPr>
        <w:t>E. amylovora</w:t>
      </w:r>
      <w:r w:rsidRPr="00F70DD6">
        <w:t xml:space="preserve"> present on apple leaves after rain events in summer in the USA was also reported to be low </w:t>
      </w:r>
      <w:r>
        <w:rPr>
          <w:noProof/>
        </w:rPr>
        <w:t>(Norelli &amp; Brandi 2006)</w:t>
      </w:r>
      <w:r w:rsidRPr="00F70DD6">
        <w:t xml:space="preserve">. Thomson </w:t>
      </w:r>
      <w:r>
        <w:rPr>
          <w:noProof/>
        </w:rPr>
        <w:t>(1999)</w:t>
      </w:r>
      <w:r w:rsidRPr="00F70DD6">
        <w:t xml:space="preserve"> concluded that only transient populations of </w:t>
      </w:r>
      <w:r w:rsidRPr="00F70DD6">
        <w:rPr>
          <w:i/>
        </w:rPr>
        <w:t xml:space="preserve">E. amylovora </w:t>
      </w:r>
      <w:r w:rsidRPr="00F70DD6">
        <w:t>were present on leaves following rain storms.</w:t>
      </w:r>
    </w:p>
    <w:p w14:paraId="739ED2B1" w14:textId="77777777" w:rsidR="003438A2" w:rsidRDefault="003438A2" w:rsidP="003438A2">
      <w:pPr>
        <w:pStyle w:val="ListBullet"/>
        <w:numPr>
          <w:ilvl w:val="0"/>
          <w:numId w:val="15"/>
        </w:numPr>
      </w:pPr>
      <w:r w:rsidRPr="00295993">
        <w:t>Temple</w:t>
      </w:r>
      <w:r>
        <w:t xml:space="preserve"> at al.</w:t>
      </w:r>
      <w:r w:rsidRPr="00F70DD6">
        <w:t xml:space="preserve"> </w:t>
      </w:r>
      <w:r>
        <w:rPr>
          <w:noProof/>
        </w:rPr>
        <w:t>(2007)</w:t>
      </w:r>
      <w:r w:rsidRPr="00F70DD6">
        <w:t xml:space="preserve"> conducted experiments using </w:t>
      </w:r>
      <w:r w:rsidRPr="00F70DD6">
        <w:rPr>
          <w:i/>
        </w:rPr>
        <w:t>E. amylovora</w:t>
      </w:r>
      <w:r w:rsidRPr="00F70DD6">
        <w:t xml:space="preserve"> from cultures and air</w:t>
      </w:r>
      <w:r w:rsidRPr="00F70DD6">
        <w:noBreakHyphen/>
        <w:t xml:space="preserve">dried ooze from diseased fruits. </w:t>
      </w:r>
      <w:r>
        <w:t>In one experiment, i</w:t>
      </w:r>
      <w:r w:rsidRPr="00F70DD6">
        <w:t>mmature pear or apple fruits on trees were artificially covered by an inoculum suspension with 10</w:t>
      </w:r>
      <w:r w:rsidRPr="00F70DD6">
        <w:rPr>
          <w:vertAlign w:val="superscript"/>
        </w:rPr>
        <w:t xml:space="preserve">7 </w:t>
      </w:r>
      <w:r w:rsidRPr="00F70DD6">
        <w:t>cfu/ml</w:t>
      </w:r>
      <w:r>
        <w:t>.</w:t>
      </w:r>
      <w:r w:rsidRPr="00F70DD6">
        <w:t xml:space="preserve"> Resultant epiphytic populations of </w:t>
      </w:r>
      <w:r w:rsidRPr="00F70DD6">
        <w:rPr>
          <w:i/>
        </w:rPr>
        <w:t>E. amylovora</w:t>
      </w:r>
      <w:r w:rsidRPr="00F70DD6">
        <w:t xml:space="preserve"> declined by an order of magnitude every </w:t>
      </w:r>
      <w:r>
        <w:t>three</w:t>
      </w:r>
      <w:r w:rsidRPr="00F70DD6">
        <w:t xml:space="preserve"> to </w:t>
      </w:r>
      <w:r>
        <w:t>four</w:t>
      </w:r>
      <w:r w:rsidRPr="00F70DD6">
        <w:t xml:space="preserve"> days in the first </w:t>
      </w:r>
      <w:r>
        <w:t>two</w:t>
      </w:r>
      <w:r w:rsidRPr="00F70DD6">
        <w:t xml:space="preserve"> weeks following inoculation. From an initial population of 1.6 x 10</w:t>
      </w:r>
      <w:r w:rsidRPr="00F70DD6">
        <w:rPr>
          <w:vertAlign w:val="superscript"/>
        </w:rPr>
        <w:t>7</w:t>
      </w:r>
      <w:r w:rsidRPr="00F70DD6">
        <w:t xml:space="preserve"> cfu, by day 56 only one of 450 pear fruit tested positive, and harboured only 4 cfu </w:t>
      </w:r>
      <w:r>
        <w:rPr>
          <w:noProof/>
        </w:rPr>
        <w:t>(Temple et al. 2007)</w:t>
      </w:r>
      <w:r w:rsidRPr="00F70DD6">
        <w:t xml:space="preserve">. No </w:t>
      </w:r>
      <w:r w:rsidRPr="00F70DD6">
        <w:rPr>
          <w:i/>
        </w:rPr>
        <w:t>E. amylovora</w:t>
      </w:r>
      <w:r w:rsidRPr="00F70DD6">
        <w:t xml:space="preserve"> could be detected on apple fruit after 35 days </w:t>
      </w:r>
      <w:r>
        <w:rPr>
          <w:noProof/>
        </w:rPr>
        <w:t>(Temple et al. 2007)</w:t>
      </w:r>
      <w:r w:rsidRPr="00F70DD6">
        <w:t xml:space="preserve">. This study demonstrated the poor survival and rapid decline of </w:t>
      </w:r>
      <w:r w:rsidRPr="00F70DD6">
        <w:rPr>
          <w:i/>
        </w:rPr>
        <w:t>E. amylovora</w:t>
      </w:r>
      <w:r w:rsidRPr="00F70DD6">
        <w:t xml:space="preserve"> bacteria, even from very high levels, on the surface of fruit.</w:t>
      </w:r>
    </w:p>
    <w:p w14:paraId="2F05CFC1" w14:textId="77777777" w:rsidR="003438A2" w:rsidRPr="00626D2A" w:rsidRDefault="003438A2" w:rsidP="003438A2">
      <w:pPr>
        <w:pStyle w:val="ListBullet"/>
        <w:numPr>
          <w:ilvl w:val="0"/>
          <w:numId w:val="15"/>
        </w:numPr>
      </w:pPr>
      <w:r w:rsidRPr="00F70DD6">
        <w:t xml:space="preserve">The likelihood of viable epiphytic bacteria occurring on the mature fruit surface other than the calyx at the time of apple picking is considered to be very </w:t>
      </w:r>
      <w:r w:rsidRPr="001447C8">
        <w:t xml:space="preserve">low </w:t>
      </w:r>
      <w:r>
        <w:rPr>
          <w:noProof/>
        </w:rPr>
        <w:t>(Roberts, Reymond &amp; McLaughlin 1989)</w:t>
      </w:r>
      <w:r w:rsidRPr="00F70DD6">
        <w:t xml:space="preserve"> and the likelihood of transfer of bacteria to clean fruit during </w:t>
      </w:r>
      <w:r>
        <w:t>processing</w:t>
      </w:r>
      <w:r w:rsidRPr="00F70DD6">
        <w:t xml:space="preserve"> and transport even lower. </w:t>
      </w:r>
    </w:p>
    <w:p w14:paraId="0CFFF7E8" w14:textId="77777777" w:rsidR="003438A2" w:rsidRPr="00945750" w:rsidRDefault="003438A2" w:rsidP="00C67856">
      <w:bookmarkStart w:id="352" w:name="_Hlk44505007"/>
      <w:r w:rsidRPr="00945750">
        <w:rPr>
          <w:i/>
        </w:rPr>
        <w:t>Erwinia amylovora</w:t>
      </w:r>
      <w:r w:rsidRPr="00945750">
        <w:t xml:space="preserve"> may be associated with the fruit pathway </w:t>
      </w:r>
      <w:r>
        <w:t>as the bacterium can</w:t>
      </w:r>
      <w:r w:rsidRPr="00945750">
        <w:t xml:space="preserve"> </w:t>
      </w:r>
      <w:r>
        <w:t xml:space="preserve">be detected in the fruit </w:t>
      </w:r>
      <w:r w:rsidRPr="00945750">
        <w:t>calyx</w:t>
      </w:r>
      <w:r>
        <w:t xml:space="preserve"> at low levels, particularly in fruit from severely infected orchards</w:t>
      </w:r>
      <w:r w:rsidRPr="00945750">
        <w:t>.</w:t>
      </w:r>
    </w:p>
    <w:bookmarkEnd w:id="352"/>
    <w:p w14:paraId="52D63C1F" w14:textId="77777777" w:rsidR="003438A2" w:rsidRDefault="003438A2" w:rsidP="003438A2">
      <w:pPr>
        <w:pStyle w:val="ListBullet"/>
        <w:numPr>
          <w:ilvl w:val="0"/>
          <w:numId w:val="15"/>
        </w:numPr>
      </w:pPr>
      <w:r>
        <w:rPr>
          <w:i/>
        </w:rPr>
        <w:t>Erwinia amylovora</w:t>
      </w:r>
      <w:r>
        <w:t xml:space="preserve"> predominantly colonises flowers </w:t>
      </w:r>
      <w:r>
        <w:rPr>
          <w:noProof/>
        </w:rPr>
        <w:t>(Thomson 1986, 2000)</w:t>
      </w:r>
      <w:r>
        <w:t xml:space="preserve">, and low bacterial numbers have also been recorded </w:t>
      </w:r>
      <w:r>
        <w:rPr>
          <w:noProof/>
        </w:rPr>
        <w:t>(Roberts 2002)</w:t>
      </w:r>
      <w:r>
        <w:t xml:space="preserve"> on dried remnant flower parts subsumed into the calyx sinus of mature fruit </w:t>
      </w:r>
      <w:r>
        <w:rPr>
          <w:iCs/>
          <w:noProof/>
        </w:rPr>
        <w:t>(Hale, McRae &amp; Thomson 1987; Sholberg, Gaunce &amp; Owen 1988; Temple et al. 2007)</w:t>
      </w:r>
      <w:r w:rsidRPr="001D3E86">
        <w:t xml:space="preserve">. </w:t>
      </w:r>
    </w:p>
    <w:p w14:paraId="7FCD5DFB" w14:textId="77777777" w:rsidR="003438A2" w:rsidRPr="00CC2CDD" w:rsidRDefault="003438A2" w:rsidP="003438A2">
      <w:pPr>
        <w:pStyle w:val="ListBullet"/>
        <w:numPr>
          <w:ilvl w:val="0"/>
          <w:numId w:val="15"/>
        </w:numPr>
      </w:pPr>
      <w:r w:rsidRPr="006F3F1B">
        <w:t>In a severely infected orchard</w:t>
      </w:r>
      <w:r w:rsidRPr="00FA5B74">
        <w:t xml:space="preserve"> </w:t>
      </w:r>
      <w:r>
        <w:t xml:space="preserve">in </w:t>
      </w:r>
      <w:r w:rsidRPr="006F3F1B">
        <w:t xml:space="preserve">New Zealand, the proportion of fruit carrying </w:t>
      </w:r>
      <w:r w:rsidRPr="006F3F1B">
        <w:rPr>
          <w:i/>
        </w:rPr>
        <w:t>E. amylovora</w:t>
      </w:r>
      <w:r w:rsidRPr="006F3F1B">
        <w:t xml:space="preserve"> was assessed over a 100-day period from the immature fruitlet stage to harvest </w:t>
      </w:r>
      <w:r>
        <w:rPr>
          <w:noProof/>
        </w:rPr>
        <w:t>(Hale, McRae &amp; Thomson 1987)</w:t>
      </w:r>
      <w:r w:rsidRPr="006F3F1B">
        <w:t xml:space="preserve">. </w:t>
      </w:r>
      <w:r>
        <w:t xml:space="preserve">Initially, </w:t>
      </w:r>
      <w:r w:rsidRPr="006F3F1B">
        <w:rPr>
          <w:i/>
        </w:rPr>
        <w:t>E. amylovora</w:t>
      </w:r>
      <w:r w:rsidRPr="006F3F1B">
        <w:t xml:space="preserve"> </w:t>
      </w:r>
      <w:r>
        <w:t>was found in</w:t>
      </w:r>
      <w:r w:rsidRPr="006F3F1B">
        <w:t xml:space="preserve"> 53% of fruitlet</w:t>
      </w:r>
      <w:r>
        <w:t xml:space="preserve"> calyce</w:t>
      </w:r>
      <w:r w:rsidRPr="006F3F1B">
        <w:t xml:space="preserve">s, </w:t>
      </w:r>
      <w:r>
        <w:t xml:space="preserve">but </w:t>
      </w:r>
      <w:r w:rsidRPr="006F3F1B">
        <w:t xml:space="preserve">by harvest </w:t>
      </w:r>
      <w:r>
        <w:t xml:space="preserve">it was isolated from </w:t>
      </w:r>
      <w:r w:rsidRPr="006F3F1B">
        <w:t xml:space="preserve">only 3.5% of mature fruit </w:t>
      </w:r>
      <w:r>
        <w:t>and from less than 1%</w:t>
      </w:r>
      <w:r w:rsidRPr="006F3F1B">
        <w:rPr>
          <w:iCs/>
        </w:rPr>
        <w:t xml:space="preserve"> </w:t>
      </w:r>
      <w:r>
        <w:rPr>
          <w:iCs/>
        </w:rPr>
        <w:t>of</w:t>
      </w:r>
      <w:r w:rsidRPr="006F3F1B">
        <w:t xml:space="preserve"> calyces of mature fruit</w:t>
      </w:r>
      <w:r w:rsidRPr="006F3F1B">
        <w:rPr>
          <w:iCs/>
        </w:rPr>
        <w:t xml:space="preserve"> </w:t>
      </w:r>
      <w:r>
        <w:rPr>
          <w:iCs/>
          <w:noProof/>
        </w:rPr>
        <w:t>(Hale, McRae &amp; Thomson 1987)</w:t>
      </w:r>
      <w:r>
        <w:rPr>
          <w:iCs/>
        </w:rPr>
        <w:t xml:space="preserve">. </w:t>
      </w:r>
      <w:r w:rsidRPr="0079712A">
        <w:rPr>
          <w:i/>
          <w:iCs/>
        </w:rPr>
        <w:t>E</w:t>
      </w:r>
      <w:r>
        <w:rPr>
          <w:i/>
          <w:iCs/>
        </w:rPr>
        <w:t>rwinia</w:t>
      </w:r>
      <w:r w:rsidRPr="0079712A">
        <w:rPr>
          <w:i/>
          <w:iCs/>
        </w:rPr>
        <w:t> amylovora</w:t>
      </w:r>
      <w:r>
        <w:rPr>
          <w:i/>
          <w:iCs/>
        </w:rPr>
        <w:t xml:space="preserve"> </w:t>
      </w:r>
      <w:r>
        <w:t>was not isolated from</w:t>
      </w:r>
      <w:r>
        <w:rPr>
          <w:iCs/>
        </w:rPr>
        <w:t xml:space="preserve"> mature fruit from orchards with no visible infections </w:t>
      </w:r>
      <w:r>
        <w:rPr>
          <w:iCs/>
          <w:noProof/>
        </w:rPr>
        <w:t>(Hale, McRae &amp; Thomson 1987)</w:t>
      </w:r>
      <w:r>
        <w:rPr>
          <w:iCs/>
        </w:rPr>
        <w:t xml:space="preserve">. In a second study, </w:t>
      </w:r>
      <w:r>
        <w:rPr>
          <w:i/>
        </w:rPr>
        <w:t xml:space="preserve">E. amylovora </w:t>
      </w:r>
      <w:r>
        <w:rPr>
          <w:iCs/>
        </w:rPr>
        <w:t>was isolated from</w:t>
      </w:r>
      <w:r>
        <w:t xml:space="preserve"> 2%</w:t>
      </w:r>
      <w:r w:rsidRPr="0079712A">
        <w:t xml:space="preserve"> of fruit immediately after harvest from orchards with average level</w:t>
      </w:r>
      <w:r>
        <w:t>s</w:t>
      </w:r>
      <w:r w:rsidRPr="0079712A">
        <w:t xml:space="preserve"> of fire blight symptoms </w:t>
      </w:r>
      <w:r>
        <w:rPr>
          <w:noProof/>
        </w:rPr>
        <w:t>(Hale &amp; Taylor 1999)</w:t>
      </w:r>
      <w:r>
        <w:rPr>
          <w:rFonts w:eastAsia="Calibri" w:cs="Times New Roman"/>
          <w:iCs/>
        </w:rPr>
        <w:t xml:space="preserve">. </w:t>
      </w:r>
    </w:p>
    <w:p w14:paraId="049B5588" w14:textId="77777777" w:rsidR="003438A2" w:rsidRPr="000E0D58" w:rsidRDefault="003438A2" w:rsidP="003438A2">
      <w:pPr>
        <w:pStyle w:val="ListBullet"/>
        <w:numPr>
          <w:ilvl w:val="0"/>
          <w:numId w:val="15"/>
        </w:numPr>
      </w:pPr>
      <w:r w:rsidRPr="004174CB">
        <w:rPr>
          <w:i/>
        </w:rPr>
        <w:t>Erwinia</w:t>
      </w:r>
      <w:r>
        <w:rPr>
          <w:i/>
        </w:rPr>
        <w:t xml:space="preserve"> </w:t>
      </w:r>
      <w:r w:rsidRPr="004174CB">
        <w:rPr>
          <w:i/>
        </w:rPr>
        <w:t xml:space="preserve">amylovora </w:t>
      </w:r>
      <w:r>
        <w:t xml:space="preserve">was not isolated by direct plating of washings of the calyx-end or main portion of 1,400 fruit harvested from trees in lightly infested orchards, that is, orchards with only one or two infected trees </w:t>
      </w:r>
      <w:r>
        <w:rPr>
          <w:iCs/>
          <w:noProof/>
        </w:rPr>
        <w:t>(Hale, McRae &amp; Thomson 1987)</w:t>
      </w:r>
      <w:r w:rsidRPr="004174CB">
        <w:rPr>
          <w:iCs/>
        </w:rPr>
        <w:t>.</w:t>
      </w:r>
      <w:r>
        <w:rPr>
          <w:iCs/>
        </w:rPr>
        <w:t xml:space="preserve"> In a further assessment, </w:t>
      </w:r>
      <w:r w:rsidRPr="004174CB">
        <w:rPr>
          <w:i/>
        </w:rPr>
        <w:t>E</w:t>
      </w:r>
      <w:r>
        <w:rPr>
          <w:i/>
        </w:rPr>
        <w:t>.</w:t>
      </w:r>
      <w:r w:rsidRPr="004174CB">
        <w:rPr>
          <w:i/>
        </w:rPr>
        <w:t> amylovora</w:t>
      </w:r>
      <w:r w:rsidRPr="000E0D58">
        <w:t xml:space="preserve"> was not detected at harvest, either in the calyces or on the surfaces of 173 mature fruit sampled </w:t>
      </w:r>
      <w:r>
        <w:t xml:space="preserve">from </w:t>
      </w:r>
      <w:r w:rsidRPr="000E0D58">
        <w:t>within 5</w:t>
      </w:r>
      <w:r>
        <w:t xml:space="preserve"> </w:t>
      </w:r>
      <w:r w:rsidRPr="000E0D58">
        <w:t xml:space="preserve">cm of </w:t>
      </w:r>
      <w:r>
        <w:t xml:space="preserve">experimental field </w:t>
      </w:r>
      <w:r w:rsidRPr="000E0D58">
        <w:t>inocul</w:t>
      </w:r>
      <w:r>
        <w:t xml:space="preserve">ation </w:t>
      </w:r>
      <w:r w:rsidRPr="000E0D58">
        <w:t xml:space="preserve">sites approximately </w:t>
      </w:r>
      <w:r>
        <w:t>four</w:t>
      </w:r>
      <w:r w:rsidRPr="000E0D58">
        <w:t xml:space="preserve"> months after inoculation </w:t>
      </w:r>
      <w:r>
        <w:rPr>
          <w:noProof/>
        </w:rPr>
        <w:t>(Hale, Taylor &amp; Clark 1996)</w:t>
      </w:r>
      <w:r w:rsidRPr="000E0D58">
        <w:t>.</w:t>
      </w:r>
    </w:p>
    <w:p w14:paraId="562CF2E2" w14:textId="77777777" w:rsidR="003438A2" w:rsidRPr="000C4803" w:rsidRDefault="003438A2" w:rsidP="003438A2">
      <w:pPr>
        <w:pStyle w:val="ListBullet"/>
        <w:numPr>
          <w:ilvl w:val="0"/>
          <w:numId w:val="15"/>
        </w:numPr>
        <w:rPr>
          <w:szCs w:val="20"/>
        </w:rPr>
      </w:pPr>
      <w:r w:rsidRPr="000E0D58">
        <w:rPr>
          <w:rFonts w:eastAsia="Times New Roman"/>
        </w:rPr>
        <w:t>In Ontario</w:t>
      </w:r>
      <w:r w:rsidRPr="000E0D58">
        <w:t xml:space="preserve">, </w:t>
      </w:r>
      <w:r w:rsidRPr="000E0D58">
        <w:rPr>
          <w:i/>
        </w:rPr>
        <w:t>E. amylovora</w:t>
      </w:r>
      <w:r w:rsidRPr="000E0D58">
        <w:t xml:space="preserve"> was not isolated from tissues of the stem-end and calyx-end of 60 </w:t>
      </w:r>
      <w:r w:rsidRPr="000C4803">
        <w:t xml:space="preserve">mature fruit harvested from severely infested apple trees </w:t>
      </w:r>
      <w:r>
        <w:rPr>
          <w:noProof/>
        </w:rPr>
        <w:t>(Dueck 1974)</w:t>
      </w:r>
      <w:r w:rsidRPr="000C4803">
        <w:t>.</w:t>
      </w:r>
    </w:p>
    <w:p w14:paraId="156EB5F3" w14:textId="77777777" w:rsidR="003438A2" w:rsidRPr="008D1307" w:rsidRDefault="003438A2" w:rsidP="003438A2">
      <w:pPr>
        <w:pStyle w:val="ListBullet"/>
        <w:numPr>
          <w:ilvl w:val="0"/>
          <w:numId w:val="15"/>
        </w:numPr>
        <w:rPr>
          <w:rFonts w:eastAsia="Arial Unicode MS"/>
        </w:rPr>
      </w:pPr>
      <w:r w:rsidRPr="000C4803">
        <w:t xml:space="preserve">Roberts </w:t>
      </w:r>
      <w:r w:rsidRPr="00E611C7">
        <w:t xml:space="preserve">and Sawyer </w:t>
      </w:r>
      <w:r>
        <w:rPr>
          <w:noProof/>
        </w:rPr>
        <w:t>(2008)</w:t>
      </w:r>
      <w:r w:rsidRPr="000C4803">
        <w:t xml:space="preserve"> reviewed the literature concerning the presence of </w:t>
      </w:r>
      <w:r w:rsidRPr="008D1307">
        <w:rPr>
          <w:i/>
        </w:rPr>
        <w:t>E. amylovora</w:t>
      </w:r>
      <w:r w:rsidRPr="000C4803">
        <w:t xml:space="preserve"> on apple fruit in Canada, USA and New Zealand</w:t>
      </w:r>
      <w:r>
        <w:t>; t</w:t>
      </w:r>
      <w:r w:rsidRPr="000C4803">
        <w:t xml:space="preserve">hey concluded that </w:t>
      </w:r>
      <w:r w:rsidRPr="008D1307">
        <w:rPr>
          <w:i/>
        </w:rPr>
        <w:t>E. amylovora</w:t>
      </w:r>
      <w:r w:rsidRPr="000C4803">
        <w:t xml:space="preserve"> </w:t>
      </w:r>
      <w:r>
        <w:t xml:space="preserve">was detected in </w:t>
      </w:r>
      <w:r w:rsidRPr="000C4803">
        <w:t>1.3% of apple fruit from orchards with fire blight</w:t>
      </w:r>
      <w:r>
        <w:t xml:space="preserve"> symptoms</w:t>
      </w:r>
      <w:r w:rsidRPr="000C4803">
        <w:t xml:space="preserve">. </w:t>
      </w:r>
    </w:p>
    <w:p w14:paraId="5346E9B1" w14:textId="77777777" w:rsidR="003438A2" w:rsidRDefault="003438A2" w:rsidP="003438A2">
      <w:pPr>
        <w:pStyle w:val="ListBullet"/>
        <w:numPr>
          <w:ilvl w:val="0"/>
          <w:numId w:val="15"/>
        </w:numPr>
      </w:pPr>
      <w:r w:rsidRPr="009879B7">
        <w:lastRenderedPageBreak/>
        <w:t xml:space="preserve">In the USA, mature apples and pears developed from blossoms inoculated with </w:t>
      </w:r>
      <w:r w:rsidRPr="009879B7">
        <w:rPr>
          <w:i/>
        </w:rPr>
        <w:t>E. amylovora</w:t>
      </w:r>
      <w:r w:rsidRPr="009879B7">
        <w:t xml:space="preserve"> showed very low levels of bacteria in the calyces. An average of 7</w:t>
      </w:r>
      <w:r>
        <w:t xml:space="preserve"> </w:t>
      </w:r>
      <w:r w:rsidRPr="009879B7">
        <w:t xml:space="preserve">cfu of </w:t>
      </w:r>
      <w:r w:rsidRPr="009879B7">
        <w:rPr>
          <w:i/>
        </w:rPr>
        <w:t xml:space="preserve">E. amylovora </w:t>
      </w:r>
      <w:r w:rsidRPr="009879B7">
        <w:t>was recorded</w:t>
      </w:r>
      <w:r w:rsidRPr="009879B7">
        <w:rPr>
          <w:i/>
        </w:rPr>
        <w:t xml:space="preserve"> </w:t>
      </w:r>
      <w:r w:rsidRPr="009879B7">
        <w:t>from the detectably infected 3.3% of the pear fruit sampled over a two</w:t>
      </w:r>
      <w:r>
        <w:t>-</w:t>
      </w:r>
      <w:r w:rsidRPr="009879B7">
        <w:t xml:space="preserve">year experimental period. In apples, no </w:t>
      </w:r>
      <w:r w:rsidRPr="009879B7">
        <w:rPr>
          <w:i/>
        </w:rPr>
        <w:t>E. amylovora</w:t>
      </w:r>
      <w:r w:rsidRPr="009879B7">
        <w:t xml:space="preserve"> could be detected at harvest </w:t>
      </w:r>
      <w:r>
        <w:rPr>
          <w:noProof/>
        </w:rPr>
        <w:t>(Temple et al. 2007)</w:t>
      </w:r>
      <w:r w:rsidRPr="009879B7">
        <w:t>.</w:t>
      </w:r>
    </w:p>
    <w:p w14:paraId="628010E7" w14:textId="77777777" w:rsidR="003438A2" w:rsidRPr="00626D2A" w:rsidRDefault="003438A2" w:rsidP="00C67856">
      <w:bookmarkStart w:id="353" w:name="_Hlk44505769"/>
      <w:r w:rsidRPr="00626D2A">
        <w:rPr>
          <w:i/>
        </w:rPr>
        <w:t>Erwinia amylovora</w:t>
      </w:r>
      <w:r w:rsidRPr="00626D2A">
        <w:rPr>
          <w:iCs/>
        </w:rPr>
        <w:t xml:space="preserve"> present</w:t>
      </w:r>
      <w:r w:rsidRPr="00626D2A">
        <w:t xml:space="preserve"> in the fruit calyx may survive packing house procedures, but will decrease over time during </w:t>
      </w:r>
      <w:r>
        <w:t xml:space="preserve">cold </w:t>
      </w:r>
      <w:r w:rsidRPr="00626D2A">
        <w:t>storage and transport.</w:t>
      </w:r>
    </w:p>
    <w:bookmarkEnd w:id="353"/>
    <w:p w14:paraId="66155372" w14:textId="77777777" w:rsidR="003438A2" w:rsidRPr="0028360C" w:rsidRDefault="003438A2" w:rsidP="00FA6434">
      <w:pPr>
        <w:pStyle w:val="ListBullet"/>
        <w:numPr>
          <w:ilvl w:val="0"/>
          <w:numId w:val="0"/>
        </w:numPr>
        <w:ind w:left="397" w:hanging="397"/>
      </w:pPr>
      <w:r>
        <w:t>During s</w:t>
      </w:r>
      <w:r w:rsidRPr="00626D2A">
        <w:t>tandard procedures in packing houses in the PNW-USA</w:t>
      </w:r>
      <w:r>
        <w:t>,</w:t>
      </w:r>
      <w:r w:rsidRPr="00626D2A">
        <w:t xml:space="preserve"> fruit are washed/soaked in a chlorinated dump tank (with chlorine concentration and pH being regularly monitored), transported in a water stream</w:t>
      </w:r>
      <w:r>
        <w:t>,</w:t>
      </w:r>
      <w:r w:rsidRPr="00626D2A">
        <w:t xml:space="preserve"> </w:t>
      </w:r>
      <w:r>
        <w:t>then</w:t>
      </w:r>
      <w:r w:rsidRPr="00626D2A">
        <w:t xml:space="preserve"> high-pressure washed, brushed and </w:t>
      </w:r>
      <w:bookmarkStart w:id="354" w:name="_Hlk100214249"/>
      <w:r w:rsidRPr="00626D2A">
        <w:t>rinsed in the packing line</w:t>
      </w:r>
      <w:r>
        <w:t>,</w:t>
      </w:r>
      <w:r w:rsidRPr="00626D2A">
        <w:t xml:space="preserve"> excess water is removed from fruit by rollers and brushes, and wax is applied </w:t>
      </w:r>
      <w:r>
        <w:rPr>
          <w:noProof/>
        </w:rPr>
        <w:t>(Washington State University 2018b)</w:t>
      </w:r>
      <w:r w:rsidRPr="00626D2A">
        <w:t xml:space="preserve">. </w:t>
      </w:r>
      <w:bookmarkEnd w:id="354"/>
      <w:r w:rsidRPr="00626D2A">
        <w:rPr>
          <w:iCs/>
        </w:rPr>
        <w:t xml:space="preserve">Washing procedures are </w:t>
      </w:r>
      <w:r>
        <w:rPr>
          <w:iCs/>
        </w:rPr>
        <w:t>considered</w:t>
      </w:r>
      <w:r w:rsidRPr="00626D2A">
        <w:rPr>
          <w:iCs/>
        </w:rPr>
        <w:t xml:space="preserve"> to remove the majority of any </w:t>
      </w:r>
      <w:r w:rsidRPr="00626D2A">
        <w:rPr>
          <w:i/>
        </w:rPr>
        <w:t>E. amylovora</w:t>
      </w:r>
      <w:r w:rsidRPr="00626D2A">
        <w:t xml:space="preserve"> present on the surface of apple fruit </w:t>
      </w:r>
      <w:r w:rsidRPr="00626D2A">
        <w:rPr>
          <w:noProof/>
        </w:rPr>
        <w:t>(Ayers, Ayers &amp; Goodman 1979)</w:t>
      </w:r>
      <w:r w:rsidRPr="00626D2A">
        <w:t xml:space="preserve">. </w:t>
      </w:r>
      <w:bookmarkStart w:id="355" w:name="_Hlk100214294"/>
      <w:r w:rsidRPr="00626D2A">
        <w:t>Chlorine solutions have been shown to be effective at controlling a range of pathogens</w:t>
      </w:r>
      <w:r>
        <w:t xml:space="preserve"> </w:t>
      </w:r>
      <w:r w:rsidRPr="00851461">
        <w:rPr>
          <w:noProof/>
        </w:rPr>
        <w:t>(Brown 2002; Kupferman 1984; Suslow 2004)</w:t>
      </w:r>
      <w:r w:rsidRPr="00851461">
        <w:t>.</w:t>
      </w:r>
      <w:bookmarkStart w:id="356" w:name="_Hlk112743898"/>
    </w:p>
    <w:bookmarkEnd w:id="356"/>
    <w:p w14:paraId="5B2F1AF9" w14:textId="77777777" w:rsidR="003438A2" w:rsidRPr="00F70DD6" w:rsidRDefault="003438A2" w:rsidP="00F843A1">
      <w:pPr>
        <w:pStyle w:val="ListBullet"/>
        <w:numPr>
          <w:ilvl w:val="0"/>
          <w:numId w:val="24"/>
        </w:numPr>
        <w:tabs>
          <w:tab w:val="clear" w:pos="360"/>
          <w:tab w:val="num" w:pos="426"/>
        </w:tabs>
        <w:ind w:left="426"/>
      </w:pPr>
      <w:r>
        <w:t>Cell wall e</w:t>
      </w:r>
      <w:r w:rsidRPr="00F70DD6">
        <w:t xml:space="preserve">xopolysaccharides that protect </w:t>
      </w:r>
      <w:r w:rsidRPr="00F70DD6">
        <w:rPr>
          <w:i/>
        </w:rPr>
        <w:t>E. amylovora</w:t>
      </w:r>
      <w:r>
        <w:rPr>
          <w:iCs/>
        </w:rPr>
        <w:t>,</w:t>
      </w:r>
      <w:r w:rsidRPr="00F70DD6">
        <w:rPr>
          <w:i/>
        </w:rPr>
        <w:t xml:space="preserve"> </w:t>
      </w:r>
      <w:r w:rsidRPr="00F70DD6">
        <w:t>and are known to promote survival</w:t>
      </w:r>
      <w:r>
        <w:t>,</w:t>
      </w:r>
      <w:r w:rsidRPr="00F70DD6">
        <w:t xml:space="preserve"> are also likely to be removed by washing, as they are water </w:t>
      </w:r>
      <w:r w:rsidRPr="009C6F92">
        <w:t xml:space="preserve">soluble </w:t>
      </w:r>
      <w:r>
        <w:rPr>
          <w:noProof/>
        </w:rPr>
        <w:t>(Ordax et al. 2010a; Roberts &amp; Reymond 1989)</w:t>
      </w:r>
      <w:r w:rsidRPr="00F70DD6">
        <w:rPr>
          <w:rFonts w:eastAsia="Calibri" w:cs="Times New Roman"/>
        </w:rPr>
        <w:t>.</w:t>
      </w:r>
      <w:r w:rsidRPr="00F70DD6">
        <w:t xml:space="preserve"> </w:t>
      </w:r>
      <w:bookmarkEnd w:id="355"/>
      <w:r w:rsidRPr="00F70DD6">
        <w:t xml:space="preserve">However, bacteria protected in the calyx are unlikely to be removed in the dump tank, at least in closed calyx varieties, as these areas are inaccessible. Bacteria may also survive low-temperature waxing, as the thermal death point of </w:t>
      </w:r>
      <w:r w:rsidRPr="00F70DD6">
        <w:rPr>
          <w:i/>
          <w:iCs/>
        </w:rPr>
        <w:t xml:space="preserve">E. amylovora </w:t>
      </w:r>
      <w:r w:rsidRPr="00F70DD6">
        <w:t>ranges from 45</w:t>
      </w:r>
      <w:r w:rsidRPr="00F70DD6">
        <w:rPr>
          <w:rFonts w:cstheme="minorHAnsi"/>
        </w:rPr>
        <w:t>°</w:t>
      </w:r>
      <w:r>
        <w:rPr>
          <w:rFonts w:cstheme="minorHAnsi"/>
        </w:rPr>
        <w:t>C</w:t>
      </w:r>
      <w:r w:rsidRPr="00F70DD6">
        <w:t xml:space="preserve"> to 50</w:t>
      </w:r>
      <w:r w:rsidRPr="00F70DD6">
        <w:rPr>
          <w:rFonts w:cstheme="minorHAnsi"/>
        </w:rPr>
        <w:t>°</w:t>
      </w:r>
      <w:r w:rsidRPr="00F70DD6">
        <w:t xml:space="preserve">C </w:t>
      </w:r>
      <w:r>
        <w:rPr>
          <w:noProof/>
        </w:rPr>
        <w:t>(Van der Zwet &amp; Keil 1979)</w:t>
      </w:r>
      <w:r w:rsidRPr="00F70DD6">
        <w:t>.</w:t>
      </w:r>
    </w:p>
    <w:p w14:paraId="392AA523" w14:textId="77777777" w:rsidR="003438A2" w:rsidRPr="00851461" w:rsidRDefault="003438A2" w:rsidP="00F843A1">
      <w:pPr>
        <w:pStyle w:val="ListBullet"/>
        <w:numPr>
          <w:ilvl w:val="0"/>
          <w:numId w:val="22"/>
        </w:numPr>
        <w:rPr>
          <w:rFonts w:eastAsia="Calibri" w:cs="Times New Roman"/>
        </w:rPr>
      </w:pPr>
      <w:r w:rsidRPr="00DB6A39">
        <w:rPr>
          <w:rFonts w:eastAsia="Calibri" w:cs="Times New Roman"/>
        </w:rPr>
        <w:t xml:space="preserve">When mature fruit </w:t>
      </w:r>
      <w:r>
        <w:rPr>
          <w:rFonts w:eastAsia="Calibri" w:cs="Times New Roman"/>
        </w:rPr>
        <w:t>were</w:t>
      </w:r>
      <w:r w:rsidRPr="00DB6A39">
        <w:rPr>
          <w:rFonts w:eastAsia="Calibri" w:cs="Times New Roman"/>
        </w:rPr>
        <w:t xml:space="preserve"> inoculated by swabbing calyces of apples with high levels of </w:t>
      </w:r>
      <w:r w:rsidRPr="00DB6A39">
        <w:rPr>
          <w:rFonts w:eastAsia="Calibri" w:cs="Times New Roman"/>
          <w:i/>
        </w:rPr>
        <w:t>E. amylovora</w:t>
      </w:r>
      <w:r w:rsidRPr="00DB6A39">
        <w:rPr>
          <w:rFonts w:eastAsia="Calibri" w:cs="Times New Roman"/>
        </w:rPr>
        <w:t xml:space="preserve"> (an average of 10</w:t>
      </w:r>
      <w:r w:rsidRPr="002B0800">
        <w:rPr>
          <w:rFonts w:eastAsia="Calibri" w:cs="Times New Roman"/>
          <w:vertAlign w:val="superscript"/>
        </w:rPr>
        <w:t>7</w:t>
      </w:r>
      <w:r w:rsidRPr="00DB6A39">
        <w:rPr>
          <w:rFonts w:eastAsia="Calibri" w:cs="Times New Roman"/>
        </w:rPr>
        <w:t xml:space="preserve"> cfu per mL), a level of infestation many orders of magnitude higher than </w:t>
      </w:r>
      <w:r>
        <w:rPr>
          <w:rFonts w:eastAsia="Calibri" w:cs="Times New Roman"/>
        </w:rPr>
        <w:t xml:space="preserve">found in </w:t>
      </w:r>
      <w:r w:rsidRPr="00DB6A39">
        <w:rPr>
          <w:rFonts w:eastAsia="Calibri" w:cs="Times New Roman"/>
        </w:rPr>
        <w:t xml:space="preserve">naturally infested calyces, the initial population steadily decreased to an </w:t>
      </w:r>
      <w:r w:rsidRPr="00851461">
        <w:rPr>
          <w:rFonts w:eastAsia="Calibri" w:cs="Times New Roman"/>
        </w:rPr>
        <w:t xml:space="preserve">undetectable level over a 6-month period in cold storage </w:t>
      </w:r>
      <w:r w:rsidRPr="00851461">
        <w:rPr>
          <w:iCs/>
          <w:noProof/>
        </w:rPr>
        <w:t>(Sholberg, Gaunce &amp; Owen 1988)</w:t>
      </w:r>
      <w:r w:rsidRPr="00851461">
        <w:t>.</w:t>
      </w:r>
    </w:p>
    <w:p w14:paraId="340E1206" w14:textId="77777777" w:rsidR="003438A2" w:rsidRPr="00851461" w:rsidRDefault="003438A2" w:rsidP="0013121C">
      <w:pPr>
        <w:pStyle w:val="ListBullet"/>
        <w:numPr>
          <w:ilvl w:val="0"/>
          <w:numId w:val="22"/>
        </w:numPr>
        <w:rPr>
          <w:rFonts w:eastAsia="Calibri" w:cs="Times New Roman"/>
        </w:rPr>
      </w:pPr>
      <w:r w:rsidRPr="00851461">
        <w:rPr>
          <w:noProof/>
        </w:rPr>
        <w:t>Hale and Taylor (1999)</w:t>
      </w:r>
      <w:r w:rsidRPr="00851461">
        <w:t xml:space="preserve"> i</w:t>
      </w:r>
      <w:r w:rsidRPr="00851461">
        <w:rPr>
          <w:rFonts w:eastAsia="Calibri"/>
        </w:rPr>
        <w:t xml:space="preserve">noculated mature fruit at the calyx-end with preparations of </w:t>
      </w:r>
      <w:r w:rsidRPr="00851461">
        <w:rPr>
          <w:rFonts w:eastAsia="Calibri"/>
          <w:i/>
        </w:rPr>
        <w:t>E. amylovora</w:t>
      </w:r>
      <w:r w:rsidRPr="00851461">
        <w:rPr>
          <w:rFonts w:eastAsia="Calibri"/>
        </w:rPr>
        <w:t xml:space="preserve"> ranging from 10 to 10</w:t>
      </w:r>
      <w:r w:rsidRPr="00851461">
        <w:rPr>
          <w:rFonts w:eastAsia="Calibri"/>
          <w:vertAlign w:val="superscript"/>
        </w:rPr>
        <w:t>7</w:t>
      </w:r>
      <w:r w:rsidRPr="00851461">
        <w:rPr>
          <w:rFonts w:eastAsia="Calibri"/>
        </w:rPr>
        <w:t xml:space="preserve"> cfu per fruit, then kept them in cold storage (2</w:t>
      </w:r>
      <w:r w:rsidRPr="00851461">
        <w:rPr>
          <w:rFonts w:cstheme="minorHAnsi"/>
        </w:rPr>
        <w:t>°C</w:t>
      </w:r>
      <w:r w:rsidRPr="00851461" w:rsidDel="000B649D">
        <w:rPr>
          <w:rFonts w:eastAsia="Calibri"/>
        </w:rPr>
        <w:t xml:space="preserve"> </w:t>
      </w:r>
      <w:r w:rsidRPr="00851461">
        <w:rPr>
          <w:rFonts w:eastAsia="Calibri"/>
        </w:rPr>
        <w:t>± 0.5</w:t>
      </w:r>
      <w:r w:rsidRPr="00851461">
        <w:rPr>
          <w:rFonts w:cstheme="minorHAnsi"/>
        </w:rPr>
        <w:t>°</w:t>
      </w:r>
      <w:r w:rsidRPr="00851461">
        <w:t>C</w:t>
      </w:r>
      <w:r w:rsidRPr="00851461">
        <w:rPr>
          <w:rFonts w:eastAsia="Calibri"/>
        </w:rPr>
        <w:t>) either for 25 days, or for 25 days followed by incubation at room temperature (about 20</w:t>
      </w:r>
      <w:r w:rsidRPr="00851461">
        <w:rPr>
          <w:rFonts w:cstheme="minorHAnsi"/>
        </w:rPr>
        <w:t>°</w:t>
      </w:r>
      <w:r w:rsidRPr="00851461">
        <w:t>C</w:t>
      </w:r>
      <w:r w:rsidRPr="00851461">
        <w:rPr>
          <w:rFonts w:eastAsia="Calibri"/>
        </w:rPr>
        <w:t xml:space="preserve">) for a further 14 days. After cold storage alone, </w:t>
      </w:r>
      <w:r w:rsidRPr="00851461">
        <w:rPr>
          <w:rFonts w:eastAsia="Calibri"/>
          <w:i/>
        </w:rPr>
        <w:t>E. amylovora</w:t>
      </w:r>
      <w:r w:rsidRPr="00851461">
        <w:rPr>
          <w:rFonts w:eastAsia="Calibri"/>
        </w:rPr>
        <w:t xml:space="preserve"> was detected by </w:t>
      </w:r>
      <w:r w:rsidRPr="00851461">
        <w:t>Polymerase Chain Reaction (PCR)</w:t>
      </w:r>
      <w:r w:rsidRPr="00851461">
        <w:rPr>
          <w:rFonts w:eastAsia="Calibri"/>
        </w:rPr>
        <w:t xml:space="preserve"> in 90% of fruit inoculated with 10</w:t>
      </w:r>
      <w:r w:rsidRPr="00851461">
        <w:rPr>
          <w:rFonts w:eastAsia="Calibri"/>
          <w:vertAlign w:val="superscript"/>
        </w:rPr>
        <w:t>7</w:t>
      </w:r>
      <w:r w:rsidRPr="00851461">
        <w:rPr>
          <w:rFonts w:eastAsia="Calibri"/>
        </w:rPr>
        <w:t xml:space="preserve"> cfu and 20% of fruit inoculated with 10</w:t>
      </w:r>
      <w:r w:rsidRPr="00851461">
        <w:rPr>
          <w:rFonts w:eastAsia="Calibri"/>
          <w:vertAlign w:val="superscript"/>
        </w:rPr>
        <w:t>4</w:t>
      </w:r>
      <w:r w:rsidRPr="00851461">
        <w:rPr>
          <w:rFonts w:eastAsia="Calibri"/>
        </w:rPr>
        <w:t xml:space="preserve"> cfu, but was detected in less than 8% of fruit inoculated with 10, 10</w:t>
      </w:r>
      <w:r w:rsidRPr="00851461">
        <w:rPr>
          <w:rFonts w:eastAsia="Calibri"/>
          <w:vertAlign w:val="superscript"/>
        </w:rPr>
        <w:t>2</w:t>
      </w:r>
      <w:r w:rsidRPr="00851461">
        <w:rPr>
          <w:rFonts w:eastAsia="Calibri"/>
        </w:rPr>
        <w:t xml:space="preserve"> or 10</w:t>
      </w:r>
      <w:r w:rsidRPr="00851461">
        <w:rPr>
          <w:rFonts w:eastAsia="Calibri"/>
          <w:vertAlign w:val="superscript"/>
        </w:rPr>
        <w:t>3</w:t>
      </w:r>
      <w:r w:rsidRPr="00851461">
        <w:rPr>
          <w:rFonts w:eastAsia="Calibri"/>
        </w:rPr>
        <w:t xml:space="preserve"> cfu. A</w:t>
      </w:r>
      <w:r w:rsidRPr="00851461">
        <w:t xml:space="preserve">fter cold storage for 25 days and incubation at room temperature for 14 days, </w:t>
      </w:r>
      <w:r w:rsidRPr="00851461">
        <w:rPr>
          <w:i/>
          <w:iCs/>
        </w:rPr>
        <w:t xml:space="preserve">E. amylovora </w:t>
      </w:r>
      <w:r w:rsidRPr="00851461">
        <w:t>was detected in 35</w:t>
      </w:r>
      <w:r w:rsidRPr="00851461">
        <w:rPr>
          <w:rFonts w:eastAsia="Calibri"/>
        </w:rPr>
        <w:t>%</w:t>
      </w:r>
      <w:r w:rsidRPr="00851461">
        <w:t xml:space="preserve"> of fruit inoculated with 10</w:t>
      </w:r>
      <w:r w:rsidRPr="00851461">
        <w:rPr>
          <w:vertAlign w:val="superscript"/>
        </w:rPr>
        <w:t>7</w:t>
      </w:r>
      <w:r w:rsidRPr="00851461">
        <w:t> cfu and in 3</w:t>
      </w:r>
      <w:r w:rsidRPr="00851461">
        <w:rPr>
          <w:rFonts w:eastAsia="Calibri"/>
        </w:rPr>
        <w:t>%</w:t>
      </w:r>
      <w:r w:rsidRPr="00851461">
        <w:t xml:space="preserve"> of fruit inoculated with 10</w:t>
      </w:r>
      <w:r w:rsidRPr="00851461">
        <w:rPr>
          <w:vertAlign w:val="superscript"/>
        </w:rPr>
        <w:t>5</w:t>
      </w:r>
      <w:r w:rsidRPr="00851461">
        <w:t> cfu, but no detections were made in fruit inoculated with 10, 10</w:t>
      </w:r>
      <w:r w:rsidRPr="00851461">
        <w:rPr>
          <w:vertAlign w:val="superscript"/>
        </w:rPr>
        <w:t>2</w:t>
      </w:r>
      <w:r w:rsidRPr="00851461">
        <w:t>,10</w:t>
      </w:r>
      <w:r w:rsidRPr="00851461">
        <w:rPr>
          <w:vertAlign w:val="superscript"/>
        </w:rPr>
        <w:t>3</w:t>
      </w:r>
      <w:r w:rsidRPr="00851461">
        <w:t xml:space="preserve"> or 10</w:t>
      </w:r>
      <w:r w:rsidRPr="00851461">
        <w:rPr>
          <w:vertAlign w:val="superscript"/>
        </w:rPr>
        <w:t>4</w:t>
      </w:r>
      <w:r w:rsidRPr="00851461">
        <w:t> cfu.</w:t>
      </w:r>
    </w:p>
    <w:p w14:paraId="1AD62FA6" w14:textId="77777777" w:rsidR="003438A2" w:rsidRPr="00C94D51" w:rsidRDefault="003438A2" w:rsidP="00EB7631">
      <w:pPr>
        <w:pStyle w:val="ListBullet"/>
        <w:numPr>
          <w:ilvl w:val="0"/>
          <w:numId w:val="22"/>
        </w:numPr>
        <w:rPr>
          <w:rFonts w:eastAsia="Calibri" w:cs="Times New Roman"/>
        </w:rPr>
      </w:pPr>
      <w:r w:rsidRPr="00851461">
        <w:rPr>
          <w:noProof/>
        </w:rPr>
        <w:t>Taylor et al. (2003)</w:t>
      </w:r>
      <w:r w:rsidRPr="00851461">
        <w:t xml:space="preserve"> </w:t>
      </w:r>
      <w:r w:rsidRPr="00851461">
        <w:rPr>
          <w:rFonts w:eastAsia="Calibri" w:cs="Times New Roman"/>
        </w:rPr>
        <w:t>inoculated the calyces of the closed-calyx variety Braeburn. These authors showed that bacterial populations in the calyx decreased from 10</w:t>
      </w:r>
      <w:r w:rsidRPr="00851461">
        <w:rPr>
          <w:rFonts w:eastAsia="Calibri" w:cs="Times New Roman"/>
          <w:vertAlign w:val="superscript"/>
        </w:rPr>
        <w:t>6</w:t>
      </w:r>
      <w:r w:rsidRPr="00851461">
        <w:rPr>
          <w:rFonts w:eastAsia="Calibri" w:cs="Times New Roman"/>
        </w:rPr>
        <w:t xml:space="preserve"> cfu to 10</w:t>
      </w:r>
      <w:r w:rsidRPr="00851461">
        <w:rPr>
          <w:rFonts w:eastAsia="Calibri" w:cs="Times New Roman"/>
          <w:vertAlign w:val="superscript"/>
        </w:rPr>
        <w:t>2</w:t>
      </w:r>
      <w:r w:rsidRPr="00851461">
        <w:rPr>
          <w:rFonts w:eastAsia="Calibri" w:cs="Times New Roman"/>
        </w:rPr>
        <w:t xml:space="preserve"> cfu over a 20-day period and from 10</w:t>
      </w:r>
      <w:r w:rsidRPr="00851461">
        <w:rPr>
          <w:rFonts w:eastAsia="Calibri" w:cs="Times New Roman"/>
          <w:vertAlign w:val="superscript"/>
        </w:rPr>
        <w:t>4</w:t>
      </w:r>
      <w:r w:rsidRPr="00851461">
        <w:rPr>
          <w:rFonts w:eastAsia="Calibri" w:cs="Times New Roman"/>
        </w:rPr>
        <w:t xml:space="preserve"> to non-culturable levels after 14 days. Populations of </w:t>
      </w:r>
      <w:r w:rsidRPr="00851461">
        <w:rPr>
          <w:rFonts w:eastAsia="Calibri" w:cs="Times New Roman"/>
          <w:i/>
        </w:rPr>
        <w:t>E. amylovora</w:t>
      </w:r>
      <w:r w:rsidRPr="00851461">
        <w:rPr>
          <w:rFonts w:eastAsia="Calibri" w:cs="Times New Roman"/>
        </w:rPr>
        <w:t xml:space="preserve"> in calyces inoculated with 10</w:t>
      </w:r>
      <w:r w:rsidRPr="00851461">
        <w:rPr>
          <w:rFonts w:eastAsia="Calibri" w:cs="Times New Roman"/>
          <w:vertAlign w:val="superscript"/>
        </w:rPr>
        <w:t>2</w:t>
      </w:r>
      <w:r w:rsidRPr="00851461">
        <w:rPr>
          <w:rFonts w:eastAsia="Calibri" w:cs="Times New Roman"/>
        </w:rPr>
        <w:t xml:space="preserve"> cfu decreased to non-culturable levels after 8 days in storage. The PCR tests, which would detect the DNA of both live and dead bacteria, detected </w:t>
      </w:r>
      <w:r w:rsidRPr="00851461">
        <w:rPr>
          <w:rFonts w:eastAsia="Calibri" w:cs="Times New Roman"/>
          <w:i/>
        </w:rPr>
        <w:t>E. amylovora</w:t>
      </w:r>
      <w:r w:rsidRPr="00851461">
        <w:rPr>
          <w:rFonts w:eastAsia="Calibri" w:cs="Times New Roman"/>
        </w:rPr>
        <w:t xml:space="preserve"> in calyces infested with 10</w:t>
      </w:r>
      <w:r w:rsidRPr="00851461">
        <w:rPr>
          <w:rFonts w:eastAsia="Calibri" w:cs="Times New Roman"/>
          <w:vertAlign w:val="superscript"/>
        </w:rPr>
        <w:t>6</w:t>
      </w:r>
      <w:r w:rsidRPr="00851461">
        <w:rPr>
          <w:rFonts w:eastAsia="Calibri" w:cs="Times New Roman"/>
        </w:rPr>
        <w:t xml:space="preserve"> cfu and 10</w:t>
      </w:r>
      <w:r w:rsidRPr="00851461">
        <w:rPr>
          <w:rFonts w:eastAsia="Calibri" w:cs="Times New Roman"/>
          <w:vertAlign w:val="superscript"/>
        </w:rPr>
        <w:t>4</w:t>
      </w:r>
      <w:r w:rsidRPr="00851461">
        <w:rPr>
          <w:rFonts w:eastAsia="Calibri" w:cs="Times New Roman"/>
        </w:rPr>
        <w:t xml:space="preserve"> cfu, but not in those with 10</w:t>
      </w:r>
      <w:r w:rsidRPr="00851461">
        <w:rPr>
          <w:rFonts w:eastAsia="Calibri" w:cs="Times New Roman"/>
          <w:vertAlign w:val="superscript"/>
        </w:rPr>
        <w:t>2</w:t>
      </w:r>
      <w:r w:rsidRPr="00851461">
        <w:rPr>
          <w:rFonts w:eastAsia="Calibri" w:cs="Times New Roman"/>
        </w:rPr>
        <w:t xml:space="preserve"> cfu after the 20-day cold-storage</w:t>
      </w:r>
      <w:r w:rsidRPr="00C94D51">
        <w:rPr>
          <w:rFonts w:eastAsia="Calibri" w:cs="Times New Roman"/>
        </w:rPr>
        <w:t xml:space="preserve"> period.</w:t>
      </w:r>
    </w:p>
    <w:p w14:paraId="25EEA103" w14:textId="77777777" w:rsidR="003438A2" w:rsidRPr="00DB6A39" w:rsidRDefault="003438A2" w:rsidP="00F843A1">
      <w:pPr>
        <w:pStyle w:val="ListBullet"/>
        <w:numPr>
          <w:ilvl w:val="0"/>
          <w:numId w:val="22"/>
        </w:numPr>
        <w:rPr>
          <w:rFonts w:eastAsia="Calibri" w:cs="Times New Roman"/>
        </w:rPr>
      </w:pPr>
      <w:r>
        <w:rPr>
          <w:rFonts w:eastAsia="Calibri" w:cs="Times New Roman"/>
        </w:rPr>
        <w:t>For m</w:t>
      </w:r>
      <w:r w:rsidRPr="00DB6A39">
        <w:rPr>
          <w:rFonts w:eastAsia="Calibri" w:cs="Times New Roman"/>
        </w:rPr>
        <w:t>ature fruit inoculated with a suspension of 10</w:t>
      </w:r>
      <w:r w:rsidRPr="00DB6A39">
        <w:rPr>
          <w:rFonts w:eastAsia="Calibri" w:cs="Times New Roman"/>
          <w:vertAlign w:val="superscript"/>
        </w:rPr>
        <w:t>7</w:t>
      </w:r>
      <w:r w:rsidRPr="00DB6A39">
        <w:rPr>
          <w:rFonts w:eastAsia="Calibri" w:cs="Times New Roman"/>
        </w:rPr>
        <w:t xml:space="preserve"> cfu, less than 100 cfu per fruit could be detected after </w:t>
      </w:r>
      <w:r>
        <w:rPr>
          <w:rFonts w:eastAsia="Calibri" w:cs="Times New Roman"/>
        </w:rPr>
        <w:t xml:space="preserve">four </w:t>
      </w:r>
      <w:r w:rsidRPr="00DB6A39">
        <w:rPr>
          <w:rFonts w:eastAsia="Calibri" w:cs="Times New Roman"/>
        </w:rPr>
        <w:t xml:space="preserve">weeks, and no bacteria could be detected after eight weeks in cold storage using a sensitive detection method that could detect as little as 2 cfu </w:t>
      </w:r>
      <w:r>
        <w:rPr>
          <w:noProof/>
        </w:rPr>
        <w:t>(Temple et al. 2007)</w:t>
      </w:r>
      <w:r w:rsidRPr="00DB6A39">
        <w:t>.</w:t>
      </w:r>
    </w:p>
    <w:p w14:paraId="4EA3C249" w14:textId="77777777" w:rsidR="003438A2" w:rsidRPr="00F65D17" w:rsidRDefault="003438A2" w:rsidP="00F843A1">
      <w:pPr>
        <w:pStyle w:val="ListBullet"/>
        <w:numPr>
          <w:ilvl w:val="0"/>
          <w:numId w:val="22"/>
        </w:numPr>
        <w:rPr>
          <w:rFonts w:eastAsia="Arial Unicode MS"/>
        </w:rPr>
      </w:pPr>
      <w:r>
        <w:t xml:space="preserve">The studies outlined above suggest that any viable </w:t>
      </w:r>
      <w:r w:rsidRPr="00EE16BA">
        <w:rPr>
          <w:i/>
        </w:rPr>
        <w:t>E. amylovora</w:t>
      </w:r>
      <w:r>
        <w:t xml:space="preserve"> present in the calyx at harvest will decrease to undetectable levels with time in storage. The time required for this to occur will be variable, depending on the conditions and starting population, but is likely </w:t>
      </w:r>
      <w:r>
        <w:lastRenderedPageBreak/>
        <w:t>to encompass a period from about one week to a maximum of 6 months. Experiments using apples inoculated at levels that represent naturally occurring levels typically have undetectable levels after a relatively short period of time.</w:t>
      </w:r>
    </w:p>
    <w:p w14:paraId="7B614E52" w14:textId="77777777" w:rsidR="003438A2" w:rsidRPr="00851461" w:rsidRDefault="003438A2" w:rsidP="008D1F7E">
      <w:r w:rsidRPr="00245B79">
        <w:rPr>
          <w:i/>
          <w:iCs/>
        </w:rPr>
        <w:t>Erwinia amylovora</w:t>
      </w:r>
      <w:r w:rsidRPr="00245B79">
        <w:t xml:space="preserve"> can multiply and persist on mature apples under experimental conditions.</w:t>
      </w:r>
      <w:r>
        <w:t xml:space="preserve"> These experiments have been </w:t>
      </w:r>
      <w:r w:rsidRPr="00851461">
        <w:t xml:space="preserve">criticised because of their highly artificial nature </w:t>
      </w:r>
      <w:r w:rsidRPr="00851461">
        <w:rPr>
          <w:noProof/>
        </w:rPr>
        <w:t>(Deckers 2010; WTO 2005, 2010)</w:t>
      </w:r>
      <w:r w:rsidRPr="00851461">
        <w:t>, but are reported here for completeness.</w:t>
      </w:r>
    </w:p>
    <w:p w14:paraId="5F069DE4" w14:textId="77777777" w:rsidR="003438A2" w:rsidRDefault="003438A2" w:rsidP="003438A2">
      <w:pPr>
        <w:pStyle w:val="ListBullet"/>
        <w:numPr>
          <w:ilvl w:val="0"/>
          <w:numId w:val="15"/>
        </w:numPr>
      </w:pPr>
      <w:r w:rsidRPr="00851461">
        <w:t xml:space="preserve">When mature apples were artificially inoculated with </w:t>
      </w:r>
      <w:r w:rsidRPr="00851461">
        <w:rPr>
          <w:i/>
        </w:rPr>
        <w:t>E. amylovora</w:t>
      </w:r>
      <w:r w:rsidRPr="00851461">
        <w:t>, the bacterium dispersed into the fruit pulp with a concomitant increase in the bacterial population at room temperature, two weeks after inoculation, and</w:t>
      </w:r>
      <w:r>
        <w:t xml:space="preserve"> then stabilised </w:t>
      </w:r>
      <w:r w:rsidRPr="000E0D58">
        <w:t>without producing any fire blight symptoms.</w:t>
      </w:r>
      <w:r>
        <w:t xml:space="preserve"> T</w:t>
      </w:r>
      <w:r w:rsidRPr="000E0D58">
        <w:t xml:space="preserve">he pathogen population did not change during </w:t>
      </w:r>
      <w:r>
        <w:t xml:space="preserve">subsequent </w:t>
      </w:r>
      <w:r w:rsidRPr="000E0D58">
        <w:t xml:space="preserve">storage over a period of </w:t>
      </w:r>
      <w:r>
        <w:t>five</w:t>
      </w:r>
      <w:r w:rsidRPr="000E0D58">
        <w:t xml:space="preserve"> weeks </w:t>
      </w:r>
      <w:r>
        <w:rPr>
          <w:noProof/>
        </w:rPr>
        <w:t>(Jock, Langlotz &amp; Geider 2005)</w:t>
      </w:r>
      <w:r w:rsidRPr="000E0D58">
        <w:t>.</w:t>
      </w:r>
    </w:p>
    <w:p w14:paraId="1BE428A5" w14:textId="77777777" w:rsidR="003438A2" w:rsidRPr="00D761F0" w:rsidRDefault="003438A2" w:rsidP="003438A2">
      <w:pPr>
        <w:pStyle w:val="ListBullet"/>
        <w:numPr>
          <w:ilvl w:val="0"/>
          <w:numId w:val="15"/>
        </w:numPr>
      </w:pPr>
      <w:bookmarkStart w:id="357" w:name="_Hlk44347678"/>
      <w:r w:rsidRPr="00C074E0">
        <w:t>Azegami</w:t>
      </w:r>
      <w:r>
        <w:t xml:space="preserve"> et al.</w:t>
      </w:r>
      <w:r w:rsidRPr="00C074E0">
        <w:t xml:space="preserve"> </w:t>
      </w:r>
      <w:r>
        <w:rPr>
          <w:noProof/>
        </w:rPr>
        <w:t>(2004)</w:t>
      </w:r>
      <w:r w:rsidRPr="00D761F0">
        <w:t xml:space="preserve"> </w:t>
      </w:r>
      <w:bookmarkEnd w:id="357"/>
      <w:r w:rsidRPr="00D761F0">
        <w:t xml:space="preserve">experimentally demonstrated systemic movement from the </w:t>
      </w:r>
      <w:r>
        <w:t xml:space="preserve">fruit </w:t>
      </w:r>
      <w:r w:rsidRPr="00D761F0">
        <w:t xml:space="preserve">stem into fruit. </w:t>
      </w:r>
      <w:r>
        <w:t xml:space="preserve">Inocula of </w:t>
      </w:r>
      <w:r w:rsidRPr="00D761F0">
        <w:rPr>
          <w:i/>
        </w:rPr>
        <w:t>E. amylovora</w:t>
      </w:r>
      <w:r w:rsidRPr="00D761F0">
        <w:t xml:space="preserve"> </w:t>
      </w:r>
      <w:r>
        <w:t xml:space="preserve">were deposited at various </w:t>
      </w:r>
      <w:r w:rsidRPr="00D761F0">
        <w:t>concentrations on cut surfaces of pedicels of fruit, wounds on the shoulder</w:t>
      </w:r>
      <w:r>
        <w:t>s</w:t>
      </w:r>
      <w:r w:rsidRPr="00D761F0">
        <w:t xml:space="preserve"> and caly</w:t>
      </w:r>
      <w:r>
        <w:t>ces</w:t>
      </w:r>
      <w:r w:rsidRPr="00D761F0">
        <w:t xml:space="preserve"> of fruit, fruit</w:t>
      </w:r>
      <w:r>
        <w:t>-</w:t>
      </w:r>
      <w:r w:rsidRPr="00D761F0">
        <w:t>bearing twigs with attached fruit</w:t>
      </w:r>
      <w:r>
        <w:t>,</w:t>
      </w:r>
      <w:r w:rsidRPr="00D761F0">
        <w:t xml:space="preserve"> and cut fruit flesh (mesocarp). </w:t>
      </w:r>
      <w:r>
        <w:t xml:space="preserve">When </w:t>
      </w:r>
      <w:r w:rsidRPr="008F02F7">
        <w:rPr>
          <w:i/>
          <w:iCs/>
        </w:rPr>
        <w:t>E. amylovora</w:t>
      </w:r>
      <w:r>
        <w:t xml:space="preserve"> was deposited in fruit stem,</w:t>
      </w:r>
      <w:r w:rsidRPr="00D761F0">
        <w:t xml:space="preserve"> the pathogen </w:t>
      </w:r>
      <w:r>
        <w:t>could</w:t>
      </w:r>
      <w:r w:rsidRPr="00D761F0">
        <w:t xml:space="preserve"> invade mature and immature apple fruit</w:t>
      </w:r>
      <w:r>
        <w:t>,</w:t>
      </w:r>
      <w:r w:rsidRPr="00D761F0">
        <w:t xml:space="preserve"> spread vertically and horizontally and colonise along vascular bundles, increasing its population</w:t>
      </w:r>
      <w:r>
        <w:t>, and reaching</w:t>
      </w:r>
      <w:r w:rsidRPr="00D761F0">
        <w:t xml:space="preserve"> the calyx end and the flesh just under the exocarp within </w:t>
      </w:r>
      <w:r>
        <w:t>three</w:t>
      </w:r>
      <w:r w:rsidRPr="00D761F0">
        <w:t xml:space="preserve"> to </w:t>
      </w:r>
      <w:r>
        <w:t>four</w:t>
      </w:r>
      <w:r w:rsidRPr="00D761F0">
        <w:t xml:space="preserve"> days after inoculation. </w:t>
      </w:r>
      <w:r>
        <w:t>When deposited on cut fruit fresh, i</w:t>
      </w:r>
      <w:r w:rsidRPr="00D761F0">
        <w:t>rrespective of fruit maturity</w:t>
      </w:r>
      <w:r>
        <w:t>,</w:t>
      </w:r>
      <w:r w:rsidRPr="00D761F0">
        <w:t xml:space="preserve"> the </w:t>
      </w:r>
      <w:r>
        <w:t xml:space="preserve">bacterial </w:t>
      </w:r>
      <w:r w:rsidRPr="00D761F0">
        <w:t xml:space="preserve">population </w:t>
      </w:r>
      <w:r>
        <w:t xml:space="preserve">increased and </w:t>
      </w:r>
      <w:r w:rsidRPr="00D761F0">
        <w:t xml:space="preserve">survived </w:t>
      </w:r>
      <w:r>
        <w:t>for</w:t>
      </w:r>
      <w:r w:rsidRPr="00D761F0">
        <w:t xml:space="preserve"> </w:t>
      </w:r>
      <w:r>
        <w:t>2-4</w:t>
      </w:r>
      <w:r w:rsidRPr="00D761F0">
        <w:t xml:space="preserve"> weeks or more at 25</w:t>
      </w:r>
      <w:r w:rsidRPr="00A824CD">
        <w:rPr>
          <w:rFonts w:cstheme="minorHAnsi"/>
        </w:rPr>
        <w:t>°</w:t>
      </w:r>
      <w:r w:rsidRPr="00654D57">
        <w:t>C</w:t>
      </w:r>
      <w:r w:rsidRPr="00D761F0">
        <w:t xml:space="preserve">. </w:t>
      </w:r>
      <w:r>
        <w:t>T</w:t>
      </w:r>
      <w:r w:rsidRPr="00D761F0">
        <w:t xml:space="preserve">hese experiments were </w:t>
      </w:r>
      <w:r>
        <w:t>conducted</w:t>
      </w:r>
      <w:r w:rsidRPr="00D761F0">
        <w:t xml:space="preserve"> under high inoculum pressure and such invasions may not occur under field conditions.</w:t>
      </w:r>
    </w:p>
    <w:p w14:paraId="1AF7FC3D" w14:textId="77777777" w:rsidR="003438A2" w:rsidRDefault="003438A2" w:rsidP="003438A2">
      <w:pPr>
        <w:pStyle w:val="ListBullet"/>
        <w:numPr>
          <w:ilvl w:val="0"/>
          <w:numId w:val="15"/>
        </w:numPr>
      </w:pPr>
      <w:r>
        <w:t xml:space="preserve">Tsukamoto </w:t>
      </w:r>
      <w:r>
        <w:rPr>
          <w:noProof/>
        </w:rPr>
        <w:t>(2005)</w:t>
      </w:r>
      <w:r>
        <w:t xml:space="preserve"> examined the infection frequency of mature apple fruit inoculated with drops containing 10</w:t>
      </w:r>
      <w:r>
        <w:rPr>
          <w:vertAlign w:val="superscript"/>
        </w:rPr>
        <w:t>4</w:t>
      </w:r>
      <w:r>
        <w:t xml:space="preserve"> and 10</w:t>
      </w:r>
      <w:r>
        <w:rPr>
          <w:vertAlign w:val="superscript"/>
        </w:rPr>
        <w:t>5</w:t>
      </w:r>
      <w:r>
        <w:t xml:space="preserve"> cfu of </w:t>
      </w:r>
      <w:r>
        <w:rPr>
          <w:i/>
        </w:rPr>
        <w:t>E. amylovora</w:t>
      </w:r>
      <w:r>
        <w:t xml:space="preserve"> on freshly cut pedicels and maintained at 25</w:t>
      </w:r>
      <w:r w:rsidRPr="00A824CD">
        <w:rPr>
          <w:rFonts w:cstheme="minorHAnsi"/>
        </w:rPr>
        <w:t>°</w:t>
      </w:r>
      <w:r w:rsidRPr="00654D57">
        <w:t>C</w:t>
      </w:r>
      <w:r>
        <w:t xml:space="preserve">. The results showed that </w:t>
      </w:r>
      <w:r>
        <w:rPr>
          <w:i/>
        </w:rPr>
        <w:t>E. amylovora</w:t>
      </w:r>
      <w:r>
        <w:t xml:space="preserve"> infected mature fruit inapparently, and that it remained viable after 6 months of storage at 5</w:t>
      </w:r>
      <w:r w:rsidRPr="00A824CD">
        <w:rPr>
          <w:rFonts w:cstheme="minorHAnsi"/>
        </w:rPr>
        <w:t>°</w:t>
      </w:r>
      <w:r w:rsidRPr="00654D57">
        <w:t>C</w:t>
      </w:r>
      <w:r>
        <w:t xml:space="preserve"> in most of the inoculated fruit. </w:t>
      </w:r>
    </w:p>
    <w:p w14:paraId="36946FC6" w14:textId="77777777" w:rsidR="003438A2" w:rsidRDefault="003438A2" w:rsidP="003438A2">
      <w:pPr>
        <w:pStyle w:val="ListBullet"/>
        <w:numPr>
          <w:ilvl w:val="0"/>
          <w:numId w:val="15"/>
        </w:numPr>
      </w:pPr>
      <w:r w:rsidRPr="00C074E0">
        <w:t xml:space="preserve">Azegami </w:t>
      </w:r>
      <w:r>
        <w:t xml:space="preserve">et al. </w:t>
      </w:r>
      <w:r>
        <w:rPr>
          <w:noProof/>
        </w:rPr>
        <w:t>(2006)</w:t>
      </w:r>
      <w:r>
        <w:t xml:space="preserve"> examined the invasion of apple fruit after approximately 10</w:t>
      </w:r>
      <w:r>
        <w:rPr>
          <w:vertAlign w:val="superscript"/>
        </w:rPr>
        <w:t>5</w:t>
      </w:r>
      <w:r>
        <w:t xml:space="preserve"> cfu </w:t>
      </w:r>
      <w:r>
        <w:rPr>
          <w:i/>
        </w:rPr>
        <w:t>E. amylovora</w:t>
      </w:r>
      <w:r>
        <w:t xml:space="preserve"> was deposited in artificial wounds on fruit-bearing twigs of potted plants raised outdoors, but placed in a greenhouse environment before inoculation. </w:t>
      </w:r>
      <w:r>
        <w:rPr>
          <w:i/>
        </w:rPr>
        <w:t>Erwinia amylovora</w:t>
      </w:r>
      <w:r>
        <w:t xml:space="preserve"> was isolated from 3% to 5% of symptomless fruit whose fruit-bearing twigs had been inoculated, indicating that the pathogen can move through the abscission layer and invade the fruit during fruit maturation. It was concluded that the possibility of </w:t>
      </w:r>
      <w:r>
        <w:rPr>
          <w:i/>
        </w:rPr>
        <w:t>E. amylovora</w:t>
      </w:r>
      <w:r>
        <w:t xml:space="preserve"> invading apple fruit through fruit-bearing twigs in late summer to yield mature symptomless fruit could not be excluded.</w:t>
      </w:r>
    </w:p>
    <w:p w14:paraId="7790E0EF" w14:textId="77777777" w:rsidR="003438A2" w:rsidRPr="007F7158" w:rsidRDefault="003438A2" w:rsidP="00C67856">
      <w:pPr>
        <w:rPr>
          <w:rFonts w:asciiTheme="majorHAnsi" w:eastAsia="Cambria" w:hAnsiTheme="majorHAnsi" w:cs="Palatino-Roman"/>
          <w:lang w:eastAsia="en-AU"/>
        </w:rPr>
      </w:pPr>
      <w:bookmarkStart w:id="358" w:name="_Hlk44505361"/>
      <w:r w:rsidRPr="007F7158">
        <w:rPr>
          <w:i/>
        </w:rPr>
        <w:t>Erwinia amylovora</w:t>
      </w:r>
      <w:r w:rsidRPr="007F7158">
        <w:t xml:space="preserve"> is unlikely to survive under adverse conditions despite capacity to enter a viable but non-culturable state.</w:t>
      </w:r>
    </w:p>
    <w:bookmarkEnd w:id="358"/>
    <w:p w14:paraId="0C122125" w14:textId="77777777" w:rsidR="003438A2" w:rsidRPr="00EE7B0D" w:rsidRDefault="003438A2" w:rsidP="003438A2">
      <w:pPr>
        <w:pStyle w:val="ListBullet"/>
        <w:numPr>
          <w:ilvl w:val="0"/>
          <w:numId w:val="15"/>
        </w:numPr>
      </w:pPr>
      <w:r>
        <w:t>Some bacteria are able to enter a v</w:t>
      </w:r>
      <w:r w:rsidRPr="00E748D4">
        <w:t>iable but non-culturable (VBNC) state</w:t>
      </w:r>
      <w:r>
        <w:t>; while in this state they</w:t>
      </w:r>
      <w:r w:rsidRPr="00E748D4">
        <w:t xml:space="preserve"> will not grow under normal culturing conditions</w:t>
      </w:r>
      <w:r>
        <w:t>.</w:t>
      </w:r>
      <w:r w:rsidRPr="00E748D4">
        <w:t xml:space="preserve"> </w:t>
      </w:r>
      <w:r w:rsidRPr="00EE7B0D">
        <w:t xml:space="preserve">The ability of </w:t>
      </w:r>
      <w:r w:rsidRPr="00BA1613">
        <w:rPr>
          <w:i/>
        </w:rPr>
        <w:t>E. amylovora</w:t>
      </w:r>
      <w:r w:rsidRPr="00EE7B0D">
        <w:t xml:space="preserve"> to enter a VBNC </w:t>
      </w:r>
      <w:r>
        <w:t xml:space="preserve">state in response to environmental stresses such as nutrient starvation, or the presence of potential toxicants such as chlorine or copper, has been reported under laboratory conditions </w:t>
      </w:r>
      <w:r>
        <w:rPr>
          <w:noProof/>
        </w:rPr>
        <w:t>(Biosca et al. 2006; Ordax et al. 2006a, b)</w:t>
      </w:r>
      <w:r w:rsidRPr="00333ADD">
        <w:t>.</w:t>
      </w:r>
    </w:p>
    <w:p w14:paraId="2E8E46B5" w14:textId="77777777" w:rsidR="003438A2" w:rsidRPr="00150E70" w:rsidRDefault="003438A2" w:rsidP="003438A2">
      <w:pPr>
        <w:pStyle w:val="ListBullet"/>
        <w:numPr>
          <w:ilvl w:val="0"/>
          <w:numId w:val="15"/>
        </w:numPr>
      </w:pPr>
      <w:r w:rsidRPr="008F345A">
        <w:rPr>
          <w:i/>
        </w:rPr>
        <w:t>Erwinia amylovora</w:t>
      </w:r>
      <w:r w:rsidRPr="008F345A">
        <w:t xml:space="preserve"> is able to survive and remain infective for </w:t>
      </w:r>
      <w:r>
        <w:t>6</w:t>
      </w:r>
      <w:r w:rsidRPr="008F345A">
        <w:t xml:space="preserve"> months in sterile irrigation water </w:t>
      </w:r>
      <w:r>
        <w:rPr>
          <w:noProof/>
        </w:rPr>
        <w:t>(Biosca et al. 2006)</w:t>
      </w:r>
      <w:r>
        <w:t>,</w:t>
      </w:r>
      <w:r w:rsidRPr="008F345A">
        <w:t xml:space="preserve"> and the culturability and pathogenicity of </w:t>
      </w:r>
      <w:r>
        <w:rPr>
          <w:i/>
          <w:iCs/>
        </w:rPr>
        <w:t xml:space="preserve">E. amylovora </w:t>
      </w:r>
      <w:r>
        <w:t xml:space="preserve">in a </w:t>
      </w:r>
      <w:r w:rsidRPr="008F345A">
        <w:t xml:space="preserve">copper-induced VBNC </w:t>
      </w:r>
      <w:r>
        <w:t xml:space="preserve">state </w:t>
      </w:r>
      <w:r w:rsidRPr="008F345A">
        <w:t>can be restored</w:t>
      </w:r>
      <w:r>
        <w:t xml:space="preserve"> by inoculation into mineral medium</w:t>
      </w:r>
      <w:r w:rsidRPr="008F345A">
        <w:t xml:space="preserve"> </w:t>
      </w:r>
      <w:r w:rsidRPr="00150E70">
        <w:t xml:space="preserve">under sterile conditions </w:t>
      </w:r>
      <w:r>
        <w:rPr>
          <w:noProof/>
        </w:rPr>
        <w:t>(Ordax et al. 2006a, b)</w:t>
      </w:r>
      <w:r w:rsidRPr="00150E70">
        <w:t xml:space="preserve">. </w:t>
      </w:r>
    </w:p>
    <w:p w14:paraId="233B656C" w14:textId="77777777" w:rsidR="003438A2" w:rsidRPr="00BF4F7D" w:rsidRDefault="003438A2" w:rsidP="003438A2">
      <w:pPr>
        <w:pStyle w:val="ListBullet"/>
        <w:numPr>
          <w:ilvl w:val="0"/>
          <w:numId w:val="15"/>
        </w:numPr>
      </w:pPr>
      <w:r>
        <w:t>A proportion of</w:t>
      </w:r>
      <w:r>
        <w:rPr>
          <w:i/>
        </w:rPr>
        <w:t xml:space="preserve"> E. amylovora</w:t>
      </w:r>
      <w:r>
        <w:t xml:space="preserve"> bacteria have been reported to enter the VBNC state when exposed to chlorinated tap </w:t>
      </w:r>
      <w:r w:rsidRPr="002F0CAB">
        <w:t xml:space="preserve">water </w:t>
      </w:r>
      <w:r>
        <w:rPr>
          <w:noProof/>
        </w:rPr>
        <w:t>(Santander et al. 2009)</w:t>
      </w:r>
      <w:r w:rsidRPr="002F0CAB">
        <w:t>.</w:t>
      </w:r>
      <w:r>
        <w:t xml:space="preserve"> When the VBNC bacteria were inoculated into a nutrient broth they regained culturability and then produced symptoms when inoculated into immature pear </w:t>
      </w:r>
      <w:r>
        <w:rPr>
          <w:noProof/>
        </w:rPr>
        <w:t>(Santander et al. 2009)</w:t>
      </w:r>
      <w:r>
        <w:t>.</w:t>
      </w:r>
    </w:p>
    <w:p w14:paraId="38AEA7A4" w14:textId="77777777" w:rsidR="003438A2" w:rsidRPr="00560BD6" w:rsidRDefault="003438A2" w:rsidP="003438A2">
      <w:pPr>
        <w:pStyle w:val="ListBullet"/>
        <w:numPr>
          <w:ilvl w:val="0"/>
          <w:numId w:val="15"/>
        </w:numPr>
      </w:pPr>
      <w:r>
        <w:lastRenderedPageBreak/>
        <w:t>Under laboratory conditions, i</w:t>
      </w:r>
      <w:r w:rsidRPr="00560BD6">
        <w:t xml:space="preserve">t has been confirmed that </w:t>
      </w:r>
      <w:r w:rsidRPr="00560BD6">
        <w:rPr>
          <w:i/>
          <w:iCs/>
        </w:rPr>
        <w:t>E. amylovora</w:t>
      </w:r>
      <w:r w:rsidRPr="00560BD6">
        <w:t xml:space="preserve"> can enter a VBNC state in sterilised apple calyces in response to copper exposure </w:t>
      </w:r>
      <w:r>
        <w:rPr>
          <w:noProof/>
        </w:rPr>
        <w:t>(Ordax et al. 2009)</w:t>
      </w:r>
      <w:r>
        <w:t>,</w:t>
      </w:r>
      <w:r w:rsidRPr="00560BD6">
        <w:t xml:space="preserve"> </w:t>
      </w:r>
      <w:r>
        <w:t>and</w:t>
      </w:r>
      <w:r w:rsidRPr="00560BD6">
        <w:t xml:space="preserve"> regain culturability after periods of 7 to 28 days under favourable conditions </w:t>
      </w:r>
      <w:r>
        <w:rPr>
          <w:noProof/>
        </w:rPr>
        <w:t>(Ordax et al. 2009)</w:t>
      </w:r>
      <w:r w:rsidRPr="00560BD6">
        <w:t>.</w:t>
      </w:r>
      <w:r>
        <w:t xml:space="preserve"> O</w:t>
      </w:r>
      <w:r w:rsidRPr="00560BD6">
        <w:t xml:space="preserve">nly </w:t>
      </w:r>
      <w:r w:rsidRPr="00560BD6">
        <w:rPr>
          <w:i/>
          <w:iCs/>
        </w:rPr>
        <w:t>E. amylovora</w:t>
      </w:r>
      <w:r w:rsidRPr="00560BD6">
        <w:t xml:space="preserve"> that had been in the VBNC state for 6 days or less produced symptoms </w:t>
      </w:r>
      <w:r>
        <w:t xml:space="preserve">when inoculated onto immature pear and loquat fruits </w:t>
      </w:r>
      <w:r>
        <w:rPr>
          <w:noProof/>
        </w:rPr>
        <w:t>(Ordax et al. 2009)</w:t>
      </w:r>
      <w:r w:rsidRPr="00560BD6">
        <w:t>.</w:t>
      </w:r>
    </w:p>
    <w:p w14:paraId="1F621C64" w14:textId="77777777" w:rsidR="003438A2" w:rsidRDefault="003438A2" w:rsidP="003438A2">
      <w:pPr>
        <w:pStyle w:val="ListBullet"/>
        <w:numPr>
          <w:ilvl w:val="0"/>
          <w:numId w:val="15"/>
        </w:numPr>
      </w:pPr>
      <w:r>
        <w:t>On the basis of laboratory studies, it should be considered whether a</w:t>
      </w:r>
      <w:r w:rsidRPr="00BF4F7D">
        <w:t>pplication of copper</w:t>
      </w:r>
      <w:r>
        <w:t>-based treatments</w:t>
      </w:r>
      <w:r w:rsidRPr="00BF4F7D">
        <w:t xml:space="preserve"> during dormant growth periods and at flowering to reduce </w:t>
      </w:r>
      <w:r w:rsidRPr="00DB7558">
        <w:rPr>
          <w:i/>
        </w:rPr>
        <w:t>E. amylovora</w:t>
      </w:r>
      <w:r w:rsidRPr="00BF4F7D">
        <w:t xml:space="preserve"> populations could induce </w:t>
      </w:r>
      <w:r>
        <w:t>the bacterium</w:t>
      </w:r>
      <w:r w:rsidRPr="00BF4F7D">
        <w:t xml:space="preserve"> to enter into a VBNC state. </w:t>
      </w:r>
      <w:r w:rsidRPr="006D6646">
        <w:t xml:space="preserve">However, Ordax </w:t>
      </w:r>
      <w:r>
        <w:rPr>
          <w:noProof/>
        </w:rPr>
        <w:t>(2006a)</w:t>
      </w:r>
      <w:r w:rsidRPr="006D6646">
        <w:t xml:space="preserve"> and Ordax </w:t>
      </w:r>
      <w:r>
        <w:rPr>
          <w:noProof/>
        </w:rPr>
        <w:t>(2006b)</w:t>
      </w:r>
      <w:r w:rsidRPr="006D6646">
        <w:t xml:space="preserve"> have shown a reduction in total bact</w:t>
      </w:r>
      <w:r w:rsidRPr="00BF4F7D">
        <w:t>erial population</w:t>
      </w:r>
      <w:r>
        <w:t>s</w:t>
      </w:r>
      <w:r w:rsidRPr="00BF4F7D">
        <w:t xml:space="preserve">, including bacteria considered to be in the VBNC state, after exposure to copper. Given the low numbers of bacteria likely to </w:t>
      </w:r>
      <w:r>
        <w:t>remain</w:t>
      </w:r>
      <w:r w:rsidRPr="00BF4F7D">
        <w:t xml:space="preserve"> on apples if copper is applied, these results suggest </w:t>
      </w:r>
      <w:r>
        <w:t>VBNC</w:t>
      </w:r>
      <w:r w:rsidRPr="00BF4F7D">
        <w:t xml:space="preserve"> bacteria are </w:t>
      </w:r>
      <w:r>
        <w:t>un</w:t>
      </w:r>
      <w:r w:rsidRPr="00BF4F7D">
        <w:t xml:space="preserve">likely to be present at fruit maturity. </w:t>
      </w:r>
    </w:p>
    <w:p w14:paraId="11E7EBB1" w14:textId="77777777" w:rsidR="003438A2" w:rsidRPr="004B5DFF" w:rsidRDefault="003438A2" w:rsidP="003438A2">
      <w:pPr>
        <w:pStyle w:val="ListBullet"/>
        <w:numPr>
          <w:ilvl w:val="0"/>
          <w:numId w:val="15"/>
        </w:numPr>
      </w:pPr>
      <w:r w:rsidRPr="004B5DFF">
        <w:t xml:space="preserve">There is no evidence </w:t>
      </w:r>
      <w:r>
        <w:t xml:space="preserve">that </w:t>
      </w:r>
      <w:r w:rsidRPr="00540F5F">
        <w:rPr>
          <w:i/>
          <w:iCs/>
        </w:rPr>
        <w:t>E. amylovora</w:t>
      </w:r>
      <w:r w:rsidRPr="004B5DFF">
        <w:t xml:space="preserve"> </w:t>
      </w:r>
      <w:r>
        <w:t xml:space="preserve">enters a </w:t>
      </w:r>
      <w:r w:rsidRPr="004B5DFF">
        <w:t xml:space="preserve">VBNC </w:t>
      </w:r>
      <w:r>
        <w:t>state</w:t>
      </w:r>
      <w:r w:rsidRPr="004B5DFF">
        <w:t xml:space="preserve"> in apple</w:t>
      </w:r>
      <w:r>
        <w:t>s</w:t>
      </w:r>
      <w:r w:rsidRPr="004B5DFF">
        <w:t xml:space="preserve"> under field conditions</w:t>
      </w:r>
      <w:r>
        <w:t>;</w:t>
      </w:r>
      <w:r w:rsidRPr="004B5DFF">
        <w:t xml:space="preserve"> when VBNC detection was specifically attempted, no </w:t>
      </w:r>
      <w:r w:rsidRPr="00540F5F">
        <w:rPr>
          <w:i/>
          <w:iCs/>
        </w:rPr>
        <w:t>E. amylovora</w:t>
      </w:r>
      <w:r w:rsidRPr="004B5DFF">
        <w:t xml:space="preserve"> VBNC or culturable cells could be detected on symptomless apples harvested from infected trees </w:t>
      </w:r>
      <w:r>
        <w:t>(Ordax et al. 2010b).</w:t>
      </w:r>
      <w:r w:rsidRPr="004B5DFF">
        <w:t xml:space="preserve"> </w:t>
      </w:r>
      <w:r>
        <w:t>Even were it to be assumed that</w:t>
      </w:r>
      <w:r w:rsidRPr="004B5DFF">
        <w:t xml:space="preserve"> </w:t>
      </w:r>
      <w:r w:rsidRPr="00540F5F">
        <w:rPr>
          <w:i/>
          <w:iCs/>
        </w:rPr>
        <w:t>E. amylovora</w:t>
      </w:r>
      <w:r w:rsidRPr="004B5DFF">
        <w:t xml:space="preserve"> </w:t>
      </w:r>
      <w:r>
        <w:t xml:space="preserve">could </w:t>
      </w:r>
      <w:r w:rsidRPr="004B5DFF">
        <w:t xml:space="preserve">enter the VBNC state in </w:t>
      </w:r>
      <w:r>
        <w:t>an</w:t>
      </w:r>
      <w:r w:rsidRPr="004B5DFF">
        <w:t xml:space="preserve"> apple calyx in the orchard, there is still no evidence of </w:t>
      </w:r>
      <w:r>
        <w:t>revival</w:t>
      </w:r>
      <w:r w:rsidRPr="004B5DFF">
        <w:t xml:space="preserve"> and </w:t>
      </w:r>
      <w:r>
        <w:t>subsequent</w:t>
      </w:r>
      <w:r w:rsidRPr="004B5DFF">
        <w:t xml:space="preserve"> infection under natural conditions</w:t>
      </w:r>
      <w:r>
        <w:t xml:space="preserve"> (</w:t>
      </w:r>
      <w:hyperlink w:anchor="_ENREF_55" w:tooltip="Deckers, 2010 #43637" w:history="1">
        <w:r>
          <w:rPr>
            <w:noProof/>
          </w:rPr>
          <w:t>Deckers 2010</w:t>
        </w:r>
      </w:hyperlink>
      <w:r>
        <w:rPr>
          <w:noProof/>
        </w:rPr>
        <w:t>)</w:t>
      </w:r>
      <w:r w:rsidRPr="00540F5F">
        <w:t>.</w:t>
      </w:r>
    </w:p>
    <w:p w14:paraId="0949A418" w14:textId="77777777" w:rsidR="003438A2" w:rsidRPr="00851461" w:rsidRDefault="003438A2" w:rsidP="00C67856">
      <w:bookmarkStart w:id="359" w:name="_Hlk44505384"/>
      <w:r w:rsidRPr="00DD59F0">
        <w:rPr>
          <w:i/>
        </w:rPr>
        <w:t xml:space="preserve">Erwinia amylovora </w:t>
      </w:r>
      <w:r w:rsidRPr="00DD59F0">
        <w:t xml:space="preserve">is unlikely to survive under adverse conditions using mechanisms such as exopolysaccharides </w:t>
      </w:r>
      <w:r w:rsidRPr="00851461">
        <w:t>and biofilms.</w:t>
      </w:r>
    </w:p>
    <w:bookmarkEnd w:id="359"/>
    <w:p w14:paraId="6928E86F" w14:textId="77777777" w:rsidR="003438A2" w:rsidRPr="00851461" w:rsidRDefault="003438A2" w:rsidP="003438A2">
      <w:pPr>
        <w:pStyle w:val="ListBullet"/>
        <w:numPr>
          <w:ilvl w:val="0"/>
          <w:numId w:val="15"/>
        </w:numPr>
        <w:rPr>
          <w:i/>
          <w:iCs/>
        </w:rPr>
      </w:pPr>
      <w:r w:rsidRPr="00851461">
        <w:t xml:space="preserve">Exopolysaccharides (EPS) play a role in protecting bacterial cells against desiccation in the biofilms, assisting adhesion to solid surfaces, and promoting cellular recognition </w:t>
      </w:r>
      <w:r w:rsidRPr="00851461">
        <w:rPr>
          <w:noProof/>
        </w:rPr>
        <w:t>(Allison 1998; Harrison et al. 2005; Stoodley et al. 2002)</w:t>
      </w:r>
      <w:r w:rsidRPr="00851461">
        <w:t xml:space="preserve">. Exopolysaccharides such as amylovoran and levan produced by </w:t>
      </w:r>
      <w:r w:rsidRPr="00851461">
        <w:rPr>
          <w:i/>
        </w:rPr>
        <w:t>E. amylovora</w:t>
      </w:r>
      <w:r w:rsidRPr="00851461">
        <w:t xml:space="preserve"> can also provide the bacterium with a carbon source </w:t>
      </w:r>
      <w:r w:rsidRPr="00851461">
        <w:rPr>
          <w:noProof/>
        </w:rPr>
        <w:t>(Ordax et al. 2010a)</w:t>
      </w:r>
      <w:r w:rsidRPr="00851461">
        <w:t xml:space="preserve">. It has been shown that EPS contribute to the formation of biofilms which protect the bacterium from desiccation and play an important role in the pathogenesis and disease development of </w:t>
      </w:r>
      <w:r w:rsidRPr="00851461">
        <w:rPr>
          <w:i/>
          <w:iCs/>
        </w:rPr>
        <w:t>E. amylovora</w:t>
      </w:r>
      <w:r w:rsidRPr="00851461">
        <w:rPr>
          <w:iCs/>
        </w:rPr>
        <w:t xml:space="preserve"> in plants </w:t>
      </w:r>
      <w:r w:rsidRPr="00851461">
        <w:rPr>
          <w:iCs/>
          <w:noProof/>
        </w:rPr>
        <w:t>(Geider 2009)</w:t>
      </w:r>
      <w:r w:rsidRPr="00851461">
        <w:rPr>
          <w:iCs/>
        </w:rPr>
        <w:t>.</w:t>
      </w:r>
    </w:p>
    <w:p w14:paraId="6169E19C" w14:textId="77777777" w:rsidR="003438A2" w:rsidRPr="00851461" w:rsidRDefault="003438A2" w:rsidP="003438A2">
      <w:pPr>
        <w:pStyle w:val="ListBullet"/>
        <w:numPr>
          <w:ilvl w:val="0"/>
          <w:numId w:val="15"/>
        </w:numPr>
      </w:pPr>
      <w:r w:rsidRPr="00851461">
        <w:t xml:space="preserve">Biofilm formation is widespread among enterobacterial species </w:t>
      </w:r>
      <w:r w:rsidRPr="00851461">
        <w:rPr>
          <w:noProof/>
        </w:rPr>
        <w:t>(Charkowski, Yap &amp; Jabn 2005)</w:t>
      </w:r>
      <w:r w:rsidRPr="00851461">
        <w:t xml:space="preserve"> and is a mechanism for bacterial protection in unfavourable conditions at a liquid–solid interface </w:t>
      </w:r>
      <w:r w:rsidRPr="00851461">
        <w:rPr>
          <w:noProof/>
        </w:rPr>
        <w:t>(Hall-Stoodley, Costerton &amp; Stoodley 2004)</w:t>
      </w:r>
      <w:r w:rsidRPr="00851461">
        <w:t xml:space="preserve">. Biofilms may also form on the surfaces of containers used for harvesting, transporting, and displaying foods at retail level </w:t>
      </w:r>
      <w:r w:rsidRPr="00851461">
        <w:rPr>
          <w:noProof/>
        </w:rPr>
        <w:t>(Consterton et al. 1987)</w:t>
      </w:r>
      <w:r w:rsidRPr="00851461">
        <w:t xml:space="preserve">. </w:t>
      </w:r>
    </w:p>
    <w:p w14:paraId="3600FE1B" w14:textId="77777777" w:rsidR="003438A2" w:rsidRDefault="003438A2" w:rsidP="003438A2">
      <w:pPr>
        <w:pStyle w:val="ListBullet"/>
        <w:numPr>
          <w:ilvl w:val="0"/>
          <w:numId w:val="15"/>
        </w:numPr>
      </w:pPr>
      <w:r w:rsidRPr="00851461">
        <w:t xml:space="preserve">It is unlikely that </w:t>
      </w:r>
      <w:r w:rsidRPr="00851461">
        <w:rPr>
          <w:i/>
        </w:rPr>
        <w:t xml:space="preserve">E. amylovora </w:t>
      </w:r>
      <w:r w:rsidRPr="00851461">
        <w:rPr>
          <w:iCs/>
        </w:rPr>
        <w:t>from such biofilms</w:t>
      </w:r>
      <w:r w:rsidRPr="00851461">
        <w:rPr>
          <w:i/>
        </w:rPr>
        <w:t xml:space="preserve"> </w:t>
      </w:r>
      <w:r w:rsidRPr="00851461">
        <w:t>could attach to fruit, and it is likely that any bacteria that may superficially attach would be removed</w:t>
      </w:r>
      <w:r>
        <w:t xml:space="preserve"> during washing and brushing procedures.</w:t>
      </w:r>
    </w:p>
    <w:p w14:paraId="5F2122E1" w14:textId="77777777" w:rsidR="003438A2" w:rsidRPr="00E66CB0" w:rsidRDefault="003438A2" w:rsidP="00C67856">
      <w:r w:rsidRPr="00837494">
        <w:t xml:space="preserve">The information presented indicates that </w:t>
      </w:r>
      <w:r w:rsidRPr="008806EE">
        <w:rPr>
          <w:i/>
          <w:iCs/>
        </w:rPr>
        <w:t>E. amylovora</w:t>
      </w:r>
      <w:r w:rsidRPr="00837494">
        <w:t xml:space="preserve"> is present in </w:t>
      </w:r>
      <w:r>
        <w:t xml:space="preserve">all parts of </w:t>
      </w:r>
      <w:r w:rsidRPr="00837494">
        <w:t xml:space="preserve">the </w:t>
      </w:r>
      <w:r>
        <w:t>PNW-</w:t>
      </w:r>
      <w:r w:rsidRPr="00837494">
        <w:t xml:space="preserve">USA and is associated with apple trees. However, </w:t>
      </w:r>
      <w:r>
        <w:t>i</w:t>
      </w:r>
      <w:r w:rsidRPr="00346FB2">
        <w:t xml:space="preserve">n PNW-USA orchards, </w:t>
      </w:r>
      <w:r>
        <w:rPr>
          <w:i/>
        </w:rPr>
        <w:t xml:space="preserve">E. </w:t>
      </w:r>
      <w:r w:rsidRPr="00346FB2">
        <w:rPr>
          <w:i/>
        </w:rPr>
        <w:t>amylovora</w:t>
      </w:r>
      <w:r w:rsidRPr="00346FB2">
        <w:t xml:space="preserve"> is actively managed </w:t>
      </w:r>
      <w:r>
        <w:t>by</w:t>
      </w:r>
      <w:r w:rsidRPr="00346FB2">
        <w:t xml:space="preserve"> </w:t>
      </w:r>
      <w:r>
        <w:t>reduction</w:t>
      </w:r>
      <w:r w:rsidRPr="00346FB2">
        <w:t xml:space="preserve"> of inoculum sources</w:t>
      </w:r>
      <w:r>
        <w:t xml:space="preserve">, including by winter pruning of canker-infected branches. </w:t>
      </w:r>
      <w:r w:rsidRPr="00346FB2">
        <w:t xml:space="preserve">In spring, potential blossom infection is managed </w:t>
      </w:r>
      <w:r>
        <w:t>by</w:t>
      </w:r>
      <w:r w:rsidRPr="00346FB2">
        <w:t xml:space="preserve"> application of blossom </w:t>
      </w:r>
      <w:r w:rsidRPr="00AD66C7">
        <w:t>protect</w:t>
      </w:r>
      <w:r>
        <w:t>ion</w:t>
      </w:r>
      <w:r w:rsidRPr="00AD66C7">
        <w:t xml:space="preserve"> sprays, guided</w:t>
      </w:r>
      <w:r>
        <w:t xml:space="preserve"> by the</w:t>
      </w:r>
      <w:r w:rsidRPr="00AD66C7">
        <w:t xml:space="preserve"> </w:t>
      </w:r>
      <w:r>
        <w:t xml:space="preserve">temperature-based </w:t>
      </w:r>
      <w:r w:rsidRPr="00AD66C7">
        <w:t>predictive mod</w:t>
      </w:r>
      <w:r>
        <w:t>els for disease</w:t>
      </w:r>
      <w:r w:rsidRPr="00AD66C7">
        <w:t xml:space="preserve"> event</w:t>
      </w:r>
      <w:r>
        <w:t>s</w:t>
      </w:r>
      <w:r w:rsidRPr="00AD66C7">
        <w:t xml:space="preserve">. </w:t>
      </w:r>
    </w:p>
    <w:p w14:paraId="1544001C" w14:textId="77777777" w:rsidR="003438A2" w:rsidRDefault="003438A2" w:rsidP="00C67856">
      <w:bookmarkStart w:id="360" w:name="_Hlk110256856"/>
      <w:r w:rsidRPr="00E66CB0">
        <w:t xml:space="preserve">There is no evidence to support the occurrence of active infection of mature fruit under natural conditions. For </w:t>
      </w:r>
      <w:r w:rsidRPr="00E66CB0">
        <w:rPr>
          <w:i/>
        </w:rPr>
        <w:t xml:space="preserve">E. amylovora </w:t>
      </w:r>
      <w:r w:rsidRPr="00E66CB0">
        <w:t>to be imported into Australia</w:t>
      </w:r>
      <w:r w:rsidRPr="00777518">
        <w:t xml:space="preserve"> on apple fruit from the PNW-USA,</w:t>
      </w:r>
      <w:r>
        <w:t xml:space="preserve"> fruit surfaces or parts, such as the </w:t>
      </w:r>
      <w:r w:rsidRPr="00777518">
        <w:t>calyx</w:t>
      </w:r>
      <w:r>
        <w:t>,</w:t>
      </w:r>
      <w:r w:rsidRPr="00777518">
        <w:t xml:space="preserve"> would need to be </w:t>
      </w:r>
      <w:r>
        <w:t>contaminated with the bacteria</w:t>
      </w:r>
      <w:r w:rsidRPr="00777518">
        <w:t>.</w:t>
      </w:r>
      <w:r>
        <w:t xml:space="preserve"> T</w:t>
      </w:r>
      <w:r w:rsidRPr="001B7C73">
        <w:t>here is evidence th</w:t>
      </w:r>
      <w:r>
        <w:t>at</w:t>
      </w:r>
      <w:r w:rsidRPr="001B7C73">
        <w:t xml:space="preserve"> </w:t>
      </w:r>
      <w:r w:rsidRPr="001B7C73">
        <w:rPr>
          <w:i/>
        </w:rPr>
        <w:t>E. amylovora</w:t>
      </w:r>
      <w:r w:rsidRPr="001B7C73">
        <w:t xml:space="preserve"> bacteria </w:t>
      </w:r>
      <w:r>
        <w:t>are unlikely to</w:t>
      </w:r>
      <w:r w:rsidRPr="001B7C73">
        <w:t xml:space="preserve"> survive</w:t>
      </w:r>
      <w:r>
        <w:t xml:space="preserve"> as epiphytic populations, and</w:t>
      </w:r>
      <w:r w:rsidRPr="001B7C73">
        <w:t xml:space="preserve"> </w:t>
      </w:r>
      <w:r>
        <w:t xml:space="preserve">that </w:t>
      </w:r>
      <w:r w:rsidRPr="001B7C73">
        <w:t xml:space="preserve">commercial industry practices </w:t>
      </w:r>
      <w:r>
        <w:t xml:space="preserve">such as </w:t>
      </w:r>
      <w:r w:rsidRPr="001B7C73">
        <w:t>packing house sanitation</w:t>
      </w:r>
      <w:r>
        <w:t xml:space="preserve"> will further reduce any such occurrence. E</w:t>
      </w:r>
      <w:r w:rsidRPr="001B7C73">
        <w:t>piphytic pathways are therefore</w:t>
      </w:r>
      <w:r>
        <w:t xml:space="preserve"> not</w:t>
      </w:r>
      <w:r w:rsidRPr="001B7C73">
        <w:t xml:space="preserve"> considered to be of significance.</w:t>
      </w:r>
      <w:r>
        <w:t xml:space="preserve"> Colonisation of </w:t>
      </w:r>
      <w:r w:rsidRPr="00192D78">
        <w:rPr>
          <w:i/>
          <w:iCs/>
        </w:rPr>
        <w:t>E. amylovora</w:t>
      </w:r>
      <w:r>
        <w:t xml:space="preserve"> in the c</w:t>
      </w:r>
      <w:r w:rsidRPr="001B7C73">
        <w:t xml:space="preserve">alyx of mature fruit has been documented. For calyx </w:t>
      </w:r>
      <w:r>
        <w:t>colonisation</w:t>
      </w:r>
      <w:r w:rsidRPr="001B7C73">
        <w:t xml:space="preserve"> to </w:t>
      </w:r>
      <w:r w:rsidRPr="001B7C73">
        <w:lastRenderedPageBreak/>
        <w:t xml:space="preserve">occur, seasonal climatic conditions need to be conducive for production of </w:t>
      </w:r>
      <w:r w:rsidRPr="001B7C73">
        <w:rPr>
          <w:i/>
        </w:rPr>
        <w:t>E. </w:t>
      </w:r>
      <w:r w:rsidRPr="00B106B1">
        <w:rPr>
          <w:i/>
        </w:rPr>
        <w:t>amylovora</w:t>
      </w:r>
      <w:r w:rsidRPr="00B106B1">
        <w:t xml:space="preserve"> inoculum to </w:t>
      </w:r>
      <w:r>
        <w:t>a</w:t>
      </w:r>
      <w:r w:rsidRPr="00B106B1">
        <w:t xml:space="preserve"> level </w:t>
      </w:r>
      <w:r>
        <w:t xml:space="preserve">at which </w:t>
      </w:r>
      <w:r w:rsidRPr="00B106B1">
        <w:t xml:space="preserve">it can </w:t>
      </w:r>
      <w:r>
        <w:t>colonise</w:t>
      </w:r>
      <w:r w:rsidRPr="00B106B1">
        <w:t xml:space="preserve"> the floral parts that are subsumed into the calyx </w:t>
      </w:r>
      <w:r>
        <w:t xml:space="preserve">during </w:t>
      </w:r>
      <w:r w:rsidRPr="00B106B1">
        <w:t xml:space="preserve">fruit development. </w:t>
      </w:r>
      <w:r>
        <w:t>C</w:t>
      </w:r>
      <w:r w:rsidRPr="00B106B1">
        <w:t xml:space="preserve">alyx </w:t>
      </w:r>
      <w:r>
        <w:t>colonisation</w:t>
      </w:r>
      <w:r w:rsidRPr="00B106B1">
        <w:t xml:space="preserve"> </w:t>
      </w:r>
      <w:r>
        <w:t>is</w:t>
      </w:r>
      <w:r w:rsidRPr="00B106B1">
        <w:t xml:space="preserve"> documented </w:t>
      </w:r>
      <w:r>
        <w:t>as</w:t>
      </w:r>
      <w:r w:rsidRPr="00B106B1">
        <w:t xml:space="preserve"> involv</w:t>
      </w:r>
      <w:r>
        <w:t>ing only</w:t>
      </w:r>
      <w:r w:rsidRPr="00B106B1">
        <w:t xml:space="preserve"> small populations of bacteria</w:t>
      </w:r>
      <w:r>
        <w:t xml:space="preserve"> and their numbers will decrease over time</w:t>
      </w:r>
      <w:r w:rsidRPr="00B106B1">
        <w:t xml:space="preserve">. It </w:t>
      </w:r>
      <w:r>
        <w:t>has also been</w:t>
      </w:r>
      <w:r w:rsidRPr="00B106B1">
        <w:t xml:space="preserve"> documented that the calyx is an </w:t>
      </w:r>
      <w:r>
        <w:t xml:space="preserve">unsupportive </w:t>
      </w:r>
      <w:r w:rsidRPr="00B106B1">
        <w:t xml:space="preserve">environment for </w:t>
      </w:r>
      <w:r w:rsidRPr="00B106B1">
        <w:rPr>
          <w:i/>
        </w:rPr>
        <w:t>E.</w:t>
      </w:r>
      <w:r>
        <w:rPr>
          <w:i/>
        </w:rPr>
        <w:t> </w:t>
      </w:r>
      <w:r w:rsidRPr="00B106B1">
        <w:rPr>
          <w:i/>
        </w:rPr>
        <w:t>amylovora</w:t>
      </w:r>
      <w:r w:rsidRPr="00A42E11">
        <w:rPr>
          <w:iCs/>
        </w:rPr>
        <w:t>,</w:t>
      </w:r>
      <w:r w:rsidRPr="00B106B1">
        <w:t xml:space="preserve"> </w:t>
      </w:r>
      <w:r>
        <w:t xml:space="preserve">potentially </w:t>
      </w:r>
      <w:r w:rsidRPr="00B106B1">
        <w:t xml:space="preserve">because of the lack of </w:t>
      </w:r>
      <w:r>
        <w:t xml:space="preserve">required </w:t>
      </w:r>
      <w:r w:rsidRPr="00B106B1">
        <w:t xml:space="preserve">nutrients and moisture. </w:t>
      </w:r>
      <w:r>
        <w:t xml:space="preserve">Extended times under cold storage and transport to Australia are anticipated to further reduce the numbers of viable bacteria in fruit calyces. However, some </w:t>
      </w:r>
      <w:r w:rsidRPr="00B106B1">
        <w:t xml:space="preserve">bacterial </w:t>
      </w:r>
      <w:r>
        <w:t>cells may</w:t>
      </w:r>
      <w:r w:rsidRPr="00B106B1">
        <w:t xml:space="preserve"> survive for a sufficient length of time </w:t>
      </w:r>
      <w:r>
        <w:t>to</w:t>
      </w:r>
      <w:r w:rsidRPr="00B106B1">
        <w:t xml:space="preserve"> allow importation of some contaminated apples</w:t>
      </w:r>
      <w:r>
        <w:t xml:space="preserve">. </w:t>
      </w:r>
    </w:p>
    <w:p w14:paraId="6CC4FB00" w14:textId="77777777" w:rsidR="003438A2" w:rsidRPr="00B106B1" w:rsidRDefault="003438A2" w:rsidP="00C67856">
      <w:bookmarkStart w:id="361" w:name="_Hlk110257114"/>
      <w:bookmarkEnd w:id="360"/>
      <w:r w:rsidRPr="00B106B1">
        <w:t xml:space="preserve">In summary, considering a significant volume of trade, the evidence shows that </w:t>
      </w:r>
      <w:r w:rsidRPr="00B106B1">
        <w:rPr>
          <w:i/>
        </w:rPr>
        <w:t>E. amylovora</w:t>
      </w:r>
      <w:r w:rsidRPr="00B106B1">
        <w:t xml:space="preserve"> has potential to be associated with </w:t>
      </w:r>
      <w:r>
        <w:t xml:space="preserve">apple </w:t>
      </w:r>
      <w:r w:rsidRPr="00B106B1">
        <w:t>fruit from the PNW-USA</w:t>
      </w:r>
      <w:r>
        <w:t>. However,</w:t>
      </w:r>
      <w:r w:rsidRPr="00B106B1">
        <w:t xml:space="preserve"> the proportion of fruit </w:t>
      </w:r>
      <w:r>
        <w:t>carrying bacteria is likely to</w:t>
      </w:r>
      <w:r w:rsidRPr="00B106B1">
        <w:t xml:space="preserve"> be small</w:t>
      </w:r>
      <w:r>
        <w:t>,</w:t>
      </w:r>
      <w:r w:rsidRPr="00B106B1">
        <w:t xml:space="preserve"> and the bacterial </w:t>
      </w:r>
      <w:r>
        <w:t>numbers are likely to be low, b</w:t>
      </w:r>
      <w:r w:rsidRPr="00B106B1">
        <w:t xml:space="preserve">oth </w:t>
      </w:r>
      <w:r>
        <w:t>of which</w:t>
      </w:r>
      <w:r w:rsidRPr="00B106B1">
        <w:t xml:space="preserve"> will be affected by climate </w:t>
      </w:r>
      <w:r>
        <w:t xml:space="preserve">effects </w:t>
      </w:r>
      <w:r w:rsidRPr="00B106B1">
        <w:t>from year to year</w:t>
      </w:r>
      <w:r>
        <w:t>.</w:t>
      </w:r>
      <w:r w:rsidRPr="00B106B1">
        <w:t xml:space="preserve"> </w:t>
      </w:r>
      <w:bookmarkEnd w:id="361"/>
    </w:p>
    <w:p w14:paraId="5BDE1E1E" w14:textId="77777777" w:rsidR="003438A2" w:rsidRDefault="003438A2" w:rsidP="00C67856">
      <w:r w:rsidRPr="00B106B1">
        <w:t xml:space="preserve">For the reasons outlined above, the likelihood estimate for importation of </w:t>
      </w:r>
      <w:r w:rsidRPr="00B106B1">
        <w:rPr>
          <w:i/>
        </w:rPr>
        <w:t xml:space="preserve">E. amylovora </w:t>
      </w:r>
      <w:r w:rsidRPr="00B106B1">
        <w:t xml:space="preserve">on </w:t>
      </w:r>
      <w:r>
        <w:t xml:space="preserve">the </w:t>
      </w:r>
      <w:r w:rsidRPr="00B106B1">
        <w:t xml:space="preserve">PNW-USA apple pathway is assessed </w:t>
      </w:r>
      <w:r w:rsidRPr="00F06134">
        <w:t>as Moderate.</w:t>
      </w:r>
    </w:p>
    <w:p w14:paraId="73364D1F" w14:textId="77777777" w:rsidR="003438A2" w:rsidRPr="00E66CB0" w:rsidRDefault="003438A2" w:rsidP="00C67856">
      <w:pPr>
        <w:pStyle w:val="Heading5"/>
      </w:pPr>
      <w:r w:rsidRPr="00E66CB0">
        <w:t>Likelihood of distribution</w:t>
      </w:r>
    </w:p>
    <w:p w14:paraId="05399181" w14:textId="77777777" w:rsidR="003438A2" w:rsidRPr="00E66CB0" w:rsidRDefault="003438A2" w:rsidP="00C67856">
      <w:r w:rsidRPr="00E66CB0">
        <w:t xml:space="preserve">The likelihood that </w:t>
      </w:r>
      <w:r w:rsidRPr="00E66CB0">
        <w:rPr>
          <w:i/>
        </w:rPr>
        <w:t>E. amylovora</w:t>
      </w:r>
      <w:r w:rsidRPr="00E66CB0">
        <w:t xml:space="preserve"> will be distributed within Australia in a viable state as a result of the processing, sale or disposal of apples from the PNW-USA, and subsequently transfer to a susceptible part of a host is considered to be similar to </w:t>
      </w:r>
      <w:r w:rsidRPr="00E66CB0">
        <w:rPr>
          <w:i/>
        </w:rPr>
        <w:t>E. amylovora</w:t>
      </w:r>
      <w:r w:rsidRPr="00E66CB0">
        <w:t xml:space="preserve"> </w:t>
      </w:r>
      <w:r w:rsidRPr="00E66CB0">
        <w:rPr>
          <w:iCs/>
        </w:rPr>
        <w:t>on apples from New Zealand</w:t>
      </w:r>
      <w:r w:rsidRPr="00E66CB0">
        <w:t xml:space="preserve">. Therefore, the same rating of Extremely Low for the likelihood of distribution previously assessed for </w:t>
      </w:r>
      <w:r w:rsidRPr="00E66CB0">
        <w:rPr>
          <w:i/>
        </w:rPr>
        <w:t>E. amylovora</w:t>
      </w:r>
      <w:r w:rsidRPr="00E66CB0">
        <w:t xml:space="preserve"> </w:t>
      </w:r>
      <w:r w:rsidRPr="00E66CB0">
        <w:rPr>
          <w:iCs/>
        </w:rPr>
        <w:t xml:space="preserve">on </w:t>
      </w:r>
      <w:r>
        <w:rPr>
          <w:iCs/>
        </w:rPr>
        <w:t xml:space="preserve">the </w:t>
      </w:r>
      <w:r w:rsidRPr="00E66CB0">
        <w:rPr>
          <w:iCs/>
        </w:rPr>
        <w:t xml:space="preserve">apples from New Zealand pathway is adopted for </w:t>
      </w:r>
      <w:r w:rsidRPr="00E66CB0">
        <w:rPr>
          <w:i/>
        </w:rPr>
        <w:t>E. amylovora</w:t>
      </w:r>
      <w:r w:rsidRPr="00E66CB0">
        <w:t xml:space="preserve"> </w:t>
      </w:r>
      <w:r w:rsidRPr="00E66CB0">
        <w:rPr>
          <w:iCs/>
        </w:rPr>
        <w:t xml:space="preserve">on </w:t>
      </w:r>
      <w:r>
        <w:rPr>
          <w:iCs/>
        </w:rPr>
        <w:t xml:space="preserve">the </w:t>
      </w:r>
      <w:r w:rsidRPr="00E66CB0">
        <w:rPr>
          <w:iCs/>
        </w:rPr>
        <w:t xml:space="preserve">apples from PNW-USA pathway. </w:t>
      </w:r>
    </w:p>
    <w:p w14:paraId="0C8FC36E" w14:textId="77777777" w:rsidR="003438A2" w:rsidRPr="00E66CB0" w:rsidRDefault="003438A2" w:rsidP="00C67856">
      <w:pPr>
        <w:pStyle w:val="Heading5"/>
      </w:pPr>
      <w:r w:rsidRPr="00E66CB0">
        <w:t>Overall likelihood of entry</w:t>
      </w:r>
    </w:p>
    <w:p w14:paraId="024903F8" w14:textId="77777777" w:rsidR="003438A2" w:rsidRPr="00E66CB0" w:rsidRDefault="003438A2" w:rsidP="00C67856">
      <w:r w:rsidRPr="00E66CB0">
        <w:t xml:space="preserve">The overall likelihood of entry is determined as Extremely Low by combining the assessed likelihood of importation of Moderate with the adopted likelihood of distribution of Extremely Low, </w:t>
      </w:r>
      <w:r w:rsidRPr="00E66CB0">
        <w:rPr>
          <w:rFonts w:cstheme="minorHAnsi"/>
        </w:rPr>
        <w:t xml:space="preserve">using the matrix of rules in </w:t>
      </w:r>
      <w:r>
        <w:rPr>
          <w:rFonts w:cstheme="minorHAnsi"/>
        </w:rPr>
        <w:fldChar w:fldCharType="begin" w:fldLock="1"/>
      </w:r>
      <w:r>
        <w:rPr>
          <w:rFonts w:cstheme="minorHAnsi"/>
        </w:rPr>
        <w:instrText xml:space="preserve"> REF _Ref457826328 \h </w:instrText>
      </w:r>
      <w:r>
        <w:rPr>
          <w:rFonts w:cstheme="minorHAnsi"/>
        </w:rPr>
      </w:r>
      <w:r>
        <w:rPr>
          <w:rFonts w:cstheme="minorHAnsi"/>
        </w:rPr>
        <w:fldChar w:fldCharType="separate"/>
      </w:r>
      <w:r w:rsidRPr="00DB5F8D">
        <w:t xml:space="preserve">Table </w:t>
      </w:r>
      <w:r>
        <w:rPr>
          <w:noProof/>
        </w:rPr>
        <w:t>2</w:t>
      </w:r>
      <w:r>
        <w:t>.</w:t>
      </w:r>
      <w:r>
        <w:rPr>
          <w:noProof/>
        </w:rPr>
        <w:t>2</w:t>
      </w:r>
      <w:r>
        <w:rPr>
          <w:rFonts w:cstheme="minorHAnsi"/>
        </w:rPr>
        <w:fldChar w:fldCharType="end"/>
      </w:r>
      <w:r>
        <w:rPr>
          <w:rFonts w:cstheme="minorHAnsi"/>
        </w:rPr>
        <w:t>.</w:t>
      </w:r>
    </w:p>
    <w:p w14:paraId="4629ECA1" w14:textId="77777777" w:rsidR="003438A2" w:rsidRPr="00E66CB0" w:rsidRDefault="003438A2" w:rsidP="00F843A1">
      <w:pPr>
        <w:pStyle w:val="Heading4"/>
        <w:numPr>
          <w:ilvl w:val="2"/>
          <w:numId w:val="30"/>
        </w:numPr>
        <w:tabs>
          <w:tab w:val="clear" w:pos="1362"/>
          <w:tab w:val="num" w:pos="794"/>
        </w:tabs>
        <w:ind w:left="1786"/>
      </w:pPr>
      <w:r w:rsidRPr="00E66CB0">
        <w:t>Likelihood</w:t>
      </w:r>
      <w:r>
        <w:t>s</w:t>
      </w:r>
      <w:r w:rsidRPr="00E66CB0">
        <w:t xml:space="preserve"> of establishment and spread</w:t>
      </w:r>
    </w:p>
    <w:p w14:paraId="5167A46C" w14:textId="77777777" w:rsidR="003438A2" w:rsidRPr="00E66CB0" w:rsidRDefault="003438A2" w:rsidP="00C67856">
      <w:pPr>
        <w:autoSpaceDE w:val="0"/>
        <w:autoSpaceDN w:val="0"/>
        <w:adjustRightInd w:val="0"/>
        <w:rPr>
          <w:rFonts w:cstheme="minorHAnsi"/>
        </w:rPr>
      </w:pPr>
      <w:r w:rsidRPr="00E66CB0">
        <w:rPr>
          <w:rFonts w:cstheme="minorHAnsi"/>
        </w:rPr>
        <w:t xml:space="preserve">The likelihoods of establishment and spread for </w:t>
      </w:r>
      <w:r w:rsidRPr="00E66CB0">
        <w:rPr>
          <w:i/>
        </w:rPr>
        <w:t>E. amylovora</w:t>
      </w:r>
      <w:r w:rsidRPr="00E66CB0">
        <w:t xml:space="preserve"> </w:t>
      </w:r>
      <w:r w:rsidRPr="00E66CB0">
        <w:rPr>
          <w:rFonts w:cstheme="minorHAnsi"/>
        </w:rPr>
        <w:t xml:space="preserve">are independent of the import pathway and are considered similar to those previously assessed for </w:t>
      </w:r>
      <w:r>
        <w:rPr>
          <w:rFonts w:cstheme="minorHAnsi"/>
        </w:rPr>
        <w:t xml:space="preserve">the </w:t>
      </w:r>
      <w:r w:rsidRPr="00E66CB0">
        <w:rPr>
          <w:rFonts w:cstheme="minorHAnsi"/>
        </w:rPr>
        <w:t>apples from New Zealand pathway.</w:t>
      </w:r>
    </w:p>
    <w:p w14:paraId="101B9C1A" w14:textId="49EF2737" w:rsidR="003438A2" w:rsidRPr="00851461" w:rsidRDefault="003438A2" w:rsidP="00C67856">
      <w:pPr>
        <w:autoSpaceDE w:val="0"/>
        <w:autoSpaceDN w:val="0"/>
        <w:adjustRightInd w:val="0"/>
      </w:pPr>
      <w:r w:rsidRPr="00851461">
        <w:rPr>
          <w:rFonts w:cstheme="minorHAnsi"/>
        </w:rPr>
        <w:t xml:space="preserve">Based on the previous assessment for apples from New Zealand </w:t>
      </w:r>
      <w:r w:rsidRPr="00851461">
        <w:rPr>
          <w:noProof/>
        </w:rPr>
        <w:t>(Biosecurity Australia 2011b)</w:t>
      </w:r>
      <w:r w:rsidRPr="00851461">
        <w:t xml:space="preserve">, </w:t>
      </w:r>
      <w:r w:rsidRPr="00851461">
        <w:rPr>
          <w:rFonts w:cstheme="minorHAnsi"/>
        </w:rPr>
        <w:t xml:space="preserve">the likelihoods of establishment and spread for </w:t>
      </w:r>
      <w:r w:rsidRPr="00851461">
        <w:rPr>
          <w:i/>
        </w:rPr>
        <w:t>E. amylovora</w:t>
      </w:r>
      <w:r w:rsidRPr="00851461">
        <w:t xml:space="preserve"> </w:t>
      </w:r>
      <w:r w:rsidRPr="00851461">
        <w:rPr>
          <w:rFonts w:cstheme="minorHAnsi"/>
        </w:rPr>
        <w:t>are both assessed as High.</w:t>
      </w:r>
    </w:p>
    <w:p w14:paraId="0E405542" w14:textId="77777777" w:rsidR="003438A2" w:rsidRPr="0072197D" w:rsidRDefault="003438A2" w:rsidP="00F843A1">
      <w:pPr>
        <w:pStyle w:val="Heading4"/>
        <w:numPr>
          <w:ilvl w:val="2"/>
          <w:numId w:val="30"/>
        </w:numPr>
        <w:tabs>
          <w:tab w:val="clear" w:pos="1362"/>
          <w:tab w:val="num" w:pos="794"/>
        </w:tabs>
        <w:ind w:left="1786"/>
      </w:pPr>
      <w:r w:rsidRPr="00851461">
        <w:t>Overall likelihood of entry, establishment</w:t>
      </w:r>
      <w:r w:rsidRPr="0072197D">
        <w:t xml:space="preserve"> and spread</w:t>
      </w:r>
    </w:p>
    <w:p w14:paraId="55138736" w14:textId="77777777" w:rsidR="003438A2" w:rsidRPr="0072197D" w:rsidRDefault="003438A2" w:rsidP="00C67856">
      <w:pPr>
        <w:autoSpaceDE w:val="0"/>
        <w:autoSpaceDN w:val="0"/>
        <w:adjustRightInd w:val="0"/>
      </w:pPr>
      <w:r w:rsidRPr="0072197D">
        <w:t>The overall likelihood of entry, establishment and spread is determined by combining the likelihoods of entry, of establishment and of spread using the matrix of rules shown in</w:t>
      </w:r>
      <w:r>
        <w:t xml:space="preserve"> </w:t>
      </w:r>
      <w:r>
        <w:fldChar w:fldCharType="begin" w:fldLock="1"/>
      </w:r>
      <w:r>
        <w:instrText xml:space="preserve"> REF _Ref457826328 \h </w:instrText>
      </w:r>
      <w:r>
        <w:fldChar w:fldCharType="separate"/>
      </w:r>
      <w:r w:rsidRPr="00DB5F8D">
        <w:t xml:space="preserve">Table </w:t>
      </w:r>
      <w:r>
        <w:rPr>
          <w:noProof/>
        </w:rPr>
        <w:t>2</w:t>
      </w:r>
      <w:r>
        <w:t>.</w:t>
      </w:r>
      <w:r>
        <w:rPr>
          <w:noProof/>
        </w:rPr>
        <w:t>2</w:t>
      </w:r>
      <w:r>
        <w:fldChar w:fldCharType="end"/>
      </w:r>
      <w:r w:rsidRPr="0072197D">
        <w:t>.</w:t>
      </w:r>
    </w:p>
    <w:p w14:paraId="69371255" w14:textId="77777777" w:rsidR="003438A2" w:rsidRPr="0072197D" w:rsidRDefault="003438A2" w:rsidP="00C67856">
      <w:pPr>
        <w:autoSpaceDE w:val="0"/>
        <w:autoSpaceDN w:val="0"/>
        <w:adjustRightInd w:val="0"/>
        <w:rPr>
          <w:rFonts w:cstheme="minorHAnsi"/>
        </w:rPr>
      </w:pPr>
      <w:r w:rsidRPr="0072197D">
        <w:t xml:space="preserve">The overall likelihood that </w:t>
      </w:r>
      <w:r w:rsidRPr="0072197D">
        <w:rPr>
          <w:i/>
        </w:rPr>
        <w:t>E. amylovora</w:t>
      </w:r>
      <w:r w:rsidRPr="0072197D">
        <w:t xml:space="preserve"> will enter Australia as a result of trade in apples from the PNW-USA, be distributed in a viable state to a susceptible part of a host, establish in Australia and subsequently spread within Australia is assessed as Extremely Low</w:t>
      </w:r>
      <w:r w:rsidRPr="0072197D">
        <w:rPr>
          <w:rFonts w:cstheme="minorHAnsi"/>
        </w:rPr>
        <w:t>.</w:t>
      </w:r>
    </w:p>
    <w:p w14:paraId="00C7406B" w14:textId="77777777" w:rsidR="003438A2" w:rsidRPr="00E66CB0" w:rsidRDefault="003438A2" w:rsidP="00F843A1">
      <w:pPr>
        <w:pStyle w:val="Heading4"/>
        <w:numPr>
          <w:ilvl w:val="2"/>
          <w:numId w:val="30"/>
        </w:numPr>
        <w:tabs>
          <w:tab w:val="clear" w:pos="1362"/>
          <w:tab w:val="num" w:pos="794"/>
        </w:tabs>
        <w:ind w:left="1786"/>
      </w:pPr>
      <w:r w:rsidRPr="00E66CB0">
        <w:lastRenderedPageBreak/>
        <w:t>Consequences</w:t>
      </w:r>
    </w:p>
    <w:p w14:paraId="76FEEDCF" w14:textId="77777777" w:rsidR="003438A2" w:rsidRPr="00E66CB0" w:rsidRDefault="003438A2" w:rsidP="00C67856">
      <w:pPr>
        <w:autoSpaceDE w:val="0"/>
        <w:autoSpaceDN w:val="0"/>
        <w:adjustRightInd w:val="0"/>
      </w:pPr>
      <w:r w:rsidRPr="00E66CB0">
        <w:t xml:space="preserve">The potential consequences of </w:t>
      </w:r>
      <w:r w:rsidRPr="00851461">
        <w:t xml:space="preserve">the entry, establishment and spread of </w:t>
      </w:r>
      <w:r w:rsidRPr="00851461">
        <w:rPr>
          <w:i/>
        </w:rPr>
        <w:t>E. amylovora</w:t>
      </w:r>
      <w:r w:rsidRPr="00851461">
        <w:t xml:space="preserve"> in Australia are similar to those in the previous assessment for </w:t>
      </w:r>
      <w:r w:rsidRPr="00851461">
        <w:rPr>
          <w:i/>
        </w:rPr>
        <w:t>E. amylovora</w:t>
      </w:r>
      <w:r w:rsidRPr="00851461">
        <w:t xml:space="preserve"> on the apples from New Zealand pathway, which were assessed as High </w:t>
      </w:r>
      <w:r w:rsidRPr="00851461">
        <w:rPr>
          <w:noProof/>
        </w:rPr>
        <w:t>(Biosecurity Australia 2011b)</w:t>
      </w:r>
      <w:r w:rsidRPr="00851461">
        <w:t xml:space="preserve">. The overall consequences for </w:t>
      </w:r>
      <w:r w:rsidRPr="00851461">
        <w:rPr>
          <w:i/>
        </w:rPr>
        <w:t>E. amylovora</w:t>
      </w:r>
      <w:r w:rsidRPr="00851461">
        <w:t xml:space="preserve"> on the apples from PNW-USA</w:t>
      </w:r>
      <w:r w:rsidRPr="00E66CB0">
        <w:t xml:space="preserve"> pathway are also assessed as High.</w:t>
      </w:r>
    </w:p>
    <w:p w14:paraId="2CF60D19" w14:textId="77777777" w:rsidR="003438A2" w:rsidRPr="005F6CBD" w:rsidRDefault="003438A2" w:rsidP="00F843A1">
      <w:pPr>
        <w:pStyle w:val="Heading4"/>
        <w:numPr>
          <w:ilvl w:val="2"/>
          <w:numId w:val="30"/>
        </w:numPr>
        <w:tabs>
          <w:tab w:val="clear" w:pos="1362"/>
          <w:tab w:val="num" w:pos="794"/>
        </w:tabs>
        <w:ind w:left="1786"/>
      </w:pPr>
      <w:r w:rsidRPr="005F6CBD">
        <w:t>Unrestricted risk estimate</w:t>
      </w:r>
    </w:p>
    <w:p w14:paraId="76613080" w14:textId="77777777" w:rsidR="003438A2" w:rsidRPr="00945121" w:rsidRDefault="003438A2" w:rsidP="00C67856">
      <w:r w:rsidRPr="00945121">
        <w:t xml:space="preserve">Unrestricted risk is the result of combining the </w:t>
      </w:r>
      <w:r>
        <w:t xml:space="preserve">overall </w:t>
      </w:r>
      <w:r w:rsidRPr="00945121">
        <w:t xml:space="preserve">likelihood of entry, establishment and spread with the outcome of overall consequences. </w:t>
      </w:r>
      <w:r>
        <w:t>The overall l</w:t>
      </w:r>
      <w:r w:rsidRPr="00945121">
        <w:t xml:space="preserve">ikelihood and consequences are combined using the risk estimation matrix shown in </w:t>
      </w:r>
      <w:r>
        <w:fldChar w:fldCharType="begin" w:fldLock="1"/>
      </w:r>
      <w:r>
        <w:instrText xml:space="preserve"> REF _Ref457826369 \h </w:instrText>
      </w:r>
      <w:r>
        <w:fldChar w:fldCharType="separate"/>
      </w:r>
      <w:r>
        <w:t xml:space="preserve">Table </w:t>
      </w:r>
      <w:r>
        <w:rPr>
          <w:noProof/>
        </w:rPr>
        <w:t>2</w:t>
      </w:r>
      <w:r>
        <w:t>.</w:t>
      </w:r>
      <w:r>
        <w:rPr>
          <w:noProof/>
        </w:rPr>
        <w:t>5</w:t>
      </w:r>
      <w:r>
        <w:fldChar w:fldCharType="end"/>
      </w:r>
      <w:r w:rsidRPr="00945121">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3438A2" w:rsidRPr="00E66CB0" w14:paraId="3E209FEF" w14:textId="77777777" w:rsidTr="00EF0A05">
        <w:trPr>
          <w:trHeight w:val="423"/>
        </w:trPr>
        <w:tc>
          <w:tcPr>
            <w:tcW w:w="5000" w:type="pct"/>
            <w:gridSpan w:val="2"/>
            <w:tcBorders>
              <w:top w:val="single" w:sz="4" w:space="0" w:color="auto"/>
              <w:bottom w:val="single" w:sz="4" w:space="0" w:color="auto"/>
            </w:tcBorders>
            <w:shd w:val="clear" w:color="auto" w:fill="auto"/>
          </w:tcPr>
          <w:p w14:paraId="098E9617" w14:textId="77777777" w:rsidR="003438A2" w:rsidRPr="00E66CB0" w:rsidRDefault="003438A2" w:rsidP="00EF0A05">
            <w:pPr>
              <w:pStyle w:val="TableHeading"/>
            </w:pPr>
            <w:r w:rsidRPr="00E66CB0">
              <w:t xml:space="preserve">Unrestricted risk estimate for </w:t>
            </w:r>
            <w:r w:rsidRPr="00E66CB0">
              <w:rPr>
                <w:i/>
              </w:rPr>
              <w:t>E. amylovora</w:t>
            </w:r>
          </w:p>
        </w:tc>
      </w:tr>
      <w:tr w:rsidR="003438A2" w:rsidRPr="00E66CB0" w14:paraId="65DD8C37" w14:textId="77777777" w:rsidTr="00EF0A05">
        <w:trPr>
          <w:trHeight w:val="273"/>
        </w:trPr>
        <w:tc>
          <w:tcPr>
            <w:tcW w:w="3417" w:type="pct"/>
            <w:tcBorders>
              <w:top w:val="single" w:sz="4" w:space="0" w:color="auto"/>
              <w:bottom w:val="nil"/>
            </w:tcBorders>
            <w:shd w:val="clear" w:color="auto" w:fill="auto"/>
          </w:tcPr>
          <w:p w14:paraId="04A47AC8" w14:textId="77777777" w:rsidR="003438A2" w:rsidRPr="00E66CB0" w:rsidRDefault="003438A2" w:rsidP="00EF0A05">
            <w:pPr>
              <w:pStyle w:val="TableText"/>
            </w:pPr>
            <w:r w:rsidRPr="00E66CB0">
              <w:t>Overall likelihood of entry, establishment and spread</w:t>
            </w:r>
          </w:p>
        </w:tc>
        <w:tc>
          <w:tcPr>
            <w:tcW w:w="1583" w:type="pct"/>
            <w:tcBorders>
              <w:top w:val="single" w:sz="4" w:space="0" w:color="auto"/>
              <w:bottom w:val="nil"/>
            </w:tcBorders>
            <w:shd w:val="clear" w:color="auto" w:fill="auto"/>
          </w:tcPr>
          <w:p w14:paraId="3506EDCC" w14:textId="77777777" w:rsidR="003438A2" w:rsidRPr="00E66CB0" w:rsidRDefault="003438A2" w:rsidP="00EF0A05">
            <w:pPr>
              <w:pStyle w:val="TableText"/>
            </w:pPr>
            <w:r w:rsidRPr="00E66CB0">
              <w:t>Extremely low</w:t>
            </w:r>
          </w:p>
        </w:tc>
      </w:tr>
      <w:tr w:rsidR="003438A2" w:rsidRPr="00E66CB0" w14:paraId="1B92102B" w14:textId="77777777" w:rsidTr="00EF0A05">
        <w:trPr>
          <w:trHeight w:val="284"/>
        </w:trPr>
        <w:tc>
          <w:tcPr>
            <w:tcW w:w="3417" w:type="pct"/>
            <w:tcBorders>
              <w:top w:val="nil"/>
              <w:bottom w:val="nil"/>
            </w:tcBorders>
            <w:shd w:val="clear" w:color="auto" w:fill="auto"/>
          </w:tcPr>
          <w:p w14:paraId="7F590367" w14:textId="77777777" w:rsidR="003438A2" w:rsidRPr="00E66CB0" w:rsidRDefault="003438A2" w:rsidP="00EF0A05">
            <w:pPr>
              <w:pStyle w:val="TableText"/>
            </w:pPr>
            <w:r w:rsidRPr="00E66CB0">
              <w:t>Consequences</w:t>
            </w:r>
          </w:p>
        </w:tc>
        <w:tc>
          <w:tcPr>
            <w:tcW w:w="1583" w:type="pct"/>
            <w:tcBorders>
              <w:top w:val="nil"/>
              <w:bottom w:val="nil"/>
            </w:tcBorders>
            <w:shd w:val="clear" w:color="auto" w:fill="auto"/>
          </w:tcPr>
          <w:p w14:paraId="14E47610" w14:textId="77777777" w:rsidR="003438A2" w:rsidRPr="00E66CB0" w:rsidRDefault="003438A2" w:rsidP="00EF0A05">
            <w:pPr>
              <w:pStyle w:val="TableText"/>
            </w:pPr>
            <w:r w:rsidRPr="00E66CB0">
              <w:t>High</w:t>
            </w:r>
          </w:p>
        </w:tc>
      </w:tr>
      <w:tr w:rsidR="003438A2" w:rsidRPr="00E66CB0" w14:paraId="7A2EE35C" w14:textId="77777777" w:rsidTr="00EF0A05">
        <w:trPr>
          <w:trHeight w:val="284"/>
        </w:trPr>
        <w:tc>
          <w:tcPr>
            <w:tcW w:w="3417" w:type="pct"/>
            <w:tcBorders>
              <w:top w:val="nil"/>
              <w:bottom w:val="single" w:sz="4" w:space="0" w:color="auto"/>
            </w:tcBorders>
            <w:shd w:val="clear" w:color="auto" w:fill="auto"/>
          </w:tcPr>
          <w:p w14:paraId="4D82F89E" w14:textId="77777777" w:rsidR="003438A2" w:rsidRPr="00E66CB0" w:rsidRDefault="003438A2" w:rsidP="00EF0A05">
            <w:pPr>
              <w:pStyle w:val="TableText"/>
            </w:pPr>
            <w:r w:rsidRPr="00E66CB0">
              <w:t>Unrestricted risk</w:t>
            </w:r>
          </w:p>
        </w:tc>
        <w:tc>
          <w:tcPr>
            <w:tcW w:w="1583" w:type="pct"/>
            <w:tcBorders>
              <w:top w:val="nil"/>
              <w:bottom w:val="single" w:sz="4" w:space="0" w:color="auto"/>
            </w:tcBorders>
            <w:shd w:val="clear" w:color="auto" w:fill="auto"/>
          </w:tcPr>
          <w:p w14:paraId="3488ABAD" w14:textId="77777777" w:rsidR="003438A2" w:rsidRPr="00E66CB0" w:rsidRDefault="003438A2" w:rsidP="00EF0A05">
            <w:pPr>
              <w:pStyle w:val="TableText"/>
            </w:pPr>
            <w:r w:rsidRPr="00E66CB0">
              <w:t>Very Low</w:t>
            </w:r>
          </w:p>
        </w:tc>
      </w:tr>
    </w:tbl>
    <w:p w14:paraId="73D5469E" w14:textId="77777777" w:rsidR="003438A2" w:rsidRDefault="003438A2" w:rsidP="00C67856">
      <w:pPr>
        <w:spacing w:before="120"/>
      </w:pPr>
      <w:r w:rsidRPr="00851461">
        <w:t xml:space="preserve">When routinely applied industry commercial practices such as in-field controls, fruit maturity testing and packing house sanitation are taken into consideration, the unrestricted risk estimate for </w:t>
      </w:r>
      <w:r w:rsidRPr="00851461">
        <w:rPr>
          <w:i/>
        </w:rPr>
        <w:t>E. amylovora</w:t>
      </w:r>
      <w:r w:rsidRPr="00851461">
        <w:t xml:space="preserve"> on the apples from PNW-USA pathway has been assessed as Very Low, which achieves the ALOP for Australia. Therefore, no additional practices or specific risk management measures are required for </w:t>
      </w:r>
      <w:r w:rsidRPr="00851461">
        <w:rPr>
          <w:i/>
        </w:rPr>
        <w:t>E. amylovora</w:t>
      </w:r>
      <w:r w:rsidRPr="00851461">
        <w:t xml:space="preserve"> on the PNW-USA apple pathway.</w:t>
      </w:r>
      <w:r>
        <w:br w:type="page"/>
      </w:r>
    </w:p>
    <w:p w14:paraId="58030186" w14:textId="77777777" w:rsidR="003438A2" w:rsidRPr="008E110E" w:rsidRDefault="003438A2" w:rsidP="00F843A1">
      <w:pPr>
        <w:pStyle w:val="Heading3"/>
        <w:numPr>
          <w:ilvl w:val="1"/>
          <w:numId w:val="25"/>
        </w:numPr>
      </w:pPr>
      <w:bookmarkStart w:id="362" w:name="_Toc112769016"/>
      <w:bookmarkStart w:id="363" w:name="_Hlk109905147"/>
      <w:bookmarkEnd w:id="330"/>
      <w:bookmarkEnd w:id="331"/>
      <w:r w:rsidRPr="008E110E">
        <w:lastRenderedPageBreak/>
        <w:t>Coprinus rot</w:t>
      </w:r>
      <w:bookmarkEnd w:id="362"/>
    </w:p>
    <w:p w14:paraId="065E61B4" w14:textId="77777777" w:rsidR="003438A2" w:rsidRDefault="003438A2" w:rsidP="00C67856">
      <w:pPr>
        <w:pStyle w:val="Heading4"/>
        <w:numPr>
          <w:ilvl w:val="0"/>
          <w:numId w:val="0"/>
        </w:numPr>
        <w:rPr>
          <w:i/>
        </w:rPr>
      </w:pPr>
      <w:r w:rsidRPr="00973454">
        <w:rPr>
          <w:i/>
        </w:rPr>
        <w:t>Coprinopsis psychromorbida</w:t>
      </w:r>
    </w:p>
    <w:p w14:paraId="6DD6D8B5" w14:textId="77777777" w:rsidR="003438A2" w:rsidRDefault="003438A2" w:rsidP="003E789F">
      <w:r w:rsidRPr="007F287F">
        <w:t xml:space="preserve">Coprinus rot is a post-harvest fungal disease caused by the basidiomycete pathogen </w:t>
      </w:r>
      <w:r w:rsidRPr="007F287F">
        <w:rPr>
          <w:i/>
        </w:rPr>
        <w:t>Coprinopsis psychromorbida</w:t>
      </w:r>
      <w:r w:rsidRPr="007F287F">
        <w:rPr>
          <w:iCs/>
        </w:rPr>
        <w:t>,</w:t>
      </w:r>
      <w:r w:rsidRPr="007F287F">
        <w:rPr>
          <w:i/>
        </w:rPr>
        <w:t xml:space="preserve"> </w:t>
      </w:r>
      <w:r w:rsidRPr="007F287F">
        <w:rPr>
          <w:iCs/>
        </w:rPr>
        <w:t>which belongs</w:t>
      </w:r>
      <w:r w:rsidRPr="007F287F">
        <w:t xml:space="preserve"> to the family Psathyrellaceae </w:t>
      </w:r>
      <w:r w:rsidRPr="00E85812">
        <w:rPr>
          <w:noProof/>
        </w:rPr>
        <w:t>(Jones &amp; Aldwinckle 1990)</w:t>
      </w:r>
      <w:r w:rsidRPr="00E85812">
        <w:t xml:space="preserve">. The disease occurs on apple and pear fruit including those stored for extended periods </w:t>
      </w:r>
      <w:r>
        <w:rPr>
          <w:noProof/>
        </w:rPr>
        <w:t>(Spotts, Traquair &amp; Peters 1981)</w:t>
      </w:r>
      <w:r w:rsidRPr="00A565AF">
        <w:t xml:space="preserve">. </w:t>
      </w:r>
      <w:r w:rsidRPr="00A565AF">
        <w:rPr>
          <w:i/>
        </w:rPr>
        <w:t>Coprinopsis psychromorbida</w:t>
      </w:r>
      <w:r w:rsidRPr="00A565AF">
        <w:t xml:space="preserve"> is also reported in forage legumes, grasses and w</w:t>
      </w:r>
      <w:r w:rsidRPr="00E85812">
        <w:t>i</w:t>
      </w:r>
      <w:r w:rsidRPr="007F287F">
        <w:t>nter cereal crops</w:t>
      </w:r>
      <w:r>
        <w:t xml:space="preserve"> </w:t>
      </w:r>
      <w:r>
        <w:rPr>
          <w:rFonts w:cs="Arial"/>
          <w:noProof/>
        </w:rPr>
        <w:t>(Gaudet &amp; Sholberg 1990; Redhead &amp; Traquair 1981; Spotts 1990b; Traquair 1987)</w:t>
      </w:r>
      <w:r>
        <w:rPr>
          <w:rFonts w:cs="Arial"/>
        </w:rPr>
        <w:t xml:space="preserve"> </w:t>
      </w:r>
      <w:r w:rsidRPr="007F287F">
        <w:t>where it causes ‘snow mold’ disease.</w:t>
      </w:r>
    </w:p>
    <w:p w14:paraId="664478EF" w14:textId="77777777" w:rsidR="003438A2" w:rsidRPr="0030022C" w:rsidRDefault="003438A2" w:rsidP="003E789F">
      <w:r w:rsidRPr="007F287F">
        <w:t>Coprinus rot has been reported in northern North America</w:t>
      </w:r>
      <w:r>
        <w:t xml:space="preserve"> </w:t>
      </w:r>
      <w:r>
        <w:rPr>
          <w:noProof/>
        </w:rPr>
        <w:t>(Farr &amp; Rossman 2022)</w:t>
      </w:r>
      <w:r w:rsidRPr="007F287F">
        <w:t xml:space="preserve">. It is present </w:t>
      </w:r>
      <w:r>
        <w:t xml:space="preserve">in </w:t>
      </w:r>
      <w:r w:rsidRPr="007F287F">
        <w:t>Alaska, as well as in western Canada, including Alberta and British</w:t>
      </w:r>
      <w:r w:rsidRPr="007F287F">
        <w:rPr>
          <w:noProof/>
        </w:rPr>
        <w:t xml:space="preserve"> Colu</w:t>
      </w:r>
      <w:r w:rsidRPr="007F287F">
        <w:t>mbia</w:t>
      </w:r>
      <w:r>
        <w:t xml:space="preserve"> </w:t>
      </w:r>
      <w:r>
        <w:rPr>
          <w:rFonts w:cs="Arial"/>
          <w:noProof/>
        </w:rPr>
        <w:t>(Sholberg &amp; Gaudet 1992; Smith 1981; Traquair 1987; Willett et al. 1989)</w:t>
      </w:r>
      <w:r>
        <w:rPr>
          <w:rFonts w:cs="Arial"/>
        </w:rPr>
        <w:t xml:space="preserve"> </w:t>
      </w:r>
      <w:r>
        <w:rPr>
          <w:noProof/>
        </w:rPr>
        <w:t xml:space="preserve">and in Oregon </w:t>
      </w:r>
      <w:bookmarkStart w:id="364" w:name="_Hlk105506432"/>
      <w:r>
        <w:rPr>
          <w:noProof/>
        </w:rPr>
        <w:t>(Pscheidt &amp; Ocamb 2021d)</w:t>
      </w:r>
      <w:bookmarkEnd w:id="364"/>
      <w:r>
        <w:t xml:space="preserve"> </w:t>
      </w:r>
      <w:r>
        <w:rPr>
          <w:noProof/>
        </w:rPr>
        <w:t>in the PNW-USA</w:t>
      </w:r>
      <w:r w:rsidRPr="0030022C">
        <w:rPr>
          <w:noProof/>
        </w:rPr>
        <w:t xml:space="preserve">. There are no reports of this pathogen in </w:t>
      </w:r>
      <w:r>
        <w:rPr>
          <w:noProof/>
        </w:rPr>
        <w:t xml:space="preserve">Washington or </w:t>
      </w:r>
      <w:r w:rsidRPr="0030022C">
        <w:rPr>
          <w:noProof/>
        </w:rPr>
        <w:t>Idaho.</w:t>
      </w:r>
    </w:p>
    <w:p w14:paraId="6BE0594A" w14:textId="77777777" w:rsidR="003438A2" w:rsidRPr="007F287F" w:rsidRDefault="003438A2" w:rsidP="00FF4FB9">
      <w:r w:rsidRPr="002D0C64">
        <w:rPr>
          <w:i/>
        </w:rPr>
        <w:t xml:space="preserve">Coprinopsis psychromorbida </w:t>
      </w:r>
      <w:r w:rsidRPr="002D0C64">
        <w:rPr>
          <w:iCs/>
        </w:rPr>
        <w:t xml:space="preserve">infections </w:t>
      </w:r>
      <w:r w:rsidRPr="002D0C64">
        <w:t xml:space="preserve">in orchards are initiated </w:t>
      </w:r>
      <w:r w:rsidRPr="000A4467">
        <w:t>by air-borne ba</w:t>
      </w:r>
      <w:r w:rsidRPr="002D0C64">
        <w:t xml:space="preserve">sidiospores </w:t>
      </w:r>
      <w:r>
        <w:t xml:space="preserve">released from basidiocarps </w:t>
      </w:r>
      <w:r w:rsidRPr="002D0C64">
        <w:t>produced by the fungus on orchard litter</w:t>
      </w:r>
      <w:r>
        <w:t xml:space="preserve"> </w:t>
      </w:r>
      <w:r>
        <w:rPr>
          <w:noProof/>
        </w:rPr>
        <w:t>(Almaguer-Vargas &amp; Ayala-Garay 2014; Sholberg &amp; Gaudet 1992; Spotts 1990b; Sutton et al. 2014)</w:t>
      </w:r>
      <w:r>
        <w:t xml:space="preserve"> w</w:t>
      </w:r>
      <w:r w:rsidRPr="002D0C64">
        <w:t xml:space="preserve">hile fruit is on the tree </w:t>
      </w:r>
      <w:r w:rsidRPr="002D0C64">
        <w:rPr>
          <w:noProof/>
        </w:rPr>
        <w:t>(Spotts 1990b; Willett et al. 1989)</w:t>
      </w:r>
      <w:r w:rsidRPr="002D0C64">
        <w:t xml:space="preserve">. Penetration of fruit occurs through lenticels </w:t>
      </w:r>
      <w:r w:rsidRPr="002D0C64">
        <w:rPr>
          <w:noProof/>
        </w:rPr>
        <w:t>(Gaudet, Kokko &amp; Sholberg 1990)</w:t>
      </w:r>
      <w:r w:rsidRPr="002D0C64">
        <w:t xml:space="preserve">. </w:t>
      </w:r>
      <w:r w:rsidRPr="002D0C64">
        <w:rPr>
          <w:lang w:eastAsia="en-AU"/>
        </w:rPr>
        <w:t xml:space="preserve">Infection of apple fruit by </w:t>
      </w:r>
      <w:r w:rsidRPr="002D0C64">
        <w:rPr>
          <w:rFonts w:cs="Times New Roman"/>
          <w:i/>
          <w:iCs/>
          <w:lang w:eastAsia="en-AU"/>
        </w:rPr>
        <w:t xml:space="preserve">C. psychromorbida </w:t>
      </w:r>
      <w:r w:rsidRPr="002D0C64">
        <w:rPr>
          <w:lang w:eastAsia="en-AU"/>
        </w:rPr>
        <w:t xml:space="preserve">causes sunken lesions, 0.5 </w:t>
      </w:r>
      <w:r w:rsidRPr="0030022C">
        <w:rPr>
          <w:lang w:eastAsia="en-AU"/>
        </w:rPr>
        <w:t>to 25 mm in</w:t>
      </w:r>
      <w:r w:rsidRPr="0030022C">
        <w:rPr>
          <w:rFonts w:cs="Times New Roman"/>
          <w:i/>
          <w:iCs/>
          <w:lang w:eastAsia="en-AU"/>
        </w:rPr>
        <w:t xml:space="preserve"> </w:t>
      </w:r>
      <w:r w:rsidRPr="0030022C">
        <w:rPr>
          <w:lang w:eastAsia="en-AU"/>
        </w:rPr>
        <w:t>diameter, with dark brown borders and lighter centres. The decayed tissue is firm and dry</w:t>
      </w:r>
      <w:r w:rsidRPr="0030022C">
        <w:rPr>
          <w:rFonts w:cs="Times New Roman"/>
          <w:i/>
          <w:iCs/>
          <w:lang w:eastAsia="en-AU"/>
        </w:rPr>
        <w:t xml:space="preserve"> </w:t>
      </w:r>
      <w:r w:rsidRPr="0030022C">
        <w:rPr>
          <w:noProof/>
        </w:rPr>
        <w:t>(Spotts 1990b)</w:t>
      </w:r>
      <w:r w:rsidRPr="0030022C">
        <w:t>.</w:t>
      </w:r>
      <w:r w:rsidRPr="0030022C">
        <w:rPr>
          <w:lang w:eastAsia="en-AU"/>
        </w:rPr>
        <w:t xml:space="preserve"> In the advanced</w:t>
      </w:r>
      <w:r w:rsidRPr="007F287F">
        <w:rPr>
          <w:lang w:eastAsia="en-AU"/>
        </w:rPr>
        <w:t xml:space="preserve"> stages of the disease, extensive white raised mycelia often</w:t>
      </w:r>
      <w:r w:rsidRPr="007F287F">
        <w:rPr>
          <w:rFonts w:cs="Times New Roman"/>
          <w:i/>
          <w:iCs/>
          <w:lang w:eastAsia="en-AU"/>
        </w:rPr>
        <w:t xml:space="preserve"> </w:t>
      </w:r>
      <w:r w:rsidRPr="007F287F">
        <w:rPr>
          <w:lang w:eastAsia="en-AU"/>
        </w:rPr>
        <w:t xml:space="preserve">cover the fruit, and may even spread to associated packaging </w:t>
      </w:r>
      <w:bookmarkStart w:id="365" w:name="_Hlk108020100"/>
      <w:r>
        <w:rPr>
          <w:noProof/>
          <w:lang w:eastAsia="en-AU"/>
        </w:rPr>
        <w:t>(Spotts, Traquair &amp; Peters 1981)</w:t>
      </w:r>
      <w:bookmarkEnd w:id="365"/>
      <w:r w:rsidRPr="007F287F">
        <w:rPr>
          <w:lang w:eastAsia="en-AU"/>
        </w:rPr>
        <w:t xml:space="preserve">. Growth of mycelia from fruit to fruit causes spread of infection between fruit in cold storage </w:t>
      </w:r>
      <w:r>
        <w:rPr>
          <w:noProof/>
          <w:lang w:eastAsia="en-AU"/>
        </w:rPr>
        <w:t>(Gaudet, Kokko &amp; Sholberg 1990)</w:t>
      </w:r>
      <w:r w:rsidRPr="007F287F">
        <w:rPr>
          <w:lang w:eastAsia="en-AU"/>
        </w:rPr>
        <w:t>.</w:t>
      </w:r>
      <w:r w:rsidRPr="007F287F">
        <w:t xml:space="preserve"> </w:t>
      </w:r>
      <w:r w:rsidRPr="007F287F">
        <w:rPr>
          <w:rFonts w:cs="Times New Roman"/>
          <w:i/>
          <w:iCs/>
          <w:lang w:eastAsia="en-AU"/>
        </w:rPr>
        <w:t xml:space="preserve">Coprinopsis psychromorbida </w:t>
      </w:r>
      <w:r w:rsidRPr="007F287F">
        <w:rPr>
          <w:lang w:eastAsia="en-AU"/>
        </w:rPr>
        <w:t>is capable of causing fruit decay at 2</w:t>
      </w:r>
      <w:r w:rsidRPr="007F287F">
        <w:t>°C</w:t>
      </w:r>
      <w:r w:rsidRPr="007F287F">
        <w:rPr>
          <w:lang w:eastAsia="en-AU"/>
        </w:rPr>
        <w:t xml:space="preserve"> or lower </w:t>
      </w:r>
      <w:r>
        <w:rPr>
          <w:noProof/>
          <w:lang w:eastAsia="en-AU"/>
        </w:rPr>
        <w:t>(Gaudet, Kokko &amp; Sholberg 1990)</w:t>
      </w:r>
      <w:r w:rsidRPr="007F287F">
        <w:rPr>
          <w:lang w:eastAsia="en-AU"/>
        </w:rPr>
        <w:t xml:space="preserve">, and </w:t>
      </w:r>
      <w:r>
        <w:rPr>
          <w:lang w:eastAsia="en-AU"/>
        </w:rPr>
        <w:t xml:space="preserve">due to low temperature tolerance of this pathogen </w:t>
      </w:r>
      <w:r w:rsidRPr="005D16F0">
        <w:rPr>
          <w:noProof/>
        </w:rPr>
        <w:t>(Meheriuk &amp; McPhee 1984; Spotts, Traquair &amp; Peters 1981)</w:t>
      </w:r>
      <w:r w:rsidRPr="005D16F0">
        <w:t xml:space="preserve">, </w:t>
      </w:r>
      <w:r w:rsidRPr="005D16F0">
        <w:rPr>
          <w:lang w:eastAsia="en-AU"/>
        </w:rPr>
        <w:t>apples and pears can develop symptoms of Coprinus rot when they are held at temperatures of -1.0</w:t>
      </w:r>
      <w:r w:rsidRPr="005D16F0">
        <w:rPr>
          <w:rFonts w:cstheme="minorHAnsi"/>
        </w:rPr>
        <w:t>°C</w:t>
      </w:r>
      <w:r w:rsidRPr="005D16F0">
        <w:rPr>
          <w:lang w:eastAsia="en-AU"/>
        </w:rPr>
        <w:t xml:space="preserve"> to 2.0</w:t>
      </w:r>
      <w:r w:rsidRPr="005D16F0">
        <w:rPr>
          <w:rFonts w:cstheme="minorHAnsi"/>
        </w:rPr>
        <w:t>°</w:t>
      </w:r>
      <w:r w:rsidRPr="005D16F0">
        <w:t>C</w:t>
      </w:r>
      <w:r>
        <w:t xml:space="preserve"> </w:t>
      </w:r>
      <w:r>
        <w:rPr>
          <w:noProof/>
        </w:rPr>
        <w:t>(Gaudet, Kokko &amp; Sholberg 1990)</w:t>
      </w:r>
      <w:r w:rsidRPr="005D16F0">
        <w:t xml:space="preserve">. In the PNW-USA </w:t>
      </w:r>
      <w:r>
        <w:t>w</w:t>
      </w:r>
      <w:r w:rsidRPr="005D16F0">
        <w:t xml:space="preserve">here it is recorded, </w:t>
      </w:r>
      <w:r w:rsidRPr="005D16F0">
        <w:rPr>
          <w:rFonts w:cs="Times New Roman"/>
          <w:i/>
          <w:iCs/>
          <w:lang w:eastAsia="en-AU"/>
        </w:rPr>
        <w:t>C. psychromorbida</w:t>
      </w:r>
      <w:r w:rsidRPr="005D16F0">
        <w:rPr>
          <w:rFonts w:cs="Times New Roman"/>
          <w:lang w:eastAsia="en-AU"/>
        </w:rPr>
        <w:t xml:space="preserve"> has been reported as a rare problem, and </w:t>
      </w:r>
      <w:r>
        <w:rPr>
          <w:rFonts w:cs="Times New Roman"/>
          <w:lang w:eastAsia="en-AU"/>
        </w:rPr>
        <w:t xml:space="preserve">is more common </w:t>
      </w:r>
      <w:r w:rsidRPr="005D16F0">
        <w:rPr>
          <w:rFonts w:cs="Times New Roman"/>
          <w:lang w:eastAsia="en-AU"/>
        </w:rPr>
        <w:t xml:space="preserve">on pears than apples </w:t>
      </w:r>
      <w:r>
        <w:rPr>
          <w:noProof/>
        </w:rPr>
        <w:t>(Pscheidt &amp; Ocamb 2021d)</w:t>
      </w:r>
      <w:r w:rsidRPr="005D16F0">
        <w:rPr>
          <w:noProof/>
        </w:rPr>
        <w:t>.</w:t>
      </w:r>
    </w:p>
    <w:p w14:paraId="18CE5E60" w14:textId="77777777" w:rsidR="003438A2" w:rsidRPr="007F287F" w:rsidRDefault="003438A2" w:rsidP="00C67856">
      <w:pPr>
        <w:rPr>
          <w:iCs/>
        </w:rPr>
      </w:pPr>
      <w:r w:rsidRPr="007F287F">
        <w:rPr>
          <w:rFonts w:eastAsia="Cambria" w:cs="TimesNewRomanPSMT"/>
          <w:lang w:eastAsia="en-AU"/>
        </w:rPr>
        <w:t>In fruit inoculation ex</w:t>
      </w:r>
      <w:r w:rsidRPr="00A67413">
        <w:rPr>
          <w:rFonts w:eastAsia="Cambria" w:cs="TimesNewRomanPSMT"/>
          <w:lang w:eastAsia="en-AU"/>
        </w:rPr>
        <w:t xml:space="preserve">periments in Canada, </w:t>
      </w:r>
      <w:r w:rsidRPr="00A67413">
        <w:rPr>
          <w:i/>
        </w:rPr>
        <w:t>C. psychromorbida</w:t>
      </w:r>
      <w:r w:rsidRPr="00A67413">
        <w:t xml:space="preserve"> </w:t>
      </w:r>
      <w:r w:rsidRPr="00A67413">
        <w:rPr>
          <w:rFonts w:eastAsia="Cambria" w:cs="TimesNewRomanPSMT"/>
          <w:lang w:eastAsia="en-AU"/>
        </w:rPr>
        <w:t xml:space="preserve">was able to cause post-harvest rot after 6 to 7 months in commercial cold storage </w:t>
      </w:r>
      <w:r w:rsidRPr="00A67413">
        <w:rPr>
          <w:noProof/>
        </w:rPr>
        <w:t>(Sholberg &amp; Gaudet 1992)</w:t>
      </w:r>
      <w:r w:rsidRPr="00A67413">
        <w:t xml:space="preserve">. A study by </w:t>
      </w:r>
      <w:hyperlink w:anchor="_ENREF_673" w:tooltip="Sholberg, 1992 #11880" w:history="1">
        <w:r w:rsidRPr="00A67413">
          <w:rPr>
            <w:noProof/>
          </w:rPr>
          <w:t xml:space="preserve">Sholberg &amp; Gaudet </w:t>
        </w:r>
      </w:hyperlink>
      <w:r w:rsidRPr="00A67413">
        <w:rPr>
          <w:noProof/>
        </w:rPr>
        <w:t>(1992)</w:t>
      </w:r>
      <w:r w:rsidRPr="00A67413">
        <w:t xml:space="preserve"> showed that </w:t>
      </w:r>
      <w:r w:rsidRPr="00A67413">
        <w:rPr>
          <w:i/>
          <w:iCs/>
        </w:rPr>
        <w:t>C.</w:t>
      </w:r>
      <w:r w:rsidRPr="00A67413">
        <w:t xml:space="preserve"> </w:t>
      </w:r>
      <w:r w:rsidRPr="00A67413">
        <w:rPr>
          <w:i/>
        </w:rPr>
        <w:t xml:space="preserve">psychromorbida </w:t>
      </w:r>
      <w:r w:rsidRPr="00A67413">
        <w:rPr>
          <w:iCs/>
        </w:rPr>
        <w:t>caused decay in 2.2% of the assessed apples</w:t>
      </w:r>
      <w:r w:rsidRPr="00A67413">
        <w:t xml:space="preserve"> under cold storage</w:t>
      </w:r>
      <w:r w:rsidRPr="00A67413">
        <w:rPr>
          <w:iCs/>
        </w:rPr>
        <w:t>.</w:t>
      </w:r>
    </w:p>
    <w:p w14:paraId="40075155" w14:textId="77777777" w:rsidR="003438A2" w:rsidRPr="007F287F" w:rsidRDefault="003438A2" w:rsidP="00C67856">
      <w:r w:rsidRPr="007F287F">
        <w:t xml:space="preserve">The risk scenario of biosecurity concern for </w:t>
      </w:r>
      <w:r w:rsidRPr="007F287F">
        <w:rPr>
          <w:i/>
        </w:rPr>
        <w:t>C. psychromorbida</w:t>
      </w:r>
      <w:r w:rsidRPr="007F287F">
        <w:t xml:space="preserve"> is that symptomless infected apple fruit from PNW-USA may enter Australia and result in the establishment and spread of the pathogen.</w:t>
      </w:r>
    </w:p>
    <w:p w14:paraId="73C7F627" w14:textId="77777777" w:rsidR="003438A2" w:rsidRPr="007F287F" w:rsidRDefault="003438A2" w:rsidP="00F843A1">
      <w:pPr>
        <w:pStyle w:val="Heading4"/>
        <w:numPr>
          <w:ilvl w:val="2"/>
          <w:numId w:val="29"/>
        </w:numPr>
        <w:ind w:firstLine="199"/>
      </w:pPr>
      <w:r w:rsidRPr="007F287F">
        <w:t>Likelihood of entry</w:t>
      </w:r>
    </w:p>
    <w:p w14:paraId="593B32EC" w14:textId="77777777" w:rsidR="003438A2" w:rsidRPr="007F287F" w:rsidRDefault="003438A2" w:rsidP="00C67856">
      <w:r w:rsidRPr="007F287F">
        <w:t xml:space="preserve">The likelihood of entry is considered in </w:t>
      </w:r>
      <w:r>
        <w:t>2</w:t>
      </w:r>
      <w:r w:rsidRPr="007F287F">
        <w:t xml:space="preserve"> parts, the likelihood of importation and the likelihood of distribution, which consider pre-border and post-border issues, respectively.</w:t>
      </w:r>
    </w:p>
    <w:p w14:paraId="4F1D7235" w14:textId="77777777" w:rsidR="003438A2" w:rsidRPr="007F287F" w:rsidRDefault="003438A2" w:rsidP="00C67856">
      <w:pPr>
        <w:pStyle w:val="Heading5"/>
      </w:pPr>
      <w:r w:rsidRPr="007F287F">
        <w:t>Likelihood of importation</w:t>
      </w:r>
      <w:r w:rsidRPr="00102272">
        <w:t xml:space="preserve"> </w:t>
      </w:r>
    </w:p>
    <w:p w14:paraId="37B3395D" w14:textId="77777777" w:rsidR="003438A2" w:rsidRPr="007F287F" w:rsidRDefault="003438A2" w:rsidP="00C67856">
      <w:r w:rsidRPr="007F287F">
        <w:t xml:space="preserve">The likelihood that </w:t>
      </w:r>
      <w:r w:rsidRPr="007F287F">
        <w:rPr>
          <w:i/>
        </w:rPr>
        <w:t>C. psychromorbida</w:t>
      </w:r>
      <w:r w:rsidRPr="007F287F">
        <w:t xml:space="preserve"> will arrive in Australia with the importation of apples from the PNW-USA is assessed as Low.</w:t>
      </w:r>
    </w:p>
    <w:p w14:paraId="71AC8404" w14:textId="77777777" w:rsidR="003438A2" w:rsidRPr="007F287F" w:rsidRDefault="003438A2" w:rsidP="00C67856">
      <w:r w:rsidRPr="007F287F">
        <w:lastRenderedPageBreak/>
        <w:t>The following information provides supporting evidence for this assessment.</w:t>
      </w:r>
    </w:p>
    <w:p w14:paraId="0251887D" w14:textId="77777777" w:rsidR="003438A2" w:rsidRPr="007F287F" w:rsidRDefault="003438A2" w:rsidP="00C67856">
      <w:r w:rsidRPr="007F287F">
        <w:rPr>
          <w:i/>
        </w:rPr>
        <w:t>Coprinopsis psychromorbida</w:t>
      </w:r>
      <w:r w:rsidRPr="007F287F">
        <w:t xml:space="preserve"> may be associated with apple fruit in the PNW-USA.</w:t>
      </w:r>
    </w:p>
    <w:p w14:paraId="0CEDE0C8" w14:textId="77777777" w:rsidR="003438A2" w:rsidRDefault="003438A2" w:rsidP="003438A2">
      <w:pPr>
        <w:pStyle w:val="ListBullet"/>
        <w:numPr>
          <w:ilvl w:val="0"/>
          <w:numId w:val="15"/>
        </w:numPr>
      </w:pPr>
      <w:r w:rsidRPr="00D223AE">
        <w:rPr>
          <w:i/>
        </w:rPr>
        <w:t>Coprinopsis psychromorbida</w:t>
      </w:r>
      <w:r w:rsidRPr="007F287F">
        <w:t xml:space="preserve"> has been identified </w:t>
      </w:r>
      <w:r>
        <w:t>in</w:t>
      </w:r>
      <w:r w:rsidRPr="007F287F">
        <w:t xml:space="preserve"> </w:t>
      </w:r>
      <w:r>
        <w:t xml:space="preserve">Oregon in </w:t>
      </w:r>
      <w:r w:rsidRPr="007F287F">
        <w:t xml:space="preserve">the PNW-USA as a post-harvest rot disease of pear </w:t>
      </w:r>
      <w:r>
        <w:rPr>
          <w:noProof/>
        </w:rPr>
        <w:t>(Spotts 1990b; Willett et al. 1989)</w:t>
      </w:r>
      <w:r w:rsidRPr="007F287F">
        <w:t>.</w:t>
      </w:r>
    </w:p>
    <w:p w14:paraId="1CD50312" w14:textId="77777777" w:rsidR="003438A2" w:rsidRPr="0047794C" w:rsidRDefault="003438A2" w:rsidP="003438A2">
      <w:pPr>
        <w:pStyle w:val="ListBullet"/>
        <w:numPr>
          <w:ilvl w:val="0"/>
          <w:numId w:val="15"/>
        </w:numPr>
      </w:pPr>
      <w:r w:rsidRPr="00CC3507">
        <w:t>It has been reported to be sporadically found on apples stored for long periods in the PNW-</w:t>
      </w:r>
      <w:r w:rsidRPr="00973A86">
        <w:t xml:space="preserve">USA </w:t>
      </w:r>
      <w:r>
        <w:rPr>
          <w:noProof/>
        </w:rPr>
        <w:t>(Spotts 1990b)</w:t>
      </w:r>
      <w:r w:rsidRPr="0047794C">
        <w:rPr>
          <w:noProof/>
        </w:rPr>
        <w:t>.</w:t>
      </w:r>
    </w:p>
    <w:p w14:paraId="32E38CAB" w14:textId="77777777" w:rsidR="003438A2" w:rsidRPr="00973A86" w:rsidRDefault="003438A2" w:rsidP="003438A2">
      <w:pPr>
        <w:pStyle w:val="ListBullet"/>
        <w:numPr>
          <w:ilvl w:val="0"/>
          <w:numId w:val="15"/>
        </w:numPr>
      </w:pPr>
      <w:r w:rsidRPr="00973A86">
        <w:rPr>
          <w:i/>
        </w:rPr>
        <w:t>Coprinopsis psychromorbida</w:t>
      </w:r>
      <w:r w:rsidRPr="00973A86">
        <w:t xml:space="preserve"> can infect most of the apple cultivars grown in the PNW-USA. Susceptible apple cultivars include McIntosh, Golden Delicious and Red Delicious. The cultivars Spartan, Newtown, Jonathan and Jonagold are less susceptible</w:t>
      </w:r>
      <w:r>
        <w:t xml:space="preserve"> </w:t>
      </w:r>
      <w:r>
        <w:rPr>
          <w:noProof/>
        </w:rPr>
        <w:t>(Gaudet &amp; Sholberg 1990; Meheriuk &amp; McPhee 1984; Spotts 1990b; Sutton et al. 2014)</w:t>
      </w:r>
      <w:r>
        <w:t>.</w:t>
      </w:r>
      <w:r w:rsidRPr="00973A86">
        <w:t xml:space="preserve"> </w:t>
      </w:r>
    </w:p>
    <w:p w14:paraId="5E983D1F" w14:textId="77777777" w:rsidR="003438A2" w:rsidRPr="00A06B68" w:rsidRDefault="003438A2" w:rsidP="003438A2">
      <w:pPr>
        <w:pStyle w:val="ListBullet"/>
        <w:numPr>
          <w:ilvl w:val="0"/>
          <w:numId w:val="15"/>
        </w:numPr>
      </w:pPr>
      <w:r w:rsidRPr="00973A86">
        <w:rPr>
          <w:iCs/>
        </w:rPr>
        <w:t xml:space="preserve">However, </w:t>
      </w:r>
      <w:r w:rsidRPr="00973A86">
        <w:rPr>
          <w:i/>
        </w:rPr>
        <w:t>C. psychromorbida</w:t>
      </w:r>
      <w:r w:rsidRPr="00973A86">
        <w:t xml:space="preserve"> is not a significant pathogen for apples in the PNW</w:t>
      </w:r>
      <w:r w:rsidRPr="00A06B68">
        <w:t xml:space="preserve">-USA. The pathogen is only listed as a disease of pears in PNW diseases handbook </w:t>
      </w:r>
      <w:r>
        <w:rPr>
          <w:noProof/>
        </w:rPr>
        <w:t>(Pscheidt &amp; Ocamb 2021c)</w:t>
      </w:r>
      <w:r w:rsidRPr="00A06B68">
        <w:t xml:space="preserve">. Washington State University Extension </w:t>
      </w:r>
      <w:r w:rsidRPr="00A06B68">
        <w:rPr>
          <w:noProof/>
        </w:rPr>
        <w:t>(2020)</w:t>
      </w:r>
      <w:r w:rsidRPr="00A06B68">
        <w:t xml:space="preserve"> does not list this pathogen and </w:t>
      </w:r>
      <w:r>
        <w:rPr>
          <w:noProof/>
        </w:rPr>
        <w:t>(Pscheidt &amp; Ocamb 2021d)</w:t>
      </w:r>
      <w:r w:rsidRPr="00A06B68">
        <w:t xml:space="preserve"> does not mention this pest as a significant pathogen on apples in Oregon.</w:t>
      </w:r>
    </w:p>
    <w:p w14:paraId="116DAAEA" w14:textId="77777777" w:rsidR="003438A2" w:rsidRPr="0047794C" w:rsidRDefault="003438A2" w:rsidP="003438A2">
      <w:pPr>
        <w:pStyle w:val="ListBullet"/>
        <w:numPr>
          <w:ilvl w:val="0"/>
          <w:numId w:val="15"/>
        </w:numPr>
      </w:pPr>
      <w:r>
        <w:t>P</w:t>
      </w:r>
      <w:r w:rsidRPr="007F287F">
        <w:t>ost</w:t>
      </w:r>
      <w:r>
        <w:t>-</w:t>
      </w:r>
      <w:r w:rsidRPr="007F287F">
        <w:t xml:space="preserve">harvest rot surveys </w:t>
      </w:r>
      <w:r>
        <w:t xml:space="preserve">of stored apples in the PNW-USA </w:t>
      </w:r>
      <w:r w:rsidRPr="007F287F">
        <w:t>did not detect this pathogen</w:t>
      </w:r>
      <w:r>
        <w:t xml:space="preserve"> </w:t>
      </w:r>
      <w:r w:rsidRPr="0047794C">
        <w:rPr>
          <w:noProof/>
        </w:rPr>
        <w:t>(Amiri &amp; Ali 2016; Kim &amp; Xiao 2008; Xiao 2007)</w:t>
      </w:r>
      <w:r w:rsidRPr="0047794C">
        <w:t>.</w:t>
      </w:r>
    </w:p>
    <w:p w14:paraId="37428A4E" w14:textId="77777777" w:rsidR="003438A2" w:rsidRPr="004F5760" w:rsidRDefault="003438A2" w:rsidP="003438A2">
      <w:pPr>
        <w:pStyle w:val="ListBullet"/>
        <w:numPr>
          <w:ilvl w:val="0"/>
          <w:numId w:val="15"/>
        </w:numPr>
      </w:pPr>
      <w:r>
        <w:t>There are no reports of this pathogen in Washington and Idaho and f</w:t>
      </w:r>
      <w:r w:rsidRPr="004F5760">
        <w:rPr>
          <w:noProof/>
        </w:rPr>
        <w:t xml:space="preserve">ield surveys conducted in Washington </w:t>
      </w:r>
      <w:r>
        <w:rPr>
          <w:noProof/>
        </w:rPr>
        <w:t xml:space="preserve">during 2016-2018 </w:t>
      </w:r>
      <w:r w:rsidRPr="004F5760">
        <w:rPr>
          <w:noProof/>
        </w:rPr>
        <w:t xml:space="preserve">did not find this pathogen </w:t>
      </w:r>
      <w:r>
        <w:rPr>
          <w:noProof/>
        </w:rPr>
        <w:t>(Pscheidt &amp; Ocamb 2021d)</w:t>
      </w:r>
      <w:r w:rsidRPr="004F5760">
        <w:t>.</w:t>
      </w:r>
      <w:r>
        <w:t xml:space="preserve"> </w:t>
      </w:r>
    </w:p>
    <w:p w14:paraId="0EC0AE20" w14:textId="77777777" w:rsidR="003438A2" w:rsidRPr="00106E82" w:rsidRDefault="003438A2" w:rsidP="0071151B">
      <w:pPr>
        <w:rPr>
          <w:i/>
        </w:rPr>
      </w:pPr>
      <w:r w:rsidRPr="00106E82">
        <w:t>Asymptomatic fruit infected</w:t>
      </w:r>
      <w:r w:rsidRPr="00106E82" w:rsidDel="00C210D8">
        <w:t xml:space="preserve"> </w:t>
      </w:r>
      <w:r w:rsidRPr="00106E82">
        <w:t xml:space="preserve">with </w:t>
      </w:r>
      <w:r w:rsidRPr="00106E82">
        <w:rPr>
          <w:i/>
        </w:rPr>
        <w:t xml:space="preserve">C. psychromorbida </w:t>
      </w:r>
      <w:r w:rsidRPr="007F287F">
        <w:t xml:space="preserve">are likely to remain </w:t>
      </w:r>
      <w:r w:rsidRPr="00106E82">
        <w:t>undetected during harvest and post-harvest processes.</w:t>
      </w:r>
    </w:p>
    <w:p w14:paraId="10E4C8A9" w14:textId="77777777" w:rsidR="003438A2" w:rsidRPr="00A565AF" w:rsidRDefault="003438A2" w:rsidP="003438A2">
      <w:pPr>
        <w:pStyle w:val="ListBullet"/>
        <w:numPr>
          <w:ilvl w:val="0"/>
          <w:numId w:val="15"/>
        </w:numPr>
      </w:pPr>
      <w:r w:rsidRPr="00A565AF">
        <w:t xml:space="preserve">Infection of apple fruit by </w:t>
      </w:r>
      <w:r w:rsidRPr="00A565AF">
        <w:rPr>
          <w:i/>
        </w:rPr>
        <w:t>C.</w:t>
      </w:r>
      <w:r w:rsidRPr="00A565AF">
        <w:t> </w:t>
      </w:r>
      <w:r w:rsidRPr="00A565AF">
        <w:rPr>
          <w:i/>
        </w:rPr>
        <w:t>psychromorbida</w:t>
      </w:r>
      <w:r w:rsidRPr="00A565AF">
        <w:t xml:space="preserve"> occurs in the orchard before harvest </w:t>
      </w:r>
      <w:r>
        <w:rPr>
          <w:noProof/>
        </w:rPr>
        <w:t>(Aldwinckle 1990c; Spotts 1990b; Willett et al. 1989)</w:t>
      </w:r>
      <w:r w:rsidRPr="00A565AF">
        <w:t>. Symptoms may not have developed at the time of harvest, and there is a possibility that symptomless infected fruit may be harvested.</w:t>
      </w:r>
    </w:p>
    <w:p w14:paraId="33F2B65D" w14:textId="77777777" w:rsidR="003438A2" w:rsidRPr="007F287F" w:rsidRDefault="003438A2" w:rsidP="003438A2">
      <w:pPr>
        <w:pStyle w:val="ListBullet"/>
        <w:numPr>
          <w:ilvl w:val="0"/>
          <w:numId w:val="15"/>
        </w:numPr>
      </w:pPr>
      <w:r w:rsidRPr="007F287F" w:rsidDel="002472BE">
        <w:rPr>
          <w:i/>
        </w:rPr>
        <w:t>Coprinopsis psychromorbida</w:t>
      </w:r>
      <w:r w:rsidRPr="007F287F" w:rsidDel="002472BE">
        <w:t xml:space="preserve"> symptoms occur most frequently in apple fruit that ha</w:t>
      </w:r>
      <w:r>
        <w:t>ve</w:t>
      </w:r>
      <w:r w:rsidRPr="007F287F" w:rsidDel="002472BE">
        <w:t xml:space="preserve"> been stored for extended periods </w:t>
      </w:r>
      <w:r>
        <w:rPr>
          <w:noProof/>
        </w:rPr>
        <w:t>(Spotts 1990b)</w:t>
      </w:r>
      <w:r w:rsidRPr="007F287F" w:rsidDel="002472BE">
        <w:t>.</w:t>
      </w:r>
    </w:p>
    <w:p w14:paraId="014AE5C1" w14:textId="77777777" w:rsidR="003438A2" w:rsidRPr="00A67413" w:rsidRDefault="003438A2" w:rsidP="003438A2">
      <w:pPr>
        <w:pStyle w:val="ListBullet"/>
        <w:numPr>
          <w:ilvl w:val="0"/>
          <w:numId w:val="15"/>
        </w:numPr>
      </w:pPr>
      <w:r w:rsidRPr="00A67413">
        <w:t xml:space="preserve">Infected apples can remain asymptomatic for 6 to 7 months in commercial storage </w:t>
      </w:r>
      <w:r w:rsidRPr="00A67413">
        <w:rPr>
          <w:noProof/>
        </w:rPr>
        <w:t>(Sholberg &amp; Gaudet 1992)</w:t>
      </w:r>
      <w:r w:rsidRPr="00A67413">
        <w:t>.</w:t>
      </w:r>
    </w:p>
    <w:p w14:paraId="315CDA08" w14:textId="77777777" w:rsidR="003438A2" w:rsidRPr="00B1622B" w:rsidRDefault="003438A2" w:rsidP="003438A2">
      <w:pPr>
        <w:pStyle w:val="ListBullet"/>
        <w:numPr>
          <w:ilvl w:val="0"/>
          <w:numId w:val="15"/>
        </w:numPr>
      </w:pPr>
      <w:bookmarkStart w:id="366" w:name="_Hlk100214488"/>
      <w:bookmarkStart w:id="367" w:name="_Hlk68554870"/>
      <w:r w:rsidRPr="00896560">
        <w:t xml:space="preserve">Packing house processes such as washing and application of sanitisers (e.g. </w:t>
      </w:r>
      <w:r w:rsidRPr="00896560">
        <w:rPr>
          <w:lang w:eastAsia="en-AU"/>
        </w:rPr>
        <w:t>chlorine),</w:t>
      </w:r>
      <w:r w:rsidRPr="00896560">
        <w:t xml:space="preserve"> </w:t>
      </w:r>
      <w:bookmarkStart w:id="368" w:name="_Hlk70497705"/>
      <w:r w:rsidRPr="00896560">
        <w:t xml:space="preserve">are likely </w:t>
      </w:r>
      <w:bookmarkEnd w:id="368"/>
      <w:r w:rsidRPr="00896560">
        <w:t xml:space="preserve">to remove, inactivate or kill most of the </w:t>
      </w:r>
      <w:r w:rsidRPr="00896560">
        <w:rPr>
          <w:i/>
        </w:rPr>
        <w:t>C.</w:t>
      </w:r>
      <w:r w:rsidRPr="00896560">
        <w:t> </w:t>
      </w:r>
      <w:r w:rsidRPr="00896560">
        <w:rPr>
          <w:i/>
        </w:rPr>
        <w:t>psychromorbida</w:t>
      </w:r>
      <w:r w:rsidRPr="00896560">
        <w:t xml:space="preserve"> spores that may be present on the surface of apple </w:t>
      </w:r>
      <w:r w:rsidRPr="00B1622B">
        <w:t xml:space="preserve">fruit </w:t>
      </w:r>
      <w:r w:rsidRPr="00B1622B">
        <w:rPr>
          <w:noProof/>
        </w:rPr>
        <w:t>(Brown 2002; Kupferman 1984; Suslow 2004)</w:t>
      </w:r>
      <w:r w:rsidRPr="00B1622B">
        <w:t>. However, these</w:t>
      </w:r>
      <w:r w:rsidRPr="00896560">
        <w:t xml:space="preserve"> </w:t>
      </w:r>
      <w:r w:rsidRPr="00B1622B">
        <w:t xml:space="preserve">processes are unlikely to affect </w:t>
      </w:r>
      <w:r w:rsidRPr="00B1622B">
        <w:rPr>
          <w:i/>
        </w:rPr>
        <w:t>C.</w:t>
      </w:r>
      <w:r w:rsidRPr="00B1622B">
        <w:t> </w:t>
      </w:r>
      <w:r w:rsidRPr="00B1622B">
        <w:rPr>
          <w:i/>
        </w:rPr>
        <w:t>psychromorbida</w:t>
      </w:r>
      <w:r w:rsidRPr="00B1622B">
        <w:rPr>
          <w:iCs/>
        </w:rPr>
        <w:t xml:space="preserve"> that may be present inside the fruit.</w:t>
      </w:r>
    </w:p>
    <w:bookmarkEnd w:id="366"/>
    <w:bookmarkEnd w:id="367"/>
    <w:p w14:paraId="5225323C" w14:textId="77777777" w:rsidR="003438A2" w:rsidRPr="007F287F" w:rsidRDefault="003438A2" w:rsidP="0021521F">
      <w:r w:rsidRPr="007F287F">
        <w:fldChar w:fldCharType="begin" w:fldLock="1"/>
      </w:r>
      <w:r w:rsidRPr="007F287F">
        <w:instrText xml:space="preserve">(MAFNZ, 2003a)" </w:instrText>
      </w:r>
      <w:r w:rsidRPr="007F287F">
        <w:fldChar w:fldCharType="begin" w:fldLock="1"/>
      </w:r>
      <w:r w:rsidRPr="007F287F">
        <w:instrText xml:space="preserve"> ADDIN PROCITE ÿ\11\05‘\19\02\00\00\00\0E(MAFNZ, 2003a)\01\03\00\01\00\00\00\00\00\00\1EÉ\00\01\00\00\00\08+Ç\008\00\00\00\01\00\00\00\00\002\00Øã\12\008\00\00\00\05\00àà\00\00\00\05‘|ÿÿÿÿm\05‘|ÞÂÂw\00\00\01\00\07\00\00\00\18ä\12\008\00\00\00\08\00\00\00\00\00\00\00‘|\07\00\00\00m\05‘|$ôÆ\00˜ñÈ\00¼ä\12\00Q\05‘|8\00\00\00B\02\00\00ZJ:\5CNEWPLANT\5CApple Project\5CApple IRA\5CBibliography Procite\5CApple NZ references version 2.pdt\11MAFNZ 2003a #6200\01\02\00\05\00àà\00\00\00\00\00\00(2í\00\01\00\00\00¨\19=\000¶o\00\06\01r\00\01\00\00\00,Ê\14\00\0C\00\00\00\00\00\00ºI_x\0Bî\00\01\00\00\00\01\00\00\00\00\00\00\00´ô\12\000¬W\00ÿÿÿÿ </w:instrText>
      </w:r>
      <w:r w:rsidRPr="007F287F">
        <w:fldChar w:fldCharType="end"/>
      </w:r>
      <w:r w:rsidRPr="007F287F">
        <w:fldChar w:fldCharType="separate"/>
      </w:r>
      <w:r w:rsidRPr="007F287F">
        <w:t>(MAFNZ, 2003a)</w:t>
      </w:r>
      <w:r w:rsidRPr="007F287F">
        <w:fldChar w:fldCharType="end"/>
      </w:r>
      <w:r w:rsidRPr="007F287F">
        <w:rPr>
          <w:rFonts w:eastAsia="Calibri"/>
          <w:i/>
        </w:rPr>
        <w:t xml:space="preserve">Coprinopsis psychromorbida </w:t>
      </w:r>
      <w:r w:rsidRPr="007F287F">
        <w:t xml:space="preserve">may survive cold </w:t>
      </w:r>
      <w:r>
        <w:t xml:space="preserve">temperatures during </w:t>
      </w:r>
      <w:r w:rsidRPr="007F287F">
        <w:t>storage in the PNW-USA and transport to Australia.</w:t>
      </w:r>
      <w:r w:rsidRPr="00B176B4">
        <w:t xml:space="preserve"> </w:t>
      </w:r>
      <w:r>
        <w:t>However,</w:t>
      </w:r>
      <w:r w:rsidRPr="00B176B4">
        <w:t xml:space="preserve"> apples that have been cold stored before packing and express symptoms of Coprinus rot are likely to be removed from export.</w:t>
      </w:r>
    </w:p>
    <w:p w14:paraId="7804F828" w14:textId="77777777" w:rsidR="003438A2" w:rsidRPr="007F287F" w:rsidRDefault="003438A2" w:rsidP="003438A2">
      <w:pPr>
        <w:pStyle w:val="ListBullet"/>
        <w:numPr>
          <w:ilvl w:val="0"/>
          <w:numId w:val="15"/>
        </w:numPr>
      </w:pPr>
      <w:r w:rsidRPr="007F287F">
        <w:t>Harvested apples are normally cold stored at 0</w:t>
      </w:r>
      <w:r w:rsidRPr="007F287F">
        <w:rPr>
          <w:rFonts w:cstheme="minorHAnsi"/>
        </w:rPr>
        <w:t>°</w:t>
      </w:r>
      <w:r>
        <w:rPr>
          <w:rFonts w:cstheme="minorHAnsi"/>
        </w:rPr>
        <w:t>C</w:t>
      </w:r>
      <w:r w:rsidRPr="007F287F">
        <w:t xml:space="preserve"> to 2</w:t>
      </w:r>
      <w:r w:rsidRPr="007F287F">
        <w:rPr>
          <w:rFonts w:cstheme="minorHAnsi"/>
        </w:rPr>
        <w:t>°</w:t>
      </w:r>
      <w:r w:rsidRPr="007F287F">
        <w:t xml:space="preserve">C </w:t>
      </w:r>
      <w:r>
        <w:rPr>
          <w:noProof/>
        </w:rPr>
        <w:t>(Good Fruit Grower 2014; Iowa State University Extension and Outreach 2008; Kupferman 1996; University of Maine 2020)</w:t>
      </w:r>
      <w:r w:rsidRPr="007F287F">
        <w:t>.</w:t>
      </w:r>
    </w:p>
    <w:p w14:paraId="71B0FC48" w14:textId="77777777" w:rsidR="003438A2" w:rsidRPr="007F287F" w:rsidRDefault="003438A2" w:rsidP="003438A2">
      <w:pPr>
        <w:pStyle w:val="ListBullet"/>
        <w:numPr>
          <w:ilvl w:val="0"/>
          <w:numId w:val="15"/>
        </w:numPr>
      </w:pPr>
      <w:r w:rsidRPr="007F287F">
        <w:t xml:space="preserve">The fungus is adapted to low temperatures and is known to be able to grow rapidly at temperatures that restrict the growth of most other pathogens </w:t>
      </w:r>
      <w:r>
        <w:rPr>
          <w:noProof/>
        </w:rPr>
        <w:t>(González 2008; Traquair 1987)</w:t>
      </w:r>
      <w:r w:rsidRPr="007F287F">
        <w:t>.</w:t>
      </w:r>
    </w:p>
    <w:p w14:paraId="2DCB49C6" w14:textId="77777777" w:rsidR="003438A2" w:rsidRPr="00494E8A" w:rsidRDefault="003438A2" w:rsidP="003438A2">
      <w:pPr>
        <w:pStyle w:val="ListBullet"/>
        <w:numPr>
          <w:ilvl w:val="0"/>
          <w:numId w:val="15"/>
        </w:numPr>
      </w:pPr>
      <w:r w:rsidRPr="00494E8A">
        <w:rPr>
          <w:rFonts w:eastAsia="Calibri"/>
          <w:i/>
        </w:rPr>
        <w:t xml:space="preserve">Coprinopsis psychromorbida </w:t>
      </w:r>
      <w:r w:rsidRPr="00494E8A">
        <w:t>is capable of causing fruit decay at 2</w:t>
      </w:r>
      <w:r w:rsidRPr="00494E8A">
        <w:rPr>
          <w:rFonts w:cstheme="minorHAnsi"/>
        </w:rPr>
        <w:t>°</w:t>
      </w:r>
      <w:r w:rsidRPr="00494E8A">
        <w:t xml:space="preserve">C </w:t>
      </w:r>
      <w:r w:rsidRPr="00494E8A">
        <w:rPr>
          <w:noProof/>
        </w:rPr>
        <w:t>(Gaudet, Kokko &amp; Sholberg 1990)</w:t>
      </w:r>
      <w:r w:rsidRPr="00494E8A">
        <w:t xml:space="preserve">, and has been observed on apples and pears held under controlled </w:t>
      </w:r>
      <w:r w:rsidRPr="00494E8A">
        <w:lastRenderedPageBreak/>
        <w:t xml:space="preserve">atmosphere conditions at temperatures of </w:t>
      </w:r>
      <w:r w:rsidRPr="00494E8A">
        <w:rPr>
          <w:rFonts w:eastAsia="Times New Roman" w:cs="Times New Roman"/>
          <w:color w:val="000000"/>
        </w:rPr>
        <w:t>–</w:t>
      </w:r>
      <w:r w:rsidRPr="00494E8A">
        <w:t>1.1</w:t>
      </w:r>
      <w:r w:rsidRPr="00494E8A">
        <w:rPr>
          <w:rFonts w:cstheme="minorHAnsi"/>
        </w:rPr>
        <w:t>°C</w:t>
      </w:r>
      <w:r w:rsidRPr="00494E8A">
        <w:t xml:space="preserve"> to 2</w:t>
      </w:r>
      <w:r w:rsidRPr="00494E8A">
        <w:rPr>
          <w:rFonts w:cstheme="minorHAnsi"/>
        </w:rPr>
        <w:t>°</w:t>
      </w:r>
      <w:r w:rsidRPr="00494E8A">
        <w:t xml:space="preserve">C </w:t>
      </w:r>
      <w:r>
        <w:rPr>
          <w:noProof/>
        </w:rPr>
        <w:t>(Meheriuk &amp; McPhee 1984; Spotts, Traquair &amp; Peters 1981)</w:t>
      </w:r>
      <w:r w:rsidRPr="00494E8A">
        <w:t>.</w:t>
      </w:r>
    </w:p>
    <w:p w14:paraId="6AD9EEE5" w14:textId="77777777" w:rsidR="003438A2" w:rsidRDefault="003438A2" w:rsidP="003438A2">
      <w:pPr>
        <w:pStyle w:val="ListBullet"/>
        <w:numPr>
          <w:ilvl w:val="0"/>
          <w:numId w:val="15"/>
        </w:numPr>
      </w:pPr>
      <w:r w:rsidRPr="007F287F">
        <w:t>The longer the period that apples from the PNW-USA are in cold storage before export to Australia, the more likely it is that infected fruit will express symptoms. Symptomatic fruits are likely to be detected and discarded before export.</w:t>
      </w:r>
    </w:p>
    <w:p w14:paraId="45AEA959" w14:textId="77777777" w:rsidR="003438A2" w:rsidRPr="00FB3D5F" w:rsidRDefault="003438A2" w:rsidP="003438A2">
      <w:pPr>
        <w:pStyle w:val="ListBullet"/>
        <w:numPr>
          <w:ilvl w:val="0"/>
          <w:numId w:val="15"/>
        </w:numPr>
      </w:pPr>
      <w:r w:rsidRPr="000272FC">
        <w:t xml:space="preserve">Sea freight, which takes about five weeks, is likely to be the preferred method of transport of apples from the PNW-USA and apples would be </w:t>
      </w:r>
      <w:r w:rsidRPr="00FB3D5F">
        <w:t xml:space="preserve">maintained at very low temperatures </w:t>
      </w:r>
      <w:r>
        <w:rPr>
          <w:noProof/>
        </w:rPr>
        <w:t>(WSU Tree Fruit 2021c)</w:t>
      </w:r>
      <w:r w:rsidRPr="00FB3D5F">
        <w:t xml:space="preserve">. </w:t>
      </w:r>
    </w:p>
    <w:p w14:paraId="58A3935F" w14:textId="77777777" w:rsidR="003438A2" w:rsidRPr="007F287F" w:rsidRDefault="003438A2" w:rsidP="003438A2">
      <w:pPr>
        <w:pStyle w:val="ListBullet"/>
        <w:numPr>
          <w:ilvl w:val="0"/>
          <w:numId w:val="15"/>
        </w:numPr>
      </w:pPr>
      <w:r>
        <w:rPr>
          <w:i/>
        </w:rPr>
        <w:t xml:space="preserve">Coprinopsis </w:t>
      </w:r>
      <w:r w:rsidRPr="00582BBB">
        <w:rPr>
          <w:i/>
        </w:rPr>
        <w:t>psychromorbida</w:t>
      </w:r>
      <w:r w:rsidRPr="007F287F">
        <w:t xml:space="preserve"> </w:t>
      </w:r>
      <w:r>
        <w:t>in infected fruit that are packed for export will likely survive cold temperatures during transport to Australia.</w:t>
      </w:r>
    </w:p>
    <w:p w14:paraId="16598DC3" w14:textId="77777777" w:rsidR="003438A2" w:rsidRPr="007F287F" w:rsidRDefault="003438A2" w:rsidP="00C67856">
      <w:r w:rsidRPr="007F287F">
        <w:rPr>
          <w:i/>
        </w:rPr>
        <w:t>Coprinopsis psychromorbida</w:t>
      </w:r>
      <w:r w:rsidRPr="007F287F">
        <w:t xml:space="preserve"> is widely distributed throughout the PNW-USA, but at</w:t>
      </w:r>
      <w:r>
        <w:t xml:space="preserve"> a</w:t>
      </w:r>
      <w:r w:rsidRPr="007F287F">
        <w:t xml:space="preserve"> low incidence in </w:t>
      </w:r>
      <w:r w:rsidRPr="00205EDB">
        <w:t>apple production areas. The pathogen has not been detected in recent apple post-harvest rot surveys in the PNW-USA. Packing house measures are likely to remove or kill mycelial fragments and any spores on the surfaces of fruit. Infections of fruit usually remain asymptomatic at harvest but</w:t>
      </w:r>
      <w:r w:rsidRPr="007F287F">
        <w:t xml:space="preserve"> become apparent after an extended period in cold storage. </w:t>
      </w:r>
      <w:r>
        <w:t xml:space="preserve">In the PNW-USA, harvested apples are usually </w:t>
      </w:r>
      <w:r w:rsidRPr="00205EDB">
        <w:t>cold-stored, with</w:t>
      </w:r>
      <w:r>
        <w:t xml:space="preserve"> storage time varying from 1 day to more than 11 months. Infected fruit showing symptoms are likely to be discarded and not be packed for export. </w:t>
      </w:r>
      <w:r w:rsidRPr="007F287F">
        <w:t>If symptomless infected fruit w</w:t>
      </w:r>
      <w:r>
        <w:t>ere</w:t>
      </w:r>
      <w:r w:rsidRPr="007F287F">
        <w:t xml:space="preserve"> packed for export, the pest would be likely </w:t>
      </w:r>
      <w:r>
        <w:t xml:space="preserve">to </w:t>
      </w:r>
      <w:r w:rsidRPr="007F287F">
        <w:t xml:space="preserve">survive cold </w:t>
      </w:r>
      <w:r>
        <w:t>temperatures</w:t>
      </w:r>
      <w:r w:rsidRPr="007F287F">
        <w:t xml:space="preserve"> </w:t>
      </w:r>
      <w:r>
        <w:t>during transport to Australia</w:t>
      </w:r>
      <w:r w:rsidRPr="007F287F">
        <w:t xml:space="preserve">. For the reasons outlined, the likelihood of importation of </w:t>
      </w:r>
      <w:r w:rsidRPr="007F287F">
        <w:rPr>
          <w:i/>
        </w:rPr>
        <w:t>C. psychromorbida</w:t>
      </w:r>
      <w:r w:rsidRPr="007F287F">
        <w:t xml:space="preserve"> on </w:t>
      </w:r>
      <w:r>
        <w:t>apples from</w:t>
      </w:r>
      <w:r w:rsidRPr="007F287F">
        <w:t xml:space="preserve"> PNW-USA is assessed as Low.</w:t>
      </w:r>
    </w:p>
    <w:p w14:paraId="04A03B0C" w14:textId="77777777" w:rsidR="003438A2" w:rsidRPr="007F287F" w:rsidRDefault="003438A2" w:rsidP="00C67856">
      <w:pPr>
        <w:pStyle w:val="Heading5"/>
      </w:pPr>
      <w:r w:rsidRPr="007F287F">
        <w:t>Likelihood of distribution</w:t>
      </w:r>
    </w:p>
    <w:p w14:paraId="12060099" w14:textId="77777777" w:rsidR="003438A2" w:rsidRPr="007F287F" w:rsidRDefault="003438A2" w:rsidP="00C67856">
      <w:r w:rsidRPr="007F287F">
        <w:t xml:space="preserve">The likelihood that </w:t>
      </w:r>
      <w:r w:rsidRPr="007F287F">
        <w:rPr>
          <w:i/>
        </w:rPr>
        <w:t>C. psychromorbida</w:t>
      </w:r>
      <w:r w:rsidRPr="007F287F">
        <w:t xml:space="preserve"> will be distributed in Australia in a viable state, as a result of importation, processing, sale or disposal of </w:t>
      </w:r>
      <w:r w:rsidRPr="00E0510D">
        <w:t>apples from the PNW-USA, and subsequently transfer to a susceptible part of a host, is assessed as Very Low.</w:t>
      </w:r>
    </w:p>
    <w:p w14:paraId="0B519AC4" w14:textId="77777777" w:rsidR="003438A2" w:rsidRPr="007F287F" w:rsidRDefault="003438A2" w:rsidP="00C67856">
      <w:r w:rsidRPr="007F287F">
        <w:t>The following information provides supporting evidence for this assessment.</w:t>
      </w:r>
    </w:p>
    <w:p w14:paraId="54AB18FC" w14:textId="77777777" w:rsidR="003438A2" w:rsidRPr="007F287F" w:rsidRDefault="003438A2" w:rsidP="00C67856">
      <w:pPr>
        <w:tabs>
          <w:tab w:val="left" w:pos="1418"/>
        </w:tabs>
      </w:pPr>
      <w:r w:rsidRPr="007F287F">
        <w:rPr>
          <w:i/>
        </w:rPr>
        <w:t xml:space="preserve">Coprinopsis psychromorbida </w:t>
      </w:r>
      <w:r w:rsidRPr="007F287F">
        <w:t>may continue spreading in consignments during storage and transport</w:t>
      </w:r>
      <w:r>
        <w:t xml:space="preserve"> at cold temperatures</w:t>
      </w:r>
      <w:r w:rsidRPr="007F287F">
        <w:t>.</w:t>
      </w:r>
    </w:p>
    <w:p w14:paraId="42EA55D6" w14:textId="77777777" w:rsidR="003438A2" w:rsidRPr="00331DA0" w:rsidRDefault="003438A2" w:rsidP="003438A2">
      <w:pPr>
        <w:pStyle w:val="ListBullet"/>
        <w:numPr>
          <w:ilvl w:val="0"/>
          <w:numId w:val="15"/>
        </w:numPr>
      </w:pPr>
      <w:r w:rsidRPr="00331DA0">
        <w:t>In Australia, imported apples will be stored and transported under cold temperatures</w:t>
      </w:r>
      <w:r>
        <w:t xml:space="preserve"> </w:t>
      </w:r>
      <w:r>
        <w:rPr>
          <w:noProof/>
        </w:rPr>
        <w:t>(Good Fruit Grower 2014; Iowa State University Extension and Outreach 2008; Kupferman 1996; University of Maine 2020)</w:t>
      </w:r>
      <w:r w:rsidRPr="00331DA0">
        <w:t>.</w:t>
      </w:r>
    </w:p>
    <w:p w14:paraId="32EBC7DD" w14:textId="77777777" w:rsidR="003438A2" w:rsidRPr="007F287F" w:rsidRDefault="003438A2" w:rsidP="003438A2">
      <w:pPr>
        <w:pStyle w:val="ListBullet"/>
        <w:numPr>
          <w:ilvl w:val="0"/>
          <w:numId w:val="15"/>
        </w:numPr>
        <w:rPr>
          <w:lang w:eastAsia="en-AU"/>
        </w:rPr>
      </w:pPr>
      <w:r w:rsidRPr="007F287F">
        <w:rPr>
          <w:rFonts w:cs="Times New Roman"/>
          <w:i/>
          <w:iCs/>
          <w:lang w:eastAsia="en-AU"/>
        </w:rPr>
        <w:t xml:space="preserve">Coprinopsis psychromorbida </w:t>
      </w:r>
      <w:r w:rsidRPr="007F287F">
        <w:rPr>
          <w:lang w:eastAsia="en-AU"/>
        </w:rPr>
        <w:t>is capable of causing fruit decay at 2</w:t>
      </w:r>
      <w:r w:rsidRPr="007F287F">
        <w:rPr>
          <w:rFonts w:cstheme="minorHAnsi"/>
        </w:rPr>
        <w:t>°</w:t>
      </w:r>
      <w:r w:rsidRPr="007F287F">
        <w:t>C</w:t>
      </w:r>
      <w:r w:rsidRPr="007F287F">
        <w:rPr>
          <w:lang w:eastAsia="en-AU"/>
        </w:rPr>
        <w:t xml:space="preserve"> or lower </w:t>
      </w:r>
      <w:r>
        <w:rPr>
          <w:noProof/>
          <w:lang w:eastAsia="en-AU"/>
        </w:rPr>
        <w:t>(Gaudet, Kokko &amp; Sholberg 1990)</w:t>
      </w:r>
      <w:r>
        <w:rPr>
          <w:lang w:eastAsia="en-AU"/>
        </w:rPr>
        <w:t>.</w:t>
      </w:r>
      <w:r w:rsidRPr="007F287F">
        <w:rPr>
          <w:lang w:eastAsia="en-AU"/>
        </w:rPr>
        <w:t xml:space="preserve"> Apples can show Coprinus rot symptoms when they are held at temperatures of </w:t>
      </w:r>
      <w:r>
        <w:rPr>
          <w:lang w:eastAsia="en-AU"/>
        </w:rPr>
        <w:t>–</w:t>
      </w:r>
      <w:r w:rsidRPr="007F287F">
        <w:rPr>
          <w:lang w:eastAsia="en-AU"/>
        </w:rPr>
        <w:t>1.1</w:t>
      </w:r>
      <w:r w:rsidRPr="007F287F">
        <w:rPr>
          <w:rFonts w:cstheme="minorHAnsi"/>
        </w:rPr>
        <w:t>°</w:t>
      </w:r>
      <w:r>
        <w:rPr>
          <w:rFonts w:cstheme="minorHAnsi"/>
        </w:rPr>
        <w:t>C</w:t>
      </w:r>
      <w:r w:rsidRPr="007F287F">
        <w:rPr>
          <w:lang w:eastAsia="en-AU"/>
        </w:rPr>
        <w:t xml:space="preserve"> to 2.0</w:t>
      </w:r>
      <w:r w:rsidRPr="007F287F">
        <w:rPr>
          <w:rFonts w:cstheme="minorHAnsi"/>
        </w:rPr>
        <w:t>°</w:t>
      </w:r>
      <w:r w:rsidRPr="007F287F">
        <w:t xml:space="preserve">C </w:t>
      </w:r>
      <w:r>
        <w:rPr>
          <w:noProof/>
        </w:rPr>
        <w:t>(Meheriuk &amp; McPhee 1984; Spotts, Traquair &amp; Peters 1981)</w:t>
      </w:r>
      <w:r w:rsidRPr="007F287F">
        <w:t>.</w:t>
      </w:r>
    </w:p>
    <w:p w14:paraId="1A5F29F3" w14:textId="77777777" w:rsidR="003438A2" w:rsidRPr="00DB4EFD" w:rsidRDefault="003438A2" w:rsidP="003438A2">
      <w:pPr>
        <w:pStyle w:val="ListBullet"/>
        <w:numPr>
          <w:ilvl w:val="0"/>
          <w:numId w:val="15"/>
        </w:numPr>
      </w:pPr>
      <w:r w:rsidRPr="00DB4EFD">
        <w:t xml:space="preserve">The ability of </w:t>
      </w:r>
      <w:r w:rsidRPr="00DB4EFD">
        <w:rPr>
          <w:i/>
        </w:rPr>
        <w:t xml:space="preserve">C. psychromorbida </w:t>
      </w:r>
      <w:r w:rsidRPr="00DB4EFD">
        <w:t xml:space="preserve">to grow in cold storage </w:t>
      </w:r>
      <w:r w:rsidRPr="00DB4EFD">
        <w:rPr>
          <w:noProof/>
        </w:rPr>
        <w:t>(Gaudet, Kokko &amp; Sholberg 1990; Meheriuk &amp; McPhee 1984; Spotts, Traquair &amp; Peters 1981)</w:t>
      </w:r>
      <w:r w:rsidRPr="00DB4EFD">
        <w:t xml:space="preserve"> presents the possibility of the fungus colonising additional fruit within distribution centres while apples are in storage awaiting distribution.</w:t>
      </w:r>
    </w:p>
    <w:p w14:paraId="4FD91FC0" w14:textId="77777777" w:rsidR="003438A2" w:rsidRPr="007F287F" w:rsidRDefault="003438A2" w:rsidP="003438A2">
      <w:pPr>
        <w:pStyle w:val="ListBullet"/>
        <w:numPr>
          <w:ilvl w:val="0"/>
          <w:numId w:val="15"/>
        </w:numPr>
      </w:pPr>
      <w:r w:rsidRPr="007F287F">
        <w:t>Low temperature</w:t>
      </w:r>
      <w:r>
        <w:t>s</w:t>
      </w:r>
      <w:r w:rsidRPr="007F287F">
        <w:t xml:space="preserve"> during transport of fruit in Australia will also be suitable for survival of the pathogen as the fungus is </w:t>
      </w:r>
      <w:r>
        <w:t>capable of</w:t>
      </w:r>
      <w:r w:rsidRPr="007F287F">
        <w:t xml:space="preserve"> growing in low temperatures </w:t>
      </w:r>
      <w:r>
        <w:rPr>
          <w:noProof/>
        </w:rPr>
        <w:t>(Traquair 1987)</w:t>
      </w:r>
      <w:r w:rsidRPr="007F287F">
        <w:t>.</w:t>
      </w:r>
    </w:p>
    <w:p w14:paraId="57A3E5BC" w14:textId="77777777" w:rsidR="003438A2" w:rsidRDefault="003438A2">
      <w:pPr>
        <w:spacing w:after="0" w:line="240" w:lineRule="auto"/>
      </w:pPr>
      <w:r>
        <w:br w:type="page"/>
      </w:r>
    </w:p>
    <w:p w14:paraId="45B14718" w14:textId="77777777" w:rsidR="003438A2" w:rsidRPr="003A0988" w:rsidRDefault="003438A2" w:rsidP="00C67856">
      <w:r w:rsidRPr="003A0988">
        <w:lastRenderedPageBreak/>
        <w:t xml:space="preserve">Apple fruit imported from the PNW-USA will be distributed throughout Australia for retail sale. Infected fruit showing symptoms of </w:t>
      </w:r>
      <w:r w:rsidRPr="003A0988">
        <w:rPr>
          <w:i/>
        </w:rPr>
        <w:t>C. psychromorbida</w:t>
      </w:r>
      <w:r w:rsidRPr="003A0988">
        <w:t xml:space="preserve"> infection are likely to be removed from distribution, but some asymptomatic fruit, and fruit with mild symptoms, may be distributed and sold.</w:t>
      </w:r>
    </w:p>
    <w:p w14:paraId="3D014FD7" w14:textId="77777777" w:rsidR="003438A2" w:rsidRPr="003A0988" w:rsidRDefault="003438A2" w:rsidP="003438A2">
      <w:pPr>
        <w:pStyle w:val="ListBullet"/>
        <w:numPr>
          <w:ilvl w:val="0"/>
          <w:numId w:val="15"/>
        </w:numPr>
      </w:pPr>
      <w:r w:rsidRPr="003A0988">
        <w:t>Imported apple fruit will likely be distributed throughout Australia via the wholesale and retail trade for sale for human consumption. The major population centres are likely to receive most of the imported fruit.</w:t>
      </w:r>
    </w:p>
    <w:p w14:paraId="7660C910" w14:textId="77777777" w:rsidR="003438A2" w:rsidRPr="003A0988" w:rsidRDefault="003438A2" w:rsidP="003438A2">
      <w:pPr>
        <w:pStyle w:val="ListBullet"/>
        <w:numPr>
          <w:ilvl w:val="0"/>
          <w:numId w:val="15"/>
        </w:numPr>
      </w:pPr>
      <w:r w:rsidRPr="003A0988">
        <w:t xml:space="preserve">Packed apple fruit may not be processed or handled until they arrive at the retail points. Any fruit showing symptoms of </w:t>
      </w:r>
      <w:r w:rsidRPr="003A0988">
        <w:rPr>
          <w:i/>
        </w:rPr>
        <w:t>C. psychromorbida</w:t>
      </w:r>
      <w:r w:rsidRPr="003A0988">
        <w:t xml:space="preserve"> infection at this point are likely to be removed from further distribution and discarded into managed waste systems. Commercial waste of imported apple fruit may also be generated prior to or during retail sale and discarded in the same way. Potential exposure to suitable host plants from waste discarded into managed waste systems is likely to be negligible.</w:t>
      </w:r>
    </w:p>
    <w:p w14:paraId="7A0E6278" w14:textId="77777777" w:rsidR="003438A2" w:rsidRPr="003A0988" w:rsidRDefault="003438A2" w:rsidP="003438A2">
      <w:pPr>
        <w:pStyle w:val="ListBullet"/>
        <w:numPr>
          <w:ilvl w:val="0"/>
          <w:numId w:val="15"/>
        </w:numPr>
      </w:pPr>
      <w:r w:rsidRPr="003A0988">
        <w:t xml:space="preserve">However, some apple fruit infected with </w:t>
      </w:r>
      <w:r w:rsidRPr="003A0988">
        <w:rPr>
          <w:i/>
        </w:rPr>
        <w:t>C. psychromorbida</w:t>
      </w:r>
      <w:r w:rsidRPr="003A0988">
        <w:t xml:space="preserve"> may not show symptoms and therefore may be sold to consumers.</w:t>
      </w:r>
    </w:p>
    <w:p w14:paraId="14E498F2" w14:textId="77777777" w:rsidR="003438A2" w:rsidRPr="00A44CD9" w:rsidRDefault="003438A2" w:rsidP="00C67856">
      <w:r w:rsidRPr="00A44CD9">
        <w:t xml:space="preserve">Some apple waste infected with </w:t>
      </w:r>
      <w:r w:rsidRPr="00A44CD9">
        <w:rPr>
          <w:i/>
        </w:rPr>
        <w:t>C. psychromorbida</w:t>
      </w:r>
      <w:r w:rsidRPr="00A44CD9">
        <w:t xml:space="preserve"> may be discarded into the environment near a suitable host.</w:t>
      </w:r>
    </w:p>
    <w:p w14:paraId="20CC3F6D" w14:textId="77777777" w:rsidR="003438A2" w:rsidRPr="00A44CD9" w:rsidRDefault="003438A2" w:rsidP="003438A2">
      <w:pPr>
        <w:pStyle w:val="ListBullet"/>
        <w:numPr>
          <w:ilvl w:val="0"/>
          <w:numId w:val="15"/>
        </w:numPr>
      </w:pPr>
      <w:r w:rsidRPr="00A44CD9">
        <w:t xml:space="preserve">Apple fruit from the PNW-USA are intended for human consumption and most fruit, other than the core of the fruit, will be consumed. </w:t>
      </w:r>
      <w:r>
        <w:t>Most</w:t>
      </w:r>
      <w:r w:rsidRPr="00A44CD9">
        <w:t xml:space="preserve"> fruit waste, including the core and rotten fruit, is likely to be discarded into managed waste systems. Potential exposure to suitable host plants from waste discarded in this way is likely to be negligible.</w:t>
      </w:r>
    </w:p>
    <w:p w14:paraId="56AA0553" w14:textId="77777777" w:rsidR="003438A2" w:rsidRPr="00A44CD9" w:rsidRDefault="003438A2" w:rsidP="003438A2">
      <w:pPr>
        <w:pStyle w:val="ListBullet"/>
        <w:numPr>
          <w:ilvl w:val="0"/>
          <w:numId w:val="15"/>
        </w:numPr>
      </w:pPr>
      <w:r w:rsidRPr="00A44CD9">
        <w:t xml:space="preserve">However, individual consumers may discard apple fruit waste in </w:t>
      </w:r>
      <w:r>
        <w:t xml:space="preserve">domestic compost or in </w:t>
      </w:r>
      <w:r w:rsidRPr="00A44CD9">
        <w:t>a variety of urban, rural and natural environments. Some of this waste could be discarded near suitable host plants, including household or wild host plants.</w:t>
      </w:r>
    </w:p>
    <w:p w14:paraId="539B1AFE" w14:textId="77777777" w:rsidR="003438A2" w:rsidRPr="007F287F" w:rsidRDefault="003438A2" w:rsidP="003438A2">
      <w:pPr>
        <w:pStyle w:val="ListBullet"/>
        <w:numPr>
          <w:ilvl w:val="0"/>
          <w:numId w:val="15"/>
        </w:numPr>
        <w:rPr>
          <w:rFonts w:eastAsia="Times New Roman"/>
        </w:rPr>
      </w:pPr>
      <w:r w:rsidRPr="007F287F">
        <w:rPr>
          <w:i/>
        </w:rPr>
        <w:t xml:space="preserve">Coprinopsis psychromorbida </w:t>
      </w:r>
      <w:r w:rsidRPr="007F287F">
        <w:t xml:space="preserve">can infect a wide variety of hosts, including pome fruits, grasses, forage legumes and cereal </w:t>
      </w:r>
      <w:r w:rsidRPr="00EC4026">
        <w:t xml:space="preserve">crops </w:t>
      </w:r>
      <w:r w:rsidRPr="00EC4026">
        <w:rPr>
          <w:noProof/>
        </w:rPr>
        <w:t>(Farr &amp; Rossman 2021; Redhead &amp; Traquair 1981)</w:t>
      </w:r>
      <w:r>
        <w:t>.</w:t>
      </w:r>
    </w:p>
    <w:p w14:paraId="006753F3" w14:textId="77777777" w:rsidR="003438A2" w:rsidRPr="007F287F" w:rsidRDefault="003438A2" w:rsidP="003438A2">
      <w:pPr>
        <w:pStyle w:val="ListBullet"/>
        <w:numPr>
          <w:ilvl w:val="0"/>
          <w:numId w:val="15"/>
        </w:numPr>
        <w:rPr>
          <w:rFonts w:eastAsia="Times New Roman"/>
        </w:rPr>
      </w:pPr>
      <w:r w:rsidRPr="007F287F">
        <w:t xml:space="preserve">Many hosts of </w:t>
      </w:r>
      <w:r w:rsidRPr="007F287F">
        <w:rPr>
          <w:i/>
        </w:rPr>
        <w:t>C. psychromorbida</w:t>
      </w:r>
      <w:r w:rsidRPr="007F287F">
        <w:t xml:space="preserve"> are common and abundant in Australia, both as cultivated plants and/or in the natural environment.</w:t>
      </w:r>
    </w:p>
    <w:p w14:paraId="170C444E" w14:textId="77777777" w:rsidR="003438A2" w:rsidRPr="007F287F" w:rsidRDefault="003438A2" w:rsidP="00C67856">
      <w:r>
        <w:t>Successful t</w:t>
      </w:r>
      <w:r w:rsidRPr="007F287F">
        <w:t xml:space="preserve">ransfer to a </w:t>
      </w:r>
      <w:r>
        <w:t>suitable</w:t>
      </w:r>
      <w:r w:rsidRPr="007F287F">
        <w:t xml:space="preserve"> host </w:t>
      </w:r>
      <w:r>
        <w:t xml:space="preserve">from discarded, infected fruit waste </w:t>
      </w:r>
      <w:r w:rsidRPr="007F287F">
        <w:t>is unlikely</w:t>
      </w:r>
      <w:r>
        <w:t xml:space="preserve"> due to the limited dispersal range of </w:t>
      </w:r>
      <w:r w:rsidRPr="007F287F">
        <w:rPr>
          <w:rFonts w:eastAsia="Cambria" w:cs="Times New Roman"/>
          <w:i/>
          <w:iCs/>
          <w:lang w:eastAsia="en-AU"/>
        </w:rPr>
        <w:t>C. psychromorbida</w:t>
      </w:r>
      <w:r>
        <w:rPr>
          <w:rFonts w:eastAsia="Cambria" w:cs="Times New Roman"/>
          <w:i/>
          <w:iCs/>
          <w:lang w:eastAsia="en-AU"/>
        </w:rPr>
        <w:t xml:space="preserve"> </w:t>
      </w:r>
      <w:r w:rsidRPr="007F287F">
        <w:t xml:space="preserve">by </w:t>
      </w:r>
      <w:r>
        <w:t xml:space="preserve">growth of </w:t>
      </w:r>
      <w:r w:rsidRPr="007F287F">
        <w:t>mycelia.</w:t>
      </w:r>
    </w:p>
    <w:p w14:paraId="4CA53290" w14:textId="77777777" w:rsidR="003438A2" w:rsidRPr="007F287F" w:rsidRDefault="003438A2" w:rsidP="003438A2">
      <w:pPr>
        <w:pStyle w:val="ListBullet"/>
        <w:numPr>
          <w:ilvl w:val="0"/>
          <w:numId w:val="15"/>
        </w:numPr>
      </w:pPr>
      <w:r w:rsidRPr="007F287F">
        <w:t xml:space="preserve">Asexual morphs of the fungus such as mycelia are only capable of spreading through direct contact </w:t>
      </w:r>
      <w:r>
        <w:rPr>
          <w:rFonts w:eastAsia="Calibri"/>
          <w:noProof/>
        </w:rPr>
        <w:t>(Gaudet, Kokko &amp; Sholberg 1990)</w:t>
      </w:r>
      <w:r w:rsidRPr="007F287F">
        <w:t>.</w:t>
      </w:r>
    </w:p>
    <w:p w14:paraId="7891986E" w14:textId="77777777" w:rsidR="003438A2" w:rsidRPr="00AE6EE5" w:rsidRDefault="003438A2" w:rsidP="003438A2">
      <w:pPr>
        <w:pStyle w:val="ListBullet"/>
        <w:numPr>
          <w:ilvl w:val="0"/>
          <w:numId w:val="15"/>
        </w:numPr>
        <w:rPr>
          <w:rFonts w:eastAsia="Times New Roman"/>
        </w:rPr>
      </w:pPr>
      <w:r w:rsidRPr="007F287F">
        <w:rPr>
          <w:rFonts w:eastAsia="Times New Roman"/>
        </w:rPr>
        <w:t xml:space="preserve">If </w:t>
      </w:r>
      <w:r>
        <w:rPr>
          <w:rFonts w:eastAsia="Times New Roman"/>
        </w:rPr>
        <w:t xml:space="preserve">infected fruit waste was </w:t>
      </w:r>
      <w:r w:rsidRPr="00F55473">
        <w:t>discarded into the environment near a suitable host</w:t>
      </w:r>
      <w:r w:rsidRPr="007F287F">
        <w:rPr>
          <w:rFonts w:eastAsia="Times New Roman"/>
        </w:rPr>
        <w:t xml:space="preserve">, infection </w:t>
      </w:r>
      <w:r>
        <w:rPr>
          <w:rFonts w:eastAsia="Times New Roman"/>
        </w:rPr>
        <w:t xml:space="preserve">of the host </w:t>
      </w:r>
      <w:r w:rsidRPr="007F287F">
        <w:rPr>
          <w:rFonts w:eastAsia="Times New Roman"/>
        </w:rPr>
        <w:t xml:space="preserve">could </w:t>
      </w:r>
      <w:r>
        <w:rPr>
          <w:rFonts w:eastAsia="Times New Roman"/>
        </w:rPr>
        <w:t xml:space="preserve">only </w:t>
      </w:r>
      <w:r w:rsidRPr="007F287F">
        <w:rPr>
          <w:rFonts w:eastAsia="Times New Roman"/>
        </w:rPr>
        <w:t>occur through g</w:t>
      </w:r>
      <w:r w:rsidRPr="007F287F">
        <w:rPr>
          <w:rFonts w:eastAsia="Cambria" w:cs="TimesNewRomanPSMT"/>
          <w:lang w:eastAsia="en-AU"/>
        </w:rPr>
        <w:t>rowth of mycelia.</w:t>
      </w:r>
      <w:r w:rsidRPr="007F287F">
        <w:t xml:space="preserve"> </w:t>
      </w:r>
      <w:r>
        <w:t>The range of dispersal via mycelial growth would be very limited.</w:t>
      </w:r>
    </w:p>
    <w:p w14:paraId="0491A961" w14:textId="77777777" w:rsidR="003438A2" w:rsidRPr="00E0510D" w:rsidRDefault="003438A2" w:rsidP="003438A2">
      <w:pPr>
        <w:pStyle w:val="ListBullet"/>
        <w:numPr>
          <w:ilvl w:val="0"/>
          <w:numId w:val="15"/>
        </w:numPr>
        <w:rPr>
          <w:rFonts w:eastAsia="Times New Roman"/>
        </w:rPr>
      </w:pPr>
      <w:r w:rsidRPr="007F287F">
        <w:t>Mycelial growth is limited by warm temperatures with an optimal temperature of 15</w:t>
      </w:r>
      <w:r w:rsidRPr="007F287F">
        <w:rPr>
          <w:rFonts w:cstheme="minorHAnsi"/>
        </w:rPr>
        <w:t>°</w:t>
      </w:r>
      <w:r w:rsidRPr="007F287F">
        <w:t xml:space="preserve">C </w:t>
      </w:r>
      <w:r w:rsidRPr="00E0510D">
        <w:rPr>
          <w:noProof/>
        </w:rPr>
        <w:t>(Gaudet &amp; Sholberg 1990)</w:t>
      </w:r>
      <w:r w:rsidRPr="00E0510D">
        <w:rPr>
          <w:rFonts w:eastAsia="Times New Roman" w:cs="Times New Roman"/>
        </w:rPr>
        <w:t xml:space="preserve">. </w:t>
      </w:r>
      <w:r w:rsidRPr="00E0510D">
        <w:t>During summer, hot and dry conditions are likely to limit the growth of the fungus from discarded fruit waste.</w:t>
      </w:r>
    </w:p>
    <w:p w14:paraId="631B93A0" w14:textId="77777777" w:rsidR="003438A2" w:rsidRPr="00E0510D" w:rsidRDefault="003438A2" w:rsidP="003438A2">
      <w:pPr>
        <w:pStyle w:val="ListBullet"/>
        <w:numPr>
          <w:ilvl w:val="0"/>
          <w:numId w:val="15"/>
        </w:numPr>
        <w:rPr>
          <w:rFonts w:eastAsia="Times New Roman" w:cs="Times New Roman"/>
          <w:szCs w:val="24"/>
        </w:rPr>
      </w:pPr>
      <w:r w:rsidRPr="00E0510D">
        <w:rPr>
          <w:rFonts w:eastAsia="Times New Roman" w:cs="Times New Roman"/>
          <w:i/>
          <w:szCs w:val="24"/>
        </w:rPr>
        <w:t xml:space="preserve">Coprinopsis psychromorbida </w:t>
      </w:r>
      <w:r w:rsidRPr="00E0510D">
        <w:rPr>
          <w:rFonts w:eastAsia="Times New Roman" w:cs="Times New Roman"/>
          <w:szCs w:val="24"/>
        </w:rPr>
        <w:t xml:space="preserve">is able to form sclerotia on pears </w:t>
      </w:r>
      <w:r w:rsidRPr="00E0510D">
        <w:rPr>
          <w:rFonts w:eastAsia="Times New Roman" w:cs="Times New Roman"/>
          <w:noProof/>
          <w:szCs w:val="24"/>
        </w:rPr>
        <w:t>(Gaudet &amp; Kokko 1985; Spotts 1990b; Spotts, Traquair &amp; Peters 1981)</w:t>
      </w:r>
      <w:r w:rsidRPr="00E0510D">
        <w:rPr>
          <w:rFonts w:eastAsia="Times New Roman" w:cs="Times New Roman"/>
          <w:szCs w:val="24"/>
        </w:rPr>
        <w:t xml:space="preserve">, which may serve as propagules for survival in adverse conditions such as hot and dry summers </w:t>
      </w:r>
      <w:r w:rsidRPr="00E0510D">
        <w:rPr>
          <w:noProof/>
        </w:rPr>
        <w:t>(Traquair 1987)</w:t>
      </w:r>
      <w:r w:rsidRPr="00E0510D">
        <w:rPr>
          <w:rFonts w:eastAsia="Times New Roman" w:cs="Times New Roman"/>
          <w:szCs w:val="24"/>
        </w:rPr>
        <w:t>. However, formation of sclerotia on apples has not been recorded.</w:t>
      </w:r>
    </w:p>
    <w:p w14:paraId="33FB5377" w14:textId="77777777" w:rsidR="003438A2" w:rsidRPr="00630DE1" w:rsidRDefault="003438A2" w:rsidP="003438A2">
      <w:pPr>
        <w:pStyle w:val="ListBullet"/>
        <w:numPr>
          <w:ilvl w:val="0"/>
          <w:numId w:val="15"/>
        </w:numPr>
        <w:rPr>
          <w:rFonts w:eastAsia="Times New Roman" w:cs="Times New Roman"/>
          <w:szCs w:val="24"/>
        </w:rPr>
      </w:pPr>
      <w:r w:rsidRPr="00E0510D">
        <w:rPr>
          <w:rFonts w:eastAsia="Times New Roman" w:cs="Times New Roman"/>
          <w:szCs w:val="24"/>
        </w:rPr>
        <w:t xml:space="preserve">If formed on discarded apple fruit waste, </w:t>
      </w:r>
      <w:r>
        <w:rPr>
          <w:rFonts w:eastAsia="Times New Roman" w:cs="Times New Roman"/>
          <w:szCs w:val="24"/>
        </w:rPr>
        <w:t xml:space="preserve">sclerotia can only </w:t>
      </w:r>
      <w:r w:rsidRPr="00E0510D">
        <w:rPr>
          <w:rFonts w:eastAsia="Times New Roman" w:cs="Times New Roman"/>
          <w:szCs w:val="24"/>
        </w:rPr>
        <w:t>spread if the mycelia (formed when sclerotia germinate) come i</w:t>
      </w:r>
      <w:r w:rsidRPr="00630DE1">
        <w:rPr>
          <w:rFonts w:eastAsia="Times New Roman" w:cs="Times New Roman"/>
          <w:szCs w:val="24"/>
        </w:rPr>
        <w:t>nto direct contact with host material.</w:t>
      </w:r>
    </w:p>
    <w:p w14:paraId="4BBDDD1D" w14:textId="77777777" w:rsidR="003438A2" w:rsidRPr="007F287F" w:rsidRDefault="003438A2" w:rsidP="003438A2">
      <w:pPr>
        <w:pStyle w:val="ListBullet"/>
        <w:numPr>
          <w:ilvl w:val="0"/>
          <w:numId w:val="15"/>
        </w:numPr>
        <w:rPr>
          <w:rFonts w:eastAsia="Times New Roman" w:cs="Times New Roman"/>
          <w:szCs w:val="24"/>
        </w:rPr>
      </w:pPr>
      <w:r w:rsidRPr="007F287F">
        <w:rPr>
          <w:rFonts w:eastAsia="Times New Roman" w:cs="Times New Roman"/>
          <w:szCs w:val="24"/>
        </w:rPr>
        <w:lastRenderedPageBreak/>
        <w:t>Under favourable damp</w:t>
      </w:r>
      <w:r>
        <w:rPr>
          <w:rFonts w:eastAsia="Times New Roman" w:cs="Times New Roman"/>
          <w:szCs w:val="24"/>
        </w:rPr>
        <w:t xml:space="preserve"> and</w:t>
      </w:r>
      <w:r w:rsidRPr="007F287F">
        <w:rPr>
          <w:rFonts w:eastAsia="Times New Roman" w:cs="Times New Roman"/>
          <w:szCs w:val="24"/>
        </w:rPr>
        <w:t xml:space="preserve"> cool conditions</w:t>
      </w:r>
      <w:r>
        <w:rPr>
          <w:rFonts w:eastAsia="Times New Roman" w:cs="Times New Roman"/>
          <w:szCs w:val="24"/>
        </w:rPr>
        <w:t>,</w:t>
      </w:r>
      <w:r w:rsidRPr="007F287F">
        <w:rPr>
          <w:rFonts w:eastAsia="Times New Roman" w:cs="Times New Roman"/>
          <w:szCs w:val="24"/>
        </w:rPr>
        <w:t xml:space="preserve"> competition with specialist saprophytes may limit </w:t>
      </w:r>
      <w:r w:rsidRPr="007F287F">
        <w:rPr>
          <w:rFonts w:eastAsia="Cambria" w:cs="Times New Roman"/>
          <w:i/>
          <w:iCs/>
          <w:lang w:eastAsia="en-AU"/>
        </w:rPr>
        <w:t>C. psychromorbida</w:t>
      </w:r>
      <w:r w:rsidRPr="007F287F">
        <w:rPr>
          <w:rFonts w:eastAsia="Cambria" w:cs="Times New Roman"/>
          <w:iCs/>
          <w:lang w:eastAsia="en-AU"/>
        </w:rPr>
        <w:t xml:space="preserve"> </w:t>
      </w:r>
      <w:r w:rsidRPr="007F287F">
        <w:rPr>
          <w:rFonts w:eastAsia="Times New Roman" w:cs="Times New Roman"/>
          <w:szCs w:val="24"/>
        </w:rPr>
        <w:t>mycelial growth.</w:t>
      </w:r>
    </w:p>
    <w:p w14:paraId="4DD8760E" w14:textId="77777777" w:rsidR="003438A2" w:rsidRPr="007F287F" w:rsidRDefault="003438A2" w:rsidP="00C67856">
      <w:r w:rsidRPr="007F287F">
        <w:rPr>
          <w:i/>
        </w:rPr>
        <w:t xml:space="preserve">Coprinopsis psychromorbida </w:t>
      </w:r>
      <w:r w:rsidRPr="007F287F">
        <w:t>may be distributed through movement of contaminated packing materials</w:t>
      </w:r>
      <w:r>
        <w:t>,</w:t>
      </w:r>
      <w:r w:rsidRPr="003621AB">
        <w:t xml:space="preserve"> but such material</w:t>
      </w:r>
      <w:r>
        <w:t>s</w:t>
      </w:r>
      <w:r w:rsidRPr="003621AB">
        <w:t xml:space="preserve"> </w:t>
      </w:r>
      <w:r>
        <w:t>are</w:t>
      </w:r>
      <w:r w:rsidRPr="003621AB">
        <w:t xml:space="preserve"> likely to be discarded into managed waste systems from where exposure to potential host plants is likely to be negligible</w:t>
      </w:r>
      <w:r w:rsidRPr="007F287F">
        <w:t>.</w:t>
      </w:r>
    </w:p>
    <w:p w14:paraId="0435CCBC" w14:textId="77777777" w:rsidR="003438A2" w:rsidRPr="005D77A0" w:rsidRDefault="003438A2" w:rsidP="003438A2">
      <w:pPr>
        <w:pStyle w:val="ListBullet"/>
        <w:numPr>
          <w:ilvl w:val="0"/>
          <w:numId w:val="15"/>
        </w:numPr>
      </w:pPr>
      <w:r w:rsidRPr="005D77A0">
        <w:t>The fungus can be distributed via movement of storage trays and other packing materials. In storage, infected fruit produce extensive white raised mycelia which frequently cover fruit surfaces, fruit wraps and trays (Spotts 1990b). However, packaging materials contaminated by the fungus are likely to be discarded through managed waste systems and are unlikely to enter the environment.</w:t>
      </w:r>
    </w:p>
    <w:p w14:paraId="1EFBED04" w14:textId="77777777" w:rsidR="003438A2" w:rsidRPr="007F287F" w:rsidRDefault="003438A2" w:rsidP="00863E70">
      <w:r w:rsidRPr="007F287F">
        <w:rPr>
          <w:i/>
          <w:iCs/>
        </w:rPr>
        <w:t>Coprinopsis psychromorbida</w:t>
      </w:r>
      <w:r w:rsidRPr="007F287F">
        <w:t xml:space="preserve"> has a wide host range, and there is some potential for fruit waste to be discarded near these hosts. </w:t>
      </w:r>
      <w:r w:rsidRPr="00843AB4">
        <w:t xml:space="preserve">However, the </w:t>
      </w:r>
      <w:bookmarkStart w:id="369" w:name="_Hlk110279278"/>
      <w:r w:rsidRPr="00843AB4">
        <w:t>only known dispersal mechanism for this fungus from discarded fruit waste is by mycelia</w:t>
      </w:r>
      <w:bookmarkEnd w:id="369"/>
      <w:r w:rsidRPr="00843AB4">
        <w:t>.</w:t>
      </w:r>
      <w:r w:rsidRPr="007F287F">
        <w:t xml:space="preserve"> This form of dispersal would </w:t>
      </w:r>
      <w:bookmarkStart w:id="370" w:name="_Hlk110279322"/>
      <w:r w:rsidRPr="007F287F">
        <w:t>significantly limit the ability of the fungus to move from infected waste to a new host in Australia</w:t>
      </w:r>
      <w:bookmarkEnd w:id="370"/>
      <w:r w:rsidRPr="00FE2A35">
        <w:t>. T</w:t>
      </w:r>
      <w:r w:rsidRPr="007F287F">
        <w:t xml:space="preserve">he climate in most regions of Australia is likely to limit the growth of mycelia due to warm and/or dry conditions. For the reasons outlined, the likelihood estimate for distribution of </w:t>
      </w:r>
      <w:r w:rsidRPr="007F287F">
        <w:rPr>
          <w:i/>
          <w:iCs/>
        </w:rPr>
        <w:t>C. psychromorbida</w:t>
      </w:r>
      <w:r w:rsidRPr="007F287F">
        <w:t xml:space="preserve"> on apples from PNW-USA is assessed </w:t>
      </w:r>
      <w:r w:rsidRPr="00E0510D">
        <w:t>as Very Low.</w:t>
      </w:r>
    </w:p>
    <w:p w14:paraId="41C06614" w14:textId="77777777" w:rsidR="003438A2" w:rsidRPr="007F287F" w:rsidRDefault="003438A2" w:rsidP="00C67856">
      <w:pPr>
        <w:pStyle w:val="Heading5"/>
      </w:pPr>
      <w:r w:rsidRPr="007F287F">
        <w:t>Overall likelihood of entry</w:t>
      </w:r>
    </w:p>
    <w:p w14:paraId="0D18ECE1" w14:textId="77777777" w:rsidR="003438A2" w:rsidRPr="007F287F" w:rsidRDefault="003438A2" w:rsidP="00C67856">
      <w:r w:rsidRPr="007F287F">
        <w:t xml:space="preserve">The overall likelihood of entry is determined by combining the likelihood of importation with the likelihood of distribution using the matrix of rules shown in </w:t>
      </w:r>
      <w:r>
        <w:fldChar w:fldCharType="begin" w:fldLock="1"/>
      </w:r>
      <w:r>
        <w:instrText xml:space="preserve"> REF _Ref457826328 \h </w:instrText>
      </w:r>
      <w:r>
        <w:fldChar w:fldCharType="separate"/>
      </w:r>
      <w:r w:rsidRPr="00DB5F8D">
        <w:t xml:space="preserve">Table </w:t>
      </w:r>
      <w:r>
        <w:rPr>
          <w:noProof/>
        </w:rPr>
        <w:t>2</w:t>
      </w:r>
      <w:r>
        <w:t>.</w:t>
      </w:r>
      <w:r>
        <w:rPr>
          <w:noProof/>
        </w:rPr>
        <w:t>2</w:t>
      </w:r>
      <w:r>
        <w:fldChar w:fldCharType="end"/>
      </w:r>
      <w:r w:rsidRPr="007F287F">
        <w:t>.</w:t>
      </w:r>
    </w:p>
    <w:p w14:paraId="10441E87" w14:textId="77777777" w:rsidR="003438A2" w:rsidRPr="007F287F" w:rsidRDefault="003438A2" w:rsidP="00C67856">
      <w:r w:rsidRPr="007F287F">
        <w:t xml:space="preserve">The likelihood that </w:t>
      </w:r>
      <w:r w:rsidRPr="007F287F">
        <w:rPr>
          <w:i/>
        </w:rPr>
        <w:t>C. psychromorbida</w:t>
      </w:r>
      <w:r w:rsidRPr="007F287F">
        <w:t xml:space="preserve"> will enter Australia as a result of trade in the commodity and be distributed in a viable state to a suitable host is assessed as Very Low.</w:t>
      </w:r>
    </w:p>
    <w:p w14:paraId="2053C9A8" w14:textId="77777777" w:rsidR="003438A2" w:rsidRPr="007F287F" w:rsidRDefault="003438A2" w:rsidP="00F843A1">
      <w:pPr>
        <w:pStyle w:val="Heading4"/>
        <w:numPr>
          <w:ilvl w:val="2"/>
          <w:numId w:val="29"/>
        </w:numPr>
        <w:ind w:firstLine="199"/>
      </w:pPr>
      <w:r w:rsidRPr="007F287F">
        <w:t>Likelihood of establishment</w:t>
      </w:r>
    </w:p>
    <w:p w14:paraId="496BF6BE" w14:textId="77777777" w:rsidR="003438A2" w:rsidRPr="007F287F" w:rsidRDefault="003438A2" w:rsidP="00C67856">
      <w:r w:rsidRPr="007F287F">
        <w:t xml:space="preserve">The likelihood that </w:t>
      </w:r>
      <w:r w:rsidRPr="007F287F">
        <w:rPr>
          <w:i/>
        </w:rPr>
        <w:t>C. psychromorbida</w:t>
      </w:r>
      <w:r w:rsidRPr="007F287F">
        <w:t xml:space="preserve"> will establish, based on a comparison of factors in the source and destination areas that affect pest survival and reproduction, is assessed as Moderate.</w:t>
      </w:r>
    </w:p>
    <w:p w14:paraId="4DE5A027" w14:textId="77777777" w:rsidR="003438A2" w:rsidRPr="007F287F" w:rsidRDefault="003438A2" w:rsidP="00C67856">
      <w:r w:rsidRPr="007F287F">
        <w:t>The following information provides supporting evidence for this assessment.</w:t>
      </w:r>
    </w:p>
    <w:p w14:paraId="7D3DDCCB" w14:textId="77777777" w:rsidR="003438A2" w:rsidRPr="007F287F" w:rsidRDefault="003438A2" w:rsidP="00C67856">
      <w:r w:rsidRPr="007F287F">
        <w:rPr>
          <w:i/>
        </w:rPr>
        <w:t xml:space="preserve">Coprinopsis psychromorbida </w:t>
      </w:r>
      <w:r w:rsidRPr="007F287F">
        <w:t>has widespread and abundant host plants across Australia.</w:t>
      </w:r>
    </w:p>
    <w:p w14:paraId="494C55C6" w14:textId="77777777" w:rsidR="003438A2" w:rsidRPr="00480402" w:rsidRDefault="003438A2" w:rsidP="003438A2">
      <w:pPr>
        <w:pStyle w:val="ListBullet"/>
        <w:numPr>
          <w:ilvl w:val="0"/>
          <w:numId w:val="15"/>
        </w:numPr>
      </w:pPr>
      <w:r w:rsidRPr="00480402">
        <w:rPr>
          <w:i/>
        </w:rPr>
        <w:t>Coprinopsis psychromorbida</w:t>
      </w:r>
      <w:r w:rsidRPr="00480402">
        <w:t xml:space="preserve"> has a wide host range, including apples, pears, cereals, grasses and legumes </w:t>
      </w:r>
      <w:r>
        <w:rPr>
          <w:noProof/>
        </w:rPr>
        <w:t>(Gaudet &amp; Sholberg 1990)</w:t>
      </w:r>
      <w:r w:rsidRPr="00480402">
        <w:t>. Most of these hosts are widely present and abundant in Australia.</w:t>
      </w:r>
    </w:p>
    <w:p w14:paraId="10837ADA" w14:textId="77777777" w:rsidR="003438A2" w:rsidRPr="007F287F" w:rsidRDefault="003438A2" w:rsidP="003438A2">
      <w:pPr>
        <w:pStyle w:val="ListBullet"/>
        <w:numPr>
          <w:ilvl w:val="0"/>
          <w:numId w:val="15"/>
        </w:numPr>
      </w:pPr>
      <w:r w:rsidRPr="00480402">
        <w:rPr>
          <w:i/>
        </w:rPr>
        <w:t>Coprinopsis psychromorbida</w:t>
      </w:r>
      <w:r w:rsidRPr="00480402">
        <w:t xml:space="preserve"> has</w:t>
      </w:r>
      <w:r w:rsidRPr="007F287F">
        <w:t xml:space="preserve"> the ability to survive on both live and dead tissues (such as litter and ground cover) of its hosts </w:t>
      </w:r>
      <w:r>
        <w:rPr>
          <w:noProof/>
        </w:rPr>
        <w:t>(Spotts 1990b)</w:t>
      </w:r>
      <w:r w:rsidRPr="007F287F">
        <w:t>.</w:t>
      </w:r>
    </w:p>
    <w:p w14:paraId="1F0CC295" w14:textId="77777777" w:rsidR="003438A2" w:rsidRPr="007F287F" w:rsidRDefault="003438A2" w:rsidP="003438A2">
      <w:pPr>
        <w:pStyle w:val="ListBullet"/>
        <w:numPr>
          <w:ilvl w:val="0"/>
          <w:numId w:val="15"/>
        </w:numPr>
      </w:pPr>
      <w:r w:rsidRPr="007F287F">
        <w:rPr>
          <w:i/>
        </w:rPr>
        <w:t>Coprinopsis psychromorbida</w:t>
      </w:r>
      <w:r w:rsidRPr="007F287F">
        <w:t xml:space="preserve"> has been isolated from orchard litter, substrates and horse manure </w:t>
      </w:r>
      <w:r>
        <w:rPr>
          <w:noProof/>
        </w:rPr>
        <w:t>(Redhead &amp; Traquair 1981; Sholberg &amp; Gaudet 1992)</w:t>
      </w:r>
      <w:r w:rsidRPr="007F287F">
        <w:t>.</w:t>
      </w:r>
    </w:p>
    <w:p w14:paraId="4791893F" w14:textId="77777777" w:rsidR="003438A2" w:rsidRPr="007F287F" w:rsidRDefault="003438A2" w:rsidP="00C67856">
      <w:r w:rsidRPr="007F287F">
        <w:t xml:space="preserve">Suitable environments for </w:t>
      </w:r>
      <w:r w:rsidRPr="007F287F">
        <w:rPr>
          <w:i/>
        </w:rPr>
        <w:t xml:space="preserve">C. psychromorbida </w:t>
      </w:r>
      <w:r w:rsidRPr="007F287F">
        <w:t>may be available in Australia.</w:t>
      </w:r>
    </w:p>
    <w:p w14:paraId="354B1BCA" w14:textId="77777777" w:rsidR="003438A2" w:rsidRPr="007F287F" w:rsidRDefault="003438A2" w:rsidP="003438A2">
      <w:pPr>
        <w:pStyle w:val="ListBullet"/>
        <w:numPr>
          <w:ilvl w:val="0"/>
          <w:numId w:val="15"/>
        </w:numPr>
      </w:pPr>
      <w:r w:rsidRPr="007F287F">
        <w:t xml:space="preserve">Coprinus rot grows well in temperate climatic conditions. Its optimal temperature for growth </w:t>
      </w:r>
      <w:r w:rsidRPr="007F287F">
        <w:rPr>
          <w:rFonts w:eastAsia="Cambria" w:cs="Times New Roman"/>
          <w:iCs/>
          <w:lang w:eastAsia="en-AU"/>
        </w:rPr>
        <w:t>is 15</w:t>
      </w:r>
      <w:r w:rsidRPr="007F287F">
        <w:t>°C</w:t>
      </w:r>
      <w:r w:rsidRPr="007F287F">
        <w:rPr>
          <w:rFonts w:eastAsia="Times New Roman" w:cs="Times New Roman"/>
        </w:rPr>
        <w:t xml:space="preserve"> but it can develop at 20</w:t>
      </w:r>
      <w:r w:rsidRPr="007F287F">
        <w:t>°C</w:t>
      </w:r>
      <w:r w:rsidRPr="007F287F">
        <w:rPr>
          <w:rFonts w:eastAsia="Times New Roman" w:cs="Times New Roman"/>
        </w:rPr>
        <w:t xml:space="preserve"> </w:t>
      </w:r>
      <w:r>
        <w:rPr>
          <w:rFonts w:eastAsia="Times New Roman" w:cs="Times New Roman"/>
          <w:noProof/>
        </w:rPr>
        <w:t>(Gaudet &amp; Sholberg 1990)</w:t>
      </w:r>
      <w:r w:rsidRPr="007F287F">
        <w:rPr>
          <w:rFonts w:eastAsia="Times New Roman" w:cs="Times New Roman"/>
        </w:rPr>
        <w:t xml:space="preserve">. </w:t>
      </w:r>
      <w:r w:rsidRPr="007F287F">
        <w:t xml:space="preserve">Under experimental conditions, no growth of </w:t>
      </w:r>
      <w:r w:rsidRPr="007F287F">
        <w:rPr>
          <w:i/>
        </w:rPr>
        <w:t>C. psychromorbida</w:t>
      </w:r>
      <w:r w:rsidRPr="007F287F">
        <w:t xml:space="preserve"> cultures was observed above 25°C </w:t>
      </w:r>
      <w:r>
        <w:rPr>
          <w:noProof/>
        </w:rPr>
        <w:t>(Spotts, Traquair &amp; Peters 1981)</w:t>
      </w:r>
      <w:r>
        <w:t>.</w:t>
      </w:r>
    </w:p>
    <w:p w14:paraId="1D75EF6C" w14:textId="77777777" w:rsidR="003438A2" w:rsidRPr="00B52296" w:rsidRDefault="003438A2" w:rsidP="003438A2">
      <w:pPr>
        <w:pStyle w:val="ListBullet"/>
        <w:numPr>
          <w:ilvl w:val="0"/>
          <w:numId w:val="15"/>
        </w:numPr>
      </w:pPr>
      <w:r w:rsidRPr="007F287F">
        <w:rPr>
          <w:i/>
        </w:rPr>
        <w:t xml:space="preserve">Coprinopsis psychromorbida </w:t>
      </w:r>
      <w:r w:rsidRPr="007F287F">
        <w:t>occurs in western Canada (including Alberta and British Columbia) and the USA (including Alaska and the PNW</w:t>
      </w:r>
      <w:r>
        <w:t>-USA</w:t>
      </w:r>
      <w:r w:rsidRPr="007F287F">
        <w:t xml:space="preserve">) </w:t>
      </w:r>
      <w:r>
        <w:rPr>
          <w:noProof/>
        </w:rPr>
        <w:t xml:space="preserve">(Farr &amp; Rossman 2009; Smith </w:t>
      </w:r>
      <w:r>
        <w:rPr>
          <w:noProof/>
        </w:rPr>
        <w:lastRenderedPageBreak/>
        <w:t>1981; Traquair 1980, 1987; Willett et al. 1989)</w:t>
      </w:r>
      <w:r w:rsidRPr="007F287F">
        <w:t xml:space="preserve">. </w:t>
      </w:r>
      <w:r>
        <w:t>P</w:t>
      </w:r>
      <w:r w:rsidRPr="007F287F">
        <w:t xml:space="preserve">arts of temperate southeastern and southwestern Australia </w:t>
      </w:r>
      <w:r>
        <w:t xml:space="preserve">have climates similar to PNW-USA </w:t>
      </w:r>
      <w:r>
        <w:rPr>
          <w:noProof/>
        </w:rPr>
        <w:t>(Peel, Finlayson &amp; McMahon 2007)</w:t>
      </w:r>
      <w:r w:rsidRPr="007F287F">
        <w:t xml:space="preserve">, suggesting that these parts of Australia are likely to be suitable for survival of </w:t>
      </w:r>
      <w:r w:rsidRPr="00B52296">
        <w:rPr>
          <w:i/>
        </w:rPr>
        <w:t>C. psychromorbida</w:t>
      </w:r>
      <w:r w:rsidRPr="00B52296">
        <w:t>.</w:t>
      </w:r>
    </w:p>
    <w:p w14:paraId="506ED04F" w14:textId="77777777" w:rsidR="003438A2" w:rsidRPr="00B52296" w:rsidRDefault="003438A2" w:rsidP="003438A2">
      <w:pPr>
        <w:pStyle w:val="ListBullet"/>
        <w:numPr>
          <w:ilvl w:val="0"/>
          <w:numId w:val="15"/>
        </w:numPr>
        <w:rPr>
          <w:rFonts w:eastAsia="Times New Roman" w:cs="Times New Roman"/>
          <w:szCs w:val="24"/>
        </w:rPr>
      </w:pPr>
      <w:r w:rsidRPr="00B52296">
        <w:t xml:space="preserve">The restricted geographic range of </w:t>
      </w:r>
      <w:r w:rsidRPr="00B52296">
        <w:rPr>
          <w:i/>
        </w:rPr>
        <w:t xml:space="preserve">C. psychromorbida </w:t>
      </w:r>
      <w:r w:rsidRPr="00B52296">
        <w:t xml:space="preserve">to climates with cold winters suggests it is less likely to establish in many regions of Australia. </w:t>
      </w:r>
    </w:p>
    <w:p w14:paraId="463A4AE1" w14:textId="77777777" w:rsidR="003438A2" w:rsidRPr="00BB59C2" w:rsidRDefault="003438A2" w:rsidP="003438A2">
      <w:pPr>
        <w:pStyle w:val="ListBullet"/>
        <w:numPr>
          <w:ilvl w:val="0"/>
          <w:numId w:val="15"/>
        </w:numPr>
        <w:rPr>
          <w:rFonts w:eastAsia="Times New Roman" w:cs="Times New Roman"/>
          <w:szCs w:val="24"/>
        </w:rPr>
      </w:pPr>
      <w:r w:rsidRPr="00B52296">
        <w:rPr>
          <w:rFonts w:eastAsia="Times New Roman" w:cs="Times New Roman"/>
          <w:i/>
          <w:szCs w:val="24"/>
        </w:rPr>
        <w:t xml:space="preserve">Coprinopsis psychromorbida </w:t>
      </w:r>
      <w:r w:rsidRPr="00B52296">
        <w:rPr>
          <w:rFonts w:eastAsia="Times New Roman" w:cs="Times New Roman"/>
          <w:szCs w:val="24"/>
        </w:rPr>
        <w:t xml:space="preserve">is able to form sclerotia on pears </w:t>
      </w:r>
      <w:r w:rsidRPr="00B52296">
        <w:rPr>
          <w:rFonts w:eastAsia="Times New Roman" w:cs="Times New Roman"/>
          <w:noProof/>
          <w:szCs w:val="24"/>
        </w:rPr>
        <w:t>(Gaudet &amp; Kokko 1985; Spotts 1990b; Spotts, Traquair &amp; Peters 1981)</w:t>
      </w:r>
      <w:r w:rsidRPr="00B52296">
        <w:rPr>
          <w:rFonts w:eastAsia="Times New Roman" w:cs="Times New Roman"/>
          <w:szCs w:val="24"/>
        </w:rPr>
        <w:t xml:space="preserve">. </w:t>
      </w:r>
      <w:hyperlink w:anchor="_ENREF_741" w:tooltip="Traquair, 1987 #9703" w:history="1">
        <w:r w:rsidRPr="00B52296">
          <w:rPr>
            <w:noProof/>
          </w:rPr>
          <w:t>Traquair (1987</w:t>
        </w:r>
      </w:hyperlink>
      <w:r w:rsidRPr="004A7E5D">
        <w:rPr>
          <w:rFonts w:cs="Roboto Light"/>
          <w:lang w:eastAsia="en-AU"/>
        </w:rPr>
        <w:t xml:space="preserve">) noted that sclerotia are likely to be significant survival propagules and sources of infection. </w:t>
      </w:r>
      <w:r w:rsidRPr="004A7E5D">
        <w:t xml:space="preserve">Formation of sclerotia by </w:t>
      </w:r>
      <w:r w:rsidRPr="004A7E5D">
        <w:rPr>
          <w:i/>
          <w:iCs/>
        </w:rPr>
        <w:t>C. psychromorbida</w:t>
      </w:r>
      <w:r w:rsidRPr="004A7E5D">
        <w:t xml:space="preserve"> may aid survival over hot and dry summer conditions </w:t>
      </w:r>
      <w:r w:rsidRPr="004A7E5D">
        <w:rPr>
          <w:noProof/>
        </w:rPr>
        <w:t>(Spotts 1990b)</w:t>
      </w:r>
      <w:r w:rsidRPr="004A7E5D">
        <w:t>.</w:t>
      </w:r>
    </w:p>
    <w:p w14:paraId="45576DF5" w14:textId="77777777" w:rsidR="003438A2" w:rsidRPr="007F287F" w:rsidRDefault="003438A2" w:rsidP="00C67856">
      <w:r w:rsidRPr="007F287F">
        <w:t xml:space="preserve">The </w:t>
      </w:r>
      <w:r>
        <w:t>lack of</w:t>
      </w:r>
      <w:r w:rsidRPr="007F287F">
        <w:t xml:space="preserve"> </w:t>
      </w:r>
      <w:r>
        <w:t xml:space="preserve">active dissemination </w:t>
      </w:r>
      <w:r w:rsidRPr="007F287F">
        <w:t xml:space="preserve">of </w:t>
      </w:r>
      <w:r w:rsidRPr="007F287F">
        <w:rPr>
          <w:i/>
        </w:rPr>
        <w:t>C. psychromorbida</w:t>
      </w:r>
      <w:r w:rsidRPr="007F287F">
        <w:t xml:space="preserve"> may potentially limit its establishment.</w:t>
      </w:r>
    </w:p>
    <w:p w14:paraId="46223023" w14:textId="77777777" w:rsidR="003438A2" w:rsidRPr="009533CA" w:rsidRDefault="003438A2" w:rsidP="003438A2">
      <w:pPr>
        <w:pStyle w:val="ListBullet"/>
        <w:numPr>
          <w:ilvl w:val="0"/>
          <w:numId w:val="15"/>
        </w:numPr>
      </w:pPr>
      <w:r w:rsidRPr="009533CA">
        <w:t>The mycelia are capable of being distributed to host plants in Australia through contact. Once in contact with new hosts such as legumes</w:t>
      </w:r>
      <w:r>
        <w:t>, grasses</w:t>
      </w:r>
      <w:r w:rsidRPr="009533CA">
        <w:t xml:space="preserve"> and cereal crops in Australia, they can colonise the</w:t>
      </w:r>
      <w:r>
        <w:t>se</w:t>
      </w:r>
      <w:r w:rsidRPr="009533CA">
        <w:t xml:space="preserve"> host tissues and form basidiocarps</w:t>
      </w:r>
      <w:r>
        <w:t xml:space="preserve"> </w:t>
      </w:r>
      <w:r>
        <w:rPr>
          <w:noProof/>
        </w:rPr>
        <w:t>(Spotts 1990b)</w:t>
      </w:r>
      <w:r w:rsidRPr="009533CA">
        <w:t>. Basidiospores from the basidiocarps can infect a variety of hosts.</w:t>
      </w:r>
    </w:p>
    <w:p w14:paraId="289D8A47" w14:textId="77777777" w:rsidR="003438A2" w:rsidRPr="00EE58B3" w:rsidRDefault="003438A2" w:rsidP="003438A2">
      <w:pPr>
        <w:pStyle w:val="ListBullet"/>
        <w:numPr>
          <w:ilvl w:val="0"/>
          <w:numId w:val="15"/>
        </w:numPr>
        <w:rPr>
          <w:lang w:eastAsia="en-AU"/>
        </w:rPr>
      </w:pPr>
      <w:r w:rsidRPr="007F287F">
        <w:rPr>
          <w:lang w:eastAsia="en-AU"/>
        </w:rPr>
        <w:t>In PNW</w:t>
      </w:r>
      <w:r>
        <w:rPr>
          <w:lang w:eastAsia="en-AU"/>
        </w:rPr>
        <w:t>-</w:t>
      </w:r>
      <w:r w:rsidRPr="00EE58B3">
        <w:rPr>
          <w:lang w:eastAsia="en-AU"/>
        </w:rPr>
        <w:t xml:space="preserve">USA, infections of apple fruit </w:t>
      </w:r>
      <w:r>
        <w:rPr>
          <w:lang w:eastAsia="en-AU"/>
        </w:rPr>
        <w:t xml:space="preserve">leading to development of storage rot </w:t>
      </w:r>
      <w:r w:rsidRPr="00EE58B3">
        <w:rPr>
          <w:lang w:eastAsia="en-AU"/>
        </w:rPr>
        <w:t xml:space="preserve">are initiated by basidiospores released from fruiting bodies (basidiocarps) from other hosts </w:t>
      </w:r>
      <w:r>
        <w:rPr>
          <w:lang w:eastAsia="en-AU"/>
        </w:rPr>
        <w:t xml:space="preserve">such as cereal, grass and legumes on the ground in autumn </w:t>
      </w:r>
      <w:r>
        <w:rPr>
          <w:noProof/>
        </w:rPr>
        <w:t>(Gaudet &amp; Sholberg 1990; Spotts 1990b).</w:t>
      </w:r>
    </w:p>
    <w:p w14:paraId="3ECE9E49" w14:textId="77777777" w:rsidR="003438A2" w:rsidRPr="00FF4EC8" w:rsidRDefault="003438A2" w:rsidP="003438A2">
      <w:pPr>
        <w:pStyle w:val="ListBullet"/>
        <w:numPr>
          <w:ilvl w:val="0"/>
          <w:numId w:val="15"/>
        </w:numPr>
      </w:pPr>
      <w:r>
        <w:t>B</w:t>
      </w:r>
      <w:r w:rsidRPr="007F287F">
        <w:t xml:space="preserve">asidiocarps of </w:t>
      </w:r>
      <w:r w:rsidRPr="007F287F">
        <w:rPr>
          <w:i/>
        </w:rPr>
        <w:t>C. psychromorbida</w:t>
      </w:r>
      <w:r w:rsidRPr="007F287F">
        <w:t xml:space="preserve"> are not </w:t>
      </w:r>
      <w:r>
        <w:t xml:space="preserve">formed on apple fruit and do not directly cause </w:t>
      </w:r>
      <w:r w:rsidRPr="007F287F">
        <w:t xml:space="preserve">apple fruit </w:t>
      </w:r>
      <w:r>
        <w:t xml:space="preserve">storage </w:t>
      </w:r>
      <w:r w:rsidRPr="00625D29">
        <w:t xml:space="preserve">rot </w:t>
      </w:r>
      <w:r>
        <w:rPr>
          <w:noProof/>
        </w:rPr>
        <w:t>(Gaudet &amp; Sholberg 1990; Spotts 1990b)</w:t>
      </w:r>
      <w:r w:rsidRPr="00FF4EC8">
        <w:t>.</w:t>
      </w:r>
    </w:p>
    <w:p w14:paraId="179B1DDB" w14:textId="77777777" w:rsidR="003438A2" w:rsidRPr="007F287F" w:rsidRDefault="003438A2" w:rsidP="003438A2">
      <w:pPr>
        <w:pStyle w:val="ListBullet"/>
        <w:numPr>
          <w:ilvl w:val="0"/>
          <w:numId w:val="15"/>
        </w:numPr>
        <w:rPr>
          <w:rFonts w:eastAsia="Times New Roman" w:cs="Times New Roman"/>
          <w:szCs w:val="24"/>
        </w:rPr>
      </w:pPr>
      <w:r w:rsidRPr="007F287F">
        <w:rPr>
          <w:rFonts w:eastAsia="Times New Roman" w:cs="Times New Roman"/>
          <w:szCs w:val="24"/>
        </w:rPr>
        <w:t>Basidio</w:t>
      </w:r>
      <w:r>
        <w:rPr>
          <w:rFonts w:eastAsia="Times New Roman" w:cs="Times New Roman"/>
          <w:szCs w:val="24"/>
        </w:rPr>
        <w:t>carps require moist conditions or rain for development and release and basidiospores</w:t>
      </w:r>
      <w:r w:rsidRPr="007F287F">
        <w:rPr>
          <w:rFonts w:eastAsia="Times New Roman" w:cs="Times New Roman"/>
          <w:szCs w:val="24"/>
        </w:rPr>
        <w:t xml:space="preserve"> released from basidiocarps </w:t>
      </w:r>
      <w:r>
        <w:rPr>
          <w:rFonts w:eastAsia="Times New Roman" w:cs="Times New Roman"/>
          <w:szCs w:val="24"/>
        </w:rPr>
        <w:t xml:space="preserve">are air-borne. Both </w:t>
      </w:r>
      <w:bookmarkStart w:id="371" w:name="_Hlk110280767"/>
      <w:r>
        <w:rPr>
          <w:rFonts w:eastAsia="Times New Roman" w:cs="Times New Roman"/>
          <w:szCs w:val="24"/>
        </w:rPr>
        <w:t xml:space="preserve">basidiocarps and the basidiospores </w:t>
      </w:r>
      <w:r w:rsidRPr="007F287F">
        <w:rPr>
          <w:rFonts w:eastAsia="Times New Roman" w:cs="Times New Roman"/>
          <w:szCs w:val="24"/>
        </w:rPr>
        <w:t xml:space="preserve">are short-lived, </w:t>
      </w:r>
      <w:r>
        <w:rPr>
          <w:rFonts w:eastAsia="Times New Roman" w:cs="Times New Roman"/>
          <w:szCs w:val="24"/>
        </w:rPr>
        <w:t xml:space="preserve">and </w:t>
      </w:r>
      <w:r w:rsidRPr="007F287F">
        <w:rPr>
          <w:rFonts w:eastAsia="Times New Roman" w:cs="Times New Roman"/>
          <w:szCs w:val="24"/>
        </w:rPr>
        <w:t>are sensitive to desiccation</w:t>
      </w:r>
      <w:bookmarkEnd w:id="371"/>
      <w:r>
        <w:rPr>
          <w:rFonts w:eastAsia="Times New Roman" w:cs="Times New Roman"/>
          <w:szCs w:val="24"/>
        </w:rPr>
        <w:t xml:space="preserve">, which may limit the successful establishment. </w:t>
      </w:r>
    </w:p>
    <w:p w14:paraId="34D50B0A" w14:textId="77777777" w:rsidR="003438A2" w:rsidRPr="007F287F" w:rsidRDefault="003438A2" w:rsidP="00C67856">
      <w:r w:rsidRPr="007F287F">
        <w:t xml:space="preserve">Host plants of </w:t>
      </w:r>
      <w:r w:rsidRPr="007F287F">
        <w:rPr>
          <w:i/>
          <w:iCs/>
        </w:rPr>
        <w:t>C. psychromorbida</w:t>
      </w:r>
      <w:r w:rsidRPr="007F287F">
        <w:t xml:space="preserve"> are continuously present and abundant in most regions of Australia. The fungal mycelium is able to survive and overwinter for several months and colonise both live and decaying plant materials of hosts with which it is in contact. However, fungal growth is likely to be limited by high temperatures typical in most regions in Australia. In addition, the life cycle of </w:t>
      </w:r>
      <w:r w:rsidRPr="007F287F">
        <w:rPr>
          <w:i/>
          <w:iCs/>
        </w:rPr>
        <w:t>C. psychromorbida</w:t>
      </w:r>
      <w:r w:rsidRPr="007F287F">
        <w:t xml:space="preserve"> may reduce potential for successful establishment under Australian conditions.</w:t>
      </w:r>
      <w:r w:rsidRPr="007F287F">
        <w:rPr>
          <w:rFonts w:eastAsia="Times New Roman" w:cs="Times New Roman"/>
          <w:szCs w:val="24"/>
        </w:rPr>
        <w:t xml:space="preserve"> </w:t>
      </w:r>
      <w:r w:rsidRPr="007F287F">
        <w:t xml:space="preserve">For the reasons outlined, the likelihood of </w:t>
      </w:r>
      <w:r w:rsidRPr="007F287F">
        <w:rPr>
          <w:i/>
        </w:rPr>
        <w:t xml:space="preserve">C. psychromorbida </w:t>
      </w:r>
      <w:r w:rsidRPr="007F287F">
        <w:rPr>
          <w:iCs/>
        </w:rPr>
        <w:t>establishing in Australia</w:t>
      </w:r>
      <w:r w:rsidRPr="007F287F">
        <w:rPr>
          <w:i/>
        </w:rPr>
        <w:t xml:space="preserve"> </w:t>
      </w:r>
      <w:r w:rsidRPr="007F287F">
        <w:t>from imported apples from PNW-USA is assessed as Moderate.</w:t>
      </w:r>
    </w:p>
    <w:p w14:paraId="6C15461D" w14:textId="77777777" w:rsidR="003438A2" w:rsidRPr="007F287F" w:rsidRDefault="003438A2" w:rsidP="00F843A1">
      <w:pPr>
        <w:pStyle w:val="Heading4"/>
        <w:numPr>
          <w:ilvl w:val="2"/>
          <w:numId w:val="29"/>
        </w:numPr>
        <w:ind w:firstLine="199"/>
      </w:pPr>
      <w:r w:rsidRPr="007F287F">
        <w:t>Likelihood of spread</w:t>
      </w:r>
    </w:p>
    <w:p w14:paraId="072FAB51" w14:textId="77777777" w:rsidR="003438A2" w:rsidRPr="00B52296" w:rsidRDefault="003438A2" w:rsidP="00C67856">
      <w:r w:rsidRPr="007F287F">
        <w:t xml:space="preserve">The likelihood that </w:t>
      </w:r>
      <w:r w:rsidRPr="007F287F">
        <w:rPr>
          <w:i/>
        </w:rPr>
        <w:t>C. psychromorbida</w:t>
      </w:r>
      <w:r w:rsidRPr="007F287F">
        <w:t xml:space="preserve"> will spread within Australia, based on a comparison of factors in the source and destination areas that affect the expansion of the geographic distribution of the pest, is </w:t>
      </w:r>
      <w:r w:rsidRPr="00B52296">
        <w:t>assessed as Moderate.</w:t>
      </w:r>
    </w:p>
    <w:p w14:paraId="4ACC01BD" w14:textId="77777777" w:rsidR="003438A2" w:rsidRPr="007F287F" w:rsidRDefault="003438A2" w:rsidP="00C67856">
      <w:r w:rsidRPr="00B52296">
        <w:t>The following information provides supporting evidence for this</w:t>
      </w:r>
      <w:r w:rsidRPr="007F287F">
        <w:t xml:space="preserve"> assessment.</w:t>
      </w:r>
    </w:p>
    <w:p w14:paraId="0F6B9C29" w14:textId="77777777" w:rsidR="003438A2" w:rsidRPr="007F287F" w:rsidRDefault="003438A2" w:rsidP="00C67856">
      <w:r w:rsidRPr="007F287F">
        <w:t xml:space="preserve">Suitable environments for the spread of </w:t>
      </w:r>
      <w:r w:rsidRPr="007F287F">
        <w:rPr>
          <w:i/>
          <w:iCs/>
        </w:rPr>
        <w:t>C. psychromorbida</w:t>
      </w:r>
      <w:r w:rsidRPr="007F287F">
        <w:t xml:space="preserve"> </w:t>
      </w:r>
      <w:r>
        <w:t xml:space="preserve">may </w:t>
      </w:r>
      <w:r w:rsidRPr="007F287F">
        <w:t>exist in Australia.</w:t>
      </w:r>
    </w:p>
    <w:p w14:paraId="2E5284F9" w14:textId="77777777" w:rsidR="003438A2" w:rsidRPr="00352682" w:rsidRDefault="003438A2" w:rsidP="003438A2">
      <w:pPr>
        <w:pStyle w:val="ListBullet"/>
        <w:numPr>
          <w:ilvl w:val="0"/>
          <w:numId w:val="15"/>
        </w:numPr>
        <w:rPr>
          <w:rFonts w:eastAsia="Times New Roman" w:cs="Times New Roman"/>
          <w:szCs w:val="24"/>
        </w:rPr>
      </w:pPr>
      <w:r w:rsidRPr="007F287F">
        <w:t xml:space="preserve">The optimal temperature for growth of </w:t>
      </w:r>
      <w:r w:rsidRPr="007F287F">
        <w:rPr>
          <w:rFonts w:eastAsia="Cambria" w:cs="Times New Roman"/>
          <w:i/>
          <w:iCs/>
          <w:lang w:eastAsia="en-AU"/>
        </w:rPr>
        <w:t>C. psychromorbida</w:t>
      </w:r>
      <w:r w:rsidRPr="007F287F">
        <w:rPr>
          <w:rFonts w:eastAsia="Cambria" w:cs="Times New Roman"/>
          <w:iCs/>
          <w:lang w:eastAsia="en-AU"/>
        </w:rPr>
        <w:t xml:space="preserve"> is 15</w:t>
      </w:r>
      <w:r w:rsidRPr="007F287F">
        <w:rPr>
          <w:rFonts w:cstheme="minorHAnsi"/>
        </w:rPr>
        <w:t>°</w:t>
      </w:r>
      <w:r w:rsidRPr="007F287F">
        <w:t>C,</w:t>
      </w:r>
      <w:r w:rsidRPr="007F287F">
        <w:rPr>
          <w:rFonts w:eastAsia="Times New Roman" w:cs="Times New Roman"/>
        </w:rPr>
        <w:t xml:space="preserve"> but it has also been reported to develop at 20</w:t>
      </w:r>
      <w:r w:rsidRPr="007F287F">
        <w:rPr>
          <w:rFonts w:cstheme="minorHAnsi"/>
        </w:rPr>
        <w:t>°</w:t>
      </w:r>
      <w:r w:rsidRPr="007F287F">
        <w:t>C</w:t>
      </w:r>
      <w:r w:rsidRPr="007F287F">
        <w:rPr>
          <w:rFonts w:eastAsia="Times New Roman" w:cs="Times New Roman"/>
        </w:rPr>
        <w:t xml:space="preserve"> </w:t>
      </w:r>
      <w:r>
        <w:rPr>
          <w:rFonts w:eastAsia="Times New Roman" w:cs="Times New Roman"/>
          <w:noProof/>
        </w:rPr>
        <w:t>(Gaudet &amp; Sholberg 1990)</w:t>
      </w:r>
      <w:r w:rsidRPr="007F287F">
        <w:rPr>
          <w:rFonts w:eastAsia="Times New Roman" w:cs="Times New Roman"/>
        </w:rPr>
        <w:t xml:space="preserve">. </w:t>
      </w:r>
      <w:r w:rsidRPr="007F287F">
        <w:t xml:space="preserve">Under experimental conditions, no growth of </w:t>
      </w:r>
      <w:r w:rsidRPr="007F287F">
        <w:rPr>
          <w:i/>
        </w:rPr>
        <w:t>C. psychromorbida</w:t>
      </w:r>
      <w:r w:rsidRPr="007F287F">
        <w:t xml:space="preserve"> cultures was observed to occur at temperatures over 25</w:t>
      </w:r>
      <w:r w:rsidRPr="007F287F">
        <w:rPr>
          <w:rFonts w:cstheme="minorHAnsi"/>
        </w:rPr>
        <w:t>°</w:t>
      </w:r>
      <w:r w:rsidRPr="007F287F">
        <w:t xml:space="preserve">C </w:t>
      </w:r>
      <w:r>
        <w:rPr>
          <w:noProof/>
        </w:rPr>
        <w:t>(Spotts, Traquair &amp; Peters 1981)</w:t>
      </w:r>
      <w:r w:rsidRPr="007F287F">
        <w:t>.</w:t>
      </w:r>
    </w:p>
    <w:p w14:paraId="2EC40126" w14:textId="77777777" w:rsidR="003438A2" w:rsidRPr="007F287F" w:rsidRDefault="003438A2" w:rsidP="003438A2">
      <w:pPr>
        <w:pStyle w:val="ListBullet"/>
        <w:numPr>
          <w:ilvl w:val="0"/>
          <w:numId w:val="15"/>
        </w:numPr>
      </w:pPr>
      <w:r w:rsidRPr="007F287F">
        <w:rPr>
          <w:i/>
        </w:rPr>
        <w:lastRenderedPageBreak/>
        <w:t>Coprinopsis</w:t>
      </w:r>
      <w:r w:rsidRPr="007F287F">
        <w:rPr>
          <w:i/>
          <w:iCs/>
        </w:rPr>
        <w:t xml:space="preserve"> psychromorbida</w:t>
      </w:r>
      <w:r w:rsidRPr="007F287F">
        <w:t xml:space="preserve"> is only present in its native range in northern North America </w:t>
      </w:r>
      <w:r>
        <w:rPr>
          <w:noProof/>
        </w:rPr>
        <w:t>(Farr &amp; Rossman 2020; Smith 1981; Traquair 1980, 1987; Willett et al. 1989)</w:t>
      </w:r>
      <w:r w:rsidRPr="007F287F">
        <w:t>, suggesting a limited ability to effectively adapt and spread to different climatic regions.</w:t>
      </w:r>
    </w:p>
    <w:p w14:paraId="306CED97" w14:textId="77777777" w:rsidR="003438A2" w:rsidRPr="007F287F" w:rsidRDefault="003438A2" w:rsidP="003438A2">
      <w:pPr>
        <w:pStyle w:val="ListBullet"/>
        <w:numPr>
          <w:ilvl w:val="0"/>
          <w:numId w:val="15"/>
        </w:numPr>
      </w:pPr>
      <w:r w:rsidRPr="007F287F">
        <w:t xml:space="preserve">The colder temperate areas of southeastern and southwestern Australia </w:t>
      </w:r>
      <w:r>
        <w:t>have a similar</w:t>
      </w:r>
      <w:r w:rsidRPr="007F287F">
        <w:t xml:space="preserve"> climate to </w:t>
      </w:r>
      <w:r>
        <w:t>parts of northern North America</w:t>
      </w:r>
      <w:r w:rsidRPr="007F287F">
        <w:t xml:space="preserve"> where </w:t>
      </w:r>
      <w:r w:rsidRPr="007F287F">
        <w:rPr>
          <w:i/>
        </w:rPr>
        <w:t xml:space="preserve">C. psychromorbida </w:t>
      </w:r>
      <w:r>
        <w:t>is</w:t>
      </w:r>
      <w:r w:rsidRPr="007F287F">
        <w:t xml:space="preserve"> established</w:t>
      </w:r>
      <w:r>
        <w:t xml:space="preserve"> </w:t>
      </w:r>
      <w:r>
        <w:rPr>
          <w:noProof/>
        </w:rPr>
        <w:t>(Farr &amp; Rossman 2020; Smith 1981; Traquair 1980, 1987; Willett et al. 1989)</w:t>
      </w:r>
      <w:r w:rsidRPr="007F287F">
        <w:t>.</w:t>
      </w:r>
    </w:p>
    <w:p w14:paraId="5DE38B14" w14:textId="77777777" w:rsidR="003438A2" w:rsidRDefault="003438A2" w:rsidP="003438A2">
      <w:pPr>
        <w:pStyle w:val="ListBullet"/>
        <w:numPr>
          <w:ilvl w:val="0"/>
          <w:numId w:val="15"/>
        </w:numPr>
      </w:pPr>
      <w:r w:rsidRPr="007F287F">
        <w:t xml:space="preserve">Hot and dry summer conditions in most parts of Australia are not favourable for spread of the fungus. It is also unlikely the disease will spread naturally to tropical or subtropical areas, or </w:t>
      </w:r>
      <w:r>
        <w:t>between</w:t>
      </w:r>
      <w:r w:rsidRPr="007F287F">
        <w:t xml:space="preserve"> </w:t>
      </w:r>
      <w:r>
        <w:t>south</w:t>
      </w:r>
      <w:r w:rsidRPr="007F287F">
        <w:t>eastern</w:t>
      </w:r>
      <w:r>
        <w:t xml:space="preserve"> and southwestern</w:t>
      </w:r>
      <w:r w:rsidRPr="007F287F">
        <w:t xml:space="preserve"> </w:t>
      </w:r>
      <w:r>
        <w:t xml:space="preserve">Australia </w:t>
      </w:r>
      <w:r w:rsidRPr="007F287F">
        <w:t>due to the barriers posed by arid regions of central Australia.</w:t>
      </w:r>
    </w:p>
    <w:p w14:paraId="7D5B5434" w14:textId="77777777" w:rsidR="003438A2" w:rsidRPr="007F287F" w:rsidRDefault="003438A2" w:rsidP="003438A2">
      <w:pPr>
        <w:pStyle w:val="ListBullet"/>
        <w:numPr>
          <w:ilvl w:val="0"/>
          <w:numId w:val="15"/>
        </w:numPr>
      </w:pPr>
      <w:r w:rsidRPr="007F287F">
        <w:rPr>
          <w:rFonts w:eastAsia="Times New Roman" w:cs="Times New Roman"/>
          <w:i/>
          <w:szCs w:val="24"/>
        </w:rPr>
        <w:t xml:space="preserve">Coprinopsis psychromorbida </w:t>
      </w:r>
      <w:r w:rsidRPr="007F287F">
        <w:rPr>
          <w:rFonts w:eastAsia="Times New Roman" w:cs="Times New Roman"/>
          <w:szCs w:val="24"/>
        </w:rPr>
        <w:t xml:space="preserve">is able to form sclerotia </w:t>
      </w:r>
      <w:r>
        <w:rPr>
          <w:rFonts w:eastAsia="Times New Roman" w:cs="Times New Roman"/>
          <w:szCs w:val="24"/>
        </w:rPr>
        <w:t xml:space="preserve">on pears </w:t>
      </w:r>
      <w:r>
        <w:rPr>
          <w:rFonts w:eastAsia="Times New Roman" w:cs="Times New Roman"/>
          <w:noProof/>
          <w:szCs w:val="24"/>
        </w:rPr>
        <w:t>(Gaudet &amp; Kokko 1985; Spotts 1990b; Spotts, Traquair &amp; Peters 1981)</w:t>
      </w:r>
      <w:r>
        <w:rPr>
          <w:rFonts w:eastAsia="Times New Roman" w:cs="Times New Roman"/>
          <w:szCs w:val="24"/>
        </w:rPr>
        <w:t>,</w:t>
      </w:r>
      <w:r w:rsidRPr="007F287F">
        <w:rPr>
          <w:rFonts w:eastAsia="Times New Roman" w:cs="Times New Roman"/>
          <w:szCs w:val="24"/>
        </w:rPr>
        <w:t xml:space="preserve"> which may serve as survival propagules at higher temperatures. </w:t>
      </w:r>
      <w:r>
        <w:t>H</w:t>
      </w:r>
      <w:r w:rsidRPr="007F287F">
        <w:t>owever</w:t>
      </w:r>
      <w:r>
        <w:t>, following germination of sclerotia,</w:t>
      </w:r>
      <w:r w:rsidRPr="007F287F">
        <w:t xml:space="preserve"> spread by mycelia can only occur through direct contact.</w:t>
      </w:r>
    </w:p>
    <w:p w14:paraId="33BA5C35" w14:textId="77777777" w:rsidR="003438A2" w:rsidRPr="007F287F" w:rsidRDefault="003438A2" w:rsidP="00C67856">
      <w:r w:rsidRPr="007F287F">
        <w:rPr>
          <w:iCs/>
        </w:rPr>
        <w:t>There are numerous hosts ava</w:t>
      </w:r>
      <w:r w:rsidRPr="007F287F">
        <w:t>ilable in Australia.</w:t>
      </w:r>
    </w:p>
    <w:p w14:paraId="0F7026E9" w14:textId="77777777" w:rsidR="003438A2" w:rsidRPr="007F287F" w:rsidRDefault="003438A2" w:rsidP="003438A2">
      <w:pPr>
        <w:pStyle w:val="ListBullet"/>
        <w:numPr>
          <w:ilvl w:val="0"/>
          <w:numId w:val="15"/>
        </w:numPr>
      </w:pPr>
      <w:r w:rsidRPr="00480402">
        <w:t xml:space="preserve">Hosts and host-derived substrates for </w:t>
      </w:r>
      <w:r w:rsidRPr="00480402">
        <w:rPr>
          <w:i/>
        </w:rPr>
        <w:t>C. psychromorbida</w:t>
      </w:r>
      <w:r w:rsidRPr="00480402">
        <w:t xml:space="preserve"> include apple, pear, cereals, grasses, legumes, orchard litter and horse manure </w:t>
      </w:r>
      <w:r>
        <w:rPr>
          <w:noProof/>
        </w:rPr>
        <w:t>(Gaudet &amp; Sholberg 1990; Redhead &amp; Traquair 1981; Sholberg &amp; Gaudet 1992)</w:t>
      </w:r>
      <w:r w:rsidRPr="00480402">
        <w:t>. These hosts and</w:t>
      </w:r>
      <w:r w:rsidRPr="007F287F">
        <w:t xml:space="preserve"> substrates are present in Australia in commercial orchard districts, and suburban and rural areas.</w:t>
      </w:r>
    </w:p>
    <w:p w14:paraId="5C918153" w14:textId="77777777" w:rsidR="003438A2" w:rsidRPr="007F287F" w:rsidRDefault="003438A2" w:rsidP="00C67856">
      <w:r w:rsidRPr="007F287F">
        <w:t xml:space="preserve">Different modes of propagation of </w:t>
      </w:r>
      <w:r w:rsidRPr="007F287F">
        <w:rPr>
          <w:i/>
        </w:rPr>
        <w:t>C. psychromorbida</w:t>
      </w:r>
      <w:r w:rsidRPr="007F287F">
        <w:t xml:space="preserve"> may aid spread of the pathogen.</w:t>
      </w:r>
    </w:p>
    <w:p w14:paraId="551B2E55" w14:textId="77777777" w:rsidR="003438A2" w:rsidRPr="007F287F" w:rsidRDefault="003438A2" w:rsidP="003438A2">
      <w:pPr>
        <w:pStyle w:val="ListBullet"/>
        <w:numPr>
          <w:ilvl w:val="0"/>
          <w:numId w:val="15"/>
        </w:numPr>
      </w:pPr>
      <w:r w:rsidRPr="007F287F">
        <w:t xml:space="preserve">The asexual morph of the fungus occurs as mycelia on a wide range of hosts including pome fruit, grasses and lucerne, but asexual morphs are only capable of spreading through contact </w:t>
      </w:r>
      <w:r>
        <w:rPr>
          <w:rFonts w:eastAsia="Calibri"/>
          <w:noProof/>
        </w:rPr>
        <w:t>(Gaudet &amp; Sholberg 1990)</w:t>
      </w:r>
      <w:r w:rsidRPr="007F287F">
        <w:t>.</w:t>
      </w:r>
    </w:p>
    <w:p w14:paraId="0ECD6346" w14:textId="77777777" w:rsidR="003438A2" w:rsidRPr="007F287F" w:rsidRDefault="003438A2" w:rsidP="003438A2">
      <w:pPr>
        <w:pStyle w:val="ListBullet"/>
        <w:numPr>
          <w:ilvl w:val="0"/>
          <w:numId w:val="15"/>
        </w:numPr>
      </w:pPr>
      <w:r w:rsidRPr="007F287F">
        <w:rPr>
          <w:i/>
        </w:rPr>
        <w:t xml:space="preserve">Coprinopsis psychromorbida </w:t>
      </w:r>
      <w:r w:rsidRPr="007F287F">
        <w:t xml:space="preserve">produces </w:t>
      </w:r>
      <w:r>
        <w:t xml:space="preserve">basidiocarps containing sexual basidiospores, which </w:t>
      </w:r>
      <w:r w:rsidRPr="007F287F">
        <w:t xml:space="preserve">are involved in dissemination of the pathogen </w:t>
      </w:r>
      <w:r>
        <w:rPr>
          <w:noProof/>
        </w:rPr>
        <w:t>(Gaudet &amp; Sholberg 1990; Redhead &amp; Traquair 1981; Traquair 1980)</w:t>
      </w:r>
      <w:r w:rsidRPr="007F287F">
        <w:t>.</w:t>
      </w:r>
    </w:p>
    <w:p w14:paraId="78663996" w14:textId="77777777" w:rsidR="003438A2" w:rsidRPr="007F287F" w:rsidRDefault="003438A2" w:rsidP="003438A2">
      <w:pPr>
        <w:pStyle w:val="ListBullet"/>
        <w:numPr>
          <w:ilvl w:val="0"/>
          <w:numId w:val="15"/>
        </w:numPr>
      </w:pPr>
      <w:r w:rsidRPr="007F287F">
        <w:t>In orchards in the PNW-USA, the source of inoculum for fruit infection is probably basidiospores produced on litter</w:t>
      </w:r>
      <w:r>
        <w:t xml:space="preserve"> (</w:t>
      </w:r>
      <w:hyperlink w:anchor="_ENREF_710" w:tooltip="Sutton, 2014 #44470" w:history="1">
        <w:r w:rsidRPr="006A7C1B">
          <w:rPr>
            <w:noProof/>
          </w:rPr>
          <w:t>Sutton et al. 2014</w:t>
        </w:r>
      </w:hyperlink>
      <w:r>
        <w:rPr>
          <w:noProof/>
        </w:rPr>
        <w:t xml:space="preserve">; </w:t>
      </w:r>
      <w:hyperlink w:anchor="_ENREF_697" w:tooltip="Spotts, 1990 #11998" w:history="1">
        <w:r>
          <w:rPr>
            <w:rFonts w:eastAsia="Times New Roman" w:cs="Times New Roman"/>
            <w:noProof/>
            <w:szCs w:val="24"/>
          </w:rPr>
          <w:t>Spotts 1990b</w:t>
        </w:r>
      </w:hyperlink>
      <w:r>
        <w:rPr>
          <w:rFonts w:eastAsia="Times New Roman" w:cs="Times New Roman"/>
          <w:noProof/>
          <w:szCs w:val="24"/>
        </w:rPr>
        <w:t>)</w:t>
      </w:r>
      <w:r w:rsidRPr="007F287F">
        <w:t>.</w:t>
      </w:r>
    </w:p>
    <w:p w14:paraId="04BC2270" w14:textId="77777777" w:rsidR="003438A2" w:rsidRPr="007F287F" w:rsidRDefault="003438A2" w:rsidP="003438A2">
      <w:pPr>
        <w:pStyle w:val="ListBullet"/>
        <w:numPr>
          <w:ilvl w:val="0"/>
          <w:numId w:val="15"/>
        </w:numPr>
        <w:rPr>
          <w:rFonts w:eastAsia="Times New Roman" w:cs="Times New Roman"/>
          <w:szCs w:val="24"/>
        </w:rPr>
      </w:pPr>
      <w:r w:rsidRPr="007F287F">
        <w:rPr>
          <w:rFonts w:eastAsia="Times New Roman" w:cs="Times New Roman"/>
          <w:i/>
          <w:szCs w:val="24"/>
        </w:rPr>
        <w:t xml:space="preserve">Coprinopsis psychromorbida </w:t>
      </w:r>
      <w:r w:rsidRPr="007F287F">
        <w:rPr>
          <w:rFonts w:eastAsia="Times New Roman" w:cs="Times New Roman"/>
          <w:szCs w:val="24"/>
        </w:rPr>
        <w:t xml:space="preserve">is able to form sclerotia </w:t>
      </w:r>
      <w:r>
        <w:rPr>
          <w:rFonts w:eastAsia="Times New Roman" w:cs="Times New Roman"/>
          <w:noProof/>
          <w:szCs w:val="24"/>
        </w:rPr>
        <w:t>(Gaudet &amp; Kokko 1985; Spotts 1990b; Spotts, Traquair &amp; Peters 1981)</w:t>
      </w:r>
      <w:r>
        <w:rPr>
          <w:rFonts w:eastAsia="Times New Roman" w:cs="Times New Roman"/>
          <w:szCs w:val="24"/>
        </w:rPr>
        <w:t>,</w:t>
      </w:r>
      <w:r w:rsidRPr="007F287F">
        <w:rPr>
          <w:rFonts w:eastAsia="Times New Roman" w:cs="Times New Roman"/>
          <w:szCs w:val="24"/>
        </w:rPr>
        <w:t xml:space="preserve"> which may serve as survival propagules and assist survival on litter under hot and dry conditions, </w:t>
      </w:r>
      <w:r w:rsidRPr="007F287F">
        <w:t xml:space="preserve">however </w:t>
      </w:r>
      <w:r>
        <w:t xml:space="preserve">further </w:t>
      </w:r>
      <w:r w:rsidRPr="007F287F">
        <w:t>spread from vegetative mycelia from the sclerotia can only occur by direct contact</w:t>
      </w:r>
      <w:r w:rsidRPr="007F287F">
        <w:rPr>
          <w:rFonts w:eastAsia="Times New Roman" w:cs="Times New Roman"/>
          <w:szCs w:val="24"/>
        </w:rPr>
        <w:t>.</w:t>
      </w:r>
    </w:p>
    <w:p w14:paraId="4081C860" w14:textId="77777777" w:rsidR="003438A2" w:rsidRPr="00B52296" w:rsidRDefault="003438A2" w:rsidP="003438A2">
      <w:pPr>
        <w:pStyle w:val="ListBullet"/>
        <w:numPr>
          <w:ilvl w:val="0"/>
          <w:numId w:val="15"/>
        </w:numPr>
      </w:pPr>
      <w:r w:rsidRPr="007407DF">
        <w:t xml:space="preserve">Domestic trade of apple fruit may aid the spread of </w:t>
      </w:r>
      <w:r w:rsidRPr="007407DF">
        <w:rPr>
          <w:rFonts w:eastAsia="Calibri"/>
          <w:i/>
        </w:rPr>
        <w:t>C. psychromorbida</w:t>
      </w:r>
      <w:r w:rsidRPr="007407DF">
        <w:t xml:space="preserve">. However, spread of fungus by this method would be limited to the asexual stage associated with fruit. This reduces the likelihood of </w:t>
      </w:r>
      <w:r w:rsidRPr="007407DF">
        <w:rPr>
          <w:rFonts w:eastAsia="Calibri"/>
          <w:i/>
        </w:rPr>
        <w:t>C. psychromorbida</w:t>
      </w:r>
      <w:r w:rsidRPr="007407DF">
        <w:t xml:space="preserve"> being </w:t>
      </w:r>
      <w:r w:rsidRPr="00B52296">
        <w:t>functionally spread to new areas through human-mediated transport. However, spread by movement of host materials carrying fungal mycelia is possible.</w:t>
      </w:r>
    </w:p>
    <w:p w14:paraId="4DF0F2BA" w14:textId="77777777" w:rsidR="003438A2" w:rsidRDefault="003438A2" w:rsidP="00C67856">
      <w:r w:rsidRPr="00B52296">
        <w:t xml:space="preserve">There are numerous hosts available in Australia and </w:t>
      </w:r>
      <w:r w:rsidRPr="00B52296">
        <w:rPr>
          <w:rFonts w:eastAsia="Times New Roman" w:cs="Times New Roman"/>
          <w:i/>
          <w:szCs w:val="24"/>
        </w:rPr>
        <w:t>Coprinopsis psychromorbida</w:t>
      </w:r>
      <w:r w:rsidRPr="00B52296">
        <w:t xml:space="preserve"> has the ability to spread from infected hosts to new hosts. However, </w:t>
      </w:r>
      <w:bookmarkStart w:id="372" w:name="_Hlk110281564"/>
      <w:r w:rsidRPr="00B52296">
        <w:t>known dispersal mechanisms are limited to rain-splashed basidiocarps, air-borne basidiospores or mycelial growth</w:t>
      </w:r>
      <w:bookmarkEnd w:id="372"/>
      <w:r w:rsidRPr="00B52296">
        <w:t xml:space="preserve">. Favourable climatic conditions are limited to cooler parts of southeastern and southwestern Australia and natural spread of the pathogen between these parts through arid regions of central Australia is likely to be limited. Spread by domestic movement of infected host materials is possible. For the reasons outlined, the likelihood of spread of </w:t>
      </w:r>
      <w:r w:rsidRPr="00B52296">
        <w:rPr>
          <w:i/>
        </w:rPr>
        <w:t>C. psychromorbida</w:t>
      </w:r>
      <w:r w:rsidRPr="00B52296">
        <w:t xml:space="preserve"> within Australia on the PNW-USA apple pathway is assessed as Moderate.</w:t>
      </w:r>
    </w:p>
    <w:p w14:paraId="2F9C99F8" w14:textId="77777777" w:rsidR="003438A2" w:rsidRPr="007F287F" w:rsidRDefault="003438A2" w:rsidP="00F843A1">
      <w:pPr>
        <w:pStyle w:val="Heading4"/>
        <w:numPr>
          <w:ilvl w:val="2"/>
          <w:numId w:val="29"/>
        </w:numPr>
        <w:ind w:firstLine="199"/>
      </w:pPr>
      <w:r w:rsidRPr="007F287F">
        <w:lastRenderedPageBreak/>
        <w:t>Overall likelihood of entry, establishment and spread</w:t>
      </w:r>
    </w:p>
    <w:p w14:paraId="25CB951D" w14:textId="77777777" w:rsidR="003438A2" w:rsidRPr="007F287F" w:rsidRDefault="003438A2" w:rsidP="00C67856">
      <w:r w:rsidRPr="007F287F">
        <w:t xml:space="preserve">The overall likelihood of entry, establishment and spread is determined by combining the likelihoods of entry, establishment and spread using the matrix of rules for combining qualitative likelihoods shown in </w:t>
      </w:r>
      <w:r>
        <w:fldChar w:fldCharType="begin" w:fldLock="1"/>
      </w:r>
      <w:r>
        <w:instrText xml:space="preserve"> REF _Ref457826328 \h </w:instrText>
      </w:r>
      <w:r>
        <w:fldChar w:fldCharType="separate"/>
      </w:r>
      <w:r w:rsidRPr="00DB5F8D">
        <w:t xml:space="preserve">Table </w:t>
      </w:r>
      <w:r>
        <w:rPr>
          <w:noProof/>
        </w:rPr>
        <w:t>2</w:t>
      </w:r>
      <w:r>
        <w:t>.</w:t>
      </w:r>
      <w:r>
        <w:rPr>
          <w:noProof/>
        </w:rPr>
        <w:t>2</w:t>
      </w:r>
      <w:r>
        <w:fldChar w:fldCharType="end"/>
      </w:r>
      <w:r w:rsidRPr="007F287F">
        <w:t>.</w:t>
      </w:r>
    </w:p>
    <w:p w14:paraId="0E244118" w14:textId="77777777" w:rsidR="003438A2" w:rsidRPr="007F287F" w:rsidRDefault="003438A2" w:rsidP="00C67856">
      <w:r w:rsidRPr="007F287F">
        <w:t xml:space="preserve">The overall likelihood that </w:t>
      </w:r>
      <w:r w:rsidRPr="007F287F">
        <w:rPr>
          <w:i/>
        </w:rPr>
        <w:t>C. psychromorbida</w:t>
      </w:r>
      <w:r w:rsidRPr="007F287F">
        <w:t xml:space="preserve"> will enter Australia as a result of trade in apples from the PNW-USA, be distributed in a viable state to a susceptible host, establish in the area and subsequently spread within Australia, is assessed as Very Low.</w:t>
      </w:r>
    </w:p>
    <w:p w14:paraId="1FE1FB1B" w14:textId="77777777" w:rsidR="003438A2" w:rsidRPr="007F287F" w:rsidRDefault="003438A2" w:rsidP="00F843A1">
      <w:pPr>
        <w:pStyle w:val="Heading4"/>
        <w:numPr>
          <w:ilvl w:val="2"/>
          <w:numId w:val="29"/>
        </w:numPr>
        <w:ind w:firstLine="199"/>
      </w:pPr>
      <w:r w:rsidRPr="007F287F">
        <w:t>Consequences</w:t>
      </w:r>
    </w:p>
    <w:p w14:paraId="3B6AF5ED" w14:textId="77777777" w:rsidR="003438A2" w:rsidRPr="007F287F" w:rsidRDefault="003438A2" w:rsidP="00C67856">
      <w:r w:rsidRPr="007F287F">
        <w:t xml:space="preserve">The potential consequences of the establishment of </w:t>
      </w:r>
      <w:r w:rsidRPr="007F287F">
        <w:rPr>
          <w:i/>
        </w:rPr>
        <w:t>C. psychromorbida</w:t>
      </w:r>
      <w:r w:rsidRPr="007F287F">
        <w:t xml:space="preserve"> in Australia have been estimated according to the methods described in </w:t>
      </w:r>
      <w:r>
        <w:fldChar w:fldCharType="begin" w:fldLock="1"/>
      </w:r>
      <w:r>
        <w:instrText xml:space="preserve"> REF _Ref457826350 \h </w:instrText>
      </w:r>
      <w:r>
        <w:fldChar w:fldCharType="separate"/>
      </w:r>
      <w:r>
        <w:t xml:space="preserve">Table </w:t>
      </w:r>
      <w:r>
        <w:rPr>
          <w:noProof/>
        </w:rPr>
        <w:t>2</w:t>
      </w:r>
      <w:r>
        <w:t>.</w:t>
      </w:r>
      <w:r>
        <w:rPr>
          <w:noProof/>
        </w:rPr>
        <w:t>3</w:t>
      </w:r>
      <w:r>
        <w:fldChar w:fldCharType="end"/>
      </w:r>
      <w:r w:rsidRPr="007F287F">
        <w:t>.</w:t>
      </w:r>
    </w:p>
    <w:p w14:paraId="11696B01" w14:textId="77777777" w:rsidR="003438A2" w:rsidRPr="007F287F" w:rsidRDefault="003438A2" w:rsidP="00C67856">
      <w:r w:rsidRPr="007F287F">
        <w:t xml:space="preserve">Based on the decision rules described in </w:t>
      </w:r>
      <w:r>
        <w:fldChar w:fldCharType="begin" w:fldLock="1"/>
      </w:r>
      <w:r>
        <w:instrText xml:space="preserve"> REF _Ref457826361 \h </w:instrText>
      </w:r>
      <w:r>
        <w:fldChar w:fldCharType="separate"/>
      </w:r>
      <w:r>
        <w:t xml:space="preserve">Table </w:t>
      </w:r>
      <w:r>
        <w:rPr>
          <w:noProof/>
        </w:rPr>
        <w:t>2</w:t>
      </w:r>
      <w:r>
        <w:t>.</w:t>
      </w:r>
      <w:r>
        <w:rPr>
          <w:noProof/>
        </w:rPr>
        <w:t>4</w:t>
      </w:r>
      <w:r>
        <w:fldChar w:fldCharType="end"/>
      </w:r>
      <w:r w:rsidRPr="007F287F">
        <w:t>, that is, where the consequences of a pest with respect to one or more criteria are ‘</w:t>
      </w:r>
      <w:r w:rsidRPr="007F287F">
        <w:rPr>
          <w:b/>
        </w:rPr>
        <w:t>D</w:t>
      </w:r>
      <w:r w:rsidRPr="007F287F">
        <w:t>’, the overall consequences are estimated to be Low.</w:t>
      </w:r>
    </w:p>
    <w:p w14:paraId="143ABA0A" w14:textId="77777777" w:rsidR="003438A2" w:rsidRPr="007F287F" w:rsidRDefault="003438A2" w:rsidP="00C67856">
      <w:r w:rsidRPr="007F287F">
        <w:t>The reasoning for these ratings is provided below:</w:t>
      </w:r>
    </w:p>
    <w:tbl>
      <w:tblPr>
        <w:tblW w:w="5000" w:type="pct"/>
        <w:tblBorders>
          <w:top w:val="single" w:sz="4" w:space="0" w:color="auto"/>
          <w:bottom w:val="single" w:sz="4" w:space="0" w:color="auto"/>
          <w:insideH w:val="single" w:sz="4" w:space="0" w:color="D9D9D9"/>
        </w:tblBorders>
        <w:tblLayout w:type="fixed"/>
        <w:tblCellMar>
          <w:left w:w="115" w:type="dxa"/>
          <w:right w:w="115" w:type="dxa"/>
        </w:tblCellMar>
        <w:tblLook w:val="04A0" w:firstRow="1" w:lastRow="0" w:firstColumn="1" w:lastColumn="0" w:noHBand="0" w:noVBand="1"/>
      </w:tblPr>
      <w:tblGrid>
        <w:gridCol w:w="1694"/>
        <w:gridCol w:w="7376"/>
      </w:tblGrid>
      <w:tr w:rsidR="003438A2" w:rsidRPr="007F287F" w14:paraId="3DB4D30B" w14:textId="77777777" w:rsidTr="00EF0A05">
        <w:trPr>
          <w:cantSplit/>
          <w:tblHeader/>
        </w:trPr>
        <w:tc>
          <w:tcPr>
            <w:tcW w:w="1735" w:type="dxa"/>
            <w:shd w:val="clear" w:color="auto" w:fill="auto"/>
            <w:hideMark/>
          </w:tcPr>
          <w:p w14:paraId="2BFFDFB6" w14:textId="77777777" w:rsidR="003438A2" w:rsidRPr="007F287F" w:rsidRDefault="003438A2" w:rsidP="00EF0A05">
            <w:pPr>
              <w:pStyle w:val="TableHeading"/>
            </w:pPr>
            <w:r w:rsidRPr="007F287F">
              <w:t>Criterion</w:t>
            </w:r>
          </w:p>
        </w:tc>
        <w:tc>
          <w:tcPr>
            <w:tcW w:w="7579" w:type="dxa"/>
            <w:shd w:val="clear" w:color="auto" w:fill="auto"/>
            <w:hideMark/>
          </w:tcPr>
          <w:p w14:paraId="123606F0" w14:textId="77777777" w:rsidR="003438A2" w:rsidRPr="007F287F" w:rsidRDefault="003438A2" w:rsidP="00EF0A05">
            <w:pPr>
              <w:pStyle w:val="TableHeading"/>
            </w:pPr>
            <w:r w:rsidRPr="007F287F">
              <w:t>Estimate and rationale</w:t>
            </w:r>
          </w:p>
        </w:tc>
      </w:tr>
      <w:tr w:rsidR="003438A2" w:rsidRPr="007F287F" w14:paraId="76FD268C" w14:textId="77777777" w:rsidTr="00EF0A05">
        <w:trPr>
          <w:cantSplit/>
        </w:trPr>
        <w:tc>
          <w:tcPr>
            <w:tcW w:w="9314" w:type="dxa"/>
            <w:gridSpan w:val="2"/>
            <w:shd w:val="clear" w:color="auto" w:fill="auto"/>
            <w:hideMark/>
          </w:tcPr>
          <w:p w14:paraId="5D112D21" w14:textId="77777777" w:rsidR="003438A2" w:rsidRPr="007F287F" w:rsidRDefault="003438A2" w:rsidP="00EF0A05">
            <w:pPr>
              <w:pStyle w:val="TableHeading"/>
            </w:pPr>
            <w:r w:rsidRPr="007F287F">
              <w:t>Direct</w:t>
            </w:r>
          </w:p>
        </w:tc>
      </w:tr>
      <w:tr w:rsidR="003438A2" w:rsidRPr="007F287F" w14:paraId="1FE06AF0" w14:textId="77777777" w:rsidTr="00EF0A05">
        <w:trPr>
          <w:cantSplit/>
        </w:trPr>
        <w:tc>
          <w:tcPr>
            <w:tcW w:w="1735" w:type="dxa"/>
            <w:shd w:val="clear" w:color="auto" w:fill="auto"/>
            <w:hideMark/>
          </w:tcPr>
          <w:p w14:paraId="68BCC7B6" w14:textId="77777777" w:rsidR="003438A2" w:rsidRPr="007F287F" w:rsidRDefault="003438A2" w:rsidP="00EF0A05">
            <w:pPr>
              <w:pStyle w:val="TableText"/>
            </w:pPr>
            <w:r w:rsidRPr="007F287F">
              <w:t>Plant life or health</w:t>
            </w:r>
          </w:p>
        </w:tc>
        <w:tc>
          <w:tcPr>
            <w:tcW w:w="7579" w:type="dxa"/>
            <w:shd w:val="clear" w:color="auto" w:fill="auto"/>
            <w:hideMark/>
          </w:tcPr>
          <w:p w14:paraId="2D467EE3" w14:textId="77777777" w:rsidR="003438A2" w:rsidRPr="00B21D37" w:rsidRDefault="003438A2" w:rsidP="00EF0A05">
            <w:pPr>
              <w:pStyle w:val="TableText"/>
            </w:pPr>
            <w:r w:rsidRPr="00B21D37">
              <w:t>D – Minor significance at the regional level:</w:t>
            </w:r>
          </w:p>
          <w:p w14:paraId="047EA847" w14:textId="77777777" w:rsidR="003438A2" w:rsidRPr="00B21D37" w:rsidRDefault="003438A2" w:rsidP="00EF0A05">
            <w:pPr>
              <w:pStyle w:val="TableText"/>
            </w:pPr>
            <w:r w:rsidRPr="00A06B68">
              <w:t xml:space="preserve">Coprinus rot is a post-harvest disease of apple and pear in </w:t>
            </w:r>
            <w:r w:rsidRPr="006148BC">
              <w:t xml:space="preserve">Oregon </w:t>
            </w:r>
            <w:r>
              <w:rPr>
                <w:noProof/>
              </w:rPr>
              <w:t>(Pscheidt &amp; Ocamb 2021d; Spotts 1990b)</w:t>
            </w:r>
            <w:r w:rsidRPr="006148BC">
              <w:t>. Coprinus rot is listed as a disease of pears in the PNW</w:t>
            </w:r>
            <w:r w:rsidRPr="00A06B68">
              <w:t xml:space="preserve"> diseases handbook </w:t>
            </w:r>
            <w:r>
              <w:rPr>
                <w:noProof/>
              </w:rPr>
              <w:t>(Pscheidt &amp; Ocamb 2021d)</w:t>
            </w:r>
            <w:r w:rsidRPr="00A06B68">
              <w:t xml:space="preserve">. However, it is not mentioned as a pome fruit pathogen of significance </w:t>
            </w:r>
            <w:r w:rsidRPr="00A06B68">
              <w:rPr>
                <w:noProof/>
              </w:rPr>
              <w:t>(Wenneker &amp; Thomma 2020)</w:t>
            </w:r>
            <w:r>
              <w:t xml:space="preserve">. </w:t>
            </w:r>
          </w:p>
          <w:p w14:paraId="0A0A6F28" w14:textId="77777777" w:rsidR="003438A2" w:rsidRPr="007F287F" w:rsidRDefault="003438A2" w:rsidP="00EF0A05">
            <w:pPr>
              <w:pStyle w:val="TableText"/>
            </w:pPr>
            <w:r w:rsidRPr="007F287F">
              <w:rPr>
                <w:i/>
              </w:rPr>
              <w:t>Coprinopsis psychromorbida</w:t>
            </w:r>
            <w:r w:rsidRPr="007F287F">
              <w:t xml:space="preserve"> causes sunken fruit lesions, 0.5</w:t>
            </w:r>
            <w:r>
              <w:t xml:space="preserve"> to </w:t>
            </w:r>
            <w:r w:rsidRPr="007F287F">
              <w:t>25</w:t>
            </w:r>
            <w:r>
              <w:t xml:space="preserve"> </w:t>
            </w:r>
            <w:r w:rsidRPr="007F287F">
              <w:t xml:space="preserve">mm in diameter, with dark brown borders and lighter centres. In the advanced stages of the disease, extensive white, raised mycelia often cover fruit, fruit wraps and storage trays </w:t>
            </w:r>
            <w:r>
              <w:rPr>
                <w:noProof/>
              </w:rPr>
              <w:t>(Spotts 1990b)</w:t>
            </w:r>
            <w:r w:rsidRPr="007F287F">
              <w:t>. Infected fruit is unmarketable.</w:t>
            </w:r>
          </w:p>
          <w:p w14:paraId="4D571052" w14:textId="77777777" w:rsidR="003438A2" w:rsidRPr="007F287F" w:rsidRDefault="003438A2" w:rsidP="00EF0A05">
            <w:pPr>
              <w:pStyle w:val="TableText"/>
            </w:pPr>
            <w:r w:rsidRPr="009B5155">
              <w:t xml:space="preserve">There are few reports of pome fruit damage by </w:t>
            </w:r>
            <w:r w:rsidRPr="009B5155">
              <w:rPr>
                <w:i/>
              </w:rPr>
              <w:t>C. psychromorbida</w:t>
            </w:r>
            <w:r w:rsidRPr="009B5155">
              <w:t xml:space="preserve"> but Golden Delicious, Mclntosh, Spartan, Newton and Red Delicious apples can all be affected </w:t>
            </w:r>
            <w:r>
              <w:rPr>
                <w:noProof/>
              </w:rPr>
              <w:t>(Meheriuk &amp; McPhee 1984)</w:t>
            </w:r>
            <w:r w:rsidRPr="009B5155">
              <w:t>. Coprinus rot of apples in cold storage has been reported as a problem only in the Okanagan Valley</w:t>
            </w:r>
            <w:r w:rsidRPr="007F287F">
              <w:t xml:space="preserve"> of British Columbia. Losses (estimated at $US 115</w:t>
            </w:r>
            <w:r>
              <w:t>,</w:t>
            </w:r>
            <w:r w:rsidRPr="007F287F">
              <w:t xml:space="preserve">000) of stored d’Anjou pears due to </w:t>
            </w:r>
            <w:r w:rsidRPr="007F287F">
              <w:rPr>
                <w:i/>
              </w:rPr>
              <w:t xml:space="preserve">C. psychromorbida </w:t>
            </w:r>
            <w:r w:rsidRPr="007F287F">
              <w:t xml:space="preserve">occurred in Oregon in 1979 </w:t>
            </w:r>
            <w:r>
              <w:rPr>
                <w:noProof/>
              </w:rPr>
              <w:t>(Spotts, Traquair &amp; Peters 1981)</w:t>
            </w:r>
            <w:r>
              <w:t>.</w:t>
            </w:r>
            <w:r w:rsidRPr="007F287F">
              <w:t xml:space="preserve"> After 7 months in controlled</w:t>
            </w:r>
            <w:r w:rsidRPr="007F287F">
              <w:noBreakHyphen/>
              <w:t xml:space="preserve">atmosphere storage, around 180 </w:t>
            </w:r>
            <w:r w:rsidRPr="00625459">
              <w:t xml:space="preserve">tonnes of Spartan apples were lost due to decay by </w:t>
            </w:r>
            <w:r w:rsidRPr="00625459">
              <w:rPr>
                <w:i/>
              </w:rPr>
              <w:t>C. psychromorbida</w:t>
            </w:r>
            <w:r w:rsidRPr="00625459">
              <w:t xml:space="preserve"> in 1986 </w:t>
            </w:r>
            <w:r w:rsidRPr="00625459">
              <w:rPr>
                <w:noProof/>
              </w:rPr>
              <w:t>(Sholberg &amp; Gaudet 1992)</w:t>
            </w:r>
            <w:r w:rsidRPr="00625459">
              <w:t>.</w:t>
            </w:r>
          </w:p>
          <w:p w14:paraId="2019FBDF" w14:textId="77777777" w:rsidR="003438A2" w:rsidRPr="007F287F" w:rsidRDefault="003438A2" w:rsidP="00EF0A05">
            <w:pPr>
              <w:pStyle w:val="TableText"/>
            </w:pPr>
            <w:r w:rsidRPr="007F287F">
              <w:rPr>
                <w:i/>
              </w:rPr>
              <w:t>Coprinopsis psychromorbida</w:t>
            </w:r>
            <w:r w:rsidRPr="007F287F">
              <w:t xml:space="preserve"> also causes snow mold on cereals, grasses and legumes </w:t>
            </w:r>
            <w:r>
              <w:rPr>
                <w:noProof/>
              </w:rPr>
              <w:t>(Spotts 1990b)</w:t>
            </w:r>
            <w:r w:rsidRPr="007F287F">
              <w:t xml:space="preserve">. The potential damage </w:t>
            </w:r>
            <w:r w:rsidRPr="007F287F">
              <w:rPr>
                <w:i/>
                <w:iCs/>
              </w:rPr>
              <w:t xml:space="preserve">C. psychromorbida </w:t>
            </w:r>
            <w:r w:rsidRPr="007F287F">
              <w:rPr>
                <w:iCs/>
              </w:rPr>
              <w:t xml:space="preserve">may cause in Australia is likely to be limited by the generally unfavourable climate. </w:t>
            </w:r>
          </w:p>
        </w:tc>
      </w:tr>
      <w:tr w:rsidR="003438A2" w:rsidRPr="007F287F" w14:paraId="38B13C82" w14:textId="77777777" w:rsidTr="00EF0A05">
        <w:trPr>
          <w:cantSplit/>
        </w:trPr>
        <w:tc>
          <w:tcPr>
            <w:tcW w:w="1735" w:type="dxa"/>
            <w:shd w:val="clear" w:color="auto" w:fill="auto"/>
            <w:hideMark/>
          </w:tcPr>
          <w:p w14:paraId="7F733341" w14:textId="77777777" w:rsidR="003438A2" w:rsidRPr="007F287F" w:rsidRDefault="003438A2" w:rsidP="00EF0A05">
            <w:pPr>
              <w:pStyle w:val="TableText"/>
            </w:pPr>
            <w:r w:rsidRPr="007F287F">
              <w:t>Other aspects of the environment</w:t>
            </w:r>
          </w:p>
        </w:tc>
        <w:tc>
          <w:tcPr>
            <w:tcW w:w="7579" w:type="dxa"/>
            <w:shd w:val="clear" w:color="auto" w:fill="auto"/>
            <w:hideMark/>
          </w:tcPr>
          <w:p w14:paraId="01823C0E" w14:textId="77777777" w:rsidR="003438A2" w:rsidRPr="007F287F" w:rsidRDefault="003438A2" w:rsidP="00EF0A05">
            <w:pPr>
              <w:pStyle w:val="TableText"/>
            </w:pPr>
            <w:r w:rsidRPr="007F287F">
              <w:t>A – Indiscernible at the local level:</w:t>
            </w:r>
          </w:p>
          <w:p w14:paraId="7C4686E0" w14:textId="77777777" w:rsidR="003438A2" w:rsidRPr="007F287F" w:rsidRDefault="003438A2" w:rsidP="00EF0A05">
            <w:pPr>
              <w:pStyle w:val="TableText"/>
            </w:pPr>
            <w:r w:rsidRPr="007F287F">
              <w:t>There are no known direct consequences of these species on other aspects of the environment.</w:t>
            </w:r>
          </w:p>
        </w:tc>
      </w:tr>
      <w:tr w:rsidR="003438A2" w:rsidRPr="007F287F" w14:paraId="60CF72A4" w14:textId="77777777" w:rsidTr="00EF0A05">
        <w:trPr>
          <w:cantSplit/>
        </w:trPr>
        <w:tc>
          <w:tcPr>
            <w:tcW w:w="9314" w:type="dxa"/>
            <w:gridSpan w:val="2"/>
            <w:shd w:val="clear" w:color="auto" w:fill="auto"/>
            <w:hideMark/>
          </w:tcPr>
          <w:p w14:paraId="026B1348" w14:textId="77777777" w:rsidR="003438A2" w:rsidRPr="007F287F" w:rsidRDefault="003438A2" w:rsidP="00EF0A05">
            <w:pPr>
              <w:pStyle w:val="TableHeading"/>
            </w:pPr>
            <w:r w:rsidRPr="007F287F">
              <w:t>Indirect</w:t>
            </w:r>
          </w:p>
        </w:tc>
      </w:tr>
      <w:tr w:rsidR="003438A2" w:rsidRPr="007F287F" w14:paraId="2A9624BD" w14:textId="77777777" w:rsidTr="00EF0A05">
        <w:trPr>
          <w:cantSplit/>
        </w:trPr>
        <w:tc>
          <w:tcPr>
            <w:tcW w:w="1735" w:type="dxa"/>
            <w:shd w:val="clear" w:color="auto" w:fill="auto"/>
            <w:hideMark/>
          </w:tcPr>
          <w:p w14:paraId="116DF458" w14:textId="77777777" w:rsidR="003438A2" w:rsidRPr="007F287F" w:rsidRDefault="003438A2" w:rsidP="00EF0A05">
            <w:pPr>
              <w:pStyle w:val="TableText"/>
            </w:pPr>
            <w:r w:rsidRPr="007F287F">
              <w:t>Eradication, control etc.</w:t>
            </w:r>
          </w:p>
        </w:tc>
        <w:tc>
          <w:tcPr>
            <w:tcW w:w="7579" w:type="dxa"/>
            <w:shd w:val="clear" w:color="auto" w:fill="auto"/>
            <w:hideMark/>
          </w:tcPr>
          <w:p w14:paraId="42439AA0" w14:textId="77777777" w:rsidR="003438A2" w:rsidRPr="007F287F" w:rsidRDefault="003438A2" w:rsidP="00EF0A05">
            <w:pPr>
              <w:pStyle w:val="TableText"/>
            </w:pPr>
            <w:r w:rsidRPr="007F287F">
              <w:t>D – Significant at the district level:</w:t>
            </w:r>
          </w:p>
          <w:p w14:paraId="368FD0FB" w14:textId="77777777" w:rsidR="003438A2" w:rsidRPr="007F287F" w:rsidRDefault="003438A2" w:rsidP="00EF0A05">
            <w:pPr>
              <w:pStyle w:val="TableText"/>
            </w:pPr>
            <w:r w:rsidRPr="007F287F">
              <w:t xml:space="preserve">Recommended measures for the control of </w:t>
            </w:r>
            <w:r w:rsidRPr="007F287F">
              <w:rPr>
                <w:i/>
              </w:rPr>
              <w:t>C. psychromorbida</w:t>
            </w:r>
            <w:r w:rsidRPr="007F287F">
              <w:t xml:space="preserve"> include an application of fungicide (e.g. Ziram) 10 days before harvest and the use of chlorine and sodium o-phenylphenate in the dump tank water in the packing house </w:t>
            </w:r>
            <w:r>
              <w:rPr>
                <w:noProof/>
              </w:rPr>
              <w:t>(Spotts 1990b; Spotts, Traquair &amp; Peters 1981)</w:t>
            </w:r>
            <w:r w:rsidRPr="007F287F">
              <w:t>.</w:t>
            </w:r>
          </w:p>
          <w:p w14:paraId="4650F364" w14:textId="77777777" w:rsidR="003438A2" w:rsidRPr="007F287F" w:rsidRDefault="003438A2" w:rsidP="00EF0A05">
            <w:pPr>
              <w:pStyle w:val="TableText"/>
            </w:pPr>
            <w:r w:rsidRPr="007F287F">
              <w:t>Implementation of control measures would result in an increase in the cost of production. Additionally, costs for crop monitoring and consultant’s advice to manage this pest may be incurred by the producer.</w:t>
            </w:r>
          </w:p>
        </w:tc>
      </w:tr>
      <w:tr w:rsidR="003438A2" w:rsidRPr="007F287F" w14:paraId="2AF36413" w14:textId="77777777" w:rsidTr="00EF0A05">
        <w:trPr>
          <w:cantSplit/>
        </w:trPr>
        <w:tc>
          <w:tcPr>
            <w:tcW w:w="1735" w:type="dxa"/>
            <w:shd w:val="clear" w:color="auto" w:fill="auto"/>
            <w:hideMark/>
          </w:tcPr>
          <w:p w14:paraId="5D0C1F3B" w14:textId="77777777" w:rsidR="003438A2" w:rsidRPr="007F287F" w:rsidRDefault="003438A2" w:rsidP="00EF0A05">
            <w:pPr>
              <w:pStyle w:val="TableText"/>
            </w:pPr>
            <w:r w:rsidRPr="007F287F">
              <w:lastRenderedPageBreak/>
              <w:t>Domestic trade</w:t>
            </w:r>
          </w:p>
        </w:tc>
        <w:tc>
          <w:tcPr>
            <w:tcW w:w="7579" w:type="dxa"/>
            <w:shd w:val="clear" w:color="auto" w:fill="auto"/>
            <w:hideMark/>
          </w:tcPr>
          <w:p w14:paraId="3516F998" w14:textId="77777777" w:rsidR="003438A2" w:rsidRPr="007F287F" w:rsidRDefault="003438A2" w:rsidP="00EF0A05">
            <w:pPr>
              <w:pStyle w:val="TableText"/>
            </w:pPr>
            <w:r w:rsidRPr="007F287F">
              <w:t>D – Significant at the district level:</w:t>
            </w:r>
          </w:p>
          <w:p w14:paraId="4D7209EB" w14:textId="77777777" w:rsidR="003438A2" w:rsidRPr="007F287F" w:rsidRDefault="003438A2" w:rsidP="00EF0A05">
            <w:pPr>
              <w:pStyle w:val="TableText"/>
            </w:pPr>
            <w:r w:rsidRPr="007F287F">
              <w:t xml:space="preserve">The introduction of </w:t>
            </w:r>
            <w:r w:rsidRPr="007F287F">
              <w:rPr>
                <w:i/>
              </w:rPr>
              <w:t>C. psychromorbida</w:t>
            </w:r>
            <w:r w:rsidRPr="007F287F">
              <w:t xml:space="preserve"> into commercial production areas could have a significant effect as interstate trade restrictions may be imposed to limit the spread of this pest on a range of commodities including apple, pear and winter cereals</w:t>
            </w:r>
            <w:r>
              <w:t xml:space="preserve">, grasses and legumes </w:t>
            </w:r>
            <w:r>
              <w:rPr>
                <w:noProof/>
              </w:rPr>
              <w:t>(Spotts 1990b)</w:t>
            </w:r>
            <w:r w:rsidRPr="008F1F86">
              <w:t>.</w:t>
            </w:r>
          </w:p>
        </w:tc>
      </w:tr>
      <w:tr w:rsidR="003438A2" w:rsidRPr="007F287F" w14:paraId="54A90E0C" w14:textId="77777777" w:rsidTr="00EF0A05">
        <w:trPr>
          <w:cantSplit/>
        </w:trPr>
        <w:tc>
          <w:tcPr>
            <w:tcW w:w="1735" w:type="dxa"/>
            <w:shd w:val="clear" w:color="auto" w:fill="auto"/>
            <w:hideMark/>
          </w:tcPr>
          <w:p w14:paraId="5652EF5D" w14:textId="77777777" w:rsidR="003438A2" w:rsidRPr="007F287F" w:rsidRDefault="003438A2" w:rsidP="00EF0A05">
            <w:pPr>
              <w:pStyle w:val="TableText"/>
            </w:pPr>
            <w:r w:rsidRPr="007F287F">
              <w:t>International trade</w:t>
            </w:r>
          </w:p>
        </w:tc>
        <w:tc>
          <w:tcPr>
            <w:tcW w:w="7579" w:type="dxa"/>
            <w:shd w:val="clear" w:color="auto" w:fill="auto"/>
            <w:hideMark/>
          </w:tcPr>
          <w:p w14:paraId="46B5A10B" w14:textId="77777777" w:rsidR="003438A2" w:rsidRPr="007F287F" w:rsidRDefault="003438A2" w:rsidP="00EF0A05">
            <w:pPr>
              <w:pStyle w:val="TableText"/>
            </w:pPr>
            <w:r w:rsidRPr="007F287F">
              <w:t>D – Minor significance at the regional level:</w:t>
            </w:r>
          </w:p>
          <w:p w14:paraId="40F0102B" w14:textId="77777777" w:rsidR="003438A2" w:rsidRPr="007F287F" w:rsidRDefault="003438A2" w:rsidP="00EF0A05">
            <w:pPr>
              <w:pStyle w:val="TableText"/>
            </w:pPr>
            <w:r w:rsidRPr="007F287F">
              <w:t xml:space="preserve">The presence of </w:t>
            </w:r>
            <w:r w:rsidRPr="007F287F">
              <w:rPr>
                <w:i/>
              </w:rPr>
              <w:t>C. psychromorbida</w:t>
            </w:r>
            <w:r w:rsidRPr="007F287F">
              <w:t xml:space="preserve"> in commercial production areas of a range of commodities, including apple and pear, would have a </w:t>
            </w:r>
            <w:r>
              <w:t>m</w:t>
            </w:r>
            <w:r w:rsidRPr="007F287F">
              <w:t xml:space="preserve">inor significance at the regional level due to potential limitations of accessing international markets where this pest is absent. For example, New Zealand lists </w:t>
            </w:r>
            <w:r w:rsidRPr="007F287F">
              <w:rPr>
                <w:i/>
              </w:rPr>
              <w:t>C. psychromorbida</w:t>
            </w:r>
            <w:r w:rsidRPr="007F287F">
              <w:t xml:space="preserve"> as one of the regulated pests for pears from Oregon, USA </w:t>
            </w:r>
            <w:r>
              <w:rPr>
                <w:noProof/>
              </w:rPr>
              <w:t>(MAF Biosecurity New Zealand 1999)</w:t>
            </w:r>
            <w:r w:rsidRPr="007F287F">
              <w:t>.</w:t>
            </w:r>
          </w:p>
        </w:tc>
      </w:tr>
      <w:tr w:rsidR="003438A2" w:rsidRPr="007F287F" w14:paraId="5FBF5CB9" w14:textId="77777777" w:rsidTr="00EF0A05">
        <w:trPr>
          <w:cantSplit/>
        </w:trPr>
        <w:tc>
          <w:tcPr>
            <w:tcW w:w="1735" w:type="dxa"/>
            <w:shd w:val="clear" w:color="auto" w:fill="auto"/>
            <w:hideMark/>
          </w:tcPr>
          <w:p w14:paraId="748CC6AF" w14:textId="77777777" w:rsidR="003438A2" w:rsidRPr="007F287F" w:rsidRDefault="003438A2" w:rsidP="00EF0A05">
            <w:pPr>
              <w:pStyle w:val="TableText"/>
            </w:pPr>
            <w:r w:rsidRPr="007F287F">
              <w:t>Environmental and non-commercial</w:t>
            </w:r>
          </w:p>
        </w:tc>
        <w:tc>
          <w:tcPr>
            <w:tcW w:w="7579" w:type="dxa"/>
            <w:shd w:val="clear" w:color="auto" w:fill="auto"/>
            <w:hideMark/>
          </w:tcPr>
          <w:p w14:paraId="57AF3018" w14:textId="77777777" w:rsidR="003438A2" w:rsidRPr="007F287F" w:rsidRDefault="003438A2" w:rsidP="00EF0A05">
            <w:pPr>
              <w:pStyle w:val="TableText"/>
            </w:pPr>
            <w:r w:rsidRPr="007F287F">
              <w:t>B – Minor significance at the local level:</w:t>
            </w:r>
          </w:p>
          <w:p w14:paraId="76D4E0C2" w14:textId="77777777" w:rsidR="003438A2" w:rsidRPr="007F287F" w:rsidRDefault="003438A2" w:rsidP="00EF0A05">
            <w:pPr>
              <w:pStyle w:val="TableText"/>
            </w:pPr>
            <w:r w:rsidRPr="007F287F">
              <w:t>Additional fungicide applications or other control activities would be required to control this disease on susceptible crops and these may have minor impact on the environment.</w:t>
            </w:r>
          </w:p>
        </w:tc>
      </w:tr>
    </w:tbl>
    <w:p w14:paraId="4B5514ED" w14:textId="77777777" w:rsidR="003438A2" w:rsidRPr="007F287F" w:rsidRDefault="003438A2" w:rsidP="00F843A1">
      <w:pPr>
        <w:pStyle w:val="Heading4"/>
        <w:numPr>
          <w:ilvl w:val="2"/>
          <w:numId w:val="29"/>
        </w:numPr>
        <w:ind w:firstLine="199"/>
      </w:pPr>
      <w:r w:rsidRPr="007F287F">
        <w:t>Unrestricted risk estimate</w:t>
      </w:r>
    </w:p>
    <w:p w14:paraId="1A109B45" w14:textId="77777777" w:rsidR="003438A2" w:rsidRPr="007F287F" w:rsidRDefault="003438A2" w:rsidP="00C67856">
      <w:r w:rsidRPr="007F287F">
        <w:t xml:space="preserve">Unrestricted risk is the result of combining the </w:t>
      </w:r>
      <w:r>
        <w:t xml:space="preserve">overall </w:t>
      </w:r>
      <w:r w:rsidRPr="007F287F">
        <w:t xml:space="preserve">likelihood of entry, establishment and spread with the estimate of consequences. </w:t>
      </w:r>
      <w:r>
        <w:t>The overall l</w:t>
      </w:r>
      <w:r w:rsidRPr="007F287F">
        <w:t xml:space="preserve">ikelihood and consequences are combined using the risk estimation matrix shown in </w:t>
      </w:r>
      <w:r>
        <w:fldChar w:fldCharType="begin" w:fldLock="1"/>
      </w:r>
      <w:r>
        <w:instrText xml:space="preserve"> REF _Ref457826369 \h </w:instrText>
      </w:r>
      <w:r>
        <w:fldChar w:fldCharType="separate"/>
      </w:r>
      <w:r>
        <w:t xml:space="preserve">Table </w:t>
      </w:r>
      <w:r>
        <w:rPr>
          <w:noProof/>
        </w:rPr>
        <w:t>2</w:t>
      </w:r>
      <w:r>
        <w:t>.</w:t>
      </w:r>
      <w:r>
        <w:rPr>
          <w:noProof/>
        </w:rPr>
        <w:t>5</w:t>
      </w:r>
      <w:r>
        <w:fldChar w:fldCharType="end"/>
      </w:r>
      <w:r w:rsidRPr="007F287F">
        <w:t>.</w:t>
      </w:r>
    </w:p>
    <w:tbl>
      <w:tblPr>
        <w:tblStyle w:val="TableGridLight2"/>
        <w:tblW w:w="943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1E0" w:firstRow="1" w:lastRow="1" w:firstColumn="1" w:lastColumn="1" w:noHBand="0" w:noVBand="0"/>
      </w:tblPr>
      <w:tblGrid>
        <w:gridCol w:w="6459"/>
        <w:gridCol w:w="2977"/>
      </w:tblGrid>
      <w:tr w:rsidR="003438A2" w:rsidRPr="007F287F" w14:paraId="4007120B" w14:textId="77777777" w:rsidTr="00EF0A05">
        <w:tc>
          <w:tcPr>
            <w:tcW w:w="9436" w:type="dxa"/>
            <w:gridSpan w:val="2"/>
            <w:hideMark/>
          </w:tcPr>
          <w:p w14:paraId="0A21715F" w14:textId="77777777" w:rsidR="003438A2" w:rsidRPr="007F287F" w:rsidRDefault="003438A2" w:rsidP="00EF0A05">
            <w:pPr>
              <w:pStyle w:val="TableHeading"/>
            </w:pPr>
            <w:r w:rsidRPr="007F287F">
              <w:t xml:space="preserve">Unrestricted risk estimate for </w:t>
            </w:r>
            <w:r w:rsidRPr="007F287F">
              <w:rPr>
                <w:i/>
              </w:rPr>
              <w:t>Coprinopsis psychromorbida</w:t>
            </w:r>
          </w:p>
        </w:tc>
      </w:tr>
      <w:tr w:rsidR="003438A2" w:rsidRPr="007F287F" w14:paraId="0B40DD86" w14:textId="77777777" w:rsidTr="00EF0A05">
        <w:tc>
          <w:tcPr>
            <w:tcW w:w="6459" w:type="dxa"/>
            <w:hideMark/>
          </w:tcPr>
          <w:p w14:paraId="6A4C033D" w14:textId="77777777" w:rsidR="003438A2" w:rsidRPr="007F287F" w:rsidRDefault="003438A2" w:rsidP="00EF0A05">
            <w:pPr>
              <w:pStyle w:val="TableText"/>
            </w:pPr>
            <w:r w:rsidRPr="007F287F">
              <w:t>Overall likelihood of entry, establishment and spread</w:t>
            </w:r>
          </w:p>
        </w:tc>
        <w:tc>
          <w:tcPr>
            <w:tcW w:w="2977" w:type="dxa"/>
            <w:hideMark/>
          </w:tcPr>
          <w:p w14:paraId="012533CD" w14:textId="77777777" w:rsidR="003438A2" w:rsidRPr="007F287F" w:rsidRDefault="003438A2" w:rsidP="00EF0A05">
            <w:pPr>
              <w:pStyle w:val="TableText"/>
            </w:pPr>
            <w:r w:rsidRPr="007F287F">
              <w:t>Very Low</w:t>
            </w:r>
          </w:p>
        </w:tc>
      </w:tr>
      <w:tr w:rsidR="003438A2" w:rsidRPr="007F287F" w14:paraId="4100748B" w14:textId="77777777" w:rsidTr="00EF0A05">
        <w:tc>
          <w:tcPr>
            <w:tcW w:w="6459" w:type="dxa"/>
            <w:hideMark/>
          </w:tcPr>
          <w:p w14:paraId="527F0AF0" w14:textId="77777777" w:rsidR="003438A2" w:rsidRPr="007F287F" w:rsidRDefault="003438A2" w:rsidP="00EF0A05">
            <w:pPr>
              <w:pStyle w:val="TableText"/>
            </w:pPr>
            <w:r w:rsidRPr="007F287F">
              <w:t>Consequences</w:t>
            </w:r>
          </w:p>
        </w:tc>
        <w:tc>
          <w:tcPr>
            <w:tcW w:w="2977" w:type="dxa"/>
            <w:hideMark/>
          </w:tcPr>
          <w:p w14:paraId="6ED37370" w14:textId="77777777" w:rsidR="003438A2" w:rsidRPr="007F287F" w:rsidRDefault="003438A2" w:rsidP="00EF0A05">
            <w:pPr>
              <w:pStyle w:val="TableText"/>
            </w:pPr>
            <w:r w:rsidRPr="007F287F">
              <w:t>Low</w:t>
            </w:r>
          </w:p>
        </w:tc>
      </w:tr>
      <w:tr w:rsidR="003438A2" w:rsidRPr="007F287F" w14:paraId="7D44A4D2" w14:textId="77777777" w:rsidTr="00EF0A05">
        <w:tc>
          <w:tcPr>
            <w:tcW w:w="6459" w:type="dxa"/>
            <w:hideMark/>
          </w:tcPr>
          <w:p w14:paraId="4983BEDA" w14:textId="77777777" w:rsidR="003438A2" w:rsidRPr="007F287F" w:rsidRDefault="003438A2" w:rsidP="00EF0A05">
            <w:pPr>
              <w:pStyle w:val="TableText"/>
            </w:pPr>
            <w:r w:rsidRPr="007F287F">
              <w:t>Unrestricted risk</w:t>
            </w:r>
          </w:p>
        </w:tc>
        <w:tc>
          <w:tcPr>
            <w:tcW w:w="2977" w:type="dxa"/>
            <w:hideMark/>
          </w:tcPr>
          <w:p w14:paraId="5E3DA08A" w14:textId="77777777" w:rsidR="003438A2" w:rsidRPr="007F287F" w:rsidRDefault="003438A2" w:rsidP="00EF0A05">
            <w:pPr>
              <w:pStyle w:val="TableText"/>
            </w:pPr>
            <w:r w:rsidRPr="007F287F">
              <w:t>Negligible</w:t>
            </w:r>
          </w:p>
        </w:tc>
      </w:tr>
    </w:tbl>
    <w:p w14:paraId="4D74128F" w14:textId="77777777" w:rsidR="003438A2" w:rsidRDefault="003438A2" w:rsidP="00C67856">
      <w:pPr>
        <w:spacing w:before="120"/>
        <w:sectPr w:rsidR="003438A2" w:rsidSect="00E310DC">
          <w:headerReference w:type="even" r:id="rId69"/>
          <w:headerReference w:type="default" r:id="rId70"/>
          <w:headerReference w:type="first" r:id="rId71"/>
          <w:pgSz w:w="11906" w:h="16838"/>
          <w:pgMar w:top="1418" w:right="1418" w:bottom="1418" w:left="1418" w:header="567" w:footer="283" w:gutter="0"/>
          <w:cols w:space="708"/>
          <w:docGrid w:linePitch="360"/>
        </w:sectPr>
      </w:pPr>
      <w:r w:rsidRPr="007F287F">
        <w:t xml:space="preserve">As indicated, the unrestricted risk estimate for </w:t>
      </w:r>
      <w:r w:rsidRPr="007F287F">
        <w:rPr>
          <w:i/>
        </w:rPr>
        <w:t>C. psychromorbida</w:t>
      </w:r>
      <w:r w:rsidRPr="007F287F">
        <w:t xml:space="preserve"> on apples from the PNW-USA pathway is assessed as Negligible, which achieves the ALOP for Australia. Therefore, no specific</w:t>
      </w:r>
      <w:r w:rsidRPr="00E44808">
        <w:t xml:space="preserve"> risk management measures are requir</w:t>
      </w:r>
      <w:r>
        <w:t>ed for this pest on the PNW</w:t>
      </w:r>
      <w:bookmarkEnd w:id="363"/>
      <w:r>
        <w:t xml:space="preserve">-USA apple pathway. </w:t>
      </w:r>
    </w:p>
    <w:p w14:paraId="78F8E4F7" w14:textId="77777777" w:rsidR="003438A2" w:rsidRPr="0045382F" w:rsidRDefault="003438A2" w:rsidP="00F843A1">
      <w:pPr>
        <w:pStyle w:val="Heading3"/>
        <w:numPr>
          <w:ilvl w:val="1"/>
          <w:numId w:val="25"/>
        </w:numPr>
      </w:pPr>
      <w:bookmarkStart w:id="373" w:name="_Toc10009730"/>
      <w:bookmarkStart w:id="374" w:name="_Ref46060331"/>
      <w:bookmarkStart w:id="375" w:name="_Toc112769017"/>
      <w:bookmarkEnd w:id="332"/>
      <w:bookmarkEnd w:id="333"/>
      <w:bookmarkEnd w:id="334"/>
      <w:bookmarkEnd w:id="335"/>
      <w:bookmarkEnd w:id="336"/>
      <w:bookmarkEnd w:id="337"/>
      <w:r w:rsidRPr="0045382F">
        <w:lastRenderedPageBreak/>
        <w:t>Phacidiopycnis rot</w:t>
      </w:r>
      <w:bookmarkEnd w:id="373"/>
      <w:bookmarkEnd w:id="374"/>
      <w:bookmarkEnd w:id="375"/>
    </w:p>
    <w:p w14:paraId="7F74E2F2" w14:textId="77777777" w:rsidR="003438A2" w:rsidRPr="00283AB9" w:rsidRDefault="003438A2" w:rsidP="00C67856">
      <w:pPr>
        <w:pStyle w:val="Heading4"/>
        <w:numPr>
          <w:ilvl w:val="0"/>
          <w:numId w:val="0"/>
        </w:numPr>
        <w:rPr>
          <w:i/>
        </w:rPr>
      </w:pPr>
      <w:r w:rsidRPr="00283AB9">
        <w:rPr>
          <w:i/>
          <w:lang w:val="en"/>
        </w:rPr>
        <w:t>Discula pyri</w:t>
      </w:r>
    </w:p>
    <w:p w14:paraId="42334AA3" w14:textId="77777777" w:rsidR="003438A2" w:rsidRPr="00B52296" w:rsidRDefault="003438A2" w:rsidP="00453246">
      <w:r w:rsidRPr="001A3044">
        <w:rPr>
          <w:i/>
        </w:rPr>
        <w:t>Discula pyri</w:t>
      </w:r>
      <w:r>
        <w:t xml:space="preserve"> (synonym: </w:t>
      </w:r>
      <w:r w:rsidRPr="005B4BFA">
        <w:rPr>
          <w:i/>
        </w:rPr>
        <w:t>Phacidiopycnis</w:t>
      </w:r>
      <w:r>
        <w:rPr>
          <w:i/>
        </w:rPr>
        <w:t xml:space="preserve"> pi</w:t>
      </w:r>
      <w:r w:rsidRPr="005B4BFA">
        <w:rPr>
          <w:i/>
        </w:rPr>
        <w:t>ri</w:t>
      </w:r>
      <w:r>
        <w:t xml:space="preserve">), an ascomycete fungal pathogen belonging to the family </w:t>
      </w:r>
      <w:r w:rsidRPr="00914D0A">
        <w:t>Rhytismataceae</w:t>
      </w:r>
      <w:r w:rsidRPr="00B52296">
        <w:t xml:space="preserve">, causes a post-harvest rot disease named Phacidiopycnis rot in apple and pear fruit in the PNW-USA </w:t>
      </w:r>
      <w:r w:rsidRPr="00B52296">
        <w:rPr>
          <w:noProof/>
          <w:lang w:eastAsia="en-AU"/>
        </w:rPr>
        <w:t>(Ali et al. 2018; Kim &amp; Xiao 2006; PNW Handbooks 2020b; Xiao et al. 2005; Xiao &amp; Boal 2002)</w:t>
      </w:r>
      <w:r w:rsidRPr="00B52296">
        <w:t xml:space="preserve">. </w:t>
      </w:r>
      <w:r w:rsidRPr="00B52296">
        <w:rPr>
          <w:i/>
        </w:rPr>
        <w:t>Discula pyri</w:t>
      </w:r>
      <w:r w:rsidRPr="00B52296">
        <w:t xml:space="preserve"> causes one of the major emerging post-harvest fruit rots in d’Anjou pears in Washington and Oregon </w:t>
      </w:r>
      <w:r w:rsidRPr="00B52296">
        <w:rPr>
          <w:noProof/>
        </w:rPr>
        <w:t>(Kim &amp; Xiao 2006; Pscheidt &amp; Ocamb 2021e; Xiao &amp; Boal 2005a; Xiao &amp; Boal 2004b)</w:t>
      </w:r>
      <w:r w:rsidRPr="00B52296">
        <w:t xml:space="preserve">. It also causes post-harvest rot on apples, however, it is more common on pears </w:t>
      </w:r>
      <w:r w:rsidRPr="00B52296">
        <w:rPr>
          <w:noProof/>
        </w:rPr>
        <w:t>(Ali et al. 2018; Kim &amp; Xiao 2006; Pscheidt &amp; Ocamb 2021e)</w:t>
      </w:r>
      <w:r w:rsidRPr="00B52296">
        <w:t xml:space="preserve">. DiCosmo et al. </w:t>
      </w:r>
      <w:r w:rsidRPr="00B52296">
        <w:rPr>
          <w:noProof/>
        </w:rPr>
        <w:t>(1984)</w:t>
      </w:r>
      <w:r w:rsidRPr="00B52296">
        <w:t xml:space="preserve"> reported quince as a host.</w:t>
      </w:r>
    </w:p>
    <w:p w14:paraId="44C31845" w14:textId="77777777" w:rsidR="003438A2" w:rsidRPr="00B52296" w:rsidRDefault="003438A2" w:rsidP="00C67856">
      <w:r w:rsidRPr="00B52296">
        <w:t xml:space="preserve">In contrast, </w:t>
      </w:r>
      <w:r w:rsidRPr="00B52296">
        <w:rPr>
          <w:i/>
        </w:rPr>
        <w:t xml:space="preserve">Phacidiopycnis washingtonensis </w:t>
      </w:r>
      <w:r w:rsidRPr="00B52296">
        <w:t xml:space="preserve">that causes speck rot (Section </w:t>
      </w:r>
      <w:r w:rsidRPr="00B52296">
        <w:fldChar w:fldCharType="begin" w:fldLock="1"/>
      </w:r>
      <w:r w:rsidRPr="00B52296">
        <w:instrText xml:space="preserve"> REF _Ref46060217 \r \h  \* MERGEFORMAT </w:instrText>
      </w:r>
      <w:r w:rsidRPr="00B52296">
        <w:fldChar w:fldCharType="separate"/>
      </w:r>
      <w:r>
        <w:t>4.21</w:t>
      </w:r>
      <w:r w:rsidRPr="00B52296">
        <w:fldChar w:fldCharType="end"/>
      </w:r>
      <w:r w:rsidRPr="00B52296">
        <w:t xml:space="preserve">) is a disease of apples in Washington </w:t>
      </w:r>
      <w:r w:rsidRPr="00B52296">
        <w:rPr>
          <w:noProof/>
          <w:lang w:eastAsia="en-AU"/>
        </w:rPr>
        <w:t>(Ali et al. 2018; Amiri &amp; Ali 2016; DiCosmo, Nag Raj &amp; Kendrick 1984)</w:t>
      </w:r>
      <w:r w:rsidRPr="00B52296">
        <w:rPr>
          <w:lang w:eastAsia="en-AU"/>
        </w:rPr>
        <w:t xml:space="preserve">. </w:t>
      </w:r>
      <w:r w:rsidRPr="00B52296">
        <w:t xml:space="preserve">Although </w:t>
      </w:r>
      <w:r w:rsidRPr="00B52296">
        <w:rPr>
          <w:i/>
        </w:rPr>
        <w:t xml:space="preserve">D. pyri </w:t>
      </w:r>
      <w:r w:rsidRPr="00B52296">
        <w:t xml:space="preserve">and </w:t>
      </w:r>
      <w:r w:rsidRPr="00B52296">
        <w:rPr>
          <w:i/>
        </w:rPr>
        <w:t xml:space="preserve">Phacidiopycnis washingtonensis </w:t>
      </w:r>
      <w:r w:rsidRPr="00B52296">
        <w:t>were formerly placed in the same genus, their biology is sufficiently different to warrant separate risk assessments for these pathogens.</w:t>
      </w:r>
    </w:p>
    <w:p w14:paraId="0B86ECBB" w14:textId="77777777" w:rsidR="003438A2" w:rsidRPr="00665BE0" w:rsidRDefault="003438A2" w:rsidP="00C67856">
      <w:r w:rsidRPr="00B52296">
        <w:rPr>
          <w:i/>
        </w:rPr>
        <w:t>Discula pyri</w:t>
      </w:r>
      <w:r w:rsidRPr="00B52296">
        <w:t xml:space="preserve"> has been found in all major pear-producing areas of Washington, however, its importance is not characterised and can vary from one year to another </w:t>
      </w:r>
      <w:r w:rsidRPr="00B52296">
        <w:rPr>
          <w:noProof/>
        </w:rPr>
        <w:t>(Pscheidt &amp; Ocamb 2021e)</w:t>
      </w:r>
      <w:r w:rsidRPr="00B52296">
        <w:rPr>
          <w:lang w:eastAsia="en-AU"/>
        </w:rPr>
        <w:t xml:space="preserve">. </w:t>
      </w:r>
      <w:r w:rsidRPr="00B52296">
        <w:t xml:space="preserve">On apple fruit, where infection is rare </w:t>
      </w:r>
      <w:r w:rsidRPr="00B52296">
        <w:rPr>
          <w:noProof/>
        </w:rPr>
        <w:t>(Kim &amp; Xiao 2008)</w:t>
      </w:r>
      <w:r w:rsidRPr="00B52296">
        <w:t xml:space="preserve">, early symptoms appear as spongy and brown decayed areas which turn black as the infection progresses </w:t>
      </w:r>
      <w:r w:rsidRPr="00B52296">
        <w:rPr>
          <w:noProof/>
        </w:rPr>
        <w:t>(Kim &amp; Xiao 2006)</w:t>
      </w:r>
      <w:r w:rsidRPr="00A12104">
        <w:t>.</w:t>
      </w:r>
      <w:r>
        <w:t xml:space="preserve"> </w:t>
      </w:r>
      <w:r w:rsidRPr="00F86A07">
        <w:rPr>
          <w:i/>
        </w:rPr>
        <w:t>Discula pyri</w:t>
      </w:r>
      <w:r w:rsidRPr="00F86A07">
        <w:t xml:space="preserve"> causes</w:t>
      </w:r>
      <w:r>
        <w:rPr>
          <w:lang w:eastAsia="en-AU"/>
        </w:rPr>
        <w:t xml:space="preserve"> stem-end rot, calyx-end rot and wound-associated rot in stored pears </w:t>
      </w:r>
      <w:r>
        <w:rPr>
          <w:noProof/>
        </w:rPr>
        <w:t>(Xiao &amp; Boal 2005a)</w:t>
      </w:r>
      <w:r>
        <w:rPr>
          <w:lang w:eastAsia="en-AU"/>
        </w:rPr>
        <w:t xml:space="preserve">. Post-harvest infections by </w:t>
      </w:r>
      <w:r>
        <w:rPr>
          <w:i/>
        </w:rPr>
        <w:t xml:space="preserve">D. pyri </w:t>
      </w:r>
      <w:r>
        <w:rPr>
          <w:lang w:eastAsia="en-AU"/>
        </w:rPr>
        <w:t>were observed to take three to four months to develop at 0</w:t>
      </w:r>
      <w:r w:rsidRPr="00223363">
        <w:t>°</w:t>
      </w:r>
      <w:r w:rsidRPr="000E092A">
        <w:t>C</w:t>
      </w:r>
      <w:r>
        <w:rPr>
          <w:lang w:eastAsia="en-AU"/>
        </w:rPr>
        <w:t xml:space="preserve"> and for the fungus to reach fruit flesh and cause fruit rot </w:t>
      </w:r>
      <w:r>
        <w:rPr>
          <w:noProof/>
          <w:lang w:eastAsia="en-AU"/>
        </w:rPr>
        <w:t>(Xiao &amp; Boal 2002)</w:t>
      </w:r>
      <w:r>
        <w:rPr>
          <w:lang w:eastAsia="en-AU"/>
        </w:rPr>
        <w:t xml:space="preserve">. Fruit rot was observed under laboratory conditions when pears were wounded </w:t>
      </w:r>
      <w:r>
        <w:rPr>
          <w:noProof/>
        </w:rPr>
        <w:t>(Xiao &amp; Boal 2005a)</w:t>
      </w:r>
      <w:r>
        <w:t>.</w:t>
      </w:r>
      <w:r>
        <w:rPr>
          <w:lang w:eastAsia="en-AU"/>
        </w:rPr>
        <w:t xml:space="preserve"> Laboratory experiments indicated that fruit-to-fruit spread by mycelia of the fungus could </w:t>
      </w:r>
      <w:r w:rsidRPr="003E5D7D">
        <w:rPr>
          <w:lang w:eastAsia="en-AU"/>
        </w:rPr>
        <w:t xml:space="preserve">also occur during storage </w:t>
      </w:r>
      <w:r>
        <w:rPr>
          <w:noProof/>
          <w:lang w:eastAsia="en-AU"/>
        </w:rPr>
        <w:t>(Xiao &amp; Boal 2002)</w:t>
      </w:r>
      <w:r w:rsidRPr="003E5D7D">
        <w:rPr>
          <w:lang w:eastAsia="en-AU"/>
        </w:rPr>
        <w:t xml:space="preserve">. </w:t>
      </w:r>
      <w:r w:rsidRPr="00665BE0">
        <w:t xml:space="preserve">In a survey in 2017, </w:t>
      </w:r>
      <w:r w:rsidRPr="00665BE0">
        <w:rPr>
          <w:i/>
          <w:iCs/>
        </w:rPr>
        <w:t>D. pyri</w:t>
      </w:r>
      <w:r w:rsidRPr="00665BE0">
        <w:t xml:space="preserve"> was found to be the cause of 3.9% and 6.7% of total pear decay in Washington and Oregon</w:t>
      </w:r>
      <w:r>
        <w:t>,</w:t>
      </w:r>
      <w:r w:rsidRPr="00665BE0">
        <w:t xml:space="preserve"> respectively </w:t>
      </w:r>
      <w:r>
        <w:rPr>
          <w:noProof/>
        </w:rPr>
        <w:t>(Ali et al. 2018)</w:t>
      </w:r>
      <w:r w:rsidRPr="00665BE0">
        <w:t>.</w:t>
      </w:r>
      <w:r>
        <w:t xml:space="preserve"> There is no record of </w:t>
      </w:r>
      <w:r w:rsidRPr="0038557E">
        <w:rPr>
          <w:i/>
          <w:iCs/>
        </w:rPr>
        <w:t>D. pyri</w:t>
      </w:r>
      <w:r>
        <w:t xml:space="preserve"> in Idaho.</w:t>
      </w:r>
    </w:p>
    <w:p w14:paraId="5234775B" w14:textId="77777777" w:rsidR="003438A2" w:rsidRPr="002F3C98" w:rsidRDefault="003438A2" w:rsidP="00C67856">
      <w:r w:rsidRPr="003E5D7D">
        <w:rPr>
          <w:i/>
        </w:rPr>
        <w:t>Discula pyri</w:t>
      </w:r>
      <w:r w:rsidRPr="003E5D7D">
        <w:t xml:space="preserve"> </w:t>
      </w:r>
      <w:r>
        <w:t xml:space="preserve">also </w:t>
      </w:r>
      <w:r w:rsidRPr="003E5D7D">
        <w:t xml:space="preserve">causes canker and dieback of twigs and fruit spurs of </w:t>
      </w:r>
      <w:r>
        <w:t xml:space="preserve">apple and </w:t>
      </w:r>
      <w:r w:rsidRPr="003E5D7D">
        <w:t>pear trees</w:t>
      </w:r>
      <w:r>
        <w:t xml:space="preserve"> </w:t>
      </w:r>
      <w:r>
        <w:rPr>
          <w:noProof/>
        </w:rPr>
        <w:t>(DiCosmo, Nag Raj &amp; Kendrick 1984; Sholberg, Stokes &amp; O'Gorman 2010)</w:t>
      </w:r>
      <w:r>
        <w:t xml:space="preserve">. </w:t>
      </w:r>
      <w:r w:rsidRPr="002F3C98">
        <w:t xml:space="preserve">Under humid conditions, the fungus forms white mycelia that colonise host tissues. </w:t>
      </w:r>
    </w:p>
    <w:p w14:paraId="41D3CB74" w14:textId="77777777" w:rsidR="003438A2" w:rsidRDefault="003438A2" w:rsidP="00E11099">
      <w:r w:rsidRPr="002F3C98">
        <w:t xml:space="preserve">At advanced stages of infection, the fungus forms </w:t>
      </w:r>
      <w:bookmarkStart w:id="376" w:name="_Hlk42333306"/>
      <w:r w:rsidRPr="002F3C98">
        <w:t xml:space="preserve">asexual reproductive structures known as </w:t>
      </w:r>
      <w:bookmarkEnd w:id="376"/>
      <w:r w:rsidRPr="002F3C98">
        <w:t xml:space="preserve">pycnidia and conidia (pycnidiospores) on the decayed area of the fruit </w:t>
      </w:r>
      <w:r w:rsidRPr="002F3C98">
        <w:rPr>
          <w:noProof/>
        </w:rPr>
        <w:t>(Xiao 2006; Xiao &amp; Boal 2004b)</w:t>
      </w:r>
      <w:r w:rsidRPr="002F3C98">
        <w:t xml:space="preserve">. Pycnidia, and less frequently apothecia </w:t>
      </w:r>
      <w:bookmarkStart w:id="377" w:name="_Hlk42334221"/>
      <w:r w:rsidRPr="002F3C98">
        <w:t>(fruiting body of the sexual morph of the fungus)</w:t>
      </w:r>
      <w:bookmarkEnd w:id="377"/>
      <w:r w:rsidRPr="002F3C98">
        <w:t xml:space="preserve">, which </w:t>
      </w:r>
      <w:r>
        <w:t xml:space="preserve">can </w:t>
      </w:r>
      <w:r w:rsidRPr="002F3C98">
        <w:t xml:space="preserve">survive adverse conditions, are also formed on dead or dying bark </w:t>
      </w:r>
      <w:r w:rsidRPr="00F53D23">
        <w:t xml:space="preserve">tissues </w:t>
      </w:r>
      <w:r>
        <w:rPr>
          <w:noProof/>
        </w:rPr>
        <w:t>(Xiao &amp; Boal 2005a)</w:t>
      </w:r>
      <w:r w:rsidRPr="00F53D23">
        <w:t>. Conidia are dispersed by water</w:t>
      </w:r>
      <w:r>
        <w:t xml:space="preserve"> </w:t>
      </w:r>
      <w:bookmarkStart w:id="378" w:name="_Hlk110876987"/>
      <w:r>
        <w:rPr>
          <w:noProof/>
        </w:rPr>
        <w:t>(Ali et al. 2018; DiCosmo, Nag Raj &amp; Kendrick 1984; Sholberg, Stokes &amp; O'Gorman 2010)</w:t>
      </w:r>
      <w:bookmarkEnd w:id="378"/>
      <w:r>
        <w:t>, and rain may initiate infection.</w:t>
      </w:r>
    </w:p>
    <w:p w14:paraId="75310278" w14:textId="77777777" w:rsidR="003438A2" w:rsidRPr="00B812BD" w:rsidRDefault="003438A2" w:rsidP="00C67856">
      <w:r w:rsidRPr="00B812BD">
        <w:t xml:space="preserve">The risk </w:t>
      </w:r>
      <w:r>
        <w:t xml:space="preserve">scenario of biosecurity concern for </w:t>
      </w:r>
      <w:r w:rsidRPr="00BA76BE">
        <w:rPr>
          <w:i/>
        </w:rPr>
        <w:t>D.</w:t>
      </w:r>
      <w:r w:rsidRPr="00BA76BE">
        <w:t> </w:t>
      </w:r>
      <w:r w:rsidRPr="00BA76BE">
        <w:rPr>
          <w:i/>
        </w:rPr>
        <w:t>pyri</w:t>
      </w:r>
      <w:r w:rsidRPr="00BA76BE">
        <w:t xml:space="preserve"> </w:t>
      </w:r>
      <w:r>
        <w:t xml:space="preserve">is that </w:t>
      </w:r>
      <w:r w:rsidRPr="00B812BD">
        <w:t xml:space="preserve">symptomless infected fruit </w:t>
      </w:r>
      <w:r>
        <w:t xml:space="preserve">carrying viable pycnidia or conidia </w:t>
      </w:r>
      <w:r w:rsidRPr="00B812BD">
        <w:t xml:space="preserve">may be exported </w:t>
      </w:r>
      <w:r>
        <w:t xml:space="preserve">from PNW-USA </w:t>
      </w:r>
      <w:r w:rsidRPr="00B812BD">
        <w:t>and result in the establishment of this pathogen in Australia.</w:t>
      </w:r>
    </w:p>
    <w:p w14:paraId="7438B3EC" w14:textId="77777777" w:rsidR="003438A2" w:rsidRPr="0045382F" w:rsidRDefault="003438A2" w:rsidP="00F843A1">
      <w:pPr>
        <w:pStyle w:val="Heading4"/>
        <w:numPr>
          <w:ilvl w:val="2"/>
          <w:numId w:val="29"/>
        </w:numPr>
        <w:ind w:firstLine="199"/>
      </w:pPr>
      <w:r w:rsidRPr="0045382F">
        <w:t>Likelihood of entry</w:t>
      </w:r>
    </w:p>
    <w:p w14:paraId="3E5B482A" w14:textId="77777777" w:rsidR="003438A2" w:rsidRDefault="003438A2" w:rsidP="00C67856">
      <w:r>
        <w:t>The likelihood of entry is considered in 2 parts, the likelihood of importation and the likelihood of distribution, which consider pre-border and post-border issues, respectively.</w:t>
      </w:r>
    </w:p>
    <w:p w14:paraId="4EEC4E98" w14:textId="77777777" w:rsidR="003438A2" w:rsidRDefault="003438A2" w:rsidP="00C67856">
      <w:pPr>
        <w:pStyle w:val="Heading5"/>
      </w:pPr>
      <w:r w:rsidRPr="006E7020">
        <w:lastRenderedPageBreak/>
        <w:t>Likelihood of importation</w:t>
      </w:r>
    </w:p>
    <w:p w14:paraId="5A90072B" w14:textId="77777777" w:rsidR="003438A2" w:rsidRPr="00A12104" w:rsidRDefault="003438A2" w:rsidP="00C67856">
      <w:r w:rsidRPr="00A12104">
        <w:t xml:space="preserve">The likelihood that </w:t>
      </w:r>
      <w:r w:rsidRPr="002C13AB">
        <w:rPr>
          <w:i/>
        </w:rPr>
        <w:t>D</w:t>
      </w:r>
      <w:r>
        <w:rPr>
          <w:i/>
        </w:rPr>
        <w:t>.</w:t>
      </w:r>
      <w:r w:rsidRPr="002C13AB">
        <w:rPr>
          <w:i/>
        </w:rPr>
        <w:t xml:space="preserve"> pyri </w:t>
      </w:r>
      <w:r w:rsidRPr="00A12104">
        <w:t xml:space="preserve">will arrive in Australia with the importation of </w:t>
      </w:r>
      <w:r>
        <w:t>apples from the PNW is assessed as Low</w:t>
      </w:r>
      <w:r w:rsidRPr="00A12104">
        <w:t>.</w:t>
      </w:r>
    </w:p>
    <w:p w14:paraId="626FD050" w14:textId="77777777" w:rsidR="003438A2" w:rsidRDefault="003438A2" w:rsidP="00C67856">
      <w:r>
        <w:t>The following information provides supporting evidence for this assessment.</w:t>
      </w:r>
    </w:p>
    <w:p w14:paraId="76978924" w14:textId="77777777" w:rsidR="003438A2" w:rsidRPr="008322EA" w:rsidRDefault="003438A2" w:rsidP="00C67856">
      <w:r w:rsidRPr="008322EA">
        <w:rPr>
          <w:i/>
        </w:rPr>
        <w:t xml:space="preserve">Discula pyri </w:t>
      </w:r>
      <w:r w:rsidRPr="008322EA">
        <w:t>is unlikely to be associated with apples exported from the PNW</w:t>
      </w:r>
      <w:r>
        <w:t>-USA</w:t>
      </w:r>
      <w:r w:rsidRPr="008322EA">
        <w:t>.</w:t>
      </w:r>
    </w:p>
    <w:p w14:paraId="2E75227D" w14:textId="77777777" w:rsidR="003438A2" w:rsidRPr="008322EA" w:rsidRDefault="003438A2" w:rsidP="003438A2">
      <w:pPr>
        <w:pStyle w:val="ListBullet"/>
        <w:numPr>
          <w:ilvl w:val="0"/>
          <w:numId w:val="15"/>
        </w:numPr>
      </w:pPr>
      <w:r w:rsidRPr="008322EA">
        <w:rPr>
          <w:i/>
        </w:rPr>
        <w:t xml:space="preserve">Discula pyri </w:t>
      </w:r>
      <w:r w:rsidRPr="008322EA">
        <w:t xml:space="preserve">is widespread </w:t>
      </w:r>
      <w:r>
        <w:t>in Washington and Oregon</w:t>
      </w:r>
      <w:r w:rsidRPr="008322EA">
        <w:t xml:space="preserve"> in PNW</w:t>
      </w:r>
      <w:r>
        <w:t>-</w:t>
      </w:r>
      <w:r w:rsidRPr="003C7DBA">
        <w:t xml:space="preserve">USA </w:t>
      </w:r>
      <w:r>
        <w:rPr>
          <w:noProof/>
        </w:rPr>
        <w:t>(Xiao &amp; Boal 2005a)</w:t>
      </w:r>
      <w:r>
        <w:t xml:space="preserve"> but mainly affects </w:t>
      </w:r>
      <w:r w:rsidRPr="00514733">
        <w:t xml:space="preserve">pear </w:t>
      </w:r>
      <w:r>
        <w:rPr>
          <w:noProof/>
          <w:lang w:eastAsia="en-AU"/>
        </w:rPr>
        <w:t>(Ali et al. 2018; Amiri &amp; Ali 2016; Pscheidt &amp; Ocamb 2021e)</w:t>
      </w:r>
      <w:r w:rsidRPr="00514733">
        <w:t>. It c</w:t>
      </w:r>
      <w:r w:rsidRPr="008322EA">
        <w:t xml:space="preserve">auses a post-harvest disease known as Phacidiopycnis rot primarily in stored </w:t>
      </w:r>
      <w:r w:rsidRPr="00E73CC9">
        <w:t xml:space="preserve">pears </w:t>
      </w:r>
      <w:r>
        <w:rPr>
          <w:noProof/>
        </w:rPr>
        <w:t>(Ali et al. 2018; Xiao &amp; Boal 2005a)</w:t>
      </w:r>
      <w:r w:rsidRPr="00E73CC9">
        <w:t>. Conidia from pear cankers may provide a source of inoc</w:t>
      </w:r>
      <w:r>
        <w:t>ulum for apple infections.</w:t>
      </w:r>
    </w:p>
    <w:p w14:paraId="5EB8EB5A" w14:textId="77777777" w:rsidR="003438A2" w:rsidRPr="008322EA" w:rsidRDefault="003438A2" w:rsidP="003438A2">
      <w:pPr>
        <w:pStyle w:val="ListBullet"/>
        <w:numPr>
          <w:ilvl w:val="0"/>
          <w:numId w:val="15"/>
        </w:numPr>
      </w:pPr>
      <w:r w:rsidRPr="008322EA">
        <w:rPr>
          <w:i/>
        </w:rPr>
        <w:t xml:space="preserve">Discula pyri </w:t>
      </w:r>
      <w:r w:rsidRPr="008322EA">
        <w:t xml:space="preserve">is only occasionally </w:t>
      </w:r>
      <w:r w:rsidRPr="00E918EE">
        <w:t xml:space="preserve">found on apples </w:t>
      </w:r>
      <w:r>
        <w:rPr>
          <w:noProof/>
        </w:rPr>
        <w:t>(Xiao &amp; Boal 2005a; Xiao et al. 2005)</w:t>
      </w:r>
      <w:r w:rsidRPr="00E918EE">
        <w:t xml:space="preserve">, </w:t>
      </w:r>
      <w:r w:rsidRPr="00E918EE">
        <w:rPr>
          <w:iCs/>
        </w:rPr>
        <w:t>and</w:t>
      </w:r>
      <w:r>
        <w:rPr>
          <w:iCs/>
        </w:rPr>
        <w:t xml:space="preserve"> considered</w:t>
      </w:r>
      <w:r w:rsidRPr="008322EA">
        <w:t xml:space="preserve"> a minor pathogen </w:t>
      </w:r>
      <w:r>
        <w:rPr>
          <w:noProof/>
        </w:rPr>
        <w:t>(Kim &amp; Xiao 2006, 2008)</w:t>
      </w:r>
      <w:r>
        <w:t>.</w:t>
      </w:r>
    </w:p>
    <w:p w14:paraId="7729C2A5" w14:textId="77777777" w:rsidR="003438A2" w:rsidRDefault="003438A2" w:rsidP="003438A2">
      <w:pPr>
        <w:pStyle w:val="ListBullet"/>
        <w:numPr>
          <w:ilvl w:val="0"/>
          <w:numId w:val="15"/>
        </w:numPr>
      </w:pPr>
      <w:r w:rsidRPr="008322EA">
        <w:t xml:space="preserve">In a survey in 2017, </w:t>
      </w:r>
      <w:r w:rsidRPr="00E47E2F">
        <w:rPr>
          <w:i/>
          <w:iCs/>
        </w:rPr>
        <w:t>D. pyri</w:t>
      </w:r>
      <w:r w:rsidRPr="008322EA">
        <w:t xml:space="preserve"> was found to be the cause of 3.9% and 6.7% of total pear decay in Washington and Oregon, respectively </w:t>
      </w:r>
      <w:r>
        <w:rPr>
          <w:noProof/>
        </w:rPr>
        <w:t>(Ali et al. 2018)</w:t>
      </w:r>
      <w:r w:rsidRPr="008322EA">
        <w:t xml:space="preserve">. Since 2002, fruit surveys have not detected </w:t>
      </w:r>
      <w:r w:rsidRPr="00E47E2F">
        <w:rPr>
          <w:i/>
          <w:iCs/>
        </w:rPr>
        <w:t>D. pyri</w:t>
      </w:r>
      <w:r w:rsidRPr="008322EA">
        <w:t xml:space="preserve"> to any significant level on </w:t>
      </w:r>
      <w:r w:rsidRPr="00E918EE">
        <w:t>apple</w:t>
      </w:r>
      <w:r>
        <w:t xml:space="preserve"> </w:t>
      </w:r>
      <w:r>
        <w:rPr>
          <w:noProof/>
          <w:lang w:eastAsia="en-AU"/>
        </w:rPr>
        <w:t>(Amiri &amp; Ali 2016; Kim &amp; Xiao 2006; Xiao 2007)</w:t>
      </w:r>
      <w:r>
        <w:rPr>
          <w:lang w:eastAsia="en-AU"/>
        </w:rPr>
        <w:t xml:space="preserve">. </w:t>
      </w:r>
      <w:bookmarkStart w:id="379" w:name="_Hlk97636657"/>
      <w:r w:rsidRPr="00A2239C">
        <w:t xml:space="preserve">These surveys either did not detect </w:t>
      </w:r>
      <w:r w:rsidRPr="00A2239C">
        <w:rPr>
          <w:i/>
          <w:iCs/>
        </w:rPr>
        <w:t>D. pyr</w:t>
      </w:r>
      <w:r w:rsidRPr="00E47E2F">
        <w:rPr>
          <w:i/>
          <w:iCs/>
        </w:rPr>
        <w:t>i</w:t>
      </w:r>
      <w:r>
        <w:t xml:space="preserve"> at all</w:t>
      </w:r>
      <w:r w:rsidRPr="00E47E2F">
        <w:rPr>
          <w:i/>
          <w:iCs/>
        </w:rPr>
        <w:t>,</w:t>
      </w:r>
      <w:r w:rsidRPr="00F9181D">
        <w:t xml:space="preserve"> or </w:t>
      </w:r>
      <w:r>
        <w:t xml:space="preserve">only detected </w:t>
      </w:r>
      <w:r w:rsidRPr="00F9181D">
        <w:t xml:space="preserve">it </w:t>
      </w:r>
      <w:r>
        <w:t>as a minor post-harvest pathogen of apple.</w:t>
      </w:r>
      <w:bookmarkEnd w:id="379"/>
    </w:p>
    <w:p w14:paraId="181D23D0" w14:textId="77777777" w:rsidR="003438A2" w:rsidRDefault="003438A2" w:rsidP="00C67856">
      <w:r>
        <w:rPr>
          <w:i/>
        </w:rPr>
        <w:t>Discula pyri</w:t>
      </w:r>
      <w:r w:rsidRPr="006F7389">
        <w:t xml:space="preserve"> causes</w:t>
      </w:r>
      <w:r>
        <w:rPr>
          <w:i/>
        </w:rPr>
        <w:t xml:space="preserve"> </w:t>
      </w:r>
      <w:r>
        <w:t>infections that are initially asymptomatic but symptoms develop during</w:t>
      </w:r>
      <w:r w:rsidRPr="00A12104">
        <w:t xml:space="preserve"> </w:t>
      </w:r>
      <w:r>
        <w:t>storage.</w:t>
      </w:r>
      <w:bookmarkStart w:id="380" w:name="_Hlk97631676"/>
      <w:r w:rsidRPr="008B4C14">
        <w:t xml:space="preserve"> </w:t>
      </w:r>
      <w:r>
        <w:t>Infected apples that show symptoms during packing processes will likely be detected and removed from the export pathway prior to export.</w:t>
      </w:r>
      <w:bookmarkEnd w:id="380"/>
    </w:p>
    <w:p w14:paraId="30F39D62" w14:textId="77777777" w:rsidR="003438A2" w:rsidRDefault="003438A2" w:rsidP="00C67856">
      <w:pPr>
        <w:pStyle w:val="ListBullet"/>
        <w:rPr>
          <w:color w:val="000000"/>
        </w:rPr>
      </w:pPr>
      <w:r w:rsidRPr="00A12104">
        <w:t>Infection</w:t>
      </w:r>
      <w:r>
        <w:t>s</w:t>
      </w:r>
      <w:r w:rsidRPr="00A12104">
        <w:t xml:space="preserve"> of the stem</w:t>
      </w:r>
      <w:r w:rsidRPr="00A12104">
        <w:noBreakHyphen/>
        <w:t xml:space="preserve"> and calyx</w:t>
      </w:r>
      <w:r w:rsidRPr="00A12104">
        <w:noBreakHyphen/>
        <w:t>end</w:t>
      </w:r>
      <w:r>
        <w:t>s</w:t>
      </w:r>
      <w:r w:rsidRPr="00A12104">
        <w:t xml:space="preserve"> </w:t>
      </w:r>
      <w:r>
        <w:t xml:space="preserve">of fruit </w:t>
      </w:r>
      <w:r>
        <w:rPr>
          <w:color w:val="000000"/>
        </w:rPr>
        <w:t>by</w:t>
      </w:r>
      <w:r w:rsidRPr="00A12104">
        <w:rPr>
          <w:color w:val="000000"/>
        </w:rPr>
        <w:t xml:space="preserve"> </w:t>
      </w:r>
      <w:r>
        <w:rPr>
          <w:i/>
          <w:color w:val="000000"/>
        </w:rPr>
        <w:t>D. pyri</w:t>
      </w:r>
      <w:r w:rsidRPr="00A12104">
        <w:rPr>
          <w:color w:val="000000"/>
        </w:rPr>
        <w:t xml:space="preserve"> usually</w:t>
      </w:r>
      <w:r w:rsidRPr="00A12104">
        <w:rPr>
          <w:i/>
          <w:color w:val="000000"/>
        </w:rPr>
        <w:t xml:space="preserve"> </w:t>
      </w:r>
      <w:r w:rsidRPr="00A12104">
        <w:t>take place in the orchard</w:t>
      </w:r>
      <w:r>
        <w:t>,</w:t>
      </w:r>
      <w:r w:rsidRPr="00A12104">
        <w:t xml:space="preserve"> </w:t>
      </w:r>
      <w:r>
        <w:t xml:space="preserve">and </w:t>
      </w:r>
      <w:r w:rsidRPr="00A12104">
        <w:t>symptoms develop dur</w:t>
      </w:r>
      <w:r>
        <w:t xml:space="preserve">ing storage </w:t>
      </w:r>
      <w:r>
        <w:rPr>
          <w:noProof/>
        </w:rPr>
        <w:t>(Ali et al. 2018; Xiao &amp; Boal 2004b)</w:t>
      </w:r>
      <w:r>
        <w:t>.</w:t>
      </w:r>
    </w:p>
    <w:p w14:paraId="0CE982A2" w14:textId="77777777" w:rsidR="003438A2" w:rsidRPr="007E73ED" w:rsidRDefault="003438A2" w:rsidP="00C67856">
      <w:pPr>
        <w:pStyle w:val="ListBullet"/>
        <w:rPr>
          <w:color w:val="000000"/>
        </w:rPr>
      </w:pPr>
      <w:r w:rsidRPr="00637081">
        <w:t xml:space="preserve">Symptoms of infections with </w:t>
      </w:r>
      <w:r>
        <w:rPr>
          <w:i/>
        </w:rPr>
        <w:t>D. pyri</w:t>
      </w:r>
      <w:r w:rsidRPr="00637081">
        <w:t xml:space="preserve"> are first observed after a</w:t>
      </w:r>
      <w:r w:rsidRPr="00BA2633">
        <w:t xml:space="preserve">pproximately </w:t>
      </w:r>
      <w:r>
        <w:t>three</w:t>
      </w:r>
      <w:r w:rsidRPr="00BA2633">
        <w:t xml:space="preserve"> months in</w:t>
      </w:r>
      <w:r>
        <w:t xml:space="preserve"> storage and increase with time</w:t>
      </w:r>
      <w:r w:rsidRPr="00BA2633">
        <w:t xml:space="preserve"> </w:t>
      </w:r>
      <w:r>
        <w:rPr>
          <w:noProof/>
        </w:rPr>
        <w:t>(Washington State University 2005; Xiao &amp; Boal 2004b)</w:t>
      </w:r>
      <w:r w:rsidRPr="00BA2633">
        <w:t>.</w:t>
      </w:r>
    </w:p>
    <w:p w14:paraId="75454602" w14:textId="77777777" w:rsidR="003438A2" w:rsidRDefault="003438A2" w:rsidP="00C67856">
      <w:pPr>
        <w:pStyle w:val="ListBullet"/>
        <w:rPr>
          <w:color w:val="000000"/>
        </w:rPr>
      </w:pPr>
      <w:r>
        <w:rPr>
          <w:iCs/>
        </w:rPr>
        <w:t xml:space="preserve">Symptoms of </w:t>
      </w:r>
      <w:r>
        <w:rPr>
          <w:i/>
        </w:rPr>
        <w:t>D. pyri</w:t>
      </w:r>
      <w:r w:rsidRPr="00E13F67">
        <w:rPr>
          <w:i/>
        </w:rPr>
        <w:t xml:space="preserve"> </w:t>
      </w:r>
      <w:r w:rsidRPr="00BA2633">
        <w:rPr>
          <w:color w:val="000000"/>
        </w:rPr>
        <w:t xml:space="preserve">originating from wound infections </w:t>
      </w:r>
      <w:r>
        <w:rPr>
          <w:color w:val="000000"/>
        </w:rPr>
        <w:t>become visible</w:t>
      </w:r>
      <w:r w:rsidRPr="00BA2633">
        <w:rPr>
          <w:color w:val="000000"/>
        </w:rPr>
        <w:t xml:space="preserve"> after </w:t>
      </w:r>
      <w:r>
        <w:rPr>
          <w:color w:val="000000"/>
        </w:rPr>
        <w:t>approximately</w:t>
      </w:r>
      <w:r w:rsidRPr="00BA2633">
        <w:rPr>
          <w:color w:val="000000"/>
        </w:rPr>
        <w:t xml:space="preserve"> </w:t>
      </w:r>
      <w:r>
        <w:rPr>
          <w:color w:val="000000"/>
        </w:rPr>
        <w:t>two</w:t>
      </w:r>
      <w:r w:rsidRPr="00BA2633">
        <w:rPr>
          <w:color w:val="000000"/>
        </w:rPr>
        <w:t xml:space="preserve"> months </w:t>
      </w:r>
      <w:r>
        <w:rPr>
          <w:noProof/>
        </w:rPr>
        <w:t>(Washington State University 2005; Xiao &amp; Boal 2004b)</w:t>
      </w:r>
      <w:r w:rsidRPr="00BA2633">
        <w:rPr>
          <w:color w:val="000000"/>
        </w:rPr>
        <w:t>.</w:t>
      </w:r>
    </w:p>
    <w:p w14:paraId="7D9BADAA" w14:textId="77777777" w:rsidR="003438A2" w:rsidRPr="000948C0" w:rsidRDefault="003438A2" w:rsidP="003438A2">
      <w:pPr>
        <w:pStyle w:val="ListBullet"/>
        <w:numPr>
          <w:ilvl w:val="0"/>
          <w:numId w:val="15"/>
        </w:numPr>
        <w:rPr>
          <w:color w:val="000000"/>
        </w:rPr>
      </w:pPr>
      <w:r w:rsidRPr="00A12104">
        <w:t xml:space="preserve">On apple fruit, symptoms appear as spongy and brown decayed areas in the early stage, </w:t>
      </w:r>
      <w:r w:rsidRPr="000948C0">
        <w:t xml:space="preserve">which turn black as the infection progresses </w:t>
      </w:r>
      <w:r>
        <w:rPr>
          <w:noProof/>
        </w:rPr>
        <w:t>(Kim &amp; Xiao 2006)</w:t>
      </w:r>
      <w:r w:rsidRPr="000948C0">
        <w:t>.</w:t>
      </w:r>
    </w:p>
    <w:p w14:paraId="5862452C" w14:textId="77777777" w:rsidR="003438A2" w:rsidRPr="00EE48AA" w:rsidRDefault="003438A2" w:rsidP="00402960">
      <w:pPr>
        <w:pStyle w:val="ListBullet"/>
        <w:rPr>
          <w:noProof/>
        </w:rPr>
      </w:pPr>
      <w:r w:rsidRPr="00EE48AA">
        <w:rPr>
          <w:color w:val="000000"/>
        </w:rPr>
        <w:t xml:space="preserve">In PNW-USA, apples are usually stored after being harvested. Storage time may vary from 1 day to more than 11 months </w:t>
      </w:r>
      <w:r w:rsidRPr="00EE48AA">
        <w:rPr>
          <w:noProof/>
          <w:color w:val="000000"/>
        </w:rPr>
        <w:t>(Kupferman 1996)</w:t>
      </w:r>
      <w:r w:rsidRPr="00EE48AA">
        <w:rPr>
          <w:color w:val="000000"/>
        </w:rPr>
        <w:t>.</w:t>
      </w:r>
    </w:p>
    <w:p w14:paraId="4D0490E9" w14:textId="77777777" w:rsidR="003438A2" w:rsidRPr="000948C0" w:rsidRDefault="003438A2" w:rsidP="00C67856">
      <w:pPr>
        <w:pStyle w:val="ListBullet"/>
        <w:rPr>
          <w:color w:val="000000"/>
        </w:rPr>
      </w:pPr>
      <w:r>
        <w:rPr>
          <w:noProof/>
        </w:rPr>
        <w:t xml:space="preserve">Infected </w:t>
      </w:r>
      <w:r w:rsidRPr="000948C0">
        <w:rPr>
          <w:noProof/>
        </w:rPr>
        <w:t>apples showing symptoms at the time of packing are likely to be detected and removed from the export pathway.</w:t>
      </w:r>
    </w:p>
    <w:p w14:paraId="43381203" w14:textId="77777777" w:rsidR="003438A2" w:rsidRPr="000948C0" w:rsidRDefault="003438A2" w:rsidP="000417EF">
      <w:pPr>
        <w:pStyle w:val="ListBullet"/>
      </w:pPr>
      <w:r w:rsidRPr="000948C0">
        <w:t xml:space="preserve">Consignments with infected fruit showing symptoms are likely to be detected at the export phytosanitary inspection after cold storage and will be removed from export. </w:t>
      </w:r>
    </w:p>
    <w:p w14:paraId="5917CEFC" w14:textId="77777777" w:rsidR="003438A2" w:rsidRPr="000948C0" w:rsidRDefault="003438A2" w:rsidP="000417EF">
      <w:pPr>
        <w:pStyle w:val="ListBullet"/>
      </w:pPr>
      <w:r w:rsidRPr="000948C0">
        <w:t xml:space="preserve">Infected fruit not showing symptoms during packing processes or pre-export phytosanitary inspection, such as those packed and exported shortly after harvest, could be exported. </w:t>
      </w:r>
    </w:p>
    <w:p w14:paraId="016C87D8" w14:textId="77777777" w:rsidR="003438A2" w:rsidRDefault="003438A2" w:rsidP="00C67856">
      <w:r>
        <w:rPr>
          <w:i/>
        </w:rPr>
        <w:t xml:space="preserve">Discula pyri </w:t>
      </w:r>
      <w:r>
        <w:t>is tolerant of low temperatures and can spread in storage, making it likely to survive cold temperatures during storage and transport.</w:t>
      </w:r>
    </w:p>
    <w:p w14:paraId="3BA42B55" w14:textId="77777777" w:rsidR="003438A2" w:rsidRPr="003C73F5" w:rsidRDefault="003438A2" w:rsidP="003438A2">
      <w:pPr>
        <w:pStyle w:val="ListBullet"/>
        <w:numPr>
          <w:ilvl w:val="0"/>
          <w:numId w:val="15"/>
        </w:numPr>
      </w:pPr>
      <w:r w:rsidRPr="005927C2">
        <w:rPr>
          <w:i/>
        </w:rPr>
        <w:t>Discula pyri</w:t>
      </w:r>
      <w:r w:rsidRPr="005927C2">
        <w:t xml:space="preserve"> can survive and grow over a wide temperature range</w:t>
      </w:r>
      <w:r>
        <w:t xml:space="preserve"> of</w:t>
      </w:r>
      <w:r w:rsidRPr="005927C2">
        <w:t xml:space="preserve"> –3</w:t>
      </w:r>
      <w:r w:rsidRPr="00A824CD">
        <w:rPr>
          <w:rFonts w:cstheme="minorHAnsi"/>
        </w:rPr>
        <w:t>°</w:t>
      </w:r>
      <w:r>
        <w:rPr>
          <w:rFonts w:cstheme="minorHAnsi"/>
        </w:rPr>
        <w:t>C</w:t>
      </w:r>
      <w:r w:rsidRPr="005927C2">
        <w:t xml:space="preserve"> to 25</w:t>
      </w:r>
      <w:r w:rsidRPr="00A824CD">
        <w:rPr>
          <w:rFonts w:cstheme="minorHAnsi"/>
        </w:rPr>
        <w:t>°</w:t>
      </w:r>
      <w:r w:rsidRPr="000E092A">
        <w:t>C</w:t>
      </w:r>
      <w:r w:rsidRPr="005927C2">
        <w:t xml:space="preserve">, with </w:t>
      </w:r>
      <w:r w:rsidRPr="003C73F5">
        <w:t>optimum growth occurring at 15</w:t>
      </w:r>
      <w:r w:rsidRPr="003C73F5">
        <w:rPr>
          <w:rFonts w:cstheme="minorHAnsi"/>
        </w:rPr>
        <w:t>°</w:t>
      </w:r>
      <w:r>
        <w:rPr>
          <w:rFonts w:cstheme="minorHAnsi"/>
        </w:rPr>
        <w:t>C</w:t>
      </w:r>
      <w:r w:rsidRPr="003C73F5">
        <w:t xml:space="preserve"> to 20</w:t>
      </w:r>
      <w:r w:rsidRPr="003C73F5">
        <w:rPr>
          <w:rFonts w:cstheme="minorHAnsi"/>
        </w:rPr>
        <w:t>°</w:t>
      </w:r>
      <w:r w:rsidRPr="003C73F5">
        <w:t xml:space="preserve">C </w:t>
      </w:r>
      <w:r w:rsidRPr="003C73F5">
        <w:rPr>
          <w:noProof/>
        </w:rPr>
        <w:t>(Xiao &amp; Sitton 2004)</w:t>
      </w:r>
      <w:r w:rsidRPr="003C73F5">
        <w:t>.</w:t>
      </w:r>
    </w:p>
    <w:p w14:paraId="241F28C2" w14:textId="77777777" w:rsidR="003438A2" w:rsidRPr="003C73F5" w:rsidRDefault="003438A2" w:rsidP="00C67856">
      <w:pPr>
        <w:pStyle w:val="ListBullet"/>
      </w:pPr>
      <w:r w:rsidRPr="003C73F5">
        <w:t xml:space="preserve">Conidia of </w:t>
      </w:r>
      <w:r w:rsidRPr="003C73F5">
        <w:rPr>
          <w:i/>
        </w:rPr>
        <w:t>D. pyri</w:t>
      </w:r>
      <w:r w:rsidRPr="003C73F5">
        <w:t xml:space="preserve"> can germinate at 0</w:t>
      </w:r>
      <w:r w:rsidRPr="003C73F5">
        <w:rPr>
          <w:rFonts w:cstheme="minorHAnsi"/>
        </w:rPr>
        <w:t>°</w:t>
      </w:r>
      <w:r>
        <w:rPr>
          <w:rFonts w:cstheme="minorHAnsi"/>
        </w:rPr>
        <w:t>C</w:t>
      </w:r>
      <w:r w:rsidRPr="003C73F5">
        <w:t xml:space="preserve"> to 3</w:t>
      </w:r>
      <w:r>
        <w:t>0</w:t>
      </w:r>
      <w:r w:rsidRPr="003C73F5">
        <w:rPr>
          <w:rFonts w:cstheme="minorHAnsi"/>
        </w:rPr>
        <w:t>°</w:t>
      </w:r>
      <w:r w:rsidRPr="003C73F5">
        <w:t>C with an optimal temperature for germination of 20</w:t>
      </w:r>
      <w:r w:rsidRPr="003C73F5">
        <w:rPr>
          <w:rFonts w:cstheme="minorHAnsi"/>
        </w:rPr>
        <w:t>°</w:t>
      </w:r>
      <w:r>
        <w:rPr>
          <w:rFonts w:cstheme="minorHAnsi"/>
        </w:rPr>
        <w:t>C</w:t>
      </w:r>
      <w:r w:rsidRPr="003C73F5">
        <w:t xml:space="preserve"> to 25</w:t>
      </w:r>
      <w:r w:rsidRPr="003C73F5">
        <w:rPr>
          <w:rFonts w:cstheme="minorHAnsi"/>
        </w:rPr>
        <w:t>°</w:t>
      </w:r>
      <w:r w:rsidRPr="003C73F5">
        <w:t xml:space="preserve">C </w:t>
      </w:r>
      <w:r w:rsidRPr="003C73F5">
        <w:rPr>
          <w:noProof/>
        </w:rPr>
        <w:t>(Liu &amp; Xiao 2005)</w:t>
      </w:r>
      <w:r w:rsidRPr="003C73F5">
        <w:t>.</w:t>
      </w:r>
    </w:p>
    <w:p w14:paraId="5A6B675A" w14:textId="77777777" w:rsidR="003438A2" w:rsidRPr="003E5D7D" w:rsidRDefault="003438A2" w:rsidP="003438A2">
      <w:pPr>
        <w:pStyle w:val="ListBullet"/>
        <w:numPr>
          <w:ilvl w:val="0"/>
          <w:numId w:val="15"/>
        </w:numPr>
      </w:pPr>
      <w:r>
        <w:lastRenderedPageBreak/>
        <w:t xml:space="preserve">Apples are cold-stored and transported at temperatures </w:t>
      </w:r>
      <w:r w:rsidRPr="00563BF3">
        <w:t>from 0</w:t>
      </w:r>
      <w:r w:rsidRPr="00A824CD">
        <w:rPr>
          <w:rFonts w:cstheme="minorHAnsi"/>
        </w:rPr>
        <w:t>°</w:t>
      </w:r>
      <w:r>
        <w:rPr>
          <w:rFonts w:cstheme="minorHAnsi"/>
        </w:rPr>
        <w:t>C</w:t>
      </w:r>
      <w:r w:rsidRPr="00563BF3">
        <w:t xml:space="preserve"> to 2</w:t>
      </w:r>
      <w:r w:rsidRPr="00A824CD">
        <w:rPr>
          <w:rFonts w:cstheme="minorHAnsi"/>
        </w:rPr>
        <w:t>°</w:t>
      </w:r>
      <w:r w:rsidRPr="000E092A">
        <w:t>C</w:t>
      </w:r>
      <w:r w:rsidRPr="00563BF3">
        <w:t xml:space="preserve"> </w:t>
      </w:r>
      <w:r>
        <w:rPr>
          <w:noProof/>
        </w:rPr>
        <w:t>(Good Fruit Grower 2014; Iowa State University Extension and Outreach 2008; Kupferman 1996; University of Maine 2020)</w:t>
      </w:r>
      <w:r>
        <w:t>.</w:t>
      </w:r>
    </w:p>
    <w:p w14:paraId="6568CF78" w14:textId="77777777" w:rsidR="003438A2" w:rsidRPr="003C73F5" w:rsidRDefault="003438A2" w:rsidP="003438A2">
      <w:pPr>
        <w:pStyle w:val="ListBullet"/>
        <w:numPr>
          <w:ilvl w:val="0"/>
          <w:numId w:val="15"/>
        </w:numPr>
      </w:pPr>
      <w:r w:rsidRPr="003C73F5">
        <w:t xml:space="preserve">Sea freight, which takes about five weeks, is likely to be the preferred method of transport of apples from the PNW-USA to Australia and fruit will be maintained at very low temperatures </w:t>
      </w:r>
      <w:r w:rsidRPr="003C73F5">
        <w:rPr>
          <w:noProof/>
        </w:rPr>
        <w:t>(WSU Tree Fruit 2021c)</w:t>
      </w:r>
      <w:r w:rsidRPr="003C73F5">
        <w:t>.</w:t>
      </w:r>
    </w:p>
    <w:p w14:paraId="00EC1E64" w14:textId="77777777" w:rsidR="003438A2" w:rsidRPr="00280F00" w:rsidRDefault="003438A2" w:rsidP="00C67856">
      <w:r>
        <w:rPr>
          <w:i/>
        </w:rPr>
        <w:t>Discula</w:t>
      </w:r>
      <w:r w:rsidRPr="00A12104">
        <w:rPr>
          <w:i/>
        </w:rPr>
        <w:t xml:space="preserve"> </w:t>
      </w:r>
      <w:r w:rsidRPr="00BF37BA">
        <w:rPr>
          <w:i/>
        </w:rPr>
        <w:t>pyri</w:t>
      </w:r>
      <w:r w:rsidRPr="00BF37BA">
        <w:t xml:space="preserve"> </w:t>
      </w:r>
      <w:r>
        <w:t xml:space="preserve">is primarily a pest of </w:t>
      </w:r>
      <w:r w:rsidRPr="00BF37BA">
        <w:t xml:space="preserve">stored pears </w:t>
      </w:r>
      <w:r>
        <w:t xml:space="preserve">in Oregon </w:t>
      </w:r>
      <w:r w:rsidRPr="00BF37BA">
        <w:t xml:space="preserve">and </w:t>
      </w:r>
      <w:r>
        <w:t xml:space="preserve">Washington. While this fungus can cause minor post-harvest decay on apples in the PNW-USA, it has only been detected at low levels in recent surveys of post-harvest rots of apples in Washington. </w:t>
      </w:r>
      <w:r>
        <w:rPr>
          <w:i/>
        </w:rPr>
        <w:t>Discula</w:t>
      </w:r>
      <w:r w:rsidRPr="00A12104">
        <w:rPr>
          <w:i/>
        </w:rPr>
        <w:t xml:space="preserve"> </w:t>
      </w:r>
      <w:r w:rsidRPr="00BF37BA">
        <w:rPr>
          <w:i/>
        </w:rPr>
        <w:t>pyri</w:t>
      </w:r>
      <w:r>
        <w:rPr>
          <w:i/>
        </w:rPr>
        <w:t xml:space="preserve"> </w:t>
      </w:r>
      <w:r w:rsidRPr="00810904">
        <w:rPr>
          <w:iCs/>
        </w:rPr>
        <w:t xml:space="preserve">is likely to survive cold </w:t>
      </w:r>
      <w:r>
        <w:rPr>
          <w:iCs/>
        </w:rPr>
        <w:t xml:space="preserve">temperatures during </w:t>
      </w:r>
      <w:r w:rsidRPr="00810904">
        <w:rPr>
          <w:iCs/>
        </w:rPr>
        <w:t>storage and transport</w:t>
      </w:r>
      <w:r>
        <w:t xml:space="preserve">. </w:t>
      </w:r>
      <w:r w:rsidRPr="00871B56">
        <w:t>Considering the</w:t>
      </w:r>
      <w:r>
        <w:t xml:space="preserve"> rare association of the fungus with apple fruit in the PNW-USA, and development of visible symptoms of infection in storage, which provide opportunity for detection during post-storage handling, the likelihood of</w:t>
      </w:r>
      <w:r w:rsidRPr="00280F00">
        <w:t xml:space="preserve"> importation of </w:t>
      </w:r>
      <w:r>
        <w:rPr>
          <w:i/>
        </w:rPr>
        <w:t>D. pyri</w:t>
      </w:r>
      <w:r w:rsidRPr="00A12104">
        <w:t xml:space="preserve"> </w:t>
      </w:r>
      <w:r>
        <w:t>on apples from PNW-USA is rated as L</w:t>
      </w:r>
      <w:r w:rsidRPr="00280F00">
        <w:t>ow.</w:t>
      </w:r>
    </w:p>
    <w:p w14:paraId="7D56961A" w14:textId="77777777" w:rsidR="003438A2" w:rsidRPr="006E7020" w:rsidRDefault="003438A2" w:rsidP="00C67856">
      <w:pPr>
        <w:pStyle w:val="Heading5"/>
      </w:pPr>
      <w:r w:rsidRPr="006E7020">
        <w:t>Likelihood of distribution</w:t>
      </w:r>
    </w:p>
    <w:p w14:paraId="7DC950FD" w14:textId="77777777" w:rsidR="003438A2" w:rsidRPr="00A12104" w:rsidRDefault="003438A2" w:rsidP="00C67856">
      <w:r w:rsidRPr="00A12104">
        <w:t xml:space="preserve">The likelihood that </w:t>
      </w:r>
      <w:r>
        <w:rPr>
          <w:i/>
        </w:rPr>
        <w:t>D.</w:t>
      </w:r>
      <w:r w:rsidRPr="00A12104">
        <w:rPr>
          <w:i/>
        </w:rPr>
        <w:t xml:space="preserve"> </w:t>
      </w:r>
      <w:r>
        <w:rPr>
          <w:i/>
        </w:rPr>
        <w:t>pyri</w:t>
      </w:r>
      <w:r w:rsidRPr="00A12104">
        <w:t xml:space="preserve"> will be distributed in Australia in a viable state, as a result of the processing, sale or disposal of </w:t>
      </w:r>
      <w:r>
        <w:t>apples from the PNW-USA,</w:t>
      </w:r>
      <w:r w:rsidRPr="008D5F43">
        <w:t xml:space="preserve"> </w:t>
      </w:r>
      <w:r>
        <w:t>and subsequently transfer to a susceptible part of a host, is assessed as Low.</w:t>
      </w:r>
    </w:p>
    <w:p w14:paraId="2F34F4B8" w14:textId="77777777" w:rsidR="003438A2" w:rsidRDefault="003438A2" w:rsidP="00C67856">
      <w:r>
        <w:t>The following information provides supporting evidence for this assessment.</w:t>
      </w:r>
    </w:p>
    <w:p w14:paraId="1D9D0599" w14:textId="77777777" w:rsidR="003438A2" w:rsidRPr="00A12104" w:rsidRDefault="003438A2" w:rsidP="00C67856">
      <w:r>
        <w:t>Upon arrival, some infected apples from PNW-USA may still be asymptomatic or exhibit mild symptoms and could be distributed in Australia.</w:t>
      </w:r>
    </w:p>
    <w:p w14:paraId="2BEC6E63" w14:textId="77777777" w:rsidR="003438A2" w:rsidRDefault="003438A2" w:rsidP="00C67856">
      <w:pPr>
        <w:pStyle w:val="ListBullet"/>
      </w:pPr>
      <w:r w:rsidRPr="00E44808">
        <w:t xml:space="preserve">It is expected that apple fruit </w:t>
      </w:r>
      <w:r>
        <w:t xml:space="preserve">from PNW-USA </w:t>
      </w:r>
      <w:r w:rsidRPr="00E44808">
        <w:t xml:space="preserve">will be </w:t>
      </w:r>
      <w:r>
        <w:t xml:space="preserve">widely </w:t>
      </w:r>
      <w:r w:rsidRPr="00E44808">
        <w:t>distributed for wholesale or retail sale</w:t>
      </w:r>
      <w:r>
        <w:t xml:space="preserve"> for human consumption. F</w:t>
      </w:r>
      <w:r w:rsidRPr="00E44808">
        <w:t xml:space="preserve">ruit </w:t>
      </w:r>
      <w:r>
        <w:t xml:space="preserve">infected with </w:t>
      </w:r>
      <w:r w:rsidRPr="0050265D">
        <w:rPr>
          <w:i/>
        </w:rPr>
        <w:t>D. pyri</w:t>
      </w:r>
      <w:r w:rsidRPr="00A12104">
        <w:t xml:space="preserve"> </w:t>
      </w:r>
      <w:r w:rsidRPr="00E44808">
        <w:t>may be distributed during these procedures</w:t>
      </w:r>
      <w:r>
        <w:t>.</w:t>
      </w:r>
    </w:p>
    <w:p w14:paraId="2853A176" w14:textId="77777777" w:rsidR="003438A2" w:rsidRDefault="003438A2" w:rsidP="00C67856">
      <w:pPr>
        <w:pStyle w:val="ListBullet"/>
      </w:pPr>
      <w:r w:rsidRPr="00810904">
        <w:t xml:space="preserve">The pathogen is likely to survive low temperature conditions during distribution </w:t>
      </w:r>
      <w:r>
        <w:t xml:space="preserve">and storage </w:t>
      </w:r>
      <w:r w:rsidRPr="00810904">
        <w:t>of fruit in Australia.</w:t>
      </w:r>
    </w:p>
    <w:p w14:paraId="2B65E903" w14:textId="77777777" w:rsidR="003438A2" w:rsidRPr="003A0988" w:rsidRDefault="003438A2" w:rsidP="00C67856">
      <w:pPr>
        <w:pStyle w:val="ListBullet"/>
      </w:pPr>
      <w:r w:rsidRPr="003A0988">
        <w:t xml:space="preserve">Packed apple fruit may not be processed or handled until they arrive at the retail points. Any fruit showing symptoms of </w:t>
      </w:r>
      <w:r>
        <w:rPr>
          <w:i/>
        </w:rPr>
        <w:t>D. pyri</w:t>
      </w:r>
      <w:r w:rsidRPr="003A0988">
        <w:t xml:space="preserve"> infection at this point are likely to be removed from further distribution and discarded into managed waste systems. Commercial waste of imported apple fruit may also be generated prior to or during retail sale and discarded in the same way. Potential exposure to suitable host plants from waste discarded into managed waste systems is likely to be negligible.</w:t>
      </w:r>
    </w:p>
    <w:p w14:paraId="7FA8D3F4" w14:textId="77777777" w:rsidR="003438A2" w:rsidRPr="003A0988" w:rsidRDefault="003438A2" w:rsidP="00C67856">
      <w:pPr>
        <w:pStyle w:val="ListBullet"/>
      </w:pPr>
      <w:r w:rsidRPr="003A0988">
        <w:t xml:space="preserve">However, some apple fruit infected with </w:t>
      </w:r>
      <w:r>
        <w:rPr>
          <w:i/>
        </w:rPr>
        <w:t>D. pyri</w:t>
      </w:r>
      <w:r w:rsidRPr="003A0988">
        <w:t xml:space="preserve"> </w:t>
      </w:r>
      <w:r>
        <w:t xml:space="preserve">that were packed and exported shortly after harvest </w:t>
      </w:r>
      <w:r w:rsidRPr="003A0988">
        <w:t xml:space="preserve">may </w:t>
      </w:r>
      <w:r>
        <w:t>still be asymptomatic or exhibit only mild</w:t>
      </w:r>
      <w:r w:rsidRPr="003A0988">
        <w:t xml:space="preserve"> symptoms and therefore may be sold to consumers.</w:t>
      </w:r>
    </w:p>
    <w:p w14:paraId="0AD83CDE" w14:textId="77777777" w:rsidR="003438A2" w:rsidRPr="00A44CD9" w:rsidRDefault="003438A2" w:rsidP="00C67856">
      <w:r w:rsidRPr="00A44CD9">
        <w:t xml:space="preserve">Some apple waste infected with </w:t>
      </w:r>
      <w:r>
        <w:rPr>
          <w:i/>
        </w:rPr>
        <w:t>D. pyri</w:t>
      </w:r>
      <w:r w:rsidRPr="00A44CD9">
        <w:t xml:space="preserve"> may be discarded into the environment</w:t>
      </w:r>
      <w:r>
        <w:t xml:space="preserve">. The limited host range of </w:t>
      </w:r>
      <w:r w:rsidRPr="003E06CB">
        <w:rPr>
          <w:i/>
          <w:iCs/>
        </w:rPr>
        <w:t>D. pyri</w:t>
      </w:r>
      <w:r>
        <w:t xml:space="preserve"> reduces the likelihood of apple waste being discarded in close proximity to</w:t>
      </w:r>
      <w:r w:rsidRPr="00A44CD9">
        <w:t xml:space="preserve"> a suitable host.</w:t>
      </w:r>
    </w:p>
    <w:p w14:paraId="24A3C2A1" w14:textId="77777777" w:rsidR="003438A2" w:rsidRPr="00A44CD9" w:rsidRDefault="003438A2" w:rsidP="003438A2">
      <w:pPr>
        <w:pStyle w:val="ListBullet"/>
        <w:numPr>
          <w:ilvl w:val="0"/>
          <w:numId w:val="15"/>
        </w:numPr>
      </w:pPr>
      <w:r w:rsidRPr="00A44CD9">
        <w:t xml:space="preserve">Apple fruit from the PNW-USA are intended for human consumption and most fruit, other than the core of the fruit, will be consumed. </w:t>
      </w:r>
      <w:r>
        <w:t>Most</w:t>
      </w:r>
      <w:r w:rsidRPr="00A44CD9">
        <w:t xml:space="preserve"> fruit waste, including the core and rotten fruit, is likely to be discarded </w:t>
      </w:r>
      <w:r>
        <w:t xml:space="preserve">by consumers </w:t>
      </w:r>
      <w:r w:rsidRPr="00A44CD9">
        <w:t>into managed waste systems. Potential exposure to suitable host plants from waste discarded in this way is likely to be negligible.</w:t>
      </w:r>
    </w:p>
    <w:p w14:paraId="396E53E2" w14:textId="77777777" w:rsidR="003438A2" w:rsidRPr="00A44CD9" w:rsidRDefault="003438A2" w:rsidP="003438A2">
      <w:pPr>
        <w:pStyle w:val="ListBullet"/>
        <w:numPr>
          <w:ilvl w:val="0"/>
          <w:numId w:val="15"/>
        </w:numPr>
      </w:pPr>
      <w:r w:rsidRPr="00A44CD9">
        <w:lastRenderedPageBreak/>
        <w:t xml:space="preserve">However, individual consumers may discard apple fruit waste in </w:t>
      </w:r>
      <w:r>
        <w:t xml:space="preserve">domestic compost or in </w:t>
      </w:r>
      <w:r w:rsidRPr="00A44CD9">
        <w:t>a variety of urban, rural and natural environments. Some of this waste could be discarded near suitable host plants.</w:t>
      </w:r>
    </w:p>
    <w:p w14:paraId="5894E42F" w14:textId="77777777" w:rsidR="003438A2" w:rsidRPr="00DA70FA" w:rsidRDefault="003438A2" w:rsidP="00DA70FA">
      <w:pPr>
        <w:pStyle w:val="ListBullet"/>
      </w:pPr>
      <w:r w:rsidRPr="00DA70FA">
        <w:t xml:space="preserve">Pycnidia and conidia may be produced on decayed areas of the fruit </w:t>
      </w:r>
      <w:r w:rsidRPr="00DA70FA">
        <w:rPr>
          <w:noProof/>
        </w:rPr>
        <w:t>(Xiao 2006; Xiao &amp; Boal 2004b)</w:t>
      </w:r>
      <w:r w:rsidRPr="00DA70FA">
        <w:t>.</w:t>
      </w:r>
    </w:p>
    <w:p w14:paraId="6302CC2B" w14:textId="77777777" w:rsidR="003438A2" w:rsidRDefault="003438A2" w:rsidP="00C67856">
      <w:pPr>
        <w:pStyle w:val="ListBullet"/>
      </w:pPr>
      <w:r w:rsidRPr="00A12104">
        <w:t xml:space="preserve">Conidia of </w:t>
      </w:r>
      <w:r w:rsidRPr="00A46282">
        <w:rPr>
          <w:i/>
        </w:rPr>
        <w:t>D. pyri</w:t>
      </w:r>
      <w:r w:rsidRPr="00A12104">
        <w:t xml:space="preserve"> are dispersed b</w:t>
      </w:r>
      <w:r>
        <w:t xml:space="preserve">y water </w:t>
      </w:r>
      <w:r>
        <w:rPr>
          <w:noProof/>
        </w:rPr>
        <w:t>(Ali et al. 2018; DiCosmo, Nag Raj &amp; Kendrick 1984; Sholberg, Stokes &amp; O'Gorman 2010)</w:t>
      </w:r>
      <w:r>
        <w:t>, and rain-splash may enable initiation of subsequent infections.</w:t>
      </w:r>
    </w:p>
    <w:p w14:paraId="7D5F7971" w14:textId="77777777" w:rsidR="003438A2" w:rsidRPr="00B52296" w:rsidRDefault="003438A2" w:rsidP="00C67856">
      <w:pPr>
        <w:pStyle w:val="ListBullet"/>
      </w:pPr>
      <w:r>
        <w:t xml:space="preserve">However, </w:t>
      </w:r>
      <w:r w:rsidRPr="008831E6">
        <w:rPr>
          <w:i/>
          <w:iCs/>
        </w:rPr>
        <w:t>D</w:t>
      </w:r>
      <w:r>
        <w:rPr>
          <w:i/>
          <w:iCs/>
        </w:rPr>
        <w:t>.</w:t>
      </w:r>
      <w:r w:rsidRPr="008831E6">
        <w:rPr>
          <w:i/>
          <w:iCs/>
        </w:rPr>
        <w:t xml:space="preserve"> pyri</w:t>
      </w:r>
      <w:r>
        <w:t xml:space="preserve"> has a limited host </w:t>
      </w:r>
      <w:r w:rsidRPr="00B52296">
        <w:t>range. The primary hosts are</w:t>
      </w:r>
      <w:r w:rsidRPr="00B52296">
        <w:rPr>
          <w:i/>
        </w:rPr>
        <w:t xml:space="preserve"> Pyrus </w:t>
      </w:r>
      <w:r w:rsidRPr="00B52296">
        <w:t>species. While known to also infect apple</w:t>
      </w:r>
      <w:r w:rsidRPr="00B52296">
        <w:rPr>
          <w:i/>
        </w:rPr>
        <w:t xml:space="preserve"> </w:t>
      </w:r>
      <w:r w:rsidRPr="00B52296">
        <w:rPr>
          <w:iCs/>
        </w:rPr>
        <w:t>(</w:t>
      </w:r>
      <w:r w:rsidRPr="00B52296">
        <w:rPr>
          <w:i/>
        </w:rPr>
        <w:t>Malus</w:t>
      </w:r>
      <w:r w:rsidRPr="00B52296">
        <w:t xml:space="preserve"> spp.) and quince (</w:t>
      </w:r>
      <w:r w:rsidRPr="00B52296">
        <w:rPr>
          <w:i/>
        </w:rPr>
        <w:t>Cydonia vulgaris</w:t>
      </w:r>
      <w:r w:rsidRPr="00B52296">
        <w:t xml:space="preserve"> with the synonym as </w:t>
      </w:r>
      <w:r w:rsidRPr="00B52296">
        <w:rPr>
          <w:i/>
          <w:iCs/>
        </w:rPr>
        <w:t>C. oblonga</w:t>
      </w:r>
      <w:r w:rsidRPr="00B52296">
        <w:t xml:space="preserve">) </w:t>
      </w:r>
      <w:r w:rsidRPr="00B52296">
        <w:rPr>
          <w:noProof/>
        </w:rPr>
        <w:t>(DiCosmo, Nag Raj &amp; Kendrick 1984)</w:t>
      </w:r>
      <w:r w:rsidRPr="00B52296">
        <w:t>, such infections are rare.</w:t>
      </w:r>
    </w:p>
    <w:p w14:paraId="52C2CC80" w14:textId="77777777" w:rsidR="003438A2" w:rsidRDefault="003438A2" w:rsidP="00C67856">
      <w:r w:rsidRPr="00B52296">
        <w:t xml:space="preserve">The fungus is able to persist and grow at the low temperatures used for commercial cold storage and distribution of apples in Australia. There is potential for distribution of </w:t>
      </w:r>
      <w:r w:rsidRPr="00B52296">
        <w:rPr>
          <w:i/>
          <w:iCs/>
        </w:rPr>
        <w:t xml:space="preserve">D. pyri </w:t>
      </w:r>
      <w:r w:rsidRPr="00B52296">
        <w:t>in association with infected apples from the PNW-USA. Some infected</w:t>
      </w:r>
      <w:r>
        <w:t xml:space="preserve"> fruit carrying viable pycnidia or conidia (pycnidiospores) developed at advanced stages of infection could be discarded in the environment. </w:t>
      </w:r>
      <w:r w:rsidRPr="002F3C98">
        <w:t>Pycnidia</w:t>
      </w:r>
      <w:r>
        <w:t xml:space="preserve"> can</w:t>
      </w:r>
      <w:r w:rsidRPr="002F3C98">
        <w:t xml:space="preserve"> survive adverse conditions</w:t>
      </w:r>
      <w:r>
        <w:t xml:space="preserve">. Conidia from pycnidia are dispersed by water and rain may initiate infection. However, </w:t>
      </w:r>
      <w:r w:rsidRPr="003C73F5">
        <w:rPr>
          <w:i/>
          <w:iCs/>
        </w:rPr>
        <w:t>D. pyri</w:t>
      </w:r>
      <w:r>
        <w:t xml:space="preserve"> has a limited host range, which reduces the likelihood of fruit waste being discarded in close proximity to a suitable host.</w:t>
      </w:r>
    </w:p>
    <w:p w14:paraId="162C2C6F" w14:textId="77777777" w:rsidR="003438A2" w:rsidRPr="000E1F3A" w:rsidRDefault="003438A2" w:rsidP="00C67856">
      <w:pPr>
        <w:rPr>
          <w:i/>
          <w:iCs/>
        </w:rPr>
      </w:pPr>
      <w:r>
        <w:t>For the reasons outlined, the</w:t>
      </w:r>
      <w:r w:rsidRPr="00194CE2">
        <w:t xml:space="preserve"> </w:t>
      </w:r>
      <w:r>
        <w:t xml:space="preserve">likelihood estimate for distribution of </w:t>
      </w:r>
      <w:r>
        <w:rPr>
          <w:i/>
        </w:rPr>
        <w:t xml:space="preserve">D. pyri </w:t>
      </w:r>
      <w:r>
        <w:t>on apples from PNW-USA is rated as Low.</w:t>
      </w:r>
    </w:p>
    <w:p w14:paraId="37B16150" w14:textId="77777777" w:rsidR="003438A2" w:rsidRPr="006E7020" w:rsidRDefault="003438A2" w:rsidP="00C67856">
      <w:pPr>
        <w:pStyle w:val="Heading5"/>
      </w:pPr>
      <w:r w:rsidRPr="006E7020">
        <w:t>Overall likelihood of entry</w:t>
      </w:r>
    </w:p>
    <w:p w14:paraId="2AEEFC60" w14:textId="77777777" w:rsidR="003438A2" w:rsidRPr="00A12104" w:rsidRDefault="003438A2" w:rsidP="00C67856">
      <w:r w:rsidRPr="00A12104">
        <w:t>The overall likelihood of entry is determined by combining the likelihood of importation with the likelihood of distribution using the matrix of ru</w:t>
      </w:r>
      <w:r>
        <w:t xml:space="preserve">les shown in </w:t>
      </w:r>
      <w:r>
        <w:fldChar w:fldCharType="begin" w:fldLock="1"/>
      </w:r>
      <w:r>
        <w:instrText xml:space="preserve"> REF _Ref457826328 \h </w:instrText>
      </w:r>
      <w:r>
        <w:fldChar w:fldCharType="separate"/>
      </w:r>
      <w:r w:rsidRPr="00DB5F8D">
        <w:t xml:space="preserve">Table </w:t>
      </w:r>
      <w:r>
        <w:rPr>
          <w:noProof/>
        </w:rPr>
        <w:t>2</w:t>
      </w:r>
      <w:r>
        <w:t>.</w:t>
      </w:r>
      <w:r>
        <w:rPr>
          <w:noProof/>
        </w:rPr>
        <w:t>2</w:t>
      </w:r>
      <w:r>
        <w:fldChar w:fldCharType="end"/>
      </w:r>
      <w:r>
        <w:t>.</w:t>
      </w:r>
    </w:p>
    <w:p w14:paraId="2D54BF33" w14:textId="77777777" w:rsidR="003438A2" w:rsidRPr="00A12104" w:rsidRDefault="003438A2" w:rsidP="00C67856">
      <w:r w:rsidRPr="00A12104">
        <w:t xml:space="preserve">The likelihood that </w:t>
      </w:r>
      <w:r>
        <w:rPr>
          <w:i/>
        </w:rPr>
        <w:t>D.</w:t>
      </w:r>
      <w:r w:rsidRPr="00A12104">
        <w:rPr>
          <w:i/>
        </w:rPr>
        <w:t xml:space="preserve"> </w:t>
      </w:r>
      <w:r>
        <w:rPr>
          <w:i/>
        </w:rPr>
        <w:t>pyri</w:t>
      </w:r>
      <w:r w:rsidRPr="00A12104">
        <w:t xml:space="preserve"> will enter Australia as a result of trade </w:t>
      </w:r>
      <w:r>
        <w:t>in apples from the PNW-USA</w:t>
      </w:r>
      <w:r w:rsidRPr="00A12104">
        <w:t xml:space="preserve"> and be distributed in a viable state to a suitable host</w:t>
      </w:r>
      <w:r>
        <w:t xml:space="preserve"> is assessed as Very Low</w:t>
      </w:r>
      <w:r w:rsidRPr="00A12104">
        <w:t>.</w:t>
      </w:r>
    </w:p>
    <w:p w14:paraId="2737D694" w14:textId="77777777" w:rsidR="003438A2" w:rsidRPr="0045382F" w:rsidRDefault="003438A2" w:rsidP="00F843A1">
      <w:pPr>
        <w:pStyle w:val="Heading4"/>
        <w:numPr>
          <w:ilvl w:val="2"/>
          <w:numId w:val="29"/>
        </w:numPr>
        <w:ind w:firstLine="199"/>
      </w:pPr>
      <w:r w:rsidRPr="0045382F">
        <w:t>Likelihood of establishment</w:t>
      </w:r>
    </w:p>
    <w:p w14:paraId="242FB772" w14:textId="77777777" w:rsidR="003438A2" w:rsidRPr="00A12104" w:rsidRDefault="003438A2" w:rsidP="00C67856">
      <w:r w:rsidRPr="00A12104">
        <w:t xml:space="preserve">The likelihood that </w:t>
      </w:r>
      <w:r>
        <w:rPr>
          <w:i/>
        </w:rPr>
        <w:t>D.</w:t>
      </w:r>
      <w:r w:rsidRPr="00A12104">
        <w:rPr>
          <w:i/>
        </w:rPr>
        <w:t xml:space="preserve"> </w:t>
      </w:r>
      <w:r>
        <w:rPr>
          <w:i/>
        </w:rPr>
        <w:t>pyri</w:t>
      </w:r>
      <w:r w:rsidRPr="00A12104">
        <w:t xml:space="preserve"> will establish</w:t>
      </w:r>
      <w:r>
        <w:t>,</w:t>
      </w:r>
      <w:r w:rsidRPr="00A12104">
        <w:t xml:space="preserve"> based on the comparison of factors that affect pest survival and reproduction</w:t>
      </w:r>
      <w:r>
        <w:t xml:space="preserve"> </w:t>
      </w:r>
      <w:r w:rsidRPr="00A12104">
        <w:t>in the source and destination areas</w:t>
      </w:r>
      <w:r>
        <w:t>,</w:t>
      </w:r>
      <w:r w:rsidRPr="00A12104">
        <w:t xml:space="preserve"> </w:t>
      </w:r>
      <w:r>
        <w:t>is assessed as Moderate.</w:t>
      </w:r>
    </w:p>
    <w:p w14:paraId="559D556C" w14:textId="77777777" w:rsidR="003438A2" w:rsidRDefault="003438A2" w:rsidP="00C67856">
      <w:r>
        <w:t>The following information provides supporting evidence for this assessment.</w:t>
      </w:r>
    </w:p>
    <w:p w14:paraId="0FE2F53E" w14:textId="77777777" w:rsidR="003438A2" w:rsidRPr="00BD6A83" w:rsidRDefault="003438A2" w:rsidP="00C67856">
      <w:r>
        <w:t xml:space="preserve">Hosts of </w:t>
      </w:r>
      <w:r>
        <w:rPr>
          <w:i/>
        </w:rPr>
        <w:t xml:space="preserve">D. pyri </w:t>
      </w:r>
      <w:r>
        <w:t>are present in Australia.</w:t>
      </w:r>
    </w:p>
    <w:p w14:paraId="10E6F94F" w14:textId="77777777" w:rsidR="003438A2" w:rsidRPr="00B52296" w:rsidRDefault="003438A2" w:rsidP="00C67856">
      <w:pPr>
        <w:pStyle w:val="ListBullet"/>
      </w:pPr>
      <w:r>
        <w:rPr>
          <w:i/>
        </w:rPr>
        <w:t>Discula</w:t>
      </w:r>
      <w:r w:rsidRPr="00A12104">
        <w:rPr>
          <w:i/>
        </w:rPr>
        <w:t xml:space="preserve"> </w:t>
      </w:r>
      <w:r>
        <w:rPr>
          <w:i/>
        </w:rPr>
        <w:t>pyri</w:t>
      </w:r>
      <w:r w:rsidRPr="00A12104">
        <w:t xml:space="preserve"> has a limited range of </w:t>
      </w:r>
      <w:r w:rsidRPr="00B52296">
        <w:t>hosts in the family Rosaceae, including apple</w:t>
      </w:r>
      <w:r w:rsidRPr="00B52296">
        <w:rPr>
          <w:i/>
        </w:rPr>
        <w:t xml:space="preserve"> </w:t>
      </w:r>
      <w:r w:rsidRPr="00B52296">
        <w:t>(</w:t>
      </w:r>
      <w:r w:rsidRPr="00B52296">
        <w:rPr>
          <w:i/>
        </w:rPr>
        <w:t>Malus</w:t>
      </w:r>
      <w:r w:rsidRPr="00B52296">
        <w:t xml:space="preserve"> spp.), pear</w:t>
      </w:r>
      <w:r w:rsidRPr="00B52296">
        <w:rPr>
          <w:i/>
        </w:rPr>
        <w:t xml:space="preserve"> </w:t>
      </w:r>
      <w:r w:rsidRPr="00B52296">
        <w:t>(</w:t>
      </w:r>
      <w:r w:rsidRPr="00B52296">
        <w:rPr>
          <w:i/>
        </w:rPr>
        <w:t>Pyrus</w:t>
      </w:r>
      <w:r w:rsidRPr="00B52296">
        <w:t xml:space="preserve"> spp.) and quince (</w:t>
      </w:r>
      <w:r w:rsidRPr="00B52296">
        <w:rPr>
          <w:i/>
        </w:rPr>
        <w:t>Cydonia vulgaris</w:t>
      </w:r>
      <w:r w:rsidRPr="00B52296">
        <w:t xml:space="preserve"> with the synonym as </w:t>
      </w:r>
      <w:r w:rsidRPr="00B52296">
        <w:rPr>
          <w:i/>
          <w:iCs/>
        </w:rPr>
        <w:t>C. oblonga</w:t>
      </w:r>
      <w:r w:rsidRPr="00B52296">
        <w:t xml:space="preserve">) </w:t>
      </w:r>
      <w:r w:rsidRPr="00B52296">
        <w:rPr>
          <w:noProof/>
        </w:rPr>
        <w:t>(DiCosmo, Nag Raj &amp; Kendrick 1984; Farr &amp; Rossman 2009)</w:t>
      </w:r>
      <w:r w:rsidRPr="00B52296">
        <w:t>.</w:t>
      </w:r>
    </w:p>
    <w:p w14:paraId="07F6FE81" w14:textId="77777777" w:rsidR="003438A2" w:rsidRPr="00A12104" w:rsidRDefault="003438A2" w:rsidP="00C67856">
      <w:pPr>
        <w:pStyle w:val="ListBullet"/>
      </w:pPr>
      <w:r w:rsidRPr="00B52296">
        <w:t>These hosts are widely distributed in Australia in commercial orchard</w:t>
      </w:r>
      <w:r w:rsidRPr="00A12104">
        <w:t xml:space="preserve"> districts, as w</w:t>
      </w:r>
      <w:r>
        <w:t>ell as suburban and rural areas.</w:t>
      </w:r>
    </w:p>
    <w:p w14:paraId="298E542F" w14:textId="77777777" w:rsidR="003438A2" w:rsidRDefault="003438A2" w:rsidP="00C67856">
      <w:r>
        <w:t xml:space="preserve">Climatic conditions are likely to be suitable for the establishment of </w:t>
      </w:r>
      <w:r w:rsidRPr="00A84AFC">
        <w:rPr>
          <w:i/>
          <w:iCs/>
        </w:rPr>
        <w:t>D. pyri.</w:t>
      </w:r>
    </w:p>
    <w:p w14:paraId="54406730" w14:textId="77777777" w:rsidR="003438A2" w:rsidRPr="00BD6A83" w:rsidRDefault="003438A2" w:rsidP="00C67856">
      <w:pPr>
        <w:pStyle w:val="ListBullet"/>
      </w:pPr>
      <w:r>
        <w:rPr>
          <w:i/>
        </w:rPr>
        <w:t xml:space="preserve">Discula pyri </w:t>
      </w:r>
      <w:r w:rsidRPr="00A12104">
        <w:t xml:space="preserve">can grow </w:t>
      </w:r>
      <w:r>
        <w:t xml:space="preserve">over a wide temperature range of </w:t>
      </w:r>
      <w:r w:rsidRPr="00A12104">
        <w:t>–3</w:t>
      </w:r>
      <w:r w:rsidRPr="00A824CD">
        <w:rPr>
          <w:rFonts w:cstheme="minorHAnsi"/>
        </w:rPr>
        <w:t>°</w:t>
      </w:r>
      <w:r>
        <w:rPr>
          <w:rFonts w:cstheme="minorHAnsi"/>
        </w:rPr>
        <w:t>C</w:t>
      </w:r>
      <w:r>
        <w:t xml:space="preserve"> to </w:t>
      </w:r>
      <w:r w:rsidRPr="00A12104">
        <w:t>25</w:t>
      </w:r>
      <w:r w:rsidRPr="00A824CD">
        <w:rPr>
          <w:rFonts w:cstheme="minorHAnsi"/>
        </w:rPr>
        <w:t>°</w:t>
      </w:r>
      <w:r w:rsidRPr="000E092A">
        <w:t>C</w:t>
      </w:r>
      <w:r w:rsidRPr="00A12104">
        <w:t xml:space="preserve"> </w:t>
      </w:r>
      <w:r>
        <w:rPr>
          <w:noProof/>
        </w:rPr>
        <w:t>(Xiao &amp; Sitton 2004)</w:t>
      </w:r>
      <w:r>
        <w:t>,</w:t>
      </w:r>
      <w:r w:rsidRPr="00A12104">
        <w:t xml:space="preserve"> and</w:t>
      </w:r>
      <w:r>
        <w:t>,</w:t>
      </w:r>
      <w:r w:rsidRPr="00A12104">
        <w:t xml:space="preserve"> if introduced to an area in close proximity to a suitable host</w:t>
      </w:r>
      <w:r>
        <w:t>,</w:t>
      </w:r>
      <w:r w:rsidRPr="00A12104">
        <w:t xml:space="preserve"> could establish a viable population in Australia.</w:t>
      </w:r>
    </w:p>
    <w:p w14:paraId="45C38DA7" w14:textId="77777777" w:rsidR="003438A2" w:rsidRPr="00B52296" w:rsidRDefault="003438A2" w:rsidP="00C67856">
      <w:pPr>
        <w:pStyle w:val="ListBullet"/>
      </w:pPr>
      <w:r w:rsidRPr="001D5BB1">
        <w:rPr>
          <w:i/>
        </w:rPr>
        <w:lastRenderedPageBreak/>
        <w:t xml:space="preserve">Discula pyri </w:t>
      </w:r>
      <w:r w:rsidRPr="00B52296">
        <w:t xml:space="preserve">occurs in Austria, Canada (British Columbia), Germany, India, the United Kingdom and the USA (Oregon and Washington State) </w:t>
      </w:r>
      <w:r w:rsidRPr="00B52296">
        <w:rPr>
          <w:noProof/>
        </w:rPr>
        <w:t>(DiCosmo, Nag Raj &amp; Kendrick 1984; Farr &amp; Rossman 2009; Xiao &amp; Boal 2005a)</w:t>
      </w:r>
      <w:r w:rsidRPr="00B52296">
        <w:t>. These areas have similar climates to parts of temperate southeastern and southwestern Australia, suggesting that these parts of Australia are likely to be suitable for the establishment of this fungus.</w:t>
      </w:r>
    </w:p>
    <w:p w14:paraId="7A1E2B1D" w14:textId="77777777" w:rsidR="003438A2" w:rsidRPr="00096AD4" w:rsidRDefault="003438A2" w:rsidP="00C67856">
      <w:pPr>
        <w:pStyle w:val="ListBullet"/>
      </w:pPr>
      <w:r w:rsidRPr="00A84AFC">
        <w:rPr>
          <w:i/>
          <w:iCs/>
        </w:rPr>
        <w:t>D</w:t>
      </w:r>
      <w:r>
        <w:rPr>
          <w:i/>
          <w:iCs/>
        </w:rPr>
        <w:t>iscula</w:t>
      </w:r>
      <w:r w:rsidRPr="00A84AFC">
        <w:rPr>
          <w:i/>
          <w:iCs/>
        </w:rPr>
        <w:t xml:space="preserve"> pyri</w:t>
      </w:r>
      <w:r w:rsidRPr="00096AD4">
        <w:t xml:space="preserve"> is unlikely to establish during </w:t>
      </w:r>
      <w:r w:rsidRPr="000B162F">
        <w:t>the hot and dry Australian summer conditions</w:t>
      </w:r>
      <w:r>
        <w:t>. However</w:t>
      </w:r>
      <w:r w:rsidRPr="000B162F">
        <w:t>, most apple and pear growing regions within Australia have suitable</w:t>
      </w:r>
      <w:r w:rsidRPr="00096AD4">
        <w:t xml:space="preserve"> conditions</w:t>
      </w:r>
      <w:r>
        <w:t>, such as suitable temperatures and moisture durations for successful conidial germination and mycelial growth,</w:t>
      </w:r>
      <w:r w:rsidRPr="00096AD4">
        <w:t xml:space="preserve"> for establishment </w:t>
      </w:r>
      <w:r>
        <w:t xml:space="preserve">of the pathogen </w:t>
      </w:r>
      <w:r w:rsidRPr="00096AD4">
        <w:t>during most of the year</w:t>
      </w:r>
      <w:r>
        <w:t>.</w:t>
      </w:r>
    </w:p>
    <w:p w14:paraId="7268E381" w14:textId="77777777" w:rsidR="003438A2" w:rsidRDefault="003438A2" w:rsidP="00C67856">
      <w:pPr>
        <w:pStyle w:val="ListBullet"/>
      </w:pPr>
      <w:r>
        <w:rPr>
          <w:i/>
        </w:rPr>
        <w:t xml:space="preserve">Discula pyri </w:t>
      </w:r>
      <w:r w:rsidRPr="00A12104">
        <w:t>can survive as myceli</w:t>
      </w:r>
      <w:r>
        <w:t>a</w:t>
      </w:r>
      <w:r w:rsidRPr="00A12104">
        <w:t xml:space="preserve"> in diseased twigs all year round </w:t>
      </w:r>
      <w:r>
        <w:rPr>
          <w:noProof/>
        </w:rPr>
        <w:t>(Xiao &amp; Boal 2004a)</w:t>
      </w:r>
      <w:r w:rsidRPr="00A12104">
        <w:t>.</w:t>
      </w:r>
    </w:p>
    <w:p w14:paraId="3CECC253" w14:textId="77777777" w:rsidR="003438A2" w:rsidRDefault="003438A2" w:rsidP="00C67856">
      <w:pPr>
        <w:pStyle w:val="ListBullet"/>
      </w:pPr>
      <w:r>
        <w:t xml:space="preserve">The overwintering and survival properties of pycnidia and conidia of </w:t>
      </w:r>
      <w:r w:rsidRPr="00A84AFC">
        <w:rPr>
          <w:i/>
          <w:iCs/>
        </w:rPr>
        <w:t>D. pyri</w:t>
      </w:r>
      <w:r w:rsidRPr="00096AD4">
        <w:t xml:space="preserve"> </w:t>
      </w:r>
      <w:r>
        <w:t>on dead and living tissues of apple and compost could allow the pathogen to overwinter and re-emerge when favourable conditions again become available in autumn and spring. However, conidial dispersal by rain is a passive mechanism that carries the inoculum only over short distances.</w:t>
      </w:r>
    </w:p>
    <w:p w14:paraId="61E7CABC" w14:textId="77777777" w:rsidR="003438A2" w:rsidRPr="00B52296" w:rsidRDefault="003438A2" w:rsidP="00667B0C">
      <w:pPr>
        <w:pStyle w:val="ListBullet"/>
      </w:pPr>
      <w:r w:rsidRPr="00B52296">
        <w:t>Human-assisted movement of infected fruit, compost or host material could facilitate spread of the fungus to new regions.</w:t>
      </w:r>
    </w:p>
    <w:p w14:paraId="14596D4F" w14:textId="77777777" w:rsidR="003438A2" w:rsidRDefault="003438A2" w:rsidP="00C67856">
      <w:bookmarkStart w:id="381" w:name="_Hlk38896287"/>
      <w:r w:rsidRPr="00B52296">
        <w:t xml:space="preserve">Hosts such as apples and pears are widely present across Australia. </w:t>
      </w:r>
      <w:bookmarkStart w:id="382" w:name="_Hlk38896347"/>
      <w:bookmarkEnd w:id="381"/>
      <w:r w:rsidRPr="00B52296">
        <w:t>Once established</w:t>
      </w:r>
      <w:r>
        <w:t xml:space="preserve"> on susceptible hosts, t</w:t>
      </w:r>
      <w:r w:rsidRPr="00194CE2">
        <w:t xml:space="preserve">he fungus </w:t>
      </w:r>
      <w:r>
        <w:t>could</w:t>
      </w:r>
      <w:r w:rsidRPr="00194CE2">
        <w:t xml:space="preserve"> </w:t>
      </w:r>
      <w:r>
        <w:t>readily grow and infect further hosts.</w:t>
      </w:r>
      <w:bookmarkEnd w:id="382"/>
      <w:r>
        <w:t xml:space="preserve"> Suitable </w:t>
      </w:r>
      <w:r w:rsidRPr="00C76BCB">
        <w:t xml:space="preserve">temperatures and </w:t>
      </w:r>
      <w:r>
        <w:t>moisture</w:t>
      </w:r>
      <w:r w:rsidRPr="00C76BCB">
        <w:t xml:space="preserve"> durations </w:t>
      </w:r>
      <w:r>
        <w:t>for</w:t>
      </w:r>
      <w:r w:rsidRPr="00194CE2">
        <w:t xml:space="preserve"> </w:t>
      </w:r>
      <w:r>
        <w:t xml:space="preserve">successful </w:t>
      </w:r>
      <w:r w:rsidRPr="00194CE2">
        <w:t>conidia</w:t>
      </w:r>
      <w:r>
        <w:t>l</w:t>
      </w:r>
      <w:r w:rsidRPr="00194CE2">
        <w:t xml:space="preserve"> germination</w:t>
      </w:r>
      <w:r>
        <w:t xml:space="preserve"> and mycelial growth </w:t>
      </w:r>
      <w:bookmarkStart w:id="383" w:name="_Hlk38896661"/>
      <w:r>
        <w:t>exist in m</w:t>
      </w:r>
      <w:r w:rsidRPr="00096AD4">
        <w:t xml:space="preserve">any regions of Australia </w:t>
      </w:r>
      <w:r>
        <w:t xml:space="preserve">and could support establishment of the disease during most of the year. </w:t>
      </w:r>
      <w:bookmarkEnd w:id="383"/>
      <w:r>
        <w:t xml:space="preserve">The </w:t>
      </w:r>
      <w:r w:rsidRPr="00AB0AD1">
        <w:t xml:space="preserve">ability of </w:t>
      </w:r>
      <w:r>
        <w:rPr>
          <w:i/>
        </w:rPr>
        <w:t>D. pyri</w:t>
      </w:r>
      <w:r w:rsidRPr="00AB0AD1">
        <w:t xml:space="preserve"> to survive on both live and dead tissues of its hosts</w:t>
      </w:r>
      <w:r>
        <w:t>,</w:t>
      </w:r>
      <w:r w:rsidRPr="00AB0AD1">
        <w:t xml:space="preserve"> </w:t>
      </w:r>
      <w:r>
        <w:t xml:space="preserve">and </w:t>
      </w:r>
      <w:r w:rsidRPr="00AB0AD1">
        <w:t xml:space="preserve">over a wide range of temperatures, </w:t>
      </w:r>
      <w:r>
        <w:t xml:space="preserve">could assist </w:t>
      </w:r>
      <w:r>
        <w:rPr>
          <w:i/>
        </w:rPr>
        <w:t xml:space="preserve">D. pyri </w:t>
      </w:r>
      <w:r>
        <w:t>to establish in Australia. One of the limitations moderating the potential for establishment of the pathogen would be climatic conditions during the hot, dry Australian summer.</w:t>
      </w:r>
    </w:p>
    <w:p w14:paraId="45C32F77" w14:textId="77777777" w:rsidR="003438A2" w:rsidRPr="008624D5" w:rsidRDefault="003438A2" w:rsidP="00C67856">
      <w:r>
        <w:t>For the reasons outlined, the likelihood of</w:t>
      </w:r>
      <w:r w:rsidRPr="00194CE2">
        <w:t xml:space="preserve"> </w:t>
      </w:r>
      <w:r>
        <w:rPr>
          <w:i/>
        </w:rPr>
        <w:t xml:space="preserve">D. pyri </w:t>
      </w:r>
      <w:r>
        <w:rPr>
          <w:iCs/>
        </w:rPr>
        <w:t xml:space="preserve">establishing in Australia </w:t>
      </w:r>
      <w:r>
        <w:t xml:space="preserve">from imported apples from the PNW-USA is rated as </w:t>
      </w:r>
      <w:r w:rsidRPr="008624D5">
        <w:t>Moderate.</w:t>
      </w:r>
    </w:p>
    <w:p w14:paraId="6C00B1CF" w14:textId="77777777" w:rsidR="003438A2" w:rsidRPr="0045382F" w:rsidRDefault="003438A2" w:rsidP="00F843A1">
      <w:pPr>
        <w:pStyle w:val="Heading4"/>
        <w:numPr>
          <w:ilvl w:val="2"/>
          <w:numId w:val="29"/>
        </w:numPr>
        <w:ind w:firstLine="199"/>
      </w:pPr>
      <w:r w:rsidRPr="0045382F">
        <w:t>Likelihood of spread</w:t>
      </w:r>
    </w:p>
    <w:p w14:paraId="71B23A46" w14:textId="77777777" w:rsidR="003438A2" w:rsidRPr="00A12104" w:rsidRDefault="003438A2" w:rsidP="00C67856">
      <w:r w:rsidRPr="00A12104">
        <w:t xml:space="preserve">The likelihood that </w:t>
      </w:r>
      <w:r>
        <w:rPr>
          <w:i/>
        </w:rPr>
        <w:t>D.</w:t>
      </w:r>
      <w:r w:rsidRPr="00A12104">
        <w:rPr>
          <w:i/>
        </w:rPr>
        <w:t xml:space="preserve"> </w:t>
      </w:r>
      <w:r>
        <w:rPr>
          <w:i/>
        </w:rPr>
        <w:t>pyri</w:t>
      </w:r>
      <w:r w:rsidRPr="00A12104">
        <w:t xml:space="preserve"> will spread</w:t>
      </w:r>
      <w:r>
        <w:t xml:space="preserve"> in Australia,</w:t>
      </w:r>
      <w:r w:rsidRPr="00A12104">
        <w:t xml:space="preserve"> based on a comparison of factors that affect the expansion of the geographic distribution of the pathogen</w:t>
      </w:r>
      <w:r>
        <w:t xml:space="preserve"> </w:t>
      </w:r>
      <w:r w:rsidRPr="00A12104">
        <w:t xml:space="preserve">in the </w:t>
      </w:r>
      <w:r>
        <w:t>source and destination areas,</w:t>
      </w:r>
      <w:r w:rsidRPr="00A12104">
        <w:t xml:space="preserve"> </w:t>
      </w:r>
      <w:r>
        <w:t>is assessed as Moderate.</w:t>
      </w:r>
    </w:p>
    <w:p w14:paraId="5D7274CE" w14:textId="77777777" w:rsidR="003438A2" w:rsidRDefault="003438A2" w:rsidP="00C67856">
      <w:r>
        <w:t>The following information provides supporting evidence for this assessment.</w:t>
      </w:r>
    </w:p>
    <w:p w14:paraId="0AF7F9E7" w14:textId="77777777" w:rsidR="003438A2" w:rsidRPr="00726EF7" w:rsidRDefault="003438A2" w:rsidP="00C67856">
      <w:r>
        <w:t xml:space="preserve">It is likely that </w:t>
      </w:r>
      <w:r>
        <w:rPr>
          <w:i/>
        </w:rPr>
        <w:t>D.</w:t>
      </w:r>
      <w:r w:rsidRPr="00A12104">
        <w:rPr>
          <w:i/>
        </w:rPr>
        <w:t xml:space="preserve"> </w:t>
      </w:r>
      <w:r>
        <w:rPr>
          <w:i/>
        </w:rPr>
        <w:t>pyri</w:t>
      </w:r>
      <w:r w:rsidRPr="00A12104">
        <w:rPr>
          <w:i/>
        </w:rPr>
        <w:t xml:space="preserve"> </w:t>
      </w:r>
      <w:r>
        <w:t>would be able to encounter additional hosts in Australia once established.</w:t>
      </w:r>
    </w:p>
    <w:p w14:paraId="663AB815" w14:textId="77777777" w:rsidR="003438A2" w:rsidRPr="00B52296" w:rsidRDefault="003438A2" w:rsidP="00C67856">
      <w:pPr>
        <w:pStyle w:val="ListBullet"/>
      </w:pPr>
      <w:r>
        <w:rPr>
          <w:i/>
        </w:rPr>
        <w:t>Discula</w:t>
      </w:r>
      <w:r w:rsidRPr="00A12104">
        <w:rPr>
          <w:i/>
        </w:rPr>
        <w:t xml:space="preserve"> </w:t>
      </w:r>
      <w:r>
        <w:rPr>
          <w:i/>
        </w:rPr>
        <w:t>pyri</w:t>
      </w:r>
      <w:r w:rsidRPr="00A12104">
        <w:t xml:space="preserve"> has a limited range of </w:t>
      </w:r>
      <w:r w:rsidRPr="00B52296">
        <w:t>hosts in the family Rosaceae, including apple</w:t>
      </w:r>
      <w:r w:rsidRPr="00B52296">
        <w:rPr>
          <w:i/>
        </w:rPr>
        <w:t xml:space="preserve"> </w:t>
      </w:r>
      <w:r w:rsidRPr="00B52296">
        <w:rPr>
          <w:iCs/>
        </w:rPr>
        <w:t>(</w:t>
      </w:r>
      <w:r w:rsidRPr="00B52296">
        <w:rPr>
          <w:i/>
        </w:rPr>
        <w:t>Malus</w:t>
      </w:r>
      <w:r w:rsidRPr="00B52296">
        <w:t xml:space="preserve"> spp.), pear</w:t>
      </w:r>
      <w:r w:rsidRPr="00B52296">
        <w:rPr>
          <w:i/>
        </w:rPr>
        <w:t xml:space="preserve"> </w:t>
      </w:r>
      <w:r w:rsidRPr="00B52296">
        <w:rPr>
          <w:iCs/>
        </w:rPr>
        <w:t>(</w:t>
      </w:r>
      <w:r w:rsidRPr="00B52296">
        <w:rPr>
          <w:i/>
        </w:rPr>
        <w:t>Pyrus</w:t>
      </w:r>
      <w:r w:rsidRPr="00B52296">
        <w:t xml:space="preserve"> spp.) and quince (</w:t>
      </w:r>
      <w:r w:rsidRPr="00B52296">
        <w:rPr>
          <w:i/>
        </w:rPr>
        <w:t>Cydonia vulgaris</w:t>
      </w:r>
      <w:r w:rsidRPr="00B52296">
        <w:t xml:space="preserve"> with the synonym as </w:t>
      </w:r>
      <w:r w:rsidRPr="00B52296">
        <w:rPr>
          <w:i/>
          <w:iCs/>
        </w:rPr>
        <w:t>C. oblonga</w:t>
      </w:r>
      <w:r w:rsidRPr="00B52296">
        <w:t xml:space="preserve">) </w:t>
      </w:r>
      <w:r w:rsidRPr="00B52296">
        <w:rPr>
          <w:noProof/>
        </w:rPr>
        <w:t>(DiCosmo, Nag Raj &amp; Kendrick 1984; Farr &amp; Rossman 2009)</w:t>
      </w:r>
      <w:r w:rsidRPr="00B52296">
        <w:t>.</w:t>
      </w:r>
    </w:p>
    <w:p w14:paraId="75B4DB10" w14:textId="77777777" w:rsidR="003438A2" w:rsidRPr="00B52296" w:rsidRDefault="003438A2" w:rsidP="00C67856">
      <w:pPr>
        <w:pStyle w:val="ListBullet"/>
      </w:pPr>
      <w:r w:rsidRPr="00B52296">
        <w:t>These hosts are widely distributed in Australia in commercial orchard districts, as well as suburban and rural areas.</w:t>
      </w:r>
    </w:p>
    <w:p w14:paraId="3644E20F" w14:textId="77777777" w:rsidR="003438A2" w:rsidRPr="007E73ED" w:rsidRDefault="003438A2" w:rsidP="00C67856">
      <w:r w:rsidRPr="00B52296">
        <w:t xml:space="preserve">Suitable climates for the spread of </w:t>
      </w:r>
      <w:r w:rsidRPr="00B52296">
        <w:rPr>
          <w:i/>
        </w:rPr>
        <w:t xml:space="preserve">D. pyri </w:t>
      </w:r>
      <w:r w:rsidRPr="00B52296">
        <w:t>exist in Australia.</w:t>
      </w:r>
    </w:p>
    <w:p w14:paraId="0BA12CFF" w14:textId="77777777" w:rsidR="003438A2" w:rsidRPr="00A12104" w:rsidRDefault="003438A2" w:rsidP="00C67856">
      <w:pPr>
        <w:pStyle w:val="ListBullet"/>
      </w:pPr>
      <w:r>
        <w:rPr>
          <w:i/>
        </w:rPr>
        <w:t>Discula</w:t>
      </w:r>
      <w:r w:rsidRPr="00A12104">
        <w:rPr>
          <w:i/>
        </w:rPr>
        <w:t xml:space="preserve"> </w:t>
      </w:r>
      <w:r>
        <w:rPr>
          <w:i/>
        </w:rPr>
        <w:t>pyri</w:t>
      </w:r>
      <w:r w:rsidRPr="00A12104">
        <w:t xml:space="preserve"> can survive and grow </w:t>
      </w:r>
      <w:r>
        <w:t xml:space="preserve">at a wide temperature range of </w:t>
      </w:r>
      <w:r w:rsidRPr="00A12104">
        <w:t>–3</w:t>
      </w:r>
      <w:r w:rsidRPr="00223363">
        <w:t>°</w:t>
      </w:r>
      <w:r>
        <w:t>C</w:t>
      </w:r>
      <w:r w:rsidRPr="00A12104">
        <w:t xml:space="preserve"> </w:t>
      </w:r>
      <w:r>
        <w:t xml:space="preserve">to </w:t>
      </w:r>
      <w:r w:rsidRPr="00A12104">
        <w:t>25</w:t>
      </w:r>
      <w:r w:rsidRPr="00223363">
        <w:t>°</w:t>
      </w:r>
      <w:r w:rsidRPr="000E092A">
        <w:t>C</w:t>
      </w:r>
      <w:r w:rsidRPr="00A12104">
        <w:t xml:space="preserve"> </w:t>
      </w:r>
      <w:r>
        <w:rPr>
          <w:noProof/>
        </w:rPr>
        <w:t>(Xiao &amp; Sitton 2004)</w:t>
      </w:r>
      <w:r>
        <w:t>.</w:t>
      </w:r>
    </w:p>
    <w:p w14:paraId="4147FA6B" w14:textId="77777777" w:rsidR="003438A2" w:rsidRDefault="003438A2" w:rsidP="00C67856">
      <w:pPr>
        <w:pStyle w:val="ListBullet"/>
      </w:pPr>
      <w:r w:rsidRPr="004C64CD">
        <w:rPr>
          <w:i/>
        </w:rPr>
        <w:lastRenderedPageBreak/>
        <w:t>Discula pyri</w:t>
      </w:r>
      <w:r w:rsidRPr="00AA4E07">
        <w:rPr>
          <w:i/>
        </w:rPr>
        <w:t xml:space="preserve"> </w:t>
      </w:r>
      <w:r w:rsidRPr="00A12104">
        <w:t>occurs in Austria, Canada (British Columb</w:t>
      </w:r>
      <w:r>
        <w:t>ia), Germany, India, the United </w:t>
      </w:r>
      <w:r w:rsidRPr="00A12104">
        <w:t>Kingdom and the US</w:t>
      </w:r>
      <w:r>
        <w:t>A</w:t>
      </w:r>
      <w:r w:rsidRPr="00A12104">
        <w:t xml:space="preserve"> (Oregon and Washington State)</w:t>
      </w:r>
      <w:r>
        <w:t xml:space="preserve"> </w:t>
      </w:r>
      <w:r>
        <w:rPr>
          <w:noProof/>
        </w:rPr>
        <w:t>(DiCosmo, Nag Raj &amp; Kendrick 1984; Farr &amp; Rossman 2009; Xiao &amp; Boal 2005a)</w:t>
      </w:r>
      <w:r w:rsidRPr="00C62E1C">
        <w:t>. These areas have similar climates to parts of temperate southeastern and southwestern Australia, where h</w:t>
      </w:r>
      <w:r w:rsidRPr="00A12104">
        <w:t>ost plants are present</w:t>
      </w:r>
      <w:r>
        <w:t>.</w:t>
      </w:r>
    </w:p>
    <w:p w14:paraId="015EB52A" w14:textId="77777777" w:rsidR="003438A2" w:rsidRDefault="003438A2" w:rsidP="00C67856">
      <w:pPr>
        <w:pStyle w:val="ListBullet"/>
      </w:pPr>
      <w:r>
        <w:t>A</w:t>
      </w:r>
      <w:r w:rsidRPr="00A12104">
        <w:t xml:space="preserve">rid regions between western and eastern parts of Australia </w:t>
      </w:r>
      <w:r>
        <w:t>may present</w:t>
      </w:r>
      <w:r w:rsidRPr="00A12104">
        <w:t xml:space="preserve"> natural barriers </w:t>
      </w:r>
      <w:r>
        <w:t>to</w:t>
      </w:r>
      <w:r w:rsidRPr="00A12104">
        <w:t xml:space="preserve"> the spread of the fungus.</w:t>
      </w:r>
    </w:p>
    <w:p w14:paraId="2958BB04" w14:textId="77777777" w:rsidR="003438A2" w:rsidRDefault="003438A2" w:rsidP="00C67856">
      <w:r>
        <w:t>Natural dispersal by conidia (spores) is likely to spread the pathogen.</w:t>
      </w:r>
    </w:p>
    <w:p w14:paraId="4C0B491E" w14:textId="77777777" w:rsidR="003438A2" w:rsidRDefault="003438A2" w:rsidP="00172E42">
      <w:pPr>
        <w:pStyle w:val="ListBullet"/>
      </w:pPr>
      <w:r w:rsidRPr="00F441AC">
        <w:t xml:space="preserve">Conidia of </w:t>
      </w:r>
      <w:r w:rsidRPr="00F441AC">
        <w:rPr>
          <w:i/>
        </w:rPr>
        <w:t>D. pyri</w:t>
      </w:r>
      <w:r w:rsidRPr="00F441AC">
        <w:t xml:space="preserve"> are dispersed by water </w:t>
      </w:r>
      <w:r>
        <w:rPr>
          <w:noProof/>
        </w:rPr>
        <w:t>(Ali et al. 2018; DiCosmo, Nag Raj &amp; Kendrick 1984; Sholberg, Stokes &amp; O'Gorman 2010)</w:t>
      </w:r>
      <w:r w:rsidRPr="00F441AC">
        <w:t>, and rain-splash may enable initiation of subsequent infections. However, conidial dispersal by</w:t>
      </w:r>
      <w:r>
        <w:t xml:space="preserve"> rain is a passive mechanism that carries the inoculum only over short distances.</w:t>
      </w:r>
    </w:p>
    <w:p w14:paraId="6800DFDF" w14:textId="77777777" w:rsidR="003438A2" w:rsidRDefault="003438A2" w:rsidP="00C67856">
      <w:pPr>
        <w:pStyle w:val="ListBullet"/>
      </w:pPr>
      <w:r>
        <w:t xml:space="preserve">Natural hosts of </w:t>
      </w:r>
      <w:r>
        <w:rPr>
          <w:i/>
          <w:iCs/>
        </w:rPr>
        <w:t>D. pyri</w:t>
      </w:r>
      <w:r>
        <w:t xml:space="preserve"> such as apples, pears and quince are widely distributed across Australia.</w:t>
      </w:r>
    </w:p>
    <w:p w14:paraId="0499599D" w14:textId="77777777" w:rsidR="003438A2" w:rsidRPr="00272347" w:rsidRDefault="003438A2" w:rsidP="005637ED">
      <w:pPr>
        <w:pStyle w:val="ListBullet"/>
      </w:pPr>
      <w:r w:rsidRPr="00272347">
        <w:t xml:space="preserve">The overwintering and survival properties of pycnidia and conidia of </w:t>
      </w:r>
      <w:r w:rsidRPr="00272347">
        <w:rPr>
          <w:i/>
          <w:iCs/>
        </w:rPr>
        <w:t>D. pyri</w:t>
      </w:r>
      <w:r w:rsidRPr="00272347">
        <w:t xml:space="preserve"> on host plants and fruit could allow the pathogen to overwinter and re-emerge when conditions become favourable again in autumn and spring. </w:t>
      </w:r>
      <w:r w:rsidRPr="00272347">
        <w:rPr>
          <w:i/>
        </w:rPr>
        <w:t xml:space="preserve">Discula pyri </w:t>
      </w:r>
      <w:r w:rsidRPr="00272347">
        <w:t>is likely</w:t>
      </w:r>
      <w:r w:rsidRPr="00272347">
        <w:rPr>
          <w:i/>
        </w:rPr>
        <w:t xml:space="preserve"> </w:t>
      </w:r>
      <w:r w:rsidRPr="00272347">
        <w:t>to spread within Australia by human-assisted transport.</w:t>
      </w:r>
    </w:p>
    <w:p w14:paraId="0A0F8938" w14:textId="77777777" w:rsidR="003438A2" w:rsidRPr="00B52296" w:rsidRDefault="003438A2" w:rsidP="00C67856">
      <w:pPr>
        <w:pStyle w:val="ListBullet"/>
      </w:pPr>
      <w:r w:rsidRPr="00B52296">
        <w:t xml:space="preserve">Conidia of </w:t>
      </w:r>
      <w:r w:rsidRPr="00B52296">
        <w:rPr>
          <w:i/>
        </w:rPr>
        <w:t>D. pyri</w:t>
      </w:r>
      <w:r w:rsidRPr="00B52296">
        <w:t xml:space="preserve"> are found in pycnidia on fruit or twigs </w:t>
      </w:r>
      <w:r w:rsidRPr="00B52296">
        <w:rPr>
          <w:noProof/>
        </w:rPr>
        <w:t>(Xiao 2006; Xiao &amp; Boal 2004b)</w:t>
      </w:r>
      <w:r w:rsidRPr="00B52296">
        <w:t xml:space="preserve">. The distribution of infected fruit, compost or host material via commercial or domestic trade may aid the spread of this pathogen. </w:t>
      </w:r>
    </w:p>
    <w:p w14:paraId="110FF121" w14:textId="77777777" w:rsidR="003438A2" w:rsidRPr="00B52296" w:rsidRDefault="003438A2" w:rsidP="00855BCE">
      <w:pPr>
        <w:pStyle w:val="ListBullet"/>
      </w:pPr>
      <w:r w:rsidRPr="00B52296">
        <w:rPr>
          <w:color w:val="000000"/>
        </w:rPr>
        <w:t xml:space="preserve">Early </w:t>
      </w:r>
      <w:r w:rsidRPr="00B52296">
        <w:t xml:space="preserve">symptoms of </w:t>
      </w:r>
      <w:r w:rsidRPr="00B52296">
        <w:rPr>
          <w:i/>
        </w:rPr>
        <w:t>D. pyri</w:t>
      </w:r>
      <w:r w:rsidRPr="00B52296">
        <w:t xml:space="preserve"> are similar to those of grey mould </w:t>
      </w:r>
      <w:r w:rsidRPr="00B52296">
        <w:rPr>
          <w:noProof/>
        </w:rPr>
        <w:t>(Xiao 2006)</w:t>
      </w:r>
      <w:r w:rsidRPr="00B52296">
        <w:t xml:space="preserve">, caused by </w:t>
      </w:r>
      <w:r w:rsidRPr="00B52296">
        <w:rPr>
          <w:i/>
          <w:iCs/>
        </w:rPr>
        <w:t>Botrytis cinerea</w:t>
      </w:r>
      <w:r w:rsidRPr="00B52296">
        <w:t xml:space="preserve">, a pathogen which is present in Australia. This may make early identification of </w:t>
      </w:r>
      <w:r w:rsidRPr="00B52296">
        <w:rPr>
          <w:i/>
        </w:rPr>
        <w:t>D. pyri</w:t>
      </w:r>
      <w:r w:rsidRPr="00B52296">
        <w:t xml:space="preserve"> difficult in Australia.</w:t>
      </w:r>
    </w:p>
    <w:p w14:paraId="2BA232EA" w14:textId="77777777" w:rsidR="003438A2" w:rsidRPr="00B52296" w:rsidRDefault="003438A2" w:rsidP="00C67856">
      <w:pPr>
        <w:pStyle w:val="ListBullet"/>
      </w:pPr>
      <w:r w:rsidRPr="00B52296">
        <w:t>Human-assisted movement of infected fruit or host material could facilitate spread of the fungus to new regions.</w:t>
      </w:r>
    </w:p>
    <w:p w14:paraId="08881021" w14:textId="77777777" w:rsidR="003438A2" w:rsidRDefault="003438A2" w:rsidP="00C67856">
      <w:r>
        <w:t xml:space="preserve">Natural hosts of </w:t>
      </w:r>
      <w:r>
        <w:rPr>
          <w:i/>
          <w:iCs/>
        </w:rPr>
        <w:t>D. pyri</w:t>
      </w:r>
      <w:r>
        <w:t xml:space="preserve"> such as apples, pears and quince are widely distributed across Australia, and could support spread from already established</w:t>
      </w:r>
      <w:r w:rsidRPr="007D3426">
        <w:t xml:space="preserve"> </w:t>
      </w:r>
      <w:r>
        <w:t>infections.</w:t>
      </w:r>
      <w:bookmarkStart w:id="384" w:name="_Hlk38897734"/>
      <w:r>
        <w:t xml:space="preserve"> Many parts of temperate southeastern and southwestern Australia have suitable conditions for spread of the fungus</w:t>
      </w:r>
      <w:r w:rsidRPr="007D3426">
        <w:t xml:space="preserve"> </w:t>
      </w:r>
      <w:r>
        <w:t>for much of the year. Spread may be further assisted by human-mediated activities, such as</w:t>
      </w:r>
      <w:bookmarkEnd w:id="384"/>
      <w:r>
        <w:t xml:space="preserve"> domestic movement of fruit and nursery stock. The likelihood of spread of </w:t>
      </w:r>
      <w:r>
        <w:rPr>
          <w:i/>
          <w:iCs/>
        </w:rPr>
        <w:t xml:space="preserve">D. </w:t>
      </w:r>
      <w:r w:rsidRPr="00AA4E07">
        <w:rPr>
          <w:i/>
          <w:iCs/>
        </w:rPr>
        <w:t>pyri</w:t>
      </w:r>
      <w:r>
        <w:t xml:space="preserve"> is moderated by the limited host range of this fungus and climatic conditions during the hot, dry Australian summer.</w:t>
      </w:r>
    </w:p>
    <w:p w14:paraId="66DF82A6" w14:textId="77777777" w:rsidR="003438A2" w:rsidRPr="00194CE2" w:rsidRDefault="003438A2" w:rsidP="00C67856">
      <w:r>
        <w:t xml:space="preserve">For the reasons outlined, the likelihood of spread of </w:t>
      </w:r>
      <w:r w:rsidRPr="00A46282">
        <w:rPr>
          <w:i/>
        </w:rPr>
        <w:t>D. pyri</w:t>
      </w:r>
      <w:r w:rsidRPr="00A12104">
        <w:t xml:space="preserve"> </w:t>
      </w:r>
      <w:r>
        <w:t>within Australia is rated as Moderate</w:t>
      </w:r>
      <w:r w:rsidRPr="00194CE2">
        <w:t>.</w:t>
      </w:r>
    </w:p>
    <w:p w14:paraId="27A41125" w14:textId="77777777" w:rsidR="003438A2" w:rsidRPr="0045382F" w:rsidRDefault="003438A2" w:rsidP="00F843A1">
      <w:pPr>
        <w:pStyle w:val="Heading4"/>
        <w:numPr>
          <w:ilvl w:val="2"/>
          <w:numId w:val="29"/>
        </w:numPr>
        <w:ind w:firstLine="199"/>
      </w:pPr>
      <w:r w:rsidRPr="0045382F">
        <w:t>Overall likelihood of entry, establishment and spread</w:t>
      </w:r>
    </w:p>
    <w:p w14:paraId="5C326F10" w14:textId="77777777" w:rsidR="003438A2" w:rsidRPr="00A12104" w:rsidRDefault="003438A2" w:rsidP="00C67856">
      <w:r w:rsidRPr="00A12104">
        <w:t>The overall likelihood of entry, establishment and spread is determined by combining the likelihoods of entry, establishment and spread using the matrix of rules for combining qualitative likelih</w:t>
      </w:r>
      <w:r>
        <w:t xml:space="preserve">oods shown in </w:t>
      </w:r>
      <w:r>
        <w:fldChar w:fldCharType="begin" w:fldLock="1"/>
      </w:r>
      <w:r>
        <w:instrText xml:space="preserve"> REF _Ref457826328 \h </w:instrText>
      </w:r>
      <w:r>
        <w:fldChar w:fldCharType="separate"/>
      </w:r>
      <w:r w:rsidRPr="00DB5F8D">
        <w:t xml:space="preserve">Table </w:t>
      </w:r>
      <w:r>
        <w:rPr>
          <w:noProof/>
        </w:rPr>
        <w:t>2</w:t>
      </w:r>
      <w:r>
        <w:t>.</w:t>
      </w:r>
      <w:r>
        <w:rPr>
          <w:noProof/>
        </w:rPr>
        <w:t>2</w:t>
      </w:r>
      <w:r>
        <w:fldChar w:fldCharType="end"/>
      </w:r>
      <w:r>
        <w:t>.</w:t>
      </w:r>
    </w:p>
    <w:p w14:paraId="15DBA29D" w14:textId="77777777" w:rsidR="003438A2" w:rsidRPr="00A12104" w:rsidRDefault="003438A2" w:rsidP="00C67856">
      <w:r w:rsidRPr="00A12104">
        <w:t>The</w:t>
      </w:r>
      <w:r>
        <w:t xml:space="preserve"> </w:t>
      </w:r>
      <w:r w:rsidRPr="00A12104">
        <w:t xml:space="preserve">likelihood that </w:t>
      </w:r>
      <w:r>
        <w:rPr>
          <w:i/>
        </w:rPr>
        <w:t>D. pyri</w:t>
      </w:r>
      <w:r w:rsidRPr="00A12104">
        <w:t xml:space="preserve"> will enter Australia as a result of trade in </w:t>
      </w:r>
      <w:r>
        <w:t>apples from the PNW-USA</w:t>
      </w:r>
      <w:r w:rsidRPr="00A12104">
        <w:t xml:space="preserve">, be distributed in a viable state to </w:t>
      </w:r>
      <w:r>
        <w:t>suitable hosts</w:t>
      </w:r>
      <w:r w:rsidRPr="00A12104">
        <w:t xml:space="preserve">, establish </w:t>
      </w:r>
      <w:r w:rsidRPr="00E44808">
        <w:t xml:space="preserve">in </w:t>
      </w:r>
      <w:r>
        <w:t>an</w:t>
      </w:r>
      <w:r w:rsidRPr="00E44808">
        <w:t xml:space="preserve"> area </w:t>
      </w:r>
      <w:r w:rsidRPr="00A12104">
        <w:t>and subsequently spread within Australia</w:t>
      </w:r>
      <w:r>
        <w:t xml:space="preserve"> is assessed as Very Low</w:t>
      </w:r>
      <w:r w:rsidRPr="00A12104">
        <w:t>.</w:t>
      </w:r>
    </w:p>
    <w:p w14:paraId="25FA26CC" w14:textId="77777777" w:rsidR="003438A2" w:rsidRPr="0045382F" w:rsidRDefault="003438A2" w:rsidP="00F843A1">
      <w:pPr>
        <w:pStyle w:val="Heading4"/>
        <w:numPr>
          <w:ilvl w:val="2"/>
          <w:numId w:val="29"/>
        </w:numPr>
        <w:ind w:firstLine="199"/>
      </w:pPr>
      <w:r w:rsidRPr="0045382F">
        <w:lastRenderedPageBreak/>
        <w:t>Consequences</w:t>
      </w:r>
    </w:p>
    <w:p w14:paraId="08AF17B6" w14:textId="77777777" w:rsidR="003438A2" w:rsidRPr="00A12104" w:rsidRDefault="003438A2" w:rsidP="00C67856">
      <w:r w:rsidRPr="00A12104">
        <w:t xml:space="preserve">The </w:t>
      </w:r>
      <w:r>
        <w:t xml:space="preserve">potential </w:t>
      </w:r>
      <w:r w:rsidRPr="00A12104">
        <w:t xml:space="preserve">consequences of the establishment of </w:t>
      </w:r>
      <w:r>
        <w:rPr>
          <w:i/>
        </w:rPr>
        <w:t>D. pyri</w:t>
      </w:r>
      <w:r w:rsidRPr="00A12104">
        <w:t xml:space="preserve"> in Australia have been estimated </w:t>
      </w:r>
      <w:r>
        <w:t xml:space="preserve">using the decision rules described in </w:t>
      </w:r>
      <w:r>
        <w:fldChar w:fldCharType="begin" w:fldLock="1"/>
      </w:r>
      <w:r>
        <w:instrText xml:space="preserve"> REF _Ref457826350 \h </w:instrText>
      </w:r>
      <w:r>
        <w:fldChar w:fldCharType="separate"/>
      </w:r>
      <w:r>
        <w:t xml:space="preserve">Table </w:t>
      </w:r>
      <w:r>
        <w:rPr>
          <w:noProof/>
        </w:rPr>
        <w:t>2</w:t>
      </w:r>
      <w:r>
        <w:t>.</w:t>
      </w:r>
      <w:r>
        <w:rPr>
          <w:noProof/>
        </w:rPr>
        <w:t>3</w:t>
      </w:r>
      <w:r>
        <w:fldChar w:fldCharType="end"/>
      </w:r>
      <w:r>
        <w:t>.</w:t>
      </w:r>
    </w:p>
    <w:p w14:paraId="402D4C0D" w14:textId="77777777" w:rsidR="003438A2" w:rsidRPr="00A12104" w:rsidRDefault="003438A2" w:rsidP="00C67856">
      <w:r w:rsidRPr="00A12104">
        <w:t>Based on the decision rules described</w:t>
      </w:r>
      <w:r>
        <w:t xml:space="preserve"> in </w:t>
      </w:r>
      <w:r>
        <w:fldChar w:fldCharType="begin" w:fldLock="1"/>
      </w:r>
      <w:r>
        <w:instrText xml:space="preserve"> REF _Ref457826361 \h </w:instrText>
      </w:r>
      <w:r>
        <w:fldChar w:fldCharType="separate"/>
      </w:r>
      <w:r>
        <w:t xml:space="preserve">Table </w:t>
      </w:r>
      <w:r>
        <w:rPr>
          <w:noProof/>
        </w:rPr>
        <w:t>2</w:t>
      </w:r>
      <w:r>
        <w:t>.</w:t>
      </w:r>
      <w:r>
        <w:rPr>
          <w:noProof/>
        </w:rPr>
        <w:t>4</w:t>
      </w:r>
      <w:r>
        <w:fldChar w:fldCharType="end"/>
      </w:r>
      <w:r>
        <w:t>,</w:t>
      </w:r>
      <w:r w:rsidRPr="00A12104">
        <w:t xml:space="preserve"> that is, where the consequences of a pest with respect to one or more criteria are ‘</w:t>
      </w:r>
      <w:r w:rsidRPr="00646511">
        <w:rPr>
          <w:bCs/>
        </w:rPr>
        <w:t>E</w:t>
      </w:r>
      <w:r w:rsidRPr="00A12104">
        <w:t xml:space="preserve">’, the overall consequences are estimated to be </w:t>
      </w:r>
      <w:r>
        <w:t>Moderate</w:t>
      </w:r>
      <w:r w:rsidRPr="00A12104">
        <w:t>.</w:t>
      </w:r>
    </w:p>
    <w:p w14:paraId="24CB6BA3" w14:textId="77777777" w:rsidR="003438A2" w:rsidRPr="00A12104" w:rsidRDefault="003438A2" w:rsidP="00C67856">
      <w:r w:rsidRPr="00A12104">
        <w:t>Reasoning for these ratings is provided below</w:t>
      </w:r>
      <w:r>
        <w:t>.</w:t>
      </w:r>
    </w:p>
    <w:tbl>
      <w:tblPr>
        <w:tblW w:w="5000" w:type="pct"/>
        <w:tblBorders>
          <w:top w:val="single" w:sz="4" w:space="0" w:color="auto"/>
          <w:bottom w:val="single" w:sz="4" w:space="0" w:color="auto"/>
          <w:insideH w:val="single" w:sz="4" w:space="0" w:color="D9D9D9"/>
        </w:tblBorders>
        <w:tblLayout w:type="fixed"/>
        <w:tblCellMar>
          <w:left w:w="115" w:type="dxa"/>
          <w:right w:w="115" w:type="dxa"/>
        </w:tblCellMar>
        <w:tblLook w:val="04A0" w:firstRow="1" w:lastRow="0" w:firstColumn="1" w:lastColumn="0" w:noHBand="0" w:noVBand="1"/>
      </w:tblPr>
      <w:tblGrid>
        <w:gridCol w:w="1694"/>
        <w:gridCol w:w="7376"/>
      </w:tblGrid>
      <w:tr w:rsidR="003438A2" w:rsidRPr="00A12104" w14:paraId="6DBF9EB9" w14:textId="77777777" w:rsidTr="00EF0A05">
        <w:trPr>
          <w:cantSplit/>
          <w:tblHeader/>
        </w:trPr>
        <w:tc>
          <w:tcPr>
            <w:tcW w:w="1735" w:type="dxa"/>
            <w:shd w:val="clear" w:color="auto" w:fill="auto"/>
            <w:hideMark/>
          </w:tcPr>
          <w:p w14:paraId="2AED08AF" w14:textId="77777777" w:rsidR="003438A2" w:rsidRPr="00A12104" w:rsidRDefault="003438A2" w:rsidP="00EF0A05">
            <w:pPr>
              <w:pStyle w:val="TableHeading"/>
              <w:rPr>
                <w:rFonts w:eastAsia="Times New Roman"/>
                <w:sz w:val="16"/>
                <w:szCs w:val="20"/>
              </w:rPr>
            </w:pPr>
            <w:r w:rsidRPr="00A12104">
              <w:t>Criterion</w:t>
            </w:r>
          </w:p>
        </w:tc>
        <w:tc>
          <w:tcPr>
            <w:tcW w:w="7579" w:type="dxa"/>
            <w:shd w:val="clear" w:color="auto" w:fill="auto"/>
            <w:hideMark/>
          </w:tcPr>
          <w:p w14:paraId="6272EB74" w14:textId="77777777" w:rsidR="003438A2" w:rsidRPr="00A12104" w:rsidRDefault="003438A2" w:rsidP="00EF0A05">
            <w:pPr>
              <w:pStyle w:val="TableHeading"/>
            </w:pPr>
            <w:r w:rsidRPr="00A12104">
              <w:t>Estimate and rationale</w:t>
            </w:r>
          </w:p>
        </w:tc>
      </w:tr>
      <w:tr w:rsidR="003438A2" w:rsidRPr="00A12104" w14:paraId="08B6397C" w14:textId="77777777" w:rsidTr="00EF0A05">
        <w:trPr>
          <w:cantSplit/>
        </w:trPr>
        <w:tc>
          <w:tcPr>
            <w:tcW w:w="9314" w:type="dxa"/>
            <w:gridSpan w:val="2"/>
            <w:shd w:val="clear" w:color="auto" w:fill="auto"/>
            <w:hideMark/>
          </w:tcPr>
          <w:p w14:paraId="6B391A63" w14:textId="77777777" w:rsidR="003438A2" w:rsidRPr="00A12104" w:rsidRDefault="003438A2" w:rsidP="00EF0A05">
            <w:pPr>
              <w:pStyle w:val="TableHeading"/>
            </w:pPr>
            <w:r w:rsidRPr="00A12104">
              <w:t>Direct</w:t>
            </w:r>
          </w:p>
        </w:tc>
      </w:tr>
      <w:tr w:rsidR="003438A2" w:rsidRPr="00A12104" w14:paraId="5BAC01FC" w14:textId="77777777" w:rsidTr="00EF0A05">
        <w:trPr>
          <w:cantSplit/>
        </w:trPr>
        <w:tc>
          <w:tcPr>
            <w:tcW w:w="1735" w:type="dxa"/>
            <w:shd w:val="clear" w:color="auto" w:fill="auto"/>
            <w:hideMark/>
          </w:tcPr>
          <w:p w14:paraId="51C804B7" w14:textId="77777777" w:rsidR="003438A2" w:rsidRPr="00A12104" w:rsidRDefault="003438A2" w:rsidP="00EF0A05">
            <w:pPr>
              <w:pStyle w:val="TableText"/>
            </w:pPr>
            <w:r w:rsidRPr="00A12104">
              <w:t>Plant life or health</w:t>
            </w:r>
          </w:p>
        </w:tc>
        <w:tc>
          <w:tcPr>
            <w:tcW w:w="7579" w:type="dxa"/>
            <w:shd w:val="clear" w:color="auto" w:fill="auto"/>
          </w:tcPr>
          <w:p w14:paraId="0169C2F1" w14:textId="77777777" w:rsidR="003438A2" w:rsidRPr="00A12104" w:rsidRDefault="003438A2" w:rsidP="00EF0A05">
            <w:pPr>
              <w:pStyle w:val="TableText"/>
            </w:pPr>
            <w:r w:rsidRPr="00A12104">
              <w:t>E - Significant at regional level:</w:t>
            </w:r>
          </w:p>
          <w:p w14:paraId="51683E96" w14:textId="77777777" w:rsidR="003438A2" w:rsidRPr="00A12104" w:rsidRDefault="003438A2" w:rsidP="00EF0A05">
            <w:pPr>
              <w:pStyle w:val="TableText"/>
            </w:pPr>
            <w:r w:rsidRPr="001C6137">
              <w:rPr>
                <w:i/>
              </w:rPr>
              <w:t xml:space="preserve">Discula </w:t>
            </w:r>
            <w:r>
              <w:rPr>
                <w:i/>
              </w:rPr>
              <w:t>pyri</w:t>
            </w:r>
            <w:r w:rsidRPr="001C6137">
              <w:rPr>
                <w:i/>
              </w:rPr>
              <w:t xml:space="preserve"> </w:t>
            </w:r>
            <w:r>
              <w:t xml:space="preserve">is </w:t>
            </w:r>
            <w:r w:rsidRPr="00A12104">
              <w:t xml:space="preserve">one of the major post-harvest fruit rots </w:t>
            </w:r>
            <w:r>
              <w:t>of</w:t>
            </w:r>
            <w:r w:rsidRPr="00A12104">
              <w:t xml:space="preserve"> d’Anjou pears in Washington </w:t>
            </w:r>
            <w:r>
              <w:rPr>
                <w:noProof/>
              </w:rPr>
              <w:t>(Xiao &amp; Boal 2004b)</w:t>
            </w:r>
            <w:r w:rsidRPr="00A12104">
              <w:t xml:space="preserve"> </w:t>
            </w:r>
            <w:r>
              <w:t>and to a lesser extent</w:t>
            </w:r>
            <w:r w:rsidRPr="00A12104">
              <w:t xml:space="preserve"> </w:t>
            </w:r>
            <w:r>
              <w:t>of</w:t>
            </w:r>
            <w:r w:rsidRPr="00A12104">
              <w:t xml:space="preserve"> apple </w:t>
            </w:r>
            <w:r>
              <w:rPr>
                <w:noProof/>
              </w:rPr>
              <w:t>(Kim &amp; Xiao 2006; Xiao et al. 2005)</w:t>
            </w:r>
            <w:r w:rsidRPr="00A12104">
              <w:t>.</w:t>
            </w:r>
            <w:r>
              <w:t xml:space="preserve"> The apple industry in Australia is worth over $500 million annually while the pear industry is worth over $100 million annually </w:t>
            </w:r>
            <w:r>
              <w:rPr>
                <w:noProof/>
              </w:rPr>
              <w:t>(Australian Bureau of Statistics 2018)</w:t>
            </w:r>
            <w:r>
              <w:t>.</w:t>
            </w:r>
          </w:p>
          <w:p w14:paraId="2735F2B0" w14:textId="77777777" w:rsidR="003438A2" w:rsidRPr="00A12104" w:rsidRDefault="003438A2" w:rsidP="00EF0A05">
            <w:pPr>
              <w:pStyle w:val="TableText"/>
            </w:pPr>
            <w:r w:rsidRPr="00A12104">
              <w:t xml:space="preserve">It is not known if </w:t>
            </w:r>
            <w:r>
              <w:rPr>
                <w:i/>
              </w:rPr>
              <w:t>D.</w:t>
            </w:r>
            <w:r w:rsidRPr="00A12104">
              <w:rPr>
                <w:i/>
              </w:rPr>
              <w:t xml:space="preserve"> </w:t>
            </w:r>
            <w:r>
              <w:rPr>
                <w:i/>
              </w:rPr>
              <w:t>pyri</w:t>
            </w:r>
            <w:r w:rsidRPr="00A12104">
              <w:t xml:space="preserve"> would have any effects on native plants. </w:t>
            </w:r>
          </w:p>
        </w:tc>
      </w:tr>
      <w:tr w:rsidR="003438A2" w:rsidRPr="00A12104" w14:paraId="114CE97D" w14:textId="77777777" w:rsidTr="00EF0A05">
        <w:trPr>
          <w:cantSplit/>
        </w:trPr>
        <w:tc>
          <w:tcPr>
            <w:tcW w:w="1735" w:type="dxa"/>
            <w:shd w:val="clear" w:color="auto" w:fill="auto"/>
            <w:hideMark/>
          </w:tcPr>
          <w:p w14:paraId="70D4F54A" w14:textId="77777777" w:rsidR="003438A2" w:rsidRPr="00A12104" w:rsidRDefault="003438A2" w:rsidP="00EF0A05">
            <w:pPr>
              <w:pStyle w:val="TableText"/>
            </w:pPr>
            <w:r w:rsidRPr="00A12104">
              <w:t>Other aspects of the environment</w:t>
            </w:r>
          </w:p>
        </w:tc>
        <w:tc>
          <w:tcPr>
            <w:tcW w:w="7579" w:type="dxa"/>
            <w:shd w:val="clear" w:color="auto" w:fill="auto"/>
            <w:hideMark/>
          </w:tcPr>
          <w:p w14:paraId="34D3026F" w14:textId="77777777" w:rsidR="003438A2" w:rsidRPr="00A12104" w:rsidRDefault="003438A2" w:rsidP="00EF0A05">
            <w:pPr>
              <w:pStyle w:val="TableText"/>
            </w:pPr>
            <w:r w:rsidRPr="00A12104">
              <w:t>A - Indiscernible at the local level:</w:t>
            </w:r>
          </w:p>
          <w:p w14:paraId="1E111B31" w14:textId="77777777" w:rsidR="003438A2" w:rsidRPr="00A12104" w:rsidRDefault="003438A2" w:rsidP="00EF0A05">
            <w:pPr>
              <w:pStyle w:val="TableText"/>
            </w:pPr>
            <w:r w:rsidRPr="00A12104">
              <w:t>There are no known direct consequences of this pathogen on other aspects of the environment.</w:t>
            </w:r>
          </w:p>
        </w:tc>
      </w:tr>
      <w:tr w:rsidR="003438A2" w:rsidRPr="00A12104" w14:paraId="5821516C" w14:textId="77777777" w:rsidTr="00EF0A05">
        <w:trPr>
          <w:cantSplit/>
        </w:trPr>
        <w:tc>
          <w:tcPr>
            <w:tcW w:w="9314" w:type="dxa"/>
            <w:gridSpan w:val="2"/>
            <w:shd w:val="clear" w:color="auto" w:fill="auto"/>
            <w:hideMark/>
          </w:tcPr>
          <w:p w14:paraId="4EA62D36" w14:textId="77777777" w:rsidR="003438A2" w:rsidRPr="00A12104" w:rsidRDefault="003438A2" w:rsidP="00EF0A05">
            <w:pPr>
              <w:pStyle w:val="TableHeading"/>
            </w:pPr>
            <w:r w:rsidRPr="00A12104">
              <w:t>Indirect</w:t>
            </w:r>
          </w:p>
        </w:tc>
      </w:tr>
      <w:tr w:rsidR="003438A2" w:rsidRPr="00A12104" w14:paraId="62056889" w14:textId="77777777" w:rsidTr="00EF0A05">
        <w:trPr>
          <w:cantSplit/>
        </w:trPr>
        <w:tc>
          <w:tcPr>
            <w:tcW w:w="1735" w:type="dxa"/>
            <w:shd w:val="clear" w:color="auto" w:fill="auto"/>
            <w:hideMark/>
          </w:tcPr>
          <w:p w14:paraId="113D9027" w14:textId="77777777" w:rsidR="003438A2" w:rsidRPr="00A12104" w:rsidRDefault="003438A2" w:rsidP="00EF0A05">
            <w:pPr>
              <w:pStyle w:val="TableText"/>
            </w:pPr>
            <w:r w:rsidRPr="00A12104">
              <w:t>Eradication, control etc.</w:t>
            </w:r>
          </w:p>
        </w:tc>
        <w:tc>
          <w:tcPr>
            <w:tcW w:w="7579" w:type="dxa"/>
            <w:shd w:val="clear" w:color="auto" w:fill="auto"/>
          </w:tcPr>
          <w:p w14:paraId="01CFDB93" w14:textId="77777777" w:rsidR="003438A2" w:rsidRPr="00A12104" w:rsidRDefault="003438A2" w:rsidP="00EF0A05">
            <w:pPr>
              <w:pStyle w:val="TableText"/>
            </w:pPr>
            <w:r w:rsidRPr="00A12104">
              <w:t>E - Significant at regional level:</w:t>
            </w:r>
          </w:p>
          <w:p w14:paraId="1E273ABF" w14:textId="77777777" w:rsidR="003438A2" w:rsidRPr="00A12104" w:rsidRDefault="003438A2" w:rsidP="00EF0A05">
            <w:pPr>
              <w:pStyle w:val="TableText"/>
            </w:pPr>
            <w:r w:rsidRPr="00802039">
              <w:t xml:space="preserve">Recommended measures for the control of </w:t>
            </w:r>
            <w:r>
              <w:rPr>
                <w:i/>
              </w:rPr>
              <w:t>D.</w:t>
            </w:r>
            <w:r w:rsidRPr="00A12104">
              <w:rPr>
                <w:i/>
              </w:rPr>
              <w:t xml:space="preserve"> </w:t>
            </w:r>
            <w:r>
              <w:rPr>
                <w:i/>
              </w:rPr>
              <w:t>pyri</w:t>
            </w:r>
            <w:r w:rsidRPr="00A12104">
              <w:t xml:space="preserve"> </w:t>
            </w:r>
            <w:r w:rsidRPr="00802039">
              <w:t>include removal of cankers and twigs with dieback symptoms</w:t>
            </w:r>
            <w:r>
              <w:t xml:space="preserve">. </w:t>
            </w:r>
            <w:r w:rsidRPr="00802039">
              <w:t>Implementation of these control measures would result in an increase in the cost of production. Additionally, costs for crop monitoring and consultant’s advice to manage these pests may be incurred by the producer.</w:t>
            </w:r>
            <w:r>
              <w:t xml:space="preserve"> </w:t>
            </w:r>
            <w:r w:rsidRPr="00A12104">
              <w:t>Existing integrated pest management programs may be disrupted due to possible increases in the use of fungicides. Costs for crop monitoring, orchard sanitation, pruning, and fungicides may be incurred by the producer.</w:t>
            </w:r>
          </w:p>
        </w:tc>
      </w:tr>
      <w:tr w:rsidR="003438A2" w:rsidRPr="00A12104" w14:paraId="4DBDF974" w14:textId="77777777" w:rsidTr="00EF0A05">
        <w:trPr>
          <w:cantSplit/>
        </w:trPr>
        <w:tc>
          <w:tcPr>
            <w:tcW w:w="1735" w:type="dxa"/>
            <w:shd w:val="clear" w:color="auto" w:fill="auto"/>
            <w:hideMark/>
          </w:tcPr>
          <w:p w14:paraId="048834A1" w14:textId="77777777" w:rsidR="003438A2" w:rsidRPr="00A12104" w:rsidRDefault="003438A2" w:rsidP="00EF0A05">
            <w:pPr>
              <w:pStyle w:val="TableText"/>
            </w:pPr>
            <w:r w:rsidRPr="00A12104">
              <w:t>Domestic trade</w:t>
            </w:r>
          </w:p>
        </w:tc>
        <w:tc>
          <w:tcPr>
            <w:tcW w:w="7579" w:type="dxa"/>
            <w:shd w:val="clear" w:color="auto" w:fill="auto"/>
            <w:hideMark/>
          </w:tcPr>
          <w:p w14:paraId="7857A454" w14:textId="77777777" w:rsidR="003438A2" w:rsidRPr="00A12104" w:rsidRDefault="003438A2" w:rsidP="00EF0A05">
            <w:pPr>
              <w:pStyle w:val="TableText"/>
            </w:pPr>
            <w:r w:rsidRPr="00A12104">
              <w:t>D - Significant at the district level:</w:t>
            </w:r>
          </w:p>
          <w:p w14:paraId="55483249" w14:textId="77777777" w:rsidR="003438A2" w:rsidRPr="00A12104" w:rsidRDefault="003438A2" w:rsidP="00EF0A05">
            <w:pPr>
              <w:pStyle w:val="TableText"/>
            </w:pPr>
            <w:r w:rsidRPr="00A12104">
              <w:t xml:space="preserve">The presence of </w:t>
            </w:r>
            <w:r>
              <w:rPr>
                <w:i/>
              </w:rPr>
              <w:t>D.</w:t>
            </w:r>
            <w:r w:rsidRPr="00A12104">
              <w:rPr>
                <w:i/>
              </w:rPr>
              <w:t xml:space="preserve"> </w:t>
            </w:r>
            <w:r>
              <w:rPr>
                <w:i/>
              </w:rPr>
              <w:t>pyri</w:t>
            </w:r>
            <w:r w:rsidRPr="00A12104">
              <w:t xml:space="preserve"> in commercial apple and pear production areas could result in the implementation of interstate quarantine measures, causing loss of market and subsequent industry adjustment.</w:t>
            </w:r>
          </w:p>
        </w:tc>
      </w:tr>
      <w:tr w:rsidR="003438A2" w:rsidRPr="00A12104" w14:paraId="21F306E7" w14:textId="77777777" w:rsidTr="00EF0A05">
        <w:trPr>
          <w:cantSplit/>
        </w:trPr>
        <w:tc>
          <w:tcPr>
            <w:tcW w:w="1735" w:type="dxa"/>
            <w:shd w:val="clear" w:color="auto" w:fill="auto"/>
            <w:hideMark/>
          </w:tcPr>
          <w:p w14:paraId="0C17B64E" w14:textId="77777777" w:rsidR="003438A2" w:rsidRPr="00A12104" w:rsidRDefault="003438A2" w:rsidP="00EF0A05">
            <w:pPr>
              <w:pStyle w:val="TableText"/>
            </w:pPr>
            <w:r w:rsidRPr="00A12104">
              <w:t>International trade</w:t>
            </w:r>
          </w:p>
        </w:tc>
        <w:tc>
          <w:tcPr>
            <w:tcW w:w="7579" w:type="dxa"/>
            <w:shd w:val="clear" w:color="auto" w:fill="auto"/>
          </w:tcPr>
          <w:p w14:paraId="04B975AD" w14:textId="77777777" w:rsidR="003438A2" w:rsidRPr="00A12104" w:rsidRDefault="003438A2" w:rsidP="00EF0A05">
            <w:pPr>
              <w:pStyle w:val="TableText"/>
            </w:pPr>
            <w:r w:rsidRPr="00A12104">
              <w:t>E – Significant at the regional level:</w:t>
            </w:r>
          </w:p>
          <w:p w14:paraId="59E42F2F" w14:textId="77777777" w:rsidR="003438A2" w:rsidRPr="00A12104" w:rsidRDefault="003438A2" w:rsidP="00EF0A05">
            <w:pPr>
              <w:pStyle w:val="TableText"/>
            </w:pPr>
            <w:r w:rsidRPr="00A12104">
              <w:t xml:space="preserve">The presence </w:t>
            </w:r>
            <w:r w:rsidRPr="00A12104">
              <w:rPr>
                <w:i/>
              </w:rPr>
              <w:t xml:space="preserve">of </w:t>
            </w:r>
            <w:r>
              <w:rPr>
                <w:i/>
              </w:rPr>
              <w:t>D.</w:t>
            </w:r>
            <w:r w:rsidRPr="00A12104">
              <w:rPr>
                <w:i/>
              </w:rPr>
              <w:t> </w:t>
            </w:r>
            <w:r>
              <w:rPr>
                <w:i/>
              </w:rPr>
              <w:t>pyri</w:t>
            </w:r>
            <w:r w:rsidRPr="00A12104">
              <w:t xml:space="preserve"> in commercial production areas of apple and pear would have a significant effect at the regional level due to potential limitations of accessing international markets where this pathogen is absent. To date, </w:t>
            </w:r>
            <w:r>
              <w:rPr>
                <w:i/>
              </w:rPr>
              <w:t>D. pyri</w:t>
            </w:r>
            <w:r w:rsidRPr="00A12104">
              <w:rPr>
                <w:i/>
              </w:rPr>
              <w:t xml:space="preserve"> </w:t>
            </w:r>
            <w:r w:rsidRPr="00A12104">
              <w:t xml:space="preserve">has been recorded from Austria, Canada, Germany, India, the United Kingdom and </w:t>
            </w:r>
            <w:r w:rsidRPr="00893403">
              <w:t xml:space="preserve">the USA </w:t>
            </w:r>
            <w:r>
              <w:rPr>
                <w:noProof/>
              </w:rPr>
              <w:t>(DiCosmo, Nag Raj &amp; Kendrick 1984; Farr &amp; Rossman 2009; Xiao &amp; Boal 2005a)</w:t>
            </w:r>
            <w:r w:rsidRPr="00893403">
              <w:t xml:space="preserve">. Israel and Korea have listed </w:t>
            </w:r>
            <w:r w:rsidRPr="00893403">
              <w:rPr>
                <w:i/>
              </w:rPr>
              <w:t>D. pyri</w:t>
            </w:r>
            <w:r w:rsidRPr="00893403">
              <w:t xml:space="preserve"> as a quarantine pest. A number of pear consignments from</w:t>
            </w:r>
            <w:r w:rsidRPr="00A12104">
              <w:t xml:space="preserve"> the</w:t>
            </w:r>
            <w:r>
              <w:t xml:space="preserve"> USA </w:t>
            </w:r>
            <w:r w:rsidRPr="00A12104">
              <w:t>have been rejected entry to Israel due to the presence of this pathogen</w:t>
            </w:r>
            <w:r>
              <w:t xml:space="preserve"> </w:t>
            </w:r>
            <w:r>
              <w:rPr>
                <w:noProof/>
              </w:rPr>
              <w:t>(Willett &amp; Powers 2006)</w:t>
            </w:r>
            <w:r w:rsidRPr="00A12104">
              <w:t>.</w:t>
            </w:r>
          </w:p>
        </w:tc>
      </w:tr>
      <w:tr w:rsidR="003438A2" w:rsidRPr="00A12104" w14:paraId="29581C8A" w14:textId="77777777" w:rsidTr="00EF0A05">
        <w:trPr>
          <w:cantSplit/>
        </w:trPr>
        <w:tc>
          <w:tcPr>
            <w:tcW w:w="1735" w:type="dxa"/>
            <w:shd w:val="clear" w:color="auto" w:fill="auto"/>
            <w:hideMark/>
          </w:tcPr>
          <w:p w14:paraId="035C83D2" w14:textId="77777777" w:rsidR="003438A2" w:rsidRPr="00A12104" w:rsidRDefault="003438A2" w:rsidP="00EF0A05">
            <w:pPr>
              <w:pStyle w:val="TableText"/>
            </w:pPr>
            <w:r>
              <w:t>Non-commercial and environmental</w:t>
            </w:r>
          </w:p>
        </w:tc>
        <w:tc>
          <w:tcPr>
            <w:tcW w:w="7579" w:type="dxa"/>
            <w:shd w:val="clear" w:color="auto" w:fill="auto"/>
            <w:hideMark/>
          </w:tcPr>
          <w:p w14:paraId="0F39AFBC" w14:textId="77777777" w:rsidR="003438A2" w:rsidRPr="00A12104" w:rsidRDefault="003438A2" w:rsidP="00EF0A05">
            <w:pPr>
              <w:pStyle w:val="TableText"/>
            </w:pPr>
            <w:r w:rsidRPr="00A12104">
              <w:t>B - Minor significan</w:t>
            </w:r>
            <w:r>
              <w:t>ce</w:t>
            </w:r>
            <w:r w:rsidRPr="00A12104">
              <w:t xml:space="preserve"> at the local level:</w:t>
            </w:r>
          </w:p>
          <w:p w14:paraId="33178BBA" w14:textId="77777777" w:rsidR="003438A2" w:rsidRPr="00A12104" w:rsidRDefault="003438A2" w:rsidP="00EF0A05">
            <w:pPr>
              <w:pStyle w:val="TableText"/>
            </w:pPr>
            <w:r w:rsidRPr="00A12104">
              <w:t>Additional fungicide applications or other control activities would be required to control these diseases on susceptible crops. Any additional fungicide usage may affect the environment.</w:t>
            </w:r>
          </w:p>
        </w:tc>
      </w:tr>
    </w:tbl>
    <w:p w14:paraId="344B95ED" w14:textId="77777777" w:rsidR="003438A2" w:rsidRPr="0045382F" w:rsidRDefault="003438A2" w:rsidP="00F843A1">
      <w:pPr>
        <w:pStyle w:val="Heading4"/>
        <w:numPr>
          <w:ilvl w:val="2"/>
          <w:numId w:val="29"/>
        </w:numPr>
        <w:ind w:firstLine="199"/>
      </w:pPr>
      <w:r w:rsidRPr="0045382F">
        <w:t>Unrestricted risk estimate</w:t>
      </w:r>
    </w:p>
    <w:p w14:paraId="52C37CFD" w14:textId="77777777" w:rsidR="003438A2" w:rsidRDefault="003438A2" w:rsidP="00C67856">
      <w:r w:rsidRPr="00A12104">
        <w:t>Unrestricted risk is the result of combining the</w:t>
      </w:r>
      <w:r>
        <w:t xml:space="preserve"> overall</w:t>
      </w:r>
      <w:r w:rsidRPr="00A12104">
        <w:t xml:space="preserve"> likelihood of entry, establishment and spread with the estimate of consequences. </w:t>
      </w:r>
      <w:r>
        <w:t>The overall l</w:t>
      </w:r>
      <w:r w:rsidRPr="00A12104">
        <w:t>ikelihood and consequences are combined using the risk estimation matrix shown</w:t>
      </w:r>
      <w:r>
        <w:t xml:space="preserve"> in </w:t>
      </w:r>
      <w:r>
        <w:fldChar w:fldCharType="begin" w:fldLock="1"/>
      </w:r>
      <w:r>
        <w:instrText xml:space="preserve"> REF _Ref457826369 \h </w:instrText>
      </w:r>
      <w:r>
        <w:fldChar w:fldCharType="separate"/>
      </w:r>
      <w:r>
        <w:t xml:space="preserve">Table </w:t>
      </w:r>
      <w:r>
        <w:rPr>
          <w:noProof/>
        </w:rPr>
        <w:t>2</w:t>
      </w:r>
      <w:r>
        <w:t>.</w:t>
      </w:r>
      <w:r>
        <w:rPr>
          <w:noProof/>
        </w:rPr>
        <w:t>5</w:t>
      </w:r>
      <w:r>
        <w:fldChar w:fldCharType="end"/>
      </w:r>
      <w:r>
        <w:t>.</w:t>
      </w:r>
    </w:p>
    <w:p w14:paraId="309ED239" w14:textId="77777777" w:rsidR="003438A2" w:rsidRDefault="003438A2" w:rsidP="00C67856"/>
    <w:p w14:paraId="57F3A627" w14:textId="77777777" w:rsidR="003438A2" w:rsidRDefault="003438A2" w:rsidP="00C67856"/>
    <w:tbl>
      <w:tblPr>
        <w:tblStyle w:val="TableGridLight2"/>
        <w:tblW w:w="943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1E0" w:firstRow="1" w:lastRow="1" w:firstColumn="1" w:lastColumn="1" w:noHBand="0" w:noVBand="0"/>
      </w:tblPr>
      <w:tblGrid>
        <w:gridCol w:w="6459"/>
        <w:gridCol w:w="2977"/>
      </w:tblGrid>
      <w:tr w:rsidR="003438A2" w:rsidRPr="00A12104" w14:paraId="03ABA10C" w14:textId="77777777" w:rsidTr="00EF0A05">
        <w:tc>
          <w:tcPr>
            <w:tcW w:w="9436" w:type="dxa"/>
            <w:gridSpan w:val="2"/>
          </w:tcPr>
          <w:p w14:paraId="393A1104" w14:textId="77777777" w:rsidR="003438A2" w:rsidRPr="00A12104" w:rsidRDefault="003438A2" w:rsidP="00EF0A05">
            <w:pPr>
              <w:pStyle w:val="TableHeading"/>
            </w:pPr>
            <w:r w:rsidRPr="00A12104">
              <w:lastRenderedPageBreak/>
              <w:t xml:space="preserve">Unrestricted risk estimate for </w:t>
            </w:r>
            <w:r>
              <w:rPr>
                <w:i/>
              </w:rPr>
              <w:t>Discula</w:t>
            </w:r>
            <w:r w:rsidRPr="00A12104">
              <w:rPr>
                <w:i/>
              </w:rPr>
              <w:t xml:space="preserve"> </w:t>
            </w:r>
            <w:r>
              <w:rPr>
                <w:i/>
              </w:rPr>
              <w:t>pyri</w:t>
            </w:r>
            <w:r w:rsidRPr="00A12104">
              <w:rPr>
                <w:i/>
              </w:rPr>
              <w:t xml:space="preserve"> </w:t>
            </w:r>
          </w:p>
        </w:tc>
      </w:tr>
      <w:tr w:rsidR="003438A2" w:rsidRPr="00A12104" w14:paraId="408E1718" w14:textId="77777777" w:rsidTr="00EF0A05">
        <w:tc>
          <w:tcPr>
            <w:tcW w:w="6459" w:type="dxa"/>
          </w:tcPr>
          <w:p w14:paraId="6A4DED9F" w14:textId="77777777" w:rsidR="003438A2" w:rsidRPr="00A12104" w:rsidRDefault="003438A2" w:rsidP="00EF0A05">
            <w:pPr>
              <w:pStyle w:val="TableText"/>
            </w:pPr>
            <w:r w:rsidRPr="00A12104">
              <w:t>Overall likelihood of entry, establishment and spread</w:t>
            </w:r>
          </w:p>
        </w:tc>
        <w:tc>
          <w:tcPr>
            <w:tcW w:w="2977" w:type="dxa"/>
          </w:tcPr>
          <w:p w14:paraId="4AA1E9AB" w14:textId="77777777" w:rsidR="003438A2" w:rsidRPr="00A12104" w:rsidRDefault="003438A2" w:rsidP="00EF0A05">
            <w:pPr>
              <w:pStyle w:val="TableText"/>
            </w:pPr>
            <w:r>
              <w:t xml:space="preserve">Very </w:t>
            </w:r>
            <w:r w:rsidRPr="00A12104">
              <w:t>Low</w:t>
            </w:r>
          </w:p>
        </w:tc>
      </w:tr>
      <w:tr w:rsidR="003438A2" w:rsidRPr="00A12104" w14:paraId="5399211D" w14:textId="77777777" w:rsidTr="00EF0A05">
        <w:tc>
          <w:tcPr>
            <w:tcW w:w="6459" w:type="dxa"/>
          </w:tcPr>
          <w:p w14:paraId="2618C29F" w14:textId="77777777" w:rsidR="003438A2" w:rsidRPr="00A12104" w:rsidRDefault="003438A2" w:rsidP="00EF0A05">
            <w:pPr>
              <w:pStyle w:val="TableText"/>
            </w:pPr>
            <w:r w:rsidRPr="00A12104">
              <w:t>Consequences</w:t>
            </w:r>
          </w:p>
        </w:tc>
        <w:tc>
          <w:tcPr>
            <w:tcW w:w="2977" w:type="dxa"/>
          </w:tcPr>
          <w:p w14:paraId="1EEF0B81" w14:textId="77777777" w:rsidR="003438A2" w:rsidRPr="00A12104" w:rsidRDefault="003438A2" w:rsidP="00EF0A05">
            <w:pPr>
              <w:pStyle w:val="TableText"/>
            </w:pPr>
            <w:r w:rsidRPr="00A12104">
              <w:t>Moderate</w:t>
            </w:r>
          </w:p>
        </w:tc>
      </w:tr>
      <w:tr w:rsidR="003438A2" w:rsidRPr="00A12104" w14:paraId="15271E0E" w14:textId="77777777" w:rsidTr="00EF0A05">
        <w:tc>
          <w:tcPr>
            <w:tcW w:w="6459" w:type="dxa"/>
          </w:tcPr>
          <w:p w14:paraId="349839CA" w14:textId="77777777" w:rsidR="003438A2" w:rsidRPr="00A12104" w:rsidRDefault="003438A2" w:rsidP="00EF0A05">
            <w:pPr>
              <w:pStyle w:val="TableText"/>
            </w:pPr>
            <w:r w:rsidRPr="00A12104">
              <w:t>Unrestricted risk</w:t>
            </w:r>
          </w:p>
        </w:tc>
        <w:tc>
          <w:tcPr>
            <w:tcW w:w="2977" w:type="dxa"/>
          </w:tcPr>
          <w:p w14:paraId="4EEDD592" w14:textId="77777777" w:rsidR="003438A2" w:rsidRPr="00A12104" w:rsidRDefault="003438A2" w:rsidP="00EF0A05">
            <w:pPr>
              <w:pStyle w:val="TableText"/>
            </w:pPr>
            <w:r>
              <w:t xml:space="preserve">Very </w:t>
            </w:r>
            <w:r w:rsidRPr="00A12104">
              <w:t>Low</w:t>
            </w:r>
          </w:p>
        </w:tc>
      </w:tr>
    </w:tbl>
    <w:p w14:paraId="18B8B4AA" w14:textId="77777777" w:rsidR="003438A2" w:rsidRPr="00D13CDB" w:rsidRDefault="003438A2" w:rsidP="00C67856">
      <w:pPr>
        <w:spacing w:before="120"/>
      </w:pPr>
      <w:r>
        <w:t>As indicated, t</w:t>
      </w:r>
      <w:r w:rsidRPr="00A12104">
        <w:t xml:space="preserve">he unrestricted risk for </w:t>
      </w:r>
      <w:r>
        <w:rPr>
          <w:i/>
        </w:rPr>
        <w:t>D.</w:t>
      </w:r>
      <w:r w:rsidRPr="00A12104">
        <w:rPr>
          <w:i/>
        </w:rPr>
        <w:t xml:space="preserve"> </w:t>
      </w:r>
      <w:r>
        <w:rPr>
          <w:i/>
        </w:rPr>
        <w:t>pyri</w:t>
      </w:r>
      <w:r w:rsidRPr="00A12104">
        <w:t xml:space="preserve"> </w:t>
      </w:r>
      <w:r>
        <w:t>on the apples from PNW-USA pathway</w:t>
      </w:r>
      <w:r w:rsidRPr="00A12104">
        <w:t xml:space="preserve"> </w:t>
      </w:r>
      <w:r>
        <w:t>has been</w:t>
      </w:r>
      <w:r w:rsidRPr="00A12104">
        <w:t xml:space="preserve"> assessed as </w:t>
      </w:r>
      <w:r>
        <w:t>Very Low</w:t>
      </w:r>
      <w:r w:rsidRPr="00A12104">
        <w:t xml:space="preserve">, which </w:t>
      </w:r>
      <w:r>
        <w:t>achieve</w:t>
      </w:r>
      <w:r w:rsidRPr="00A12104">
        <w:t>s</w:t>
      </w:r>
      <w:r>
        <w:t xml:space="preserve"> the ALOP for</w:t>
      </w:r>
      <w:r w:rsidRPr="00A12104">
        <w:t xml:space="preserve"> Australia. Therefore, </w:t>
      </w:r>
      <w:r>
        <w:t xml:space="preserve">no </w:t>
      </w:r>
      <w:r w:rsidRPr="00A12104">
        <w:t>specific risk management measures are required for this pest</w:t>
      </w:r>
      <w:r>
        <w:t xml:space="preserve"> on the PNW-USA apple pathway</w:t>
      </w:r>
      <w:r w:rsidRPr="00A12104">
        <w:t>.</w:t>
      </w:r>
    </w:p>
    <w:p w14:paraId="00F78C5E" w14:textId="77777777" w:rsidR="003438A2" w:rsidRPr="006E7020" w:rsidRDefault="003438A2" w:rsidP="00C67856"/>
    <w:bookmarkEnd w:id="338"/>
    <w:p w14:paraId="33D0A4E0" w14:textId="77777777" w:rsidR="003438A2" w:rsidRDefault="003438A2">
      <w:pPr>
        <w:spacing w:after="0" w:line="240" w:lineRule="auto"/>
        <w:rPr>
          <w:rFonts w:ascii="Calibri" w:hAnsi="Calibri"/>
          <w:b/>
          <w:bCs/>
          <w:color w:val="773141"/>
          <w:sz w:val="28"/>
        </w:rPr>
      </w:pPr>
      <w:r>
        <w:br w:type="page"/>
      </w:r>
    </w:p>
    <w:p w14:paraId="6651FE17" w14:textId="77777777" w:rsidR="003438A2" w:rsidRPr="0045382F" w:rsidRDefault="003438A2" w:rsidP="00F843A1">
      <w:pPr>
        <w:pStyle w:val="Heading3"/>
        <w:numPr>
          <w:ilvl w:val="1"/>
          <w:numId w:val="35"/>
        </w:numPr>
      </w:pPr>
      <w:bookmarkStart w:id="385" w:name="_Toc112769018"/>
      <w:bookmarkStart w:id="386" w:name="_Hlk106380562"/>
      <w:bookmarkStart w:id="387" w:name="_Hlk104385739"/>
      <w:bookmarkEnd w:id="259"/>
      <w:bookmarkEnd w:id="260"/>
      <w:bookmarkEnd w:id="261"/>
      <w:bookmarkEnd w:id="262"/>
      <w:bookmarkEnd w:id="263"/>
      <w:r w:rsidRPr="0045382F">
        <w:lastRenderedPageBreak/>
        <w:t>Gymnosporangium rusts</w:t>
      </w:r>
      <w:bookmarkEnd w:id="385"/>
    </w:p>
    <w:p w14:paraId="728DA017" w14:textId="77777777" w:rsidR="003438A2" w:rsidRPr="00166CEF" w:rsidRDefault="003438A2" w:rsidP="00862DBA">
      <w:pPr>
        <w:pStyle w:val="Heading4"/>
        <w:numPr>
          <w:ilvl w:val="0"/>
          <w:numId w:val="0"/>
        </w:numPr>
        <w:rPr>
          <w:i/>
        </w:rPr>
      </w:pPr>
      <w:r w:rsidRPr="00166CEF">
        <w:rPr>
          <w:i/>
        </w:rPr>
        <w:t>Gymnosporangium clavipes</w:t>
      </w:r>
      <w:r>
        <w:rPr>
          <w:i/>
        </w:rPr>
        <w:t>,</w:t>
      </w:r>
      <w:r w:rsidRPr="00166CEF">
        <w:rPr>
          <w:i/>
        </w:rPr>
        <w:t xml:space="preserve"> Gymno</w:t>
      </w:r>
      <w:r>
        <w:rPr>
          <w:i/>
        </w:rPr>
        <w:t xml:space="preserve">sporangium juniperi-virginianae </w:t>
      </w:r>
      <w:r w:rsidRPr="0003182C">
        <w:t>and</w:t>
      </w:r>
      <w:r>
        <w:rPr>
          <w:i/>
        </w:rPr>
        <w:t xml:space="preserve"> Gymnosporangium libocedri </w:t>
      </w:r>
    </w:p>
    <w:p w14:paraId="3E4391E2" w14:textId="77777777" w:rsidR="003438A2" w:rsidRDefault="003438A2" w:rsidP="00862DBA">
      <w:r w:rsidRPr="00F75867">
        <w:rPr>
          <w:i/>
        </w:rPr>
        <w:t>Gymnosporangium</w:t>
      </w:r>
      <w:r>
        <w:t> </w:t>
      </w:r>
      <w:r>
        <w:rPr>
          <w:i/>
        </w:rPr>
        <w:t>clavipes,</w:t>
      </w:r>
      <w:r w:rsidRPr="00F75867">
        <w:t xml:space="preserve"> </w:t>
      </w:r>
      <w:r w:rsidRPr="00F75867">
        <w:rPr>
          <w:i/>
        </w:rPr>
        <w:t>G</w:t>
      </w:r>
      <w:r>
        <w:rPr>
          <w:i/>
        </w:rPr>
        <w:t>. </w:t>
      </w:r>
      <w:r w:rsidRPr="00F75867">
        <w:rPr>
          <w:i/>
        </w:rPr>
        <w:t>juniperi</w:t>
      </w:r>
      <w:r w:rsidRPr="00F75867">
        <w:t>-</w:t>
      </w:r>
      <w:r w:rsidRPr="00F75867">
        <w:rPr>
          <w:i/>
        </w:rPr>
        <w:t xml:space="preserve">virginianae </w:t>
      </w:r>
      <w:r>
        <w:t xml:space="preserve">and </w:t>
      </w:r>
      <w:r>
        <w:rPr>
          <w:i/>
        </w:rPr>
        <w:t>G. </w:t>
      </w:r>
      <w:r w:rsidRPr="00F75867">
        <w:rPr>
          <w:i/>
        </w:rPr>
        <w:t>libocedri</w:t>
      </w:r>
      <w:r w:rsidDel="004244DC">
        <w:rPr>
          <w:i/>
        </w:rPr>
        <w:t xml:space="preserve"> </w:t>
      </w:r>
      <w:r>
        <w:t xml:space="preserve">are fungal pathogens causing rusts, namely quince rust, </w:t>
      </w:r>
      <w:r w:rsidRPr="00F75867">
        <w:t>Cedar apple rust</w:t>
      </w:r>
      <w:r w:rsidRPr="004D56CD">
        <w:t xml:space="preserve"> </w:t>
      </w:r>
      <w:r>
        <w:t xml:space="preserve">and </w:t>
      </w:r>
      <w:r w:rsidRPr="00F75867">
        <w:t>Pacific Coast pear rust</w:t>
      </w:r>
      <w:r>
        <w:t>, respectively.</w:t>
      </w:r>
      <w:r w:rsidRPr="00F75867">
        <w:t xml:space="preserve"> </w:t>
      </w:r>
      <w:r>
        <w:t xml:space="preserve">Fungi in the genus </w:t>
      </w:r>
      <w:r>
        <w:rPr>
          <w:i/>
        </w:rPr>
        <w:t xml:space="preserve">Gymnosporangium </w:t>
      </w:r>
      <w:r>
        <w:t>belong to the family Pucciniaceae. These three species have</w:t>
      </w:r>
      <w:r w:rsidRPr="00F75867">
        <w:t xml:space="preserve"> been grouped together </w:t>
      </w:r>
      <w:r>
        <w:t xml:space="preserve">based on </w:t>
      </w:r>
      <w:r w:rsidRPr="00F75867">
        <w:t xml:space="preserve">their </w:t>
      </w:r>
      <w:r>
        <w:t>similar</w:t>
      </w:r>
      <w:r w:rsidRPr="00F75867">
        <w:t xml:space="preserve"> biolog</w:t>
      </w:r>
      <w:r>
        <w:t>ies, from which they are predicted to pose</w:t>
      </w:r>
      <w:r w:rsidRPr="00F75867">
        <w:t xml:space="preserve"> similar </w:t>
      </w:r>
      <w:r>
        <w:t xml:space="preserve">biosecurity </w:t>
      </w:r>
      <w:r w:rsidRPr="00F75867">
        <w:t>risk</w:t>
      </w:r>
      <w:r>
        <w:t>s</w:t>
      </w:r>
      <w:r w:rsidRPr="00F75867">
        <w:t xml:space="preserve">. </w:t>
      </w:r>
      <w:r>
        <w:t xml:space="preserve">In this assessment, the term </w:t>
      </w:r>
      <w:r w:rsidRPr="00F832F1">
        <w:t>Gymnosporangium</w:t>
      </w:r>
      <w:r w:rsidRPr="005323BA">
        <w:t xml:space="preserve"> rusts</w:t>
      </w:r>
      <w:r>
        <w:t xml:space="preserve"> is used to refer to these three species, and scientific names are used when the information relates to a specific species.</w:t>
      </w:r>
    </w:p>
    <w:p w14:paraId="41406AEF" w14:textId="77777777" w:rsidR="003438A2" w:rsidRDefault="003438A2" w:rsidP="00862DBA">
      <w:r>
        <w:t xml:space="preserve">The distribution of all three species is restricted to North America </w:t>
      </w:r>
      <w:r>
        <w:rPr>
          <w:noProof/>
        </w:rPr>
        <w:t>(Aldwinckle 1990b; PNW Handbooks 2010; Sinclair &amp; Lyon 2005)</w:t>
      </w:r>
      <w:r>
        <w:t xml:space="preserve">. While </w:t>
      </w:r>
      <w:r w:rsidRPr="00F75867">
        <w:rPr>
          <w:i/>
        </w:rPr>
        <w:t>Gymnosporangium</w:t>
      </w:r>
      <w:r>
        <w:t> </w:t>
      </w:r>
      <w:r>
        <w:rPr>
          <w:i/>
        </w:rPr>
        <w:t xml:space="preserve">clavipes </w:t>
      </w:r>
      <w:r>
        <w:rPr>
          <w:iCs/>
        </w:rPr>
        <w:t>and</w:t>
      </w:r>
      <w:r w:rsidRPr="00F75867">
        <w:t xml:space="preserve"> </w:t>
      </w:r>
      <w:r w:rsidRPr="00F75867">
        <w:rPr>
          <w:i/>
        </w:rPr>
        <w:t>G</w:t>
      </w:r>
      <w:r>
        <w:rPr>
          <w:i/>
        </w:rPr>
        <w:t>. </w:t>
      </w:r>
      <w:r w:rsidRPr="00F75867">
        <w:rPr>
          <w:i/>
        </w:rPr>
        <w:t>juniperi</w:t>
      </w:r>
      <w:r w:rsidRPr="00F75867">
        <w:t>-</w:t>
      </w:r>
      <w:r w:rsidRPr="00F75867">
        <w:rPr>
          <w:i/>
        </w:rPr>
        <w:t xml:space="preserve">virginianae </w:t>
      </w:r>
      <w:r>
        <w:t xml:space="preserve">are uncommon in the PNW-USA </w:t>
      </w:r>
      <w:r>
        <w:rPr>
          <w:noProof/>
        </w:rPr>
        <w:t>(Sinclair &amp; Lyon 2005)</w:t>
      </w:r>
      <w:r>
        <w:t xml:space="preserve">, </w:t>
      </w:r>
      <w:r>
        <w:rPr>
          <w:i/>
          <w:iCs/>
        </w:rPr>
        <w:t xml:space="preserve">Malus </w:t>
      </w:r>
      <w:r>
        <w:t xml:space="preserve">spp. are known hosts </w:t>
      </w:r>
      <w:r>
        <w:rPr>
          <w:noProof/>
        </w:rPr>
        <w:t>(Sinclair &amp; Lyon 2005)</w:t>
      </w:r>
      <w:r>
        <w:t xml:space="preserve">. </w:t>
      </w:r>
      <w:r w:rsidRPr="00960285">
        <w:rPr>
          <w:i/>
        </w:rPr>
        <w:t>Gymnosporangium libocedri</w:t>
      </w:r>
      <w:r w:rsidRPr="007A05A7">
        <w:t xml:space="preserve"> has </w:t>
      </w:r>
      <w:r>
        <w:t xml:space="preserve">been reported to </w:t>
      </w:r>
      <w:r w:rsidRPr="007A05A7">
        <w:t>caus</w:t>
      </w:r>
      <w:r>
        <w:t xml:space="preserve">e </w:t>
      </w:r>
      <w:r w:rsidRPr="007A05A7">
        <w:t>severe infection</w:t>
      </w:r>
      <w:r>
        <w:t>s</w:t>
      </w:r>
      <w:r w:rsidRPr="007A05A7">
        <w:t xml:space="preserve"> of pear and quince fruit</w:t>
      </w:r>
      <w:r>
        <w:t xml:space="preserve"> </w:t>
      </w:r>
      <w:r>
        <w:rPr>
          <w:noProof/>
        </w:rPr>
        <w:t xml:space="preserve">(Pscheidt &amp; Ocamb 2022b; Sutton et al. 2014) </w:t>
      </w:r>
      <w:r>
        <w:t>and it</w:t>
      </w:r>
      <w:r w:rsidRPr="007A05A7">
        <w:t xml:space="preserve"> </w:t>
      </w:r>
      <w:r>
        <w:t xml:space="preserve">can </w:t>
      </w:r>
      <w:r w:rsidRPr="007A05A7">
        <w:t>also infect apple fruit</w:t>
      </w:r>
      <w:r>
        <w:t xml:space="preserve"> in the PNW-USA</w:t>
      </w:r>
      <w:r w:rsidRPr="007A05A7">
        <w:t xml:space="preserve"> </w:t>
      </w:r>
      <w:r>
        <w:t xml:space="preserve">in Washington and Oregon </w:t>
      </w:r>
      <w:r>
        <w:rPr>
          <w:noProof/>
        </w:rPr>
        <w:t>(Aldwinckle 1990b; PNW Handbooks 2019a; Sinclair &amp; Lyon 2005; Sutton et al. 2014)</w:t>
      </w:r>
      <w:r>
        <w:t xml:space="preserve">. </w:t>
      </w:r>
      <w:r w:rsidRPr="00356E74">
        <w:rPr>
          <w:iCs/>
        </w:rPr>
        <w:t>Gymnosporangium</w:t>
      </w:r>
      <w:r w:rsidRPr="007A05A7">
        <w:t xml:space="preserve"> rusts</w:t>
      </w:r>
      <w:r w:rsidDel="00F32B83">
        <w:t xml:space="preserve"> </w:t>
      </w:r>
      <w:r w:rsidRPr="00F75867">
        <w:t>are heteroecious rusts</w:t>
      </w:r>
      <w:r>
        <w:t xml:space="preserve"> requiring two types of hosts for completing their life cycles. As a result, m</w:t>
      </w:r>
      <w:r w:rsidRPr="00F75867">
        <w:t xml:space="preserve">ost </w:t>
      </w:r>
      <w:r w:rsidRPr="00F75867">
        <w:rPr>
          <w:i/>
        </w:rPr>
        <w:t>Gymnosporangium</w:t>
      </w:r>
      <w:r w:rsidRPr="00F75867">
        <w:t xml:space="preserve"> species require </w:t>
      </w:r>
      <w:r>
        <w:t>two</w:t>
      </w:r>
      <w:r w:rsidRPr="00F75867">
        <w:t xml:space="preserve"> years to complete their life cycle </w:t>
      </w:r>
      <w:r>
        <w:rPr>
          <w:noProof/>
        </w:rPr>
        <w:t>(Sinclair &amp; Lyon 2005)</w:t>
      </w:r>
      <w:r w:rsidRPr="00F75867">
        <w:t xml:space="preserve">. </w:t>
      </w:r>
      <w:r w:rsidRPr="00356E74">
        <w:rPr>
          <w:iCs/>
        </w:rPr>
        <w:t>Gymnosporangium</w:t>
      </w:r>
      <w:r w:rsidRPr="007A05A7">
        <w:t xml:space="preserve"> rusts</w:t>
      </w:r>
      <w:r w:rsidDel="00F32B83">
        <w:t xml:space="preserve"> </w:t>
      </w:r>
      <w:r w:rsidRPr="00F75867">
        <w:t xml:space="preserve">require </w:t>
      </w:r>
      <w:r w:rsidRPr="00F75867">
        <w:rPr>
          <w:i/>
        </w:rPr>
        <w:t>Juniperus</w:t>
      </w:r>
      <w:r w:rsidRPr="00F75867">
        <w:t xml:space="preserve"> spp. (junipers) or </w:t>
      </w:r>
      <w:r w:rsidRPr="00F75867">
        <w:rPr>
          <w:i/>
        </w:rPr>
        <w:t>Calocedrus</w:t>
      </w:r>
      <w:r>
        <w:t> </w:t>
      </w:r>
      <w:r w:rsidRPr="00F75867">
        <w:rPr>
          <w:i/>
        </w:rPr>
        <w:t>decurrens</w:t>
      </w:r>
      <w:r w:rsidRPr="00F75867">
        <w:t xml:space="preserve"> (incense cedar</w:t>
      </w:r>
      <w:r w:rsidRPr="009F4FE1">
        <w:t xml:space="preserve">) as </w:t>
      </w:r>
      <w:r>
        <w:t xml:space="preserve">alternate (or telial) </w:t>
      </w:r>
      <w:r w:rsidRPr="009F4FE1">
        <w:t xml:space="preserve">hosts during the </w:t>
      </w:r>
      <w:r>
        <w:t>sexual reproduction phase in forming sexual spores (</w:t>
      </w:r>
      <w:r w:rsidRPr="009F4FE1">
        <w:t xml:space="preserve">telial </w:t>
      </w:r>
      <w:r>
        <w:t xml:space="preserve">spores and </w:t>
      </w:r>
      <w:bookmarkStart w:id="388" w:name="_Hlk42447692"/>
      <w:r>
        <w:t>basidiospores produced in telia)</w:t>
      </w:r>
      <w:bookmarkEnd w:id="388"/>
      <w:r>
        <w:t xml:space="preserve"> for infecting primary </w:t>
      </w:r>
      <w:r w:rsidRPr="009F4FE1">
        <w:t xml:space="preserve">rosaceous </w:t>
      </w:r>
      <w:r>
        <w:t>host species, such as apples, pears, hawthorns and quinces. Rosaceous species are the</w:t>
      </w:r>
      <w:r w:rsidRPr="009F4FE1">
        <w:t xml:space="preserve"> </w:t>
      </w:r>
      <w:r>
        <w:t xml:space="preserve">aecial </w:t>
      </w:r>
      <w:r w:rsidRPr="009F4FE1">
        <w:t xml:space="preserve">hosts </w:t>
      </w:r>
      <w:r>
        <w:t>in which the asexual (</w:t>
      </w:r>
      <w:r w:rsidRPr="009F4FE1">
        <w:t>aecial</w:t>
      </w:r>
      <w:r>
        <w:t>)</w:t>
      </w:r>
      <w:r w:rsidRPr="009F4FE1">
        <w:t xml:space="preserve"> stage</w:t>
      </w:r>
      <w:r>
        <w:t xml:space="preserve"> is completed to develop aecia and aeciospores </w:t>
      </w:r>
      <w:r>
        <w:rPr>
          <w:noProof/>
        </w:rPr>
        <w:t>(Aldwinckle 1990b; Farr &amp; Rossman 2018; Sinclair &amp; Lyon 2005)</w:t>
      </w:r>
      <w:r w:rsidRPr="009C1015">
        <w:t>.</w:t>
      </w:r>
      <w:r>
        <w:t xml:space="preserve"> </w:t>
      </w:r>
    </w:p>
    <w:p w14:paraId="5F5338E0" w14:textId="77777777" w:rsidR="003438A2" w:rsidRDefault="003438A2" w:rsidP="00862DBA">
      <w:r>
        <w:t xml:space="preserve">These three </w:t>
      </w:r>
      <w:r w:rsidRPr="00F832F1">
        <w:t>Gymnosporangium</w:t>
      </w:r>
      <w:r>
        <w:t xml:space="preserve"> species </w:t>
      </w:r>
      <w:r w:rsidRPr="00F75867">
        <w:t>have similar life cycles and cause similar symptoms in their hosts. Telia are produced from galls on bark or leaves of the juniper/cedar hosts during spring</w:t>
      </w:r>
      <w:r>
        <w:t>,</w:t>
      </w:r>
      <w:r w:rsidRPr="00F75867">
        <w:t xml:space="preserve"> </w:t>
      </w:r>
      <w:r>
        <w:t xml:space="preserve">and in turn </w:t>
      </w:r>
      <w:r w:rsidRPr="00F75867">
        <w:t>produce two-celled teliospores which, under wet conditions, germinate to produce basidia on which are borne basidiospores. Basidiospores are wind-dispersed and are able to infect nearby apple trees</w:t>
      </w:r>
      <w:r>
        <w:t xml:space="preserve"> and fruit</w:t>
      </w:r>
      <w:r w:rsidRPr="00F75867">
        <w:t>. Infection</w:t>
      </w:r>
      <w:r>
        <w:t>s</w:t>
      </w:r>
      <w:r w:rsidRPr="00F75867">
        <w:t xml:space="preserve"> from basidiospore</w:t>
      </w:r>
      <w:r>
        <w:t>s</w:t>
      </w:r>
      <w:r w:rsidRPr="00F75867">
        <w:t xml:space="preserve"> give rise to </w:t>
      </w:r>
      <w:bookmarkStart w:id="389" w:name="_Hlk42447915"/>
      <w:r>
        <w:t xml:space="preserve">two types of asexual spores, pycniospores formed in </w:t>
      </w:r>
      <w:bookmarkEnd w:id="389"/>
      <w:r w:rsidRPr="00F75867">
        <w:t>pycnia on the upper surface</w:t>
      </w:r>
      <w:r>
        <w:t>s</w:t>
      </w:r>
      <w:r w:rsidRPr="00F75867">
        <w:t xml:space="preserve"> of apple leaves</w:t>
      </w:r>
      <w:r>
        <w:t>, which</w:t>
      </w:r>
      <w:r w:rsidRPr="00F75867">
        <w:t xml:space="preserve"> eventually reach the lower surface</w:t>
      </w:r>
      <w:r>
        <w:t>s</w:t>
      </w:r>
      <w:r w:rsidRPr="00F75867">
        <w:t xml:space="preserve"> of the leaves</w:t>
      </w:r>
      <w:r>
        <w:t xml:space="preserve"> </w:t>
      </w:r>
      <w:bookmarkStart w:id="390" w:name="_Hlk42447952"/>
      <w:r>
        <w:t>(or fruit) to form the second type of asexual spores named aeciospores produced in aecia</w:t>
      </w:r>
      <w:bookmarkEnd w:id="390"/>
      <w:r w:rsidRPr="00F75867">
        <w:t xml:space="preserve">. These aeciospores are released during dry weather in late summer and </w:t>
      </w:r>
      <w:r>
        <w:t>are</w:t>
      </w:r>
      <w:r w:rsidRPr="00F75867">
        <w:t xml:space="preserve"> wind</w:t>
      </w:r>
      <w:r>
        <w:t>-</w:t>
      </w:r>
      <w:r w:rsidRPr="00F75867">
        <w:t xml:space="preserve">dispersed to infect the alternate juniper/cedar host </w:t>
      </w:r>
      <w:r>
        <w:rPr>
          <w:noProof/>
        </w:rPr>
        <w:t>(Aldwinckle 1990a; Sinclair &amp; Lyon 2005)</w:t>
      </w:r>
      <w:r w:rsidRPr="00F75867">
        <w:t xml:space="preserve">. After germinating on the juniper/cedar host, an overwintering mycelium is produced. Galls of </w:t>
      </w:r>
      <w:r>
        <w:rPr>
          <w:i/>
        </w:rPr>
        <w:t>G. </w:t>
      </w:r>
      <w:r w:rsidRPr="00F75867">
        <w:rPr>
          <w:i/>
        </w:rPr>
        <w:t>libocedri</w:t>
      </w:r>
      <w:r w:rsidRPr="00F75867">
        <w:t xml:space="preserve"> are perennial, whereas those of </w:t>
      </w:r>
      <w:r>
        <w:rPr>
          <w:i/>
        </w:rPr>
        <w:t>G. </w:t>
      </w:r>
      <w:r w:rsidRPr="00F75867">
        <w:rPr>
          <w:i/>
        </w:rPr>
        <w:t>juniperi-virginianae</w:t>
      </w:r>
      <w:r w:rsidRPr="00F75867">
        <w:t xml:space="preserve"> produce teliospores during spring only</w:t>
      </w:r>
      <w:r>
        <w:t>,</w:t>
      </w:r>
      <w:r w:rsidRPr="00F75867">
        <w:t xml:space="preserve"> and fresh infections are needed every year for the life cycle to be</w:t>
      </w:r>
      <w:bookmarkStart w:id="391" w:name="_Hlk38970520"/>
      <w:r w:rsidRPr="00F75867">
        <w:t xml:space="preserve"> main</w:t>
      </w:r>
      <w:r>
        <w:t xml:space="preserve">tained </w:t>
      </w:r>
      <w:r>
        <w:rPr>
          <w:noProof/>
        </w:rPr>
        <w:t>(Aldwinckle 1990a; Sinclair &amp; Lyon 2005)</w:t>
      </w:r>
      <w:r w:rsidRPr="00644DD5">
        <w:t>.</w:t>
      </w:r>
      <w:bookmarkEnd w:id="391"/>
    </w:p>
    <w:p w14:paraId="16B9D25A" w14:textId="77777777" w:rsidR="003438A2" w:rsidRDefault="003438A2" w:rsidP="00862DBA">
      <w:r>
        <w:t xml:space="preserve">The risk scenario of biosecurity concern for </w:t>
      </w:r>
      <w:r w:rsidRPr="00F832F1">
        <w:t>Gymnosporangium</w:t>
      </w:r>
      <w:r>
        <w:t xml:space="preserve"> rusts is that symptomless infected apple fruit carrying aecia and/or </w:t>
      </w:r>
      <w:r w:rsidRPr="00F75867">
        <w:t xml:space="preserve">aeciospores </w:t>
      </w:r>
      <w:r w:rsidRPr="00E21B36">
        <w:t xml:space="preserve">and basidiospores </w:t>
      </w:r>
      <w:r>
        <w:t>might enter Australia, infect alternate hosts, and initiate establishment of this pathogen in Australia.</w:t>
      </w:r>
    </w:p>
    <w:p w14:paraId="71C78C87" w14:textId="77777777" w:rsidR="003438A2" w:rsidRDefault="003438A2" w:rsidP="00862DBA">
      <w:r>
        <w:t xml:space="preserve">A congeneric species </w:t>
      </w:r>
      <w:r>
        <w:rPr>
          <w:i/>
        </w:rPr>
        <w:t xml:space="preserve">Gymnosporangium yamadae </w:t>
      </w:r>
      <w:r>
        <w:t xml:space="preserve">(Japanese apple rust) has been assessed in the existing policy for fresh apple fruit from the People’s Republic of China </w:t>
      </w:r>
      <w:r>
        <w:rPr>
          <w:noProof/>
        </w:rPr>
        <w:t>(Biosecurity Australia 2010a)</w:t>
      </w:r>
      <w:r>
        <w:t xml:space="preserve">. In that policy </w:t>
      </w:r>
      <w:r w:rsidRPr="00190276">
        <w:rPr>
          <w:rFonts w:cs="Arial"/>
        </w:rPr>
        <w:t xml:space="preserve">the unrestricted risk estimate for </w:t>
      </w:r>
      <w:r>
        <w:rPr>
          <w:i/>
        </w:rPr>
        <w:t xml:space="preserve">G. yamadae </w:t>
      </w:r>
      <w:r w:rsidRPr="00190276">
        <w:rPr>
          <w:rFonts w:cs="Arial"/>
        </w:rPr>
        <w:t>was assessed as Low</w:t>
      </w:r>
      <w:r>
        <w:rPr>
          <w:rFonts w:cs="Arial"/>
        </w:rPr>
        <w:t>,</w:t>
      </w:r>
      <w:r w:rsidRPr="00190276">
        <w:rPr>
          <w:rFonts w:cs="Arial"/>
        </w:rPr>
        <w:t xml:space="preserve"> </w:t>
      </w:r>
      <w:r w:rsidRPr="00295366">
        <w:rPr>
          <w:rFonts w:cs="Arial"/>
        </w:rPr>
        <w:t xml:space="preserve">which </w:t>
      </w:r>
      <w:r>
        <w:rPr>
          <w:rFonts w:cs="Arial"/>
        </w:rPr>
        <w:lastRenderedPageBreak/>
        <w:t>does not achieve</w:t>
      </w:r>
      <w:r w:rsidRPr="00295366">
        <w:rPr>
          <w:rFonts w:cs="Arial"/>
        </w:rPr>
        <w:t xml:space="preserve"> </w:t>
      </w:r>
      <w:r>
        <w:rPr>
          <w:rFonts w:cs="Arial"/>
        </w:rPr>
        <w:t xml:space="preserve">the ALOP for </w:t>
      </w:r>
      <w:r w:rsidRPr="00295366">
        <w:rPr>
          <w:rFonts w:cs="Arial"/>
        </w:rPr>
        <w:t xml:space="preserve">Australia. Therefore, specific risk management measures are required for </w:t>
      </w:r>
      <w:r>
        <w:rPr>
          <w:i/>
        </w:rPr>
        <w:t xml:space="preserve">G. yamadae </w:t>
      </w:r>
      <w:r>
        <w:t>on the fresh apple fruit from China pathway</w:t>
      </w:r>
      <w:r w:rsidRPr="00295366">
        <w:rPr>
          <w:rFonts w:cs="Arial"/>
        </w:rPr>
        <w:t>.</w:t>
      </w:r>
      <w:r w:rsidRPr="00603891">
        <w:rPr>
          <w:rFonts w:cs="Arial"/>
        </w:rPr>
        <w:t xml:space="preserve"> </w:t>
      </w:r>
      <w:r w:rsidRPr="00F75867">
        <w:rPr>
          <w:i/>
        </w:rPr>
        <w:t>Gymnosporangium</w:t>
      </w:r>
      <w:r>
        <w:t> </w:t>
      </w:r>
      <w:r>
        <w:rPr>
          <w:i/>
        </w:rPr>
        <w:t>clavipes,</w:t>
      </w:r>
      <w:r w:rsidRPr="00F75867">
        <w:t xml:space="preserve"> </w:t>
      </w:r>
      <w:r w:rsidRPr="00F75867">
        <w:rPr>
          <w:i/>
        </w:rPr>
        <w:t>G</w:t>
      </w:r>
      <w:r>
        <w:rPr>
          <w:i/>
        </w:rPr>
        <w:t>. </w:t>
      </w:r>
      <w:r w:rsidRPr="00F75867">
        <w:rPr>
          <w:i/>
        </w:rPr>
        <w:t>juniperi</w:t>
      </w:r>
      <w:r w:rsidRPr="00F75867">
        <w:t>-</w:t>
      </w:r>
      <w:r w:rsidRPr="00F75867">
        <w:rPr>
          <w:i/>
        </w:rPr>
        <w:t xml:space="preserve">virginianae </w:t>
      </w:r>
      <w:r>
        <w:t xml:space="preserve">and </w:t>
      </w:r>
      <w:r>
        <w:rPr>
          <w:i/>
        </w:rPr>
        <w:t>G. </w:t>
      </w:r>
      <w:r w:rsidRPr="00F75867">
        <w:rPr>
          <w:i/>
        </w:rPr>
        <w:t>libocedri</w:t>
      </w:r>
      <w:r w:rsidDel="004244DC">
        <w:rPr>
          <w:i/>
        </w:rPr>
        <w:t xml:space="preserve"> </w:t>
      </w:r>
      <w:r w:rsidRPr="00815A3A">
        <w:t>ha</w:t>
      </w:r>
      <w:r>
        <w:t xml:space="preserve">ve very </w:t>
      </w:r>
      <w:r w:rsidRPr="00815A3A">
        <w:t>similar biolog</w:t>
      </w:r>
      <w:r>
        <w:t>ies</w:t>
      </w:r>
      <w:r w:rsidRPr="00815A3A">
        <w:t xml:space="preserve"> and life cycle</w:t>
      </w:r>
      <w:r>
        <w:t>s</w:t>
      </w:r>
      <w:r w:rsidRPr="00815A3A">
        <w:t xml:space="preserve"> to </w:t>
      </w:r>
      <w:r>
        <w:t xml:space="preserve">other </w:t>
      </w:r>
      <w:r w:rsidRPr="00F75867">
        <w:rPr>
          <w:i/>
        </w:rPr>
        <w:t>Gymnosporangium</w:t>
      </w:r>
      <w:r w:rsidRPr="00815A3A">
        <w:rPr>
          <w:i/>
        </w:rPr>
        <w:t xml:space="preserve"> </w:t>
      </w:r>
      <w:r>
        <w:t xml:space="preserve">species, including </w:t>
      </w:r>
      <w:r>
        <w:rPr>
          <w:i/>
        </w:rPr>
        <w:t xml:space="preserve">G. </w:t>
      </w:r>
      <w:r w:rsidRPr="001B1816">
        <w:rPr>
          <w:i/>
        </w:rPr>
        <w:t xml:space="preserve">yamadae </w:t>
      </w:r>
      <w:r>
        <w:rPr>
          <w:noProof/>
        </w:rPr>
        <w:t>(Aldwinckle 1990a; Sinclair &amp; Lyon 2005)</w:t>
      </w:r>
      <w:r>
        <w:t xml:space="preserve">. </w:t>
      </w:r>
      <w:r w:rsidRPr="00815A3A">
        <w:t>Therefore</w:t>
      </w:r>
      <w:r>
        <w:t>,</w:t>
      </w:r>
      <w:r w:rsidRPr="00815A3A">
        <w:t xml:space="preserve"> it is considered that </w:t>
      </w:r>
      <w:r>
        <w:t xml:space="preserve">these </w:t>
      </w:r>
      <w:r w:rsidRPr="00F75867">
        <w:rPr>
          <w:i/>
        </w:rPr>
        <w:t>Gymnosporangium</w:t>
      </w:r>
      <w:r w:rsidRPr="00815A3A">
        <w:rPr>
          <w:i/>
        </w:rPr>
        <w:t xml:space="preserve"> </w:t>
      </w:r>
      <w:r>
        <w:t xml:space="preserve">species are likely to </w:t>
      </w:r>
      <w:r w:rsidRPr="00815A3A">
        <w:t xml:space="preserve">pose similar </w:t>
      </w:r>
      <w:r>
        <w:t xml:space="preserve">biosecurity </w:t>
      </w:r>
      <w:r w:rsidRPr="00815A3A">
        <w:t xml:space="preserve">risks </w:t>
      </w:r>
      <w:r>
        <w:t xml:space="preserve">to </w:t>
      </w:r>
      <w:r>
        <w:rPr>
          <w:i/>
        </w:rPr>
        <w:t>G. yamadae</w:t>
      </w:r>
      <w:r w:rsidRPr="00815A3A">
        <w:t>.</w:t>
      </w:r>
    </w:p>
    <w:p w14:paraId="0F66FBFA" w14:textId="77777777" w:rsidR="003438A2" w:rsidRDefault="003438A2" w:rsidP="00862DBA">
      <w:r w:rsidRPr="00815A3A">
        <w:t xml:space="preserve">The department has assessed the likelihood of </w:t>
      </w:r>
      <w:r w:rsidRPr="00E106BD">
        <w:t xml:space="preserve">importation of </w:t>
      </w:r>
      <w:r>
        <w:rPr>
          <w:i/>
        </w:rPr>
        <w:t xml:space="preserve">G. yamadae </w:t>
      </w:r>
      <w:r w:rsidRPr="00E106BD">
        <w:t xml:space="preserve">on fresh apple fruit from China as </w:t>
      </w:r>
      <w:r>
        <w:t>Moderate</w:t>
      </w:r>
      <w:r w:rsidRPr="00E106BD">
        <w:t xml:space="preserve"> </w:t>
      </w:r>
      <w:r>
        <w:rPr>
          <w:noProof/>
        </w:rPr>
        <w:t>(Biosecurity Australia 2010a)</w:t>
      </w:r>
      <w:r w:rsidRPr="00E106BD">
        <w:t>. However</w:t>
      </w:r>
      <w:r w:rsidRPr="00815A3A">
        <w:t xml:space="preserve">, </w:t>
      </w:r>
      <w:r>
        <w:t xml:space="preserve">the differences in </w:t>
      </w:r>
      <w:r w:rsidRPr="00815A3A">
        <w:t>pest prevalence</w:t>
      </w:r>
      <w:r>
        <w:t xml:space="preserve">, </w:t>
      </w:r>
      <w:r w:rsidRPr="00815A3A">
        <w:t>climate and horticultur</w:t>
      </w:r>
      <w:r>
        <w:t>al</w:t>
      </w:r>
      <w:r w:rsidRPr="00815A3A">
        <w:t xml:space="preserve"> practices </w:t>
      </w:r>
      <w:r>
        <w:t>between</w:t>
      </w:r>
      <w:r w:rsidRPr="00815A3A">
        <w:t xml:space="preserve"> export areas make it necessary to assess the likelihood of importation of </w:t>
      </w:r>
      <w:r w:rsidRPr="00F832F1">
        <w:rPr>
          <w:iCs/>
        </w:rPr>
        <w:t>Gymnosporangium</w:t>
      </w:r>
      <w:r w:rsidRPr="00815A3A">
        <w:rPr>
          <w:i/>
        </w:rPr>
        <w:t xml:space="preserve"> </w:t>
      </w:r>
      <w:r w:rsidRPr="00B84670">
        <w:t>rusts</w:t>
      </w:r>
      <w:r w:rsidRPr="00A5451E">
        <w:t xml:space="preserve"> </w:t>
      </w:r>
      <w:r w:rsidRPr="00815A3A">
        <w:t xml:space="preserve">associated with </w:t>
      </w:r>
      <w:r>
        <w:t xml:space="preserve">the </w:t>
      </w:r>
      <w:r w:rsidRPr="00815A3A">
        <w:t>PNW-USA</w:t>
      </w:r>
      <w:r>
        <w:t xml:space="preserve"> apple pathway</w:t>
      </w:r>
      <w:r w:rsidRPr="00815A3A">
        <w:t>.</w:t>
      </w:r>
    </w:p>
    <w:p w14:paraId="7CDD4CB4" w14:textId="77777777" w:rsidR="003438A2" w:rsidRPr="00815A3A" w:rsidRDefault="003438A2" w:rsidP="00862DBA">
      <w:r>
        <w:t xml:space="preserve">The department has assessed the likelihood of distribution of </w:t>
      </w:r>
      <w:r w:rsidRPr="00D15BFC">
        <w:rPr>
          <w:i/>
          <w:iCs/>
        </w:rPr>
        <w:t>G. yamadae</w:t>
      </w:r>
      <w:r>
        <w:t xml:space="preserve"> on fresh apple fruit from China as Moderate </w:t>
      </w:r>
      <w:r>
        <w:rPr>
          <w:noProof/>
        </w:rPr>
        <w:t>(Biosecurity Australia 2010a)</w:t>
      </w:r>
      <w:r>
        <w:t xml:space="preserve">. </w:t>
      </w:r>
      <w:r w:rsidRPr="00815A3A">
        <w:t>Fresh apple</w:t>
      </w:r>
      <w:r>
        <w:t xml:space="preserve"> fruit </w:t>
      </w:r>
      <w:r w:rsidRPr="00815A3A">
        <w:t xml:space="preserve">from the PNW-USA </w:t>
      </w:r>
      <w:r>
        <w:t>are</w:t>
      </w:r>
      <w:r w:rsidRPr="00815A3A">
        <w:t xml:space="preserve"> expected to be distributed in Australia</w:t>
      </w:r>
      <w:r>
        <w:t>,</w:t>
      </w:r>
      <w:r w:rsidRPr="00815A3A">
        <w:t xml:space="preserve"> </w:t>
      </w:r>
      <w:r w:rsidRPr="00DC3C55">
        <w:t xml:space="preserve">as a result of the processing, sale or disposal, </w:t>
      </w:r>
      <w:r w:rsidRPr="00815A3A">
        <w:t xml:space="preserve">in </w:t>
      </w:r>
      <w:r>
        <w:t xml:space="preserve">a similar </w:t>
      </w:r>
      <w:r w:rsidRPr="00815A3A">
        <w:t xml:space="preserve">way </w:t>
      </w:r>
      <w:r>
        <w:t xml:space="preserve">to </w:t>
      </w:r>
      <w:r w:rsidRPr="00815A3A">
        <w:t xml:space="preserve">apples </w:t>
      </w:r>
      <w:r>
        <w:t xml:space="preserve">from China. Apples can be imported all year round, therefore, </w:t>
      </w:r>
      <w:r w:rsidRPr="00B81F41">
        <w:t>there would be no seasonal differences between both import pathways to contribute to variation in the risk rating for likelihood of distribution</w:t>
      </w:r>
      <w:r>
        <w:t>. In order for the pathogen’s life cycle to be completed, aeciospores from an infected apple fruit would need to reach an alternate host. The potential for distribution of infected fruit throughout Australia, the disposal of fruit waste in the environment, and the ability of wind and water droplets to transfer rust spores from fruit waste to a host, are moderated by the limited availability of alternate hosts in Australia</w:t>
      </w:r>
      <w:r w:rsidRPr="00815A3A">
        <w:t xml:space="preserve">. Therefore, the </w:t>
      </w:r>
      <w:r>
        <w:t xml:space="preserve">same </w:t>
      </w:r>
      <w:r w:rsidRPr="00815A3A">
        <w:t xml:space="preserve">rating of </w:t>
      </w:r>
      <w:r>
        <w:t>Moderate</w:t>
      </w:r>
      <w:r w:rsidRPr="00815A3A">
        <w:t xml:space="preserve"> </w:t>
      </w:r>
      <w:r>
        <w:t>as assessed for</w:t>
      </w:r>
      <w:r w:rsidRPr="00815A3A">
        <w:t xml:space="preserve"> the likelihood of distribution for </w:t>
      </w:r>
      <w:r>
        <w:rPr>
          <w:i/>
        </w:rPr>
        <w:t xml:space="preserve">G. yamadae </w:t>
      </w:r>
      <w:r>
        <w:t xml:space="preserve">on the China apple pathway </w:t>
      </w:r>
      <w:r w:rsidRPr="00815A3A">
        <w:t xml:space="preserve">is adopted for </w:t>
      </w:r>
      <w:r>
        <w:t xml:space="preserve">these </w:t>
      </w:r>
      <w:r w:rsidRPr="00946BC1">
        <w:rPr>
          <w:iCs/>
        </w:rPr>
        <w:t>Gymnosporangium</w:t>
      </w:r>
      <w:r w:rsidRPr="00815A3A">
        <w:rPr>
          <w:i/>
        </w:rPr>
        <w:t xml:space="preserve"> </w:t>
      </w:r>
      <w:r w:rsidRPr="00B84670">
        <w:t>rusts</w:t>
      </w:r>
      <w:r>
        <w:t xml:space="preserve"> on </w:t>
      </w:r>
      <w:r w:rsidRPr="00815A3A">
        <w:t>the PNW-USA</w:t>
      </w:r>
      <w:r>
        <w:t xml:space="preserve"> apple pathway</w:t>
      </w:r>
      <w:r w:rsidRPr="00815A3A">
        <w:t>.</w:t>
      </w:r>
    </w:p>
    <w:p w14:paraId="50D4A002" w14:textId="77777777" w:rsidR="003438A2" w:rsidRPr="00815A3A" w:rsidRDefault="003438A2" w:rsidP="00862DBA">
      <w:r w:rsidRPr="00815A3A">
        <w:t xml:space="preserve">The likelihoods of establishment and spread of </w:t>
      </w:r>
      <w:r w:rsidRPr="00ED3882">
        <w:rPr>
          <w:iCs/>
        </w:rPr>
        <w:t>Gymnosporangium</w:t>
      </w:r>
      <w:r w:rsidRPr="00815A3A">
        <w:rPr>
          <w:i/>
        </w:rPr>
        <w:t xml:space="preserve"> </w:t>
      </w:r>
      <w:r>
        <w:t>rusts on</w:t>
      </w:r>
      <w:r w:rsidRPr="00815A3A">
        <w:t xml:space="preserve"> </w:t>
      </w:r>
      <w:r>
        <w:t xml:space="preserve">the </w:t>
      </w:r>
      <w:r w:rsidRPr="00815A3A">
        <w:t xml:space="preserve">PNW-USA apple pathway </w:t>
      </w:r>
      <w:r>
        <w:t>have also been assessed as corresponding</w:t>
      </w:r>
      <w:r w:rsidRPr="00815A3A">
        <w:t xml:space="preserve"> to those of previous assessments </w:t>
      </w:r>
      <w:r>
        <w:t xml:space="preserve">for </w:t>
      </w:r>
      <w:r>
        <w:rPr>
          <w:i/>
        </w:rPr>
        <w:t>G. yamadae</w:t>
      </w:r>
      <w:r w:rsidRPr="00ED3882">
        <w:rPr>
          <w:iCs/>
        </w:rPr>
        <w:t>,</w:t>
      </w:r>
      <w:r w:rsidRPr="00815A3A">
        <w:t xml:space="preserve"> </w:t>
      </w:r>
      <w:r>
        <w:t>being</w:t>
      </w:r>
      <w:r w:rsidRPr="00815A3A">
        <w:t xml:space="preserve"> </w:t>
      </w:r>
      <w:r w:rsidRPr="00357E57">
        <w:t xml:space="preserve">Moderate </w:t>
      </w:r>
      <w:r>
        <w:t xml:space="preserve">and </w:t>
      </w:r>
      <w:r w:rsidRPr="00357E57">
        <w:t>High</w:t>
      </w:r>
      <w:r>
        <w:t>,</w:t>
      </w:r>
      <w:r w:rsidRPr="00357E57">
        <w:t xml:space="preserve"> </w:t>
      </w:r>
      <w:r>
        <w:t>respectively</w:t>
      </w:r>
      <w:r w:rsidRPr="00815A3A">
        <w:t xml:space="preserve">. Those likelihoods relate specifically to events that occur in Australia and are essentially independent of </w:t>
      </w:r>
      <w:r>
        <w:t xml:space="preserve">the </w:t>
      </w:r>
      <w:r w:rsidRPr="00815A3A">
        <w:t>import pathway. The consequences of entry</w:t>
      </w:r>
      <w:r>
        <w:t>,</w:t>
      </w:r>
      <w:r w:rsidRPr="00815A3A">
        <w:t xml:space="preserve"> establishment and spread </w:t>
      </w:r>
      <w:r>
        <w:t>of</w:t>
      </w:r>
      <w:r w:rsidRPr="00815A3A">
        <w:t xml:space="preserve"> </w:t>
      </w:r>
      <w:r>
        <w:t xml:space="preserve">these </w:t>
      </w:r>
      <w:r w:rsidRPr="00946BC1">
        <w:rPr>
          <w:iCs/>
        </w:rPr>
        <w:t xml:space="preserve">Gymnosporangium </w:t>
      </w:r>
      <w:r>
        <w:t xml:space="preserve">rusts </w:t>
      </w:r>
      <w:r w:rsidRPr="00815A3A">
        <w:t>are also independent of the import pathway</w:t>
      </w:r>
      <w:r>
        <w:t>,</w:t>
      </w:r>
      <w:r w:rsidRPr="00815A3A">
        <w:t xml:space="preserve"> and </w:t>
      </w:r>
      <w:r>
        <w:t xml:space="preserve">have been assessed as </w:t>
      </w:r>
      <w:r w:rsidRPr="00815A3A">
        <w:t xml:space="preserve">similar </w:t>
      </w:r>
      <w:r>
        <w:t xml:space="preserve">to the existing </w:t>
      </w:r>
      <w:r w:rsidRPr="00815A3A">
        <w:t xml:space="preserve">assessment </w:t>
      </w:r>
      <w:r>
        <w:t>of</w:t>
      </w:r>
      <w:r w:rsidRPr="00815A3A">
        <w:t xml:space="preserve"> </w:t>
      </w:r>
      <w:r>
        <w:t xml:space="preserve">Moderate for </w:t>
      </w:r>
      <w:r>
        <w:rPr>
          <w:i/>
        </w:rPr>
        <w:t>G. yamadae.</w:t>
      </w:r>
      <w:r w:rsidRPr="00815A3A">
        <w:t xml:space="preserve"> Therefore, the existing ratings for the likelihoods of</w:t>
      </w:r>
      <w:r>
        <w:t xml:space="preserve"> </w:t>
      </w:r>
      <w:r w:rsidRPr="00815A3A">
        <w:t>establishment and spread</w:t>
      </w:r>
      <w:r>
        <w:t>,</w:t>
      </w:r>
      <w:r w:rsidRPr="00815A3A">
        <w:t xml:space="preserve"> </w:t>
      </w:r>
      <w:r>
        <w:t xml:space="preserve">and the </w:t>
      </w:r>
      <w:r w:rsidRPr="00815A3A">
        <w:t xml:space="preserve">rating for overall consequences for </w:t>
      </w:r>
      <w:r>
        <w:rPr>
          <w:i/>
        </w:rPr>
        <w:t>G. yamadae</w:t>
      </w:r>
      <w:r w:rsidRPr="00815A3A">
        <w:t xml:space="preserve"> </w:t>
      </w:r>
      <w:r>
        <w:t xml:space="preserve">on the China apple pathway </w:t>
      </w:r>
      <w:r w:rsidRPr="00815A3A">
        <w:t xml:space="preserve">have been adopted for </w:t>
      </w:r>
      <w:r>
        <w:t xml:space="preserve">these </w:t>
      </w:r>
      <w:r w:rsidRPr="00946BC1">
        <w:rPr>
          <w:iCs/>
        </w:rPr>
        <w:t>Gymnosporangium</w:t>
      </w:r>
      <w:r w:rsidRPr="00815A3A">
        <w:rPr>
          <w:i/>
        </w:rPr>
        <w:t xml:space="preserve"> </w:t>
      </w:r>
      <w:r>
        <w:t xml:space="preserve">rusts </w:t>
      </w:r>
      <w:r w:rsidRPr="00554A12">
        <w:t>on</w:t>
      </w:r>
      <w:r>
        <w:rPr>
          <w:i/>
        </w:rPr>
        <w:t xml:space="preserve"> </w:t>
      </w:r>
      <w:r w:rsidRPr="00815A3A">
        <w:t xml:space="preserve">the PNW-USA </w:t>
      </w:r>
      <w:r>
        <w:t xml:space="preserve">apple </w:t>
      </w:r>
      <w:r w:rsidRPr="00815A3A">
        <w:t>pathway.</w:t>
      </w:r>
    </w:p>
    <w:p w14:paraId="080B4811" w14:textId="77777777" w:rsidR="003438A2" w:rsidRDefault="003438A2" w:rsidP="00862DBA">
      <w:r>
        <w:t>T</w:t>
      </w:r>
      <w:r w:rsidRPr="00815A3A">
        <w:t xml:space="preserve">he department has </w:t>
      </w:r>
      <w:r>
        <w:t xml:space="preserve">also </w:t>
      </w:r>
      <w:r w:rsidRPr="00815A3A">
        <w:t xml:space="preserve">reviewed the latest literature — for example </w:t>
      </w:r>
      <w:r>
        <w:rPr>
          <w:noProof/>
        </w:rPr>
        <w:t>Hudelson (2019); Lāce (2017); PNW Handbooks (2019d); Tao et al. (2017) and Zhao et al. (2016)</w:t>
      </w:r>
      <w:r>
        <w:t>.</w:t>
      </w:r>
      <w:bookmarkStart w:id="392" w:name="_Hlk39390463"/>
      <w:r>
        <w:t xml:space="preserve"> N</w:t>
      </w:r>
      <w:r w:rsidRPr="002724C7">
        <w:t>o new information</w:t>
      </w:r>
      <w:r w:rsidRPr="00815A3A">
        <w:t xml:space="preserve"> has been identified that would significantly change the risk ratings for distribution, establishment</w:t>
      </w:r>
      <w:r>
        <w:t>,</w:t>
      </w:r>
      <w:r w:rsidRPr="00815A3A">
        <w:t xml:space="preserve"> </w:t>
      </w:r>
      <w:r>
        <w:t xml:space="preserve">spread and </w:t>
      </w:r>
      <w:r w:rsidRPr="00815A3A">
        <w:t xml:space="preserve">consequences as </w:t>
      </w:r>
      <w:r>
        <w:t>assessed</w:t>
      </w:r>
      <w:r w:rsidRPr="00815A3A">
        <w:t xml:space="preserve"> for </w:t>
      </w:r>
      <w:r>
        <w:t xml:space="preserve">these </w:t>
      </w:r>
      <w:bookmarkEnd w:id="392"/>
      <w:r w:rsidRPr="00946BC1">
        <w:rPr>
          <w:iCs/>
        </w:rPr>
        <w:t>Gymnosporangium</w:t>
      </w:r>
      <w:r w:rsidRPr="00815A3A">
        <w:rPr>
          <w:i/>
        </w:rPr>
        <w:t xml:space="preserve"> </w:t>
      </w:r>
      <w:r>
        <w:t xml:space="preserve">rusts </w:t>
      </w:r>
      <w:r w:rsidRPr="00815A3A">
        <w:t xml:space="preserve">and </w:t>
      </w:r>
      <w:r>
        <w:t>the</w:t>
      </w:r>
      <w:r w:rsidRPr="00815A3A">
        <w:t xml:space="preserve"> congeneric species </w:t>
      </w:r>
      <w:r>
        <w:rPr>
          <w:i/>
        </w:rPr>
        <w:t>G. yamadae</w:t>
      </w:r>
      <w:r w:rsidRPr="00815A3A">
        <w:t xml:space="preserve"> in the existing polic</w:t>
      </w:r>
      <w:r>
        <w:t>y</w:t>
      </w:r>
      <w:r w:rsidRPr="00815A3A">
        <w:t>.</w:t>
      </w:r>
    </w:p>
    <w:p w14:paraId="33D877C3" w14:textId="77777777" w:rsidR="003438A2" w:rsidRPr="0045382F" w:rsidRDefault="003438A2" w:rsidP="00F843A1">
      <w:pPr>
        <w:pStyle w:val="Heading4"/>
        <w:numPr>
          <w:ilvl w:val="2"/>
          <w:numId w:val="35"/>
        </w:numPr>
        <w:tabs>
          <w:tab w:val="num" w:pos="1929"/>
        </w:tabs>
        <w:ind w:left="1929"/>
      </w:pPr>
      <w:r w:rsidRPr="0045382F">
        <w:t>Likelihood of entry</w:t>
      </w:r>
    </w:p>
    <w:p w14:paraId="1277478A" w14:textId="77777777" w:rsidR="003438A2" w:rsidRDefault="003438A2" w:rsidP="00862DBA">
      <w:r>
        <w:t>The likelihood of entry is considered in 2 parts, the likelihood of importation and the likelihood of distribution, which consider pre-border and post-border issues, respectively.</w:t>
      </w:r>
    </w:p>
    <w:p w14:paraId="0500287E" w14:textId="77777777" w:rsidR="003438A2" w:rsidRPr="0045382F" w:rsidRDefault="003438A2" w:rsidP="00862DBA">
      <w:pPr>
        <w:pStyle w:val="Heading5"/>
      </w:pPr>
      <w:r w:rsidRPr="0045382F">
        <w:lastRenderedPageBreak/>
        <w:t>Likelihood of importation</w:t>
      </w:r>
    </w:p>
    <w:p w14:paraId="721E1574" w14:textId="77777777" w:rsidR="003438A2" w:rsidRPr="00F75867" w:rsidRDefault="003438A2" w:rsidP="00862DBA">
      <w:r>
        <w:t xml:space="preserve">The likelihood that </w:t>
      </w:r>
      <w:r w:rsidRPr="00946BC1">
        <w:t>Gymnosporangium</w:t>
      </w:r>
      <w:r>
        <w:t xml:space="preserve"> rusts </w:t>
      </w:r>
      <w:r w:rsidRPr="00F75867">
        <w:t xml:space="preserve">will arrive in Australia with the importation of </w:t>
      </w:r>
      <w:r>
        <w:t>apples from the PNW-USA is assessed as Low.</w:t>
      </w:r>
    </w:p>
    <w:p w14:paraId="0729FF60" w14:textId="77777777" w:rsidR="003438A2" w:rsidRPr="00F75867" w:rsidRDefault="003438A2" w:rsidP="00862DBA">
      <w:r>
        <w:t xml:space="preserve">The following </w:t>
      </w:r>
      <w:r w:rsidRPr="00F75867">
        <w:t xml:space="preserve">information </w:t>
      </w:r>
      <w:r>
        <w:t xml:space="preserve">provides supporting evidence </w:t>
      </w:r>
      <w:r w:rsidRPr="00F75867">
        <w:t>for this assessment</w:t>
      </w:r>
      <w:r>
        <w:t>.</w:t>
      </w:r>
    </w:p>
    <w:p w14:paraId="7136BFA4" w14:textId="77777777" w:rsidR="003438A2" w:rsidRPr="00F75867" w:rsidRDefault="003438A2" w:rsidP="00862DBA">
      <w:r w:rsidRPr="00946BC1">
        <w:t>Gymnosporangium</w:t>
      </w:r>
      <w:r>
        <w:t xml:space="preserve"> rusts are present in apple production areas in the PNW-USA.</w:t>
      </w:r>
    </w:p>
    <w:p w14:paraId="5C62F881" w14:textId="77777777" w:rsidR="003438A2" w:rsidRPr="00B448D4" w:rsidRDefault="003438A2" w:rsidP="003438A2">
      <w:pPr>
        <w:pStyle w:val="ListBullet"/>
        <w:numPr>
          <w:ilvl w:val="0"/>
          <w:numId w:val="15"/>
        </w:numPr>
      </w:pPr>
      <w:r w:rsidRPr="003A2839">
        <w:rPr>
          <w:i/>
        </w:rPr>
        <w:t>Gymnosporangium juniperi-virginianae</w:t>
      </w:r>
      <w:r w:rsidRPr="00F75867">
        <w:t xml:space="preserve"> is uncommon in </w:t>
      </w:r>
      <w:r>
        <w:t>western USA</w:t>
      </w:r>
      <w:r w:rsidRPr="00F75867">
        <w:t xml:space="preserve">, </w:t>
      </w:r>
      <w:r>
        <w:t xml:space="preserve">although </w:t>
      </w:r>
      <w:r w:rsidRPr="00F75867">
        <w:t xml:space="preserve">it has been reported </w:t>
      </w:r>
      <w:r>
        <w:t xml:space="preserve">in </w:t>
      </w:r>
      <w:r w:rsidRPr="00F75867">
        <w:t>California and</w:t>
      </w:r>
      <w:r>
        <w:t xml:space="preserve"> </w:t>
      </w:r>
      <w:r w:rsidRPr="00F75867">
        <w:t xml:space="preserve">Washington </w:t>
      </w:r>
      <w:r>
        <w:rPr>
          <w:noProof/>
        </w:rPr>
        <w:t>(Sinclair &amp; Lyon 2005)</w:t>
      </w:r>
      <w:r>
        <w:t xml:space="preserve">. </w:t>
      </w:r>
      <w:r w:rsidRPr="00B448D4">
        <w:t xml:space="preserve">Species of </w:t>
      </w:r>
      <w:r w:rsidRPr="003A2839">
        <w:rPr>
          <w:i/>
        </w:rPr>
        <w:t>Malus</w:t>
      </w:r>
      <w:r>
        <w:t xml:space="preserve"> and</w:t>
      </w:r>
      <w:r w:rsidRPr="00B448D4">
        <w:t xml:space="preserve"> less commonly </w:t>
      </w:r>
      <w:r w:rsidRPr="003A2839">
        <w:rPr>
          <w:i/>
        </w:rPr>
        <w:t>Crataegus</w:t>
      </w:r>
      <w:r w:rsidRPr="00B448D4">
        <w:t xml:space="preserve">, are the </w:t>
      </w:r>
      <w:r>
        <w:t>primary (</w:t>
      </w:r>
      <w:r w:rsidRPr="00B448D4">
        <w:t>aecia</w:t>
      </w:r>
      <w:r>
        <w:t>l)</w:t>
      </w:r>
      <w:r w:rsidRPr="00B448D4">
        <w:t xml:space="preserve"> hosts </w:t>
      </w:r>
      <w:r>
        <w:rPr>
          <w:noProof/>
        </w:rPr>
        <w:t>(Sinclair &amp; Lyon 2005)</w:t>
      </w:r>
      <w:r>
        <w:t xml:space="preserve">. </w:t>
      </w:r>
    </w:p>
    <w:p w14:paraId="5BE44581" w14:textId="77777777" w:rsidR="003438A2" w:rsidRPr="00215D08" w:rsidRDefault="003438A2" w:rsidP="003438A2">
      <w:pPr>
        <w:pStyle w:val="ListBullet"/>
        <w:numPr>
          <w:ilvl w:val="0"/>
          <w:numId w:val="15"/>
        </w:numPr>
      </w:pPr>
      <w:r w:rsidRPr="00215D08">
        <w:rPr>
          <w:i/>
        </w:rPr>
        <w:t>Gymnosporangium libocedri</w:t>
      </w:r>
      <w:r w:rsidRPr="00215D08">
        <w:t xml:space="preserve"> is present in Washington and Oregon </w:t>
      </w:r>
      <w:r>
        <w:rPr>
          <w:noProof/>
        </w:rPr>
        <w:t>(PNW Handbooks 2019d)</w:t>
      </w:r>
      <w:r w:rsidRPr="00215D08">
        <w:rPr>
          <w:noProof/>
        </w:rPr>
        <w:t xml:space="preserve"> and reported as a pest of pears in Willamette valley in Oregon </w:t>
      </w:r>
      <w:r>
        <w:rPr>
          <w:noProof/>
        </w:rPr>
        <w:t>(Pscheidt &amp; Ocamb 2022b)</w:t>
      </w:r>
      <w:r w:rsidRPr="00215D08">
        <w:rPr>
          <w:noProof/>
        </w:rPr>
        <w:t>.</w:t>
      </w:r>
      <w:r w:rsidRPr="00215D08">
        <w:t xml:space="preserve"> </w:t>
      </w:r>
      <w:r w:rsidRPr="00215D08">
        <w:rPr>
          <w:i/>
        </w:rPr>
        <w:t>Gymnosporangium</w:t>
      </w:r>
      <w:r w:rsidRPr="00215D08">
        <w:t xml:space="preserve"> </w:t>
      </w:r>
      <w:r w:rsidRPr="00215D08">
        <w:rPr>
          <w:i/>
        </w:rPr>
        <w:t>libocedri</w:t>
      </w:r>
      <w:r w:rsidRPr="00215D08">
        <w:t xml:space="preserve"> causes a serious disease of pears in the western United States leading to malformation and premature drop of fruit </w:t>
      </w:r>
      <w:r w:rsidRPr="00215D08">
        <w:rPr>
          <w:noProof/>
        </w:rPr>
        <w:t>(Sutton et al. 2014)</w:t>
      </w:r>
      <w:r w:rsidRPr="00215D08">
        <w:t xml:space="preserve">. </w:t>
      </w:r>
    </w:p>
    <w:p w14:paraId="5F4B3B21" w14:textId="77777777" w:rsidR="003438A2" w:rsidRDefault="003438A2" w:rsidP="003438A2">
      <w:pPr>
        <w:pStyle w:val="ListBullet"/>
        <w:numPr>
          <w:ilvl w:val="0"/>
          <w:numId w:val="15"/>
        </w:numPr>
      </w:pPr>
      <w:r w:rsidRPr="009A5A6A">
        <w:t xml:space="preserve">In the PNW-USA, </w:t>
      </w:r>
      <w:r w:rsidRPr="00B448D4">
        <w:rPr>
          <w:i/>
        </w:rPr>
        <w:t>G</w:t>
      </w:r>
      <w:r>
        <w:rPr>
          <w:i/>
        </w:rPr>
        <w:t>.</w:t>
      </w:r>
      <w:r w:rsidRPr="00B448D4">
        <w:t xml:space="preserve"> </w:t>
      </w:r>
      <w:r w:rsidRPr="00B448D4">
        <w:rPr>
          <w:i/>
        </w:rPr>
        <w:t xml:space="preserve">clavipes </w:t>
      </w:r>
      <w:r w:rsidRPr="009A5A6A">
        <w:t>is consid</w:t>
      </w:r>
      <w:r>
        <w:t xml:space="preserve">ered a minor pathogen of apples </w:t>
      </w:r>
      <w:r>
        <w:rPr>
          <w:noProof/>
        </w:rPr>
        <w:t>(Sinclair &amp; Lyon 2005)</w:t>
      </w:r>
      <w:r>
        <w:t xml:space="preserve">, and </w:t>
      </w:r>
      <w:r w:rsidRPr="00F001A8">
        <w:t>h</w:t>
      </w:r>
      <w:r w:rsidRPr="00B448D4">
        <w:t xml:space="preserve">as been reported on </w:t>
      </w:r>
      <w:r w:rsidRPr="00B448D4">
        <w:rPr>
          <w:i/>
        </w:rPr>
        <w:t xml:space="preserve">Crataegus douglasii </w:t>
      </w:r>
      <w:r w:rsidRPr="00B448D4">
        <w:t xml:space="preserve">(black hawthorn) and </w:t>
      </w:r>
      <w:r w:rsidRPr="00B448D4">
        <w:rPr>
          <w:i/>
        </w:rPr>
        <w:t>Juniperus communis</w:t>
      </w:r>
      <w:r w:rsidRPr="00B448D4">
        <w:t xml:space="preserve"> (common juniper) in Washington </w:t>
      </w:r>
      <w:r>
        <w:rPr>
          <w:noProof/>
        </w:rPr>
        <w:t>(Farr &amp; Rossman 2017)</w:t>
      </w:r>
      <w:r>
        <w:t>.</w:t>
      </w:r>
    </w:p>
    <w:p w14:paraId="642855F3" w14:textId="77777777" w:rsidR="003438A2" w:rsidRPr="00890671" w:rsidRDefault="003438A2" w:rsidP="00862DBA">
      <w:r w:rsidRPr="00890671">
        <w:t>Gymnosporangium rusts may be associated with apple fruit at low levels in the PNW-USA.</w:t>
      </w:r>
    </w:p>
    <w:p w14:paraId="7A7639DE" w14:textId="77777777" w:rsidR="003438A2" w:rsidRPr="00890671" w:rsidRDefault="003438A2" w:rsidP="003438A2">
      <w:pPr>
        <w:pStyle w:val="ListBullet"/>
        <w:numPr>
          <w:ilvl w:val="0"/>
          <w:numId w:val="15"/>
        </w:numPr>
      </w:pPr>
      <w:r w:rsidRPr="00890671">
        <w:t xml:space="preserve">Young, succulent tissues of apple tree, including developing fruit, can become infected by basidiospores from a juniper/cedar host if a film of water is present for a sufficiently long period </w:t>
      </w:r>
      <w:r w:rsidRPr="00890671">
        <w:rPr>
          <w:noProof/>
        </w:rPr>
        <w:t>(Aldwinckle 1990a; Sinclair &amp; Lyon 2005)</w:t>
      </w:r>
      <w:r w:rsidRPr="00890671">
        <w:t>. Basidiospores from juniper infections are forcibly discharged into the air immediately after formation and can be carried more than one kilometre on air currents</w:t>
      </w:r>
      <w:r>
        <w:t xml:space="preserve"> </w:t>
      </w:r>
      <w:r>
        <w:rPr>
          <w:noProof/>
        </w:rPr>
        <w:t>(Sutton et al. 2014)</w:t>
      </w:r>
      <w:r>
        <w:t>.</w:t>
      </w:r>
    </w:p>
    <w:p w14:paraId="2496FDC0" w14:textId="77777777" w:rsidR="003438A2" w:rsidRPr="00890671" w:rsidRDefault="003438A2" w:rsidP="003438A2">
      <w:pPr>
        <w:pStyle w:val="ListBullet"/>
        <w:numPr>
          <w:ilvl w:val="0"/>
          <w:numId w:val="15"/>
        </w:numPr>
      </w:pPr>
      <w:r w:rsidRPr="007A7C84">
        <w:rPr>
          <w:i/>
        </w:rPr>
        <w:t>Gymnosporangium</w:t>
      </w:r>
      <w:r w:rsidRPr="00890671">
        <w:t xml:space="preserve"> </w:t>
      </w:r>
      <w:r w:rsidRPr="007A7C84">
        <w:rPr>
          <w:i/>
        </w:rPr>
        <w:t>juniperi</w:t>
      </w:r>
      <w:r w:rsidRPr="00890671">
        <w:t>-</w:t>
      </w:r>
      <w:r w:rsidRPr="007A7C84">
        <w:rPr>
          <w:i/>
        </w:rPr>
        <w:t>virginianae</w:t>
      </w:r>
      <w:r w:rsidRPr="00890671">
        <w:t xml:space="preserve"> basidiospores can infect green stems, leaves and young fruits of apple trees, causing superficial swollen lesions. Apple fruit are susceptible from the tight-cluster stage to just after petal fall stage. One to two weeks after infection, orange-brown pycnia containing pycniospores appear on the infected fruit </w:t>
      </w:r>
      <w:r w:rsidRPr="00890671">
        <w:rPr>
          <w:noProof/>
        </w:rPr>
        <w:t>(Aldwinckle 1990a; Sinclair &amp; Lyon 2005)</w:t>
      </w:r>
      <w:r w:rsidRPr="00890671">
        <w:t>.</w:t>
      </w:r>
    </w:p>
    <w:p w14:paraId="4F916B37" w14:textId="77777777" w:rsidR="003438A2" w:rsidRPr="00890671" w:rsidRDefault="003438A2" w:rsidP="003438A2">
      <w:pPr>
        <w:pStyle w:val="ListBullet"/>
        <w:numPr>
          <w:ilvl w:val="0"/>
          <w:numId w:val="15"/>
        </w:numPr>
      </w:pPr>
      <w:r w:rsidRPr="00890671">
        <w:rPr>
          <w:i/>
        </w:rPr>
        <w:t>Gymnosporangium</w:t>
      </w:r>
      <w:r w:rsidRPr="00890671">
        <w:t xml:space="preserve"> </w:t>
      </w:r>
      <w:r w:rsidRPr="00890671">
        <w:rPr>
          <w:i/>
        </w:rPr>
        <w:t>libocedri</w:t>
      </w:r>
      <w:r w:rsidRPr="00890671">
        <w:t xml:space="preserve"> </w:t>
      </w:r>
      <w:r>
        <w:t xml:space="preserve">is mainly a pest of pears </w:t>
      </w:r>
      <w:r>
        <w:rPr>
          <w:noProof/>
        </w:rPr>
        <w:t>(Sutton et al. 2014)</w:t>
      </w:r>
      <w:r>
        <w:t xml:space="preserve"> but</w:t>
      </w:r>
      <w:r w:rsidRPr="00890671">
        <w:t xml:space="preserve"> </w:t>
      </w:r>
      <w:r>
        <w:t xml:space="preserve">it </w:t>
      </w:r>
      <w:r w:rsidRPr="00890671">
        <w:t xml:space="preserve">can also attack apple and other rosaceous species </w:t>
      </w:r>
      <w:r>
        <w:rPr>
          <w:noProof/>
        </w:rPr>
        <w:t>(Aldwinckle 1990b)</w:t>
      </w:r>
      <w:r w:rsidRPr="00890671">
        <w:t>.</w:t>
      </w:r>
    </w:p>
    <w:p w14:paraId="18CB0D3A" w14:textId="77777777" w:rsidR="003438A2" w:rsidRDefault="003438A2" w:rsidP="003438A2">
      <w:pPr>
        <w:pStyle w:val="ListBullet"/>
        <w:numPr>
          <w:ilvl w:val="0"/>
          <w:numId w:val="15"/>
        </w:numPr>
      </w:pPr>
      <w:r w:rsidRPr="00890671">
        <w:rPr>
          <w:i/>
        </w:rPr>
        <w:t>Gymnosporangium</w:t>
      </w:r>
      <w:r w:rsidRPr="00890671">
        <w:t xml:space="preserve"> </w:t>
      </w:r>
      <w:r w:rsidRPr="00890671">
        <w:rPr>
          <w:i/>
        </w:rPr>
        <w:t xml:space="preserve">clavipes </w:t>
      </w:r>
      <w:r w:rsidRPr="00890671">
        <w:t xml:space="preserve">primarily infects apple fruit. Apple fruit are susceptible for only two weeks when fruit are young, and chlorotic spot symptoms become visible </w:t>
      </w:r>
      <w:r>
        <w:t>7 to 10 days after infection. Large d</w:t>
      </w:r>
      <w:r w:rsidRPr="00860537">
        <w:t>ark-green lesions appear at the calyx end, extending to the core, and causing distortion of the fruit</w:t>
      </w:r>
      <w:r>
        <w:t xml:space="preserve"> </w:t>
      </w:r>
      <w:r>
        <w:rPr>
          <w:noProof/>
        </w:rPr>
        <w:t>(Aldwinckle 1990c)</w:t>
      </w:r>
      <w:r w:rsidRPr="00860537">
        <w:t>.</w:t>
      </w:r>
    </w:p>
    <w:p w14:paraId="40C7214B" w14:textId="77777777" w:rsidR="003438A2" w:rsidRDefault="003438A2" w:rsidP="003438A2">
      <w:pPr>
        <w:pStyle w:val="ListBullet"/>
        <w:numPr>
          <w:ilvl w:val="0"/>
          <w:numId w:val="15"/>
        </w:numPr>
      </w:pPr>
      <w:r>
        <w:t xml:space="preserve">Symptoms of </w:t>
      </w:r>
      <w:r w:rsidRPr="00946BC1">
        <w:t xml:space="preserve">Gymnosporangium </w:t>
      </w:r>
      <w:r>
        <w:t>rusts</w:t>
      </w:r>
      <w:r w:rsidRPr="00F75867">
        <w:t xml:space="preserve"> </w:t>
      </w:r>
      <w:r>
        <w:t xml:space="preserve">on apple fruit vary depending on the cultivar. Symptoms can be reduced or absent on rust tolerant cultivars </w:t>
      </w:r>
      <w:r>
        <w:rPr>
          <w:noProof/>
        </w:rPr>
        <w:t>(Aldwinckle 1990a, b, c; Pearson, Aldwinckle &amp; Seem 1977; Sinclair &amp; Lyon 2005; Sutton et al. 2014)</w:t>
      </w:r>
      <w:r>
        <w:t xml:space="preserve">. Red Delicious and Liberty cultivars are reputed to be resistant to </w:t>
      </w:r>
      <w:r w:rsidRPr="00B448D4">
        <w:rPr>
          <w:i/>
        </w:rPr>
        <w:t>G</w:t>
      </w:r>
      <w:r>
        <w:rPr>
          <w:i/>
        </w:rPr>
        <w:t xml:space="preserve">. </w:t>
      </w:r>
      <w:r w:rsidRPr="00B448D4">
        <w:rPr>
          <w:i/>
        </w:rPr>
        <w:t>juniperi</w:t>
      </w:r>
      <w:r w:rsidRPr="00B448D4">
        <w:t>-</w:t>
      </w:r>
      <w:r w:rsidRPr="00B448D4">
        <w:rPr>
          <w:i/>
        </w:rPr>
        <w:t>virginianae</w:t>
      </w:r>
      <w:r w:rsidRPr="00B81BF4">
        <w:rPr>
          <w:iCs/>
        </w:rPr>
        <w:t>,</w:t>
      </w:r>
      <w:r>
        <w:t xml:space="preserve"> but Golden Delicious and Jonathan varieties are susceptible.</w:t>
      </w:r>
    </w:p>
    <w:p w14:paraId="32550F11" w14:textId="77777777" w:rsidR="003438A2" w:rsidRPr="00F977BC" w:rsidRDefault="003438A2" w:rsidP="00862DBA">
      <w:r>
        <w:t xml:space="preserve">Some </w:t>
      </w:r>
      <w:r w:rsidRPr="00946BC1">
        <w:t>Gymnosporangium</w:t>
      </w:r>
      <w:r w:rsidRPr="008E776F">
        <w:t xml:space="preserve"> rust</w:t>
      </w:r>
      <w:r>
        <w:t>-infected fruit may only exhibit initiation of rust symptoms dur</w:t>
      </w:r>
      <w:r w:rsidRPr="00F977BC">
        <w:t>ing harvest</w:t>
      </w:r>
      <w:r>
        <w:t xml:space="preserve"> and post-harvest </w:t>
      </w:r>
      <w:r w:rsidRPr="00F977BC">
        <w:t>processes.</w:t>
      </w:r>
    </w:p>
    <w:p w14:paraId="042FCA55" w14:textId="77777777" w:rsidR="003438A2" w:rsidRDefault="003438A2" w:rsidP="003438A2">
      <w:pPr>
        <w:pStyle w:val="ListBullet"/>
        <w:numPr>
          <w:ilvl w:val="0"/>
          <w:numId w:val="15"/>
        </w:numPr>
      </w:pPr>
      <w:r>
        <w:t>Infected f</w:t>
      </w:r>
      <w:r w:rsidRPr="00F75867">
        <w:t xml:space="preserve">ruit exhibiting visual symptoms of </w:t>
      </w:r>
      <w:r w:rsidRPr="00946BC1">
        <w:t>Gymnosporangium</w:t>
      </w:r>
      <w:r>
        <w:t xml:space="preserve"> rusts</w:t>
      </w:r>
      <w:r w:rsidRPr="00F75867">
        <w:t xml:space="preserve"> </w:t>
      </w:r>
      <w:r>
        <w:t xml:space="preserve">are likely to be removed </w:t>
      </w:r>
      <w:r w:rsidRPr="00F75867">
        <w:t xml:space="preserve">during harvest and </w:t>
      </w:r>
      <w:r w:rsidRPr="0025447E">
        <w:t>post-harvest</w:t>
      </w:r>
      <w:r>
        <w:t xml:space="preserve"> </w:t>
      </w:r>
      <w:r w:rsidRPr="0025447E">
        <w:t>processes</w:t>
      </w:r>
      <w:r>
        <w:t>.</w:t>
      </w:r>
    </w:p>
    <w:p w14:paraId="3871D979" w14:textId="77777777" w:rsidR="003438A2" w:rsidRPr="00890671" w:rsidRDefault="003438A2" w:rsidP="003438A2">
      <w:pPr>
        <w:pStyle w:val="ListBullet"/>
        <w:numPr>
          <w:ilvl w:val="0"/>
          <w:numId w:val="15"/>
        </w:numPr>
      </w:pPr>
      <w:r>
        <w:t>Asymptomatic</w:t>
      </w:r>
      <w:r w:rsidRPr="00F75867">
        <w:t xml:space="preserve"> </w:t>
      </w:r>
      <w:r w:rsidRPr="00946BC1">
        <w:t>Gymnosporangium</w:t>
      </w:r>
      <w:r w:rsidRPr="0025447E">
        <w:t xml:space="preserve"> rust</w:t>
      </w:r>
      <w:r>
        <w:t>-</w:t>
      </w:r>
      <w:r w:rsidRPr="00F75867">
        <w:t>infected fruit</w:t>
      </w:r>
      <w:r>
        <w:t>,</w:t>
      </w:r>
      <w:r w:rsidRPr="00F75867">
        <w:t xml:space="preserve"> and fruit with small lesions</w:t>
      </w:r>
      <w:r>
        <w:t>,</w:t>
      </w:r>
      <w:r w:rsidRPr="00F75867">
        <w:t xml:space="preserve"> may be </w:t>
      </w:r>
      <w:r w:rsidRPr="00890671">
        <w:t>harvested and packed for export to Australia.</w:t>
      </w:r>
    </w:p>
    <w:p w14:paraId="02B0D273" w14:textId="77777777" w:rsidR="003438A2" w:rsidRPr="00890671" w:rsidRDefault="003438A2" w:rsidP="00862DBA">
      <w:r w:rsidRPr="00890671">
        <w:lastRenderedPageBreak/>
        <w:t>Gymnosporangium rusts may survive cold temperatures during storage and transport.</w:t>
      </w:r>
    </w:p>
    <w:p w14:paraId="548630EF" w14:textId="77777777" w:rsidR="003438A2" w:rsidRPr="00890671" w:rsidRDefault="003438A2" w:rsidP="003438A2">
      <w:pPr>
        <w:pStyle w:val="ListBullet"/>
        <w:numPr>
          <w:ilvl w:val="0"/>
          <w:numId w:val="15"/>
        </w:numPr>
      </w:pPr>
      <w:r w:rsidRPr="00890671">
        <w:t>Harvested apples are normally cold-stored at 0°</w:t>
      </w:r>
      <w:r>
        <w:t>C</w:t>
      </w:r>
      <w:r w:rsidRPr="00890671">
        <w:t xml:space="preserve"> to 2°C </w:t>
      </w:r>
      <w:r w:rsidRPr="00890671">
        <w:rPr>
          <w:noProof/>
        </w:rPr>
        <w:t>(Good Fruit Grower 2014; Iowa State University Extension and Outreach 2008; Kupferman 1996; University of Maine 2020)</w:t>
      </w:r>
      <w:r w:rsidRPr="00890671">
        <w:t>.</w:t>
      </w:r>
    </w:p>
    <w:p w14:paraId="3B1032A5" w14:textId="77777777" w:rsidR="003438A2" w:rsidRPr="00890671" w:rsidRDefault="003438A2" w:rsidP="003438A2">
      <w:pPr>
        <w:pStyle w:val="ListBullet"/>
        <w:numPr>
          <w:ilvl w:val="0"/>
          <w:numId w:val="15"/>
        </w:numPr>
        <w:rPr>
          <w:rStyle w:val="st1"/>
        </w:rPr>
      </w:pPr>
      <w:r w:rsidRPr="00890671">
        <w:t xml:space="preserve">Sea freight, which takes about five weeks, is likely to be the preferred method of transport of apples from the PNW-USA to Australia and fruit will be maintained at very low temperatures </w:t>
      </w:r>
      <w:r w:rsidRPr="00890671">
        <w:rPr>
          <w:noProof/>
        </w:rPr>
        <w:t>(WSU Tree Fruit 2021c)</w:t>
      </w:r>
      <w:r w:rsidRPr="00890671">
        <w:t>.</w:t>
      </w:r>
    </w:p>
    <w:p w14:paraId="7773AB0C" w14:textId="77777777" w:rsidR="003438A2" w:rsidRDefault="003438A2" w:rsidP="003438A2">
      <w:pPr>
        <w:pStyle w:val="ListBullet"/>
        <w:numPr>
          <w:ilvl w:val="0"/>
          <w:numId w:val="15"/>
        </w:numPr>
      </w:pPr>
      <w:r w:rsidRPr="00444616">
        <w:rPr>
          <w:i/>
          <w:iCs/>
        </w:rPr>
        <w:t xml:space="preserve">Gymnosporangium </w:t>
      </w:r>
      <w:r w:rsidRPr="008E776F">
        <w:t>rusts</w:t>
      </w:r>
      <w:r w:rsidRPr="003E3ECB">
        <w:t xml:space="preserve"> </w:t>
      </w:r>
      <w:r>
        <w:t xml:space="preserve">in infected apple fruit may survive cold temperatures, given that the pathogens survive in the infected branches and galls on alternate </w:t>
      </w:r>
      <w:r w:rsidRPr="008E7E27">
        <w:t xml:space="preserve">hosts </w:t>
      </w:r>
      <w:r>
        <w:rPr>
          <w:noProof/>
        </w:rPr>
        <w:t>(Aldwinckle 1990a, b, c; Hudelson 2019; Sinclair &amp; Lyon 2005)</w:t>
      </w:r>
      <w:r>
        <w:t xml:space="preserve"> in the PNW-USA in sub-zero winter temperatures.</w:t>
      </w:r>
    </w:p>
    <w:p w14:paraId="2B75D3A9" w14:textId="77777777" w:rsidR="003438A2" w:rsidRDefault="003438A2" w:rsidP="00862DBA">
      <w:r w:rsidRPr="008C070E">
        <w:t xml:space="preserve">All </w:t>
      </w:r>
      <w:r>
        <w:t xml:space="preserve">three </w:t>
      </w:r>
      <w:r w:rsidRPr="00946BC1">
        <w:t>Gymnosporangium</w:t>
      </w:r>
      <w:r w:rsidRPr="008C070E">
        <w:t xml:space="preserve"> rusts are present</w:t>
      </w:r>
      <w:r>
        <w:t xml:space="preserve">, to varying extents, </w:t>
      </w:r>
      <w:r w:rsidRPr="008C070E">
        <w:t xml:space="preserve">in the </w:t>
      </w:r>
      <w:r>
        <w:t xml:space="preserve">PNW-USA </w:t>
      </w:r>
      <w:r w:rsidRPr="008C070E">
        <w:t xml:space="preserve">apple production areas. </w:t>
      </w:r>
      <w:r w:rsidRPr="00B448D4">
        <w:t>Young</w:t>
      </w:r>
      <w:r>
        <w:t xml:space="preserve"> apple fruit may</w:t>
      </w:r>
      <w:r w:rsidRPr="00B448D4">
        <w:t xml:space="preserve"> become infected </w:t>
      </w:r>
      <w:r>
        <w:t xml:space="preserve">in spring, and symptoms typically develop one to two weeks after infection. </w:t>
      </w:r>
      <w:r w:rsidRPr="009E7317">
        <w:t xml:space="preserve">Infected fruit exhibiting visual symptoms of the </w:t>
      </w:r>
      <w:r w:rsidRPr="00946BC1">
        <w:t>Gymnosporangium</w:t>
      </w:r>
      <w:r w:rsidRPr="009E7317">
        <w:t xml:space="preserve"> rusts are likely to be removed during harves</w:t>
      </w:r>
      <w:r>
        <w:t>t</w:t>
      </w:r>
      <w:r w:rsidRPr="009E7317">
        <w:t xml:space="preserve"> and post-harvest</w:t>
      </w:r>
      <w:r>
        <w:t xml:space="preserve"> </w:t>
      </w:r>
      <w:r w:rsidRPr="009E7317">
        <w:t>processes.</w:t>
      </w:r>
      <w:r>
        <w:t xml:space="preserve"> However, symptoms may be reduced or inapparent on some cultivars, and these fruits may be harvested and packed for export to Australia. </w:t>
      </w:r>
      <w:r w:rsidRPr="00946BC1">
        <w:t>Gymnosporangium</w:t>
      </w:r>
      <w:r w:rsidRPr="00444616">
        <w:rPr>
          <w:i/>
          <w:iCs/>
        </w:rPr>
        <w:t xml:space="preserve"> </w:t>
      </w:r>
      <w:r w:rsidRPr="008C070E">
        <w:t xml:space="preserve">rusts in infected apple fruit </w:t>
      </w:r>
      <w:r>
        <w:t>may</w:t>
      </w:r>
      <w:r w:rsidRPr="008C070E">
        <w:t xml:space="preserve"> survive cold storage</w:t>
      </w:r>
      <w:r>
        <w:t>,</w:t>
      </w:r>
      <w:r w:rsidRPr="008C070E">
        <w:t xml:space="preserve"> </w:t>
      </w:r>
      <w:r>
        <w:t>given that</w:t>
      </w:r>
      <w:r w:rsidRPr="008C070E">
        <w:t xml:space="preserve"> </w:t>
      </w:r>
      <w:r>
        <w:t xml:space="preserve">the pathogens </w:t>
      </w:r>
      <w:r w:rsidRPr="008C070E">
        <w:t xml:space="preserve">survive in infected branches and galls on alternate hosts in the PNW-USA in sub-zero </w:t>
      </w:r>
      <w:r>
        <w:t xml:space="preserve">winter </w:t>
      </w:r>
      <w:r w:rsidRPr="008C070E">
        <w:t>temperatures.</w:t>
      </w:r>
      <w:r>
        <w:t xml:space="preserve"> For the reasons outlined, the </w:t>
      </w:r>
      <w:r w:rsidRPr="003F1A82">
        <w:t>likelihood</w:t>
      </w:r>
      <w:r>
        <w:t xml:space="preserve"> estimate for </w:t>
      </w:r>
      <w:r w:rsidRPr="003F1A82">
        <w:t xml:space="preserve">importation </w:t>
      </w:r>
      <w:r>
        <w:t xml:space="preserve">of </w:t>
      </w:r>
      <w:r w:rsidRPr="00946BC1">
        <w:t xml:space="preserve">Gymnosporangium </w:t>
      </w:r>
      <w:r>
        <w:t xml:space="preserve">rusts on the PNW-USA apple pathway is assessed as </w:t>
      </w:r>
      <w:r w:rsidRPr="003F1A82">
        <w:t>Low.</w:t>
      </w:r>
    </w:p>
    <w:p w14:paraId="6245CE3D" w14:textId="77777777" w:rsidR="003438A2" w:rsidRDefault="003438A2" w:rsidP="00862DBA">
      <w:pPr>
        <w:pStyle w:val="Heading5"/>
      </w:pPr>
      <w:r>
        <w:t>Likelihood of distribution</w:t>
      </w:r>
    </w:p>
    <w:p w14:paraId="2B05DDD1" w14:textId="77777777" w:rsidR="003438A2" w:rsidRPr="00E66CB0" w:rsidRDefault="003438A2" w:rsidP="00862DBA">
      <w:r w:rsidRPr="00E66CB0">
        <w:t xml:space="preserve">The likelihood that </w:t>
      </w:r>
      <w:r>
        <w:t xml:space="preserve">Gymnosporangium rusts </w:t>
      </w:r>
      <w:r w:rsidRPr="00E66CB0">
        <w:t xml:space="preserve">will be distributed within Australia in a viable state as a result of the processing, sale or disposal of apples from the PNW-USA, and subsequently transfer to a susceptible part of a host is considered to be similar to </w:t>
      </w:r>
      <w:r>
        <w:rPr>
          <w:i/>
        </w:rPr>
        <w:t xml:space="preserve">G. yamadae </w:t>
      </w:r>
      <w:r>
        <w:t>on apples from China</w:t>
      </w:r>
      <w:r w:rsidRPr="00E66CB0">
        <w:t xml:space="preserve">. Therefore, the same rating of </w:t>
      </w:r>
      <w:r>
        <w:t>Moderate</w:t>
      </w:r>
      <w:r w:rsidRPr="00E66CB0">
        <w:t xml:space="preserve"> for the likelihood of distribution previously assessed for </w:t>
      </w:r>
      <w:r>
        <w:rPr>
          <w:i/>
        </w:rPr>
        <w:t xml:space="preserve">G. yamadae </w:t>
      </w:r>
      <w:r>
        <w:t>on the apples from China</w:t>
      </w:r>
      <w:r w:rsidRPr="00E66CB0">
        <w:rPr>
          <w:iCs/>
        </w:rPr>
        <w:t xml:space="preserve"> pathway is adopted for </w:t>
      </w:r>
      <w:r>
        <w:rPr>
          <w:iCs/>
        </w:rPr>
        <w:t xml:space="preserve">Gymnosporangium rusts </w:t>
      </w:r>
      <w:r w:rsidRPr="00E66CB0">
        <w:rPr>
          <w:iCs/>
        </w:rPr>
        <w:t xml:space="preserve">on the apples from PNW-USA pathway. </w:t>
      </w:r>
    </w:p>
    <w:p w14:paraId="1B1B64BC" w14:textId="77777777" w:rsidR="003438A2" w:rsidRDefault="003438A2" w:rsidP="00862DBA">
      <w:pPr>
        <w:pStyle w:val="Heading5"/>
      </w:pPr>
      <w:r>
        <w:t>Overall likelihood of entry</w:t>
      </w:r>
    </w:p>
    <w:p w14:paraId="04F4308E" w14:textId="77777777" w:rsidR="003438A2" w:rsidRPr="00A12104" w:rsidRDefault="003438A2" w:rsidP="00862DBA">
      <w:r w:rsidRPr="00A12104">
        <w:t>The overall likelihood of entry is determined by combining the likelihood of importation with the likelihood of distribution using the matrix of ru</w:t>
      </w:r>
      <w:r>
        <w:t xml:space="preserve">les shown in </w:t>
      </w:r>
      <w:r>
        <w:fldChar w:fldCharType="begin" w:fldLock="1"/>
      </w:r>
      <w:r>
        <w:instrText xml:space="preserve"> REF _Ref457826328 \h </w:instrText>
      </w:r>
      <w:r>
        <w:fldChar w:fldCharType="separate"/>
      </w:r>
      <w:r w:rsidRPr="00DB5F8D">
        <w:t xml:space="preserve">Table </w:t>
      </w:r>
      <w:r>
        <w:rPr>
          <w:noProof/>
        </w:rPr>
        <w:t>2</w:t>
      </w:r>
      <w:r>
        <w:t>.</w:t>
      </w:r>
      <w:r>
        <w:rPr>
          <w:noProof/>
        </w:rPr>
        <w:t>2</w:t>
      </w:r>
      <w:r>
        <w:fldChar w:fldCharType="end"/>
      </w:r>
      <w:r>
        <w:t>.</w:t>
      </w:r>
    </w:p>
    <w:p w14:paraId="26F76A2A" w14:textId="77777777" w:rsidR="003438A2" w:rsidRDefault="003438A2" w:rsidP="00862DBA">
      <w:r>
        <w:t>The overall likelihood of entry is determined as Low by combining the assessed likelihood of importation of Low with the adopted likelihood of distribution of Moderate, as assessed in the existing policy for fresh apple fruit from China.</w:t>
      </w:r>
    </w:p>
    <w:p w14:paraId="7CB09808" w14:textId="77777777" w:rsidR="003438A2" w:rsidRPr="00E66CB0" w:rsidRDefault="003438A2" w:rsidP="00F843A1">
      <w:pPr>
        <w:pStyle w:val="Heading4"/>
        <w:numPr>
          <w:ilvl w:val="2"/>
          <w:numId w:val="35"/>
        </w:numPr>
        <w:tabs>
          <w:tab w:val="num" w:pos="1929"/>
        </w:tabs>
        <w:ind w:left="1929"/>
      </w:pPr>
      <w:r w:rsidRPr="00E66CB0">
        <w:t>Likelihood</w:t>
      </w:r>
      <w:r>
        <w:t>s</w:t>
      </w:r>
      <w:r w:rsidRPr="00E66CB0">
        <w:t xml:space="preserve"> of establishment and spread</w:t>
      </w:r>
    </w:p>
    <w:p w14:paraId="1DC575C0" w14:textId="77777777" w:rsidR="003438A2" w:rsidRPr="00E66CB0" w:rsidRDefault="003438A2" w:rsidP="00862DBA">
      <w:pPr>
        <w:autoSpaceDE w:val="0"/>
        <w:autoSpaceDN w:val="0"/>
        <w:adjustRightInd w:val="0"/>
        <w:rPr>
          <w:rFonts w:cstheme="minorHAnsi"/>
        </w:rPr>
      </w:pPr>
      <w:r w:rsidRPr="00E66CB0">
        <w:rPr>
          <w:rFonts w:cstheme="minorHAnsi"/>
        </w:rPr>
        <w:t xml:space="preserve">The likelihoods of establishment and spread for </w:t>
      </w:r>
      <w:r>
        <w:rPr>
          <w:rFonts w:cstheme="minorHAnsi"/>
        </w:rPr>
        <w:t xml:space="preserve">Gymnosporangium rusts </w:t>
      </w:r>
      <w:r w:rsidRPr="00E66CB0">
        <w:rPr>
          <w:rFonts w:cstheme="minorHAnsi"/>
        </w:rPr>
        <w:t xml:space="preserve">are independent of the import pathway and are considered similar to those previously assessed for </w:t>
      </w:r>
      <w:r>
        <w:rPr>
          <w:i/>
        </w:rPr>
        <w:t xml:space="preserve">G. yamadae </w:t>
      </w:r>
      <w:r w:rsidRPr="007129D4">
        <w:rPr>
          <w:iCs/>
        </w:rPr>
        <w:t>on</w:t>
      </w:r>
      <w:r>
        <w:rPr>
          <w:i/>
        </w:rPr>
        <w:t xml:space="preserve"> </w:t>
      </w:r>
      <w:r>
        <w:rPr>
          <w:rFonts w:cstheme="minorHAnsi"/>
        </w:rPr>
        <w:t xml:space="preserve">the </w:t>
      </w:r>
      <w:r w:rsidRPr="00E66CB0">
        <w:rPr>
          <w:rFonts w:cstheme="minorHAnsi"/>
        </w:rPr>
        <w:t xml:space="preserve">apples from </w:t>
      </w:r>
      <w:r>
        <w:rPr>
          <w:rFonts w:cstheme="minorHAnsi"/>
        </w:rPr>
        <w:t>China</w:t>
      </w:r>
      <w:r w:rsidRPr="00E66CB0">
        <w:rPr>
          <w:rFonts w:cstheme="minorHAnsi"/>
        </w:rPr>
        <w:t xml:space="preserve"> pathway.</w:t>
      </w:r>
    </w:p>
    <w:p w14:paraId="3B43108E" w14:textId="77777777" w:rsidR="003438A2" w:rsidRPr="00471944" w:rsidRDefault="003438A2" w:rsidP="00C31092">
      <w:r w:rsidRPr="00E66CB0">
        <w:rPr>
          <w:rFonts w:cstheme="minorHAnsi"/>
        </w:rPr>
        <w:t xml:space="preserve">Based on the previous assessment </w:t>
      </w:r>
      <w:r w:rsidRPr="000B7CA4">
        <w:rPr>
          <w:rFonts w:cstheme="minorHAnsi"/>
        </w:rPr>
        <w:t xml:space="preserve">for </w:t>
      </w:r>
      <w:r w:rsidRPr="000B7CA4">
        <w:rPr>
          <w:i/>
        </w:rPr>
        <w:t xml:space="preserve">G. yamadae </w:t>
      </w:r>
      <w:r w:rsidRPr="000B7CA4">
        <w:t xml:space="preserve">on apples from China </w:t>
      </w:r>
      <w:r w:rsidRPr="000B7CA4">
        <w:rPr>
          <w:noProof/>
        </w:rPr>
        <w:t>(Biosecurity Australia 2010a)</w:t>
      </w:r>
      <w:r w:rsidRPr="000B7CA4">
        <w:t xml:space="preserve"> </w:t>
      </w:r>
      <w:r w:rsidRPr="000B7CA4">
        <w:rPr>
          <w:rFonts w:cstheme="minorHAnsi"/>
        </w:rPr>
        <w:t>and due to the presence of similar telial hosts (</w:t>
      </w:r>
      <w:r w:rsidRPr="000B7CA4">
        <w:rPr>
          <w:rFonts w:cstheme="minorHAnsi"/>
          <w:i/>
          <w:iCs/>
        </w:rPr>
        <w:t>Juniper</w:t>
      </w:r>
      <w:r w:rsidRPr="000B7CA4">
        <w:rPr>
          <w:rFonts w:cstheme="minorHAnsi"/>
        </w:rPr>
        <w:t xml:space="preserve"> spp.) of </w:t>
      </w:r>
      <w:r w:rsidRPr="000B7CA4">
        <w:rPr>
          <w:rFonts w:cstheme="minorHAnsi"/>
          <w:i/>
          <w:iCs/>
        </w:rPr>
        <w:t xml:space="preserve">G. yamadae </w:t>
      </w:r>
      <w:r w:rsidRPr="000B7CA4">
        <w:rPr>
          <w:rFonts w:cstheme="minorHAnsi"/>
        </w:rPr>
        <w:t>assessed in the China apple policy within Australia, the likelihoods of establishment and spread for Gymnosporangium rusts are assessed as Moderate and High, respectively</w:t>
      </w:r>
      <w:r w:rsidRPr="00E66CB0">
        <w:rPr>
          <w:rFonts w:cstheme="minorHAnsi"/>
        </w:rPr>
        <w:t>.</w:t>
      </w:r>
      <w:r>
        <w:rPr>
          <w:rFonts w:cstheme="minorHAnsi"/>
        </w:rPr>
        <w:t xml:space="preserve"> </w:t>
      </w:r>
    </w:p>
    <w:p w14:paraId="16DEEE35" w14:textId="77777777" w:rsidR="003438A2" w:rsidRPr="0072197D" w:rsidRDefault="003438A2" w:rsidP="00F843A1">
      <w:pPr>
        <w:pStyle w:val="Heading4"/>
        <w:numPr>
          <w:ilvl w:val="2"/>
          <w:numId w:val="35"/>
        </w:numPr>
        <w:tabs>
          <w:tab w:val="num" w:pos="1929"/>
        </w:tabs>
        <w:ind w:left="1929"/>
      </w:pPr>
      <w:r w:rsidRPr="0072197D">
        <w:lastRenderedPageBreak/>
        <w:t>Overall likelihood of entry, establishment and spread</w:t>
      </w:r>
    </w:p>
    <w:p w14:paraId="016519D6" w14:textId="77777777" w:rsidR="003438A2" w:rsidRPr="00693253" w:rsidRDefault="003438A2" w:rsidP="00862DBA">
      <w:pPr>
        <w:autoSpaceDE w:val="0"/>
        <w:autoSpaceDN w:val="0"/>
        <w:adjustRightInd w:val="0"/>
      </w:pPr>
      <w:r w:rsidRPr="0072197D">
        <w:t xml:space="preserve">The overall likelihood of entry, establishment and spread is determined by combining the likelihoods of entry, of establishment and of spread using the matrix of rules shown in </w:t>
      </w:r>
      <w:r>
        <w:fldChar w:fldCharType="begin" w:fldLock="1"/>
      </w:r>
      <w:r>
        <w:instrText xml:space="preserve"> REF _Ref457826328 \h </w:instrText>
      </w:r>
      <w:r>
        <w:fldChar w:fldCharType="separate"/>
      </w:r>
      <w:r w:rsidRPr="00DB5F8D">
        <w:t xml:space="preserve">Table </w:t>
      </w:r>
      <w:r>
        <w:rPr>
          <w:noProof/>
        </w:rPr>
        <w:t>2</w:t>
      </w:r>
      <w:r>
        <w:t>.</w:t>
      </w:r>
      <w:r>
        <w:rPr>
          <w:noProof/>
        </w:rPr>
        <w:t>2</w:t>
      </w:r>
      <w:r>
        <w:fldChar w:fldCharType="end"/>
      </w:r>
      <w:r w:rsidRPr="00693253">
        <w:t>.</w:t>
      </w:r>
    </w:p>
    <w:p w14:paraId="1E9CCB29" w14:textId="77777777" w:rsidR="003438A2" w:rsidRPr="0072197D" w:rsidRDefault="003438A2" w:rsidP="00862DBA">
      <w:pPr>
        <w:autoSpaceDE w:val="0"/>
        <w:autoSpaceDN w:val="0"/>
        <w:adjustRightInd w:val="0"/>
        <w:rPr>
          <w:rFonts w:cstheme="minorHAnsi"/>
        </w:rPr>
      </w:pPr>
      <w:r w:rsidRPr="0072197D">
        <w:t xml:space="preserve">The overall likelihood that </w:t>
      </w:r>
      <w:r>
        <w:t xml:space="preserve">Gymnosporangium rusts </w:t>
      </w:r>
      <w:r w:rsidRPr="0072197D">
        <w:t>will enter Australia as a result of trade in apples from the PNW-USA, be distributed in a viable state to a susceptible part of a host, establish in Australia and subsequently spread within Australia is assessed as Low</w:t>
      </w:r>
      <w:r w:rsidRPr="0072197D">
        <w:rPr>
          <w:rFonts w:cstheme="minorHAnsi"/>
        </w:rPr>
        <w:t>.</w:t>
      </w:r>
    </w:p>
    <w:p w14:paraId="002AA204" w14:textId="77777777" w:rsidR="003438A2" w:rsidRPr="00E66CB0" w:rsidRDefault="003438A2" w:rsidP="00F843A1">
      <w:pPr>
        <w:pStyle w:val="Heading4"/>
        <w:numPr>
          <w:ilvl w:val="2"/>
          <w:numId w:val="35"/>
        </w:numPr>
        <w:tabs>
          <w:tab w:val="num" w:pos="1929"/>
        </w:tabs>
        <w:ind w:left="1929"/>
      </w:pPr>
      <w:r w:rsidRPr="00E66CB0">
        <w:t>Consequences</w:t>
      </w:r>
    </w:p>
    <w:p w14:paraId="7E962251" w14:textId="77777777" w:rsidR="003438A2" w:rsidRPr="00E66CB0" w:rsidRDefault="003438A2" w:rsidP="00862DBA">
      <w:pPr>
        <w:autoSpaceDE w:val="0"/>
        <w:autoSpaceDN w:val="0"/>
        <w:adjustRightInd w:val="0"/>
      </w:pPr>
      <w:r w:rsidRPr="00E66CB0">
        <w:t xml:space="preserve">The potential consequences of the entry, establishment and spread of </w:t>
      </w:r>
      <w:r>
        <w:t xml:space="preserve">Gymnosporangium rusts </w:t>
      </w:r>
      <w:r w:rsidRPr="00E66CB0">
        <w:t xml:space="preserve">in Australia are similar to those in the previous assessment for </w:t>
      </w:r>
      <w:r>
        <w:rPr>
          <w:i/>
        </w:rPr>
        <w:t>G. yamadae</w:t>
      </w:r>
      <w:r w:rsidRPr="00E66CB0">
        <w:t xml:space="preserve"> on </w:t>
      </w:r>
      <w:r>
        <w:t xml:space="preserve">the </w:t>
      </w:r>
      <w:r w:rsidRPr="00E66CB0">
        <w:t xml:space="preserve">apples from </w:t>
      </w:r>
      <w:r>
        <w:t>China</w:t>
      </w:r>
      <w:r w:rsidRPr="00E66CB0">
        <w:t xml:space="preserve"> pathway, which were assessed as </w:t>
      </w:r>
      <w:r w:rsidRPr="00F11126">
        <w:t xml:space="preserve">Moderate </w:t>
      </w:r>
      <w:r w:rsidRPr="00F11126">
        <w:rPr>
          <w:noProof/>
          <w:color w:val="000000" w:themeColor="text1"/>
        </w:rPr>
        <w:t>(Biosecurity Australia 2010a)</w:t>
      </w:r>
      <w:r w:rsidRPr="00F11126">
        <w:rPr>
          <w:color w:val="000000" w:themeColor="text1"/>
        </w:rPr>
        <w:t>.</w:t>
      </w:r>
      <w:r w:rsidRPr="00F11126">
        <w:t xml:space="preserve"> The overall consequences for Gymnosporangium rusts on apples from the PNW-USA pathway are also assessed as Moderate.</w:t>
      </w:r>
    </w:p>
    <w:p w14:paraId="60AF8216" w14:textId="77777777" w:rsidR="003438A2" w:rsidRPr="005F6CBD" w:rsidRDefault="003438A2" w:rsidP="00F843A1">
      <w:pPr>
        <w:pStyle w:val="Heading4"/>
        <w:numPr>
          <w:ilvl w:val="2"/>
          <w:numId w:val="35"/>
        </w:numPr>
        <w:tabs>
          <w:tab w:val="num" w:pos="1929"/>
        </w:tabs>
        <w:ind w:left="1929"/>
      </w:pPr>
      <w:r w:rsidRPr="005F6CBD">
        <w:t>Unrestricted risk estimate</w:t>
      </w:r>
    </w:p>
    <w:p w14:paraId="481E71F7" w14:textId="77777777" w:rsidR="003438A2" w:rsidRPr="00945121" w:rsidRDefault="003438A2" w:rsidP="00862DBA">
      <w:r w:rsidRPr="00945121">
        <w:t xml:space="preserve">Unrestricted risk is the result of combining the </w:t>
      </w:r>
      <w:r>
        <w:t xml:space="preserve">overall </w:t>
      </w:r>
      <w:r w:rsidRPr="00945121">
        <w:t xml:space="preserve">likelihood of entry, establishment and spread with the outcome of overall consequences. </w:t>
      </w:r>
      <w:r>
        <w:t>The overall l</w:t>
      </w:r>
      <w:r w:rsidRPr="00945121">
        <w:t xml:space="preserve">ikelihood and consequences are combined using the risk estimation matrix shown in </w:t>
      </w:r>
      <w:r>
        <w:fldChar w:fldCharType="begin" w:fldLock="1"/>
      </w:r>
      <w:r>
        <w:instrText xml:space="preserve"> REF _Ref457826369 \h </w:instrText>
      </w:r>
      <w:r>
        <w:fldChar w:fldCharType="separate"/>
      </w:r>
      <w:r>
        <w:t xml:space="preserve">Table </w:t>
      </w:r>
      <w:r>
        <w:rPr>
          <w:noProof/>
        </w:rPr>
        <w:t>2</w:t>
      </w:r>
      <w:r>
        <w:t>.</w:t>
      </w:r>
      <w:r>
        <w:rPr>
          <w:noProof/>
        </w:rPr>
        <w:t>5</w:t>
      </w:r>
      <w:r>
        <w:fldChar w:fldCharType="end"/>
      </w:r>
      <w:r w:rsidRPr="00D758D3">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3438A2" w:rsidRPr="00E66CB0" w14:paraId="49E925A7" w14:textId="77777777" w:rsidTr="001A4104">
        <w:trPr>
          <w:trHeight w:val="423"/>
        </w:trPr>
        <w:tc>
          <w:tcPr>
            <w:tcW w:w="5000" w:type="pct"/>
            <w:gridSpan w:val="2"/>
            <w:tcBorders>
              <w:top w:val="single" w:sz="4" w:space="0" w:color="auto"/>
              <w:bottom w:val="single" w:sz="4" w:space="0" w:color="auto"/>
            </w:tcBorders>
            <w:shd w:val="clear" w:color="auto" w:fill="auto"/>
          </w:tcPr>
          <w:p w14:paraId="5306E0C1" w14:textId="77777777" w:rsidR="003438A2" w:rsidRPr="00E66CB0" w:rsidRDefault="003438A2" w:rsidP="001A4104">
            <w:pPr>
              <w:pStyle w:val="TableHeading"/>
            </w:pPr>
            <w:r w:rsidRPr="00E66CB0">
              <w:t xml:space="preserve">Unrestricted risk estimate for </w:t>
            </w:r>
            <w:r w:rsidRPr="00707775">
              <w:t>Gymnosporangium rusts</w:t>
            </w:r>
          </w:p>
        </w:tc>
      </w:tr>
      <w:tr w:rsidR="003438A2" w:rsidRPr="00E66CB0" w14:paraId="184C588F" w14:textId="77777777" w:rsidTr="001A4104">
        <w:trPr>
          <w:trHeight w:val="273"/>
        </w:trPr>
        <w:tc>
          <w:tcPr>
            <w:tcW w:w="3417" w:type="pct"/>
            <w:tcBorders>
              <w:top w:val="single" w:sz="4" w:space="0" w:color="auto"/>
              <w:bottom w:val="nil"/>
            </w:tcBorders>
            <w:shd w:val="clear" w:color="auto" w:fill="auto"/>
          </w:tcPr>
          <w:p w14:paraId="105653D5" w14:textId="77777777" w:rsidR="003438A2" w:rsidRPr="00E66CB0" w:rsidRDefault="003438A2" w:rsidP="001A4104">
            <w:pPr>
              <w:pStyle w:val="TableText"/>
            </w:pPr>
            <w:r w:rsidRPr="00E66CB0">
              <w:t>Overall likelihood of entry, establishment and spread</w:t>
            </w:r>
          </w:p>
        </w:tc>
        <w:tc>
          <w:tcPr>
            <w:tcW w:w="1583" w:type="pct"/>
            <w:tcBorders>
              <w:top w:val="single" w:sz="4" w:space="0" w:color="auto"/>
              <w:bottom w:val="nil"/>
            </w:tcBorders>
            <w:shd w:val="clear" w:color="auto" w:fill="auto"/>
          </w:tcPr>
          <w:p w14:paraId="5ADAD5E3" w14:textId="77777777" w:rsidR="003438A2" w:rsidRPr="00E66CB0" w:rsidRDefault="003438A2" w:rsidP="001A4104">
            <w:pPr>
              <w:pStyle w:val="TableText"/>
            </w:pPr>
            <w:r>
              <w:t>L</w:t>
            </w:r>
            <w:r w:rsidRPr="00E66CB0">
              <w:t>ow</w:t>
            </w:r>
          </w:p>
        </w:tc>
      </w:tr>
      <w:tr w:rsidR="003438A2" w:rsidRPr="00E66CB0" w14:paraId="0DDEFC76" w14:textId="77777777" w:rsidTr="001A4104">
        <w:trPr>
          <w:trHeight w:val="284"/>
        </w:trPr>
        <w:tc>
          <w:tcPr>
            <w:tcW w:w="3417" w:type="pct"/>
            <w:tcBorders>
              <w:top w:val="nil"/>
              <w:bottom w:val="nil"/>
            </w:tcBorders>
            <w:shd w:val="clear" w:color="auto" w:fill="auto"/>
          </w:tcPr>
          <w:p w14:paraId="43EE196D" w14:textId="77777777" w:rsidR="003438A2" w:rsidRPr="00E66CB0" w:rsidRDefault="003438A2" w:rsidP="001A4104">
            <w:pPr>
              <w:pStyle w:val="TableText"/>
            </w:pPr>
            <w:r w:rsidRPr="00E66CB0">
              <w:t>Consequences</w:t>
            </w:r>
          </w:p>
        </w:tc>
        <w:tc>
          <w:tcPr>
            <w:tcW w:w="1583" w:type="pct"/>
            <w:tcBorders>
              <w:top w:val="nil"/>
              <w:bottom w:val="nil"/>
            </w:tcBorders>
            <w:shd w:val="clear" w:color="auto" w:fill="auto"/>
          </w:tcPr>
          <w:p w14:paraId="20523C46" w14:textId="77777777" w:rsidR="003438A2" w:rsidRPr="00E66CB0" w:rsidRDefault="003438A2" w:rsidP="001A4104">
            <w:pPr>
              <w:pStyle w:val="TableText"/>
            </w:pPr>
            <w:r>
              <w:t>Moderate</w:t>
            </w:r>
          </w:p>
        </w:tc>
      </w:tr>
      <w:tr w:rsidR="003438A2" w:rsidRPr="00E66CB0" w14:paraId="108B8AEB" w14:textId="77777777" w:rsidTr="001A4104">
        <w:trPr>
          <w:trHeight w:val="284"/>
        </w:trPr>
        <w:tc>
          <w:tcPr>
            <w:tcW w:w="3417" w:type="pct"/>
            <w:tcBorders>
              <w:top w:val="nil"/>
              <w:bottom w:val="single" w:sz="4" w:space="0" w:color="auto"/>
            </w:tcBorders>
            <w:shd w:val="clear" w:color="auto" w:fill="auto"/>
          </w:tcPr>
          <w:p w14:paraId="3E87E2BB" w14:textId="77777777" w:rsidR="003438A2" w:rsidRPr="00E66CB0" w:rsidRDefault="003438A2" w:rsidP="001A4104">
            <w:pPr>
              <w:pStyle w:val="TableText"/>
            </w:pPr>
            <w:r w:rsidRPr="00E66CB0">
              <w:t>Unrestricted risk</w:t>
            </w:r>
          </w:p>
        </w:tc>
        <w:tc>
          <w:tcPr>
            <w:tcW w:w="1583" w:type="pct"/>
            <w:tcBorders>
              <w:top w:val="nil"/>
              <w:bottom w:val="single" w:sz="4" w:space="0" w:color="auto"/>
            </w:tcBorders>
            <w:shd w:val="clear" w:color="auto" w:fill="auto"/>
          </w:tcPr>
          <w:p w14:paraId="7E11EBAF" w14:textId="77777777" w:rsidR="003438A2" w:rsidRPr="00E66CB0" w:rsidRDefault="003438A2" w:rsidP="001A4104">
            <w:pPr>
              <w:pStyle w:val="TableText"/>
            </w:pPr>
            <w:r w:rsidRPr="00E66CB0">
              <w:t>Low</w:t>
            </w:r>
          </w:p>
        </w:tc>
      </w:tr>
    </w:tbl>
    <w:p w14:paraId="545D140A" w14:textId="77777777" w:rsidR="003438A2" w:rsidRPr="003A0CF6" w:rsidRDefault="003438A2" w:rsidP="00862DBA">
      <w:r>
        <w:t>T</w:t>
      </w:r>
      <w:r w:rsidRPr="00AD161A">
        <w:t>he unrestr</w:t>
      </w:r>
      <w:r w:rsidRPr="00C006EB">
        <w:t xml:space="preserve">icted risk estimate for </w:t>
      </w:r>
      <w:r>
        <w:t xml:space="preserve">Gymnosporangium rusts </w:t>
      </w:r>
      <w:r w:rsidRPr="00C006EB">
        <w:t xml:space="preserve">on </w:t>
      </w:r>
      <w:r>
        <w:t xml:space="preserve">the </w:t>
      </w:r>
      <w:r w:rsidRPr="00C006EB">
        <w:t xml:space="preserve">apples from PNW-USA pathway has been assessed as </w:t>
      </w:r>
      <w:r>
        <w:t>Low</w:t>
      </w:r>
      <w:r w:rsidRPr="00C006EB">
        <w:t>, which</w:t>
      </w:r>
      <w:r>
        <w:t xml:space="preserve"> does not</w:t>
      </w:r>
      <w:r w:rsidRPr="00C006EB">
        <w:t xml:space="preserve"> achieve the ALOP for Australia. Therefore, specific risk management measures are required for </w:t>
      </w:r>
      <w:r>
        <w:t xml:space="preserve">Gymnosporangium rusts </w:t>
      </w:r>
      <w:r w:rsidRPr="00C006EB">
        <w:t>on the PNW-USA apple pathway.</w:t>
      </w:r>
    </w:p>
    <w:p w14:paraId="11D6A617" w14:textId="77777777" w:rsidR="003438A2" w:rsidRDefault="003438A2" w:rsidP="00862DBA">
      <w:pPr>
        <w:spacing w:after="0" w:line="240" w:lineRule="auto"/>
        <w:rPr>
          <w:rFonts w:ascii="Calibri" w:hAnsi="Calibri"/>
          <w:b/>
          <w:bCs/>
          <w:color w:val="773141"/>
          <w:sz w:val="28"/>
        </w:rPr>
      </w:pPr>
      <w:bookmarkStart w:id="393" w:name="_Toc10009732"/>
      <w:bookmarkStart w:id="394" w:name="_Toc256600555"/>
      <w:bookmarkStart w:id="395" w:name="_Toc257729669"/>
      <w:bookmarkEnd w:id="386"/>
      <w:r>
        <w:br w:type="page"/>
      </w:r>
    </w:p>
    <w:p w14:paraId="72AE8DC1" w14:textId="77777777" w:rsidR="003438A2" w:rsidRPr="0045382F" w:rsidRDefault="003438A2" w:rsidP="00F843A1">
      <w:pPr>
        <w:pStyle w:val="Heading3"/>
        <w:numPr>
          <w:ilvl w:val="1"/>
          <w:numId w:val="35"/>
        </w:numPr>
      </w:pPr>
      <w:bookmarkStart w:id="396" w:name="_Ref108441872"/>
      <w:bookmarkStart w:id="397" w:name="_Toc112769019"/>
      <w:bookmarkStart w:id="398" w:name="_Hlk108378430"/>
      <w:r w:rsidRPr="0045382F">
        <w:lastRenderedPageBreak/>
        <w:t>Bull’s eye rot</w:t>
      </w:r>
      <w:bookmarkEnd w:id="393"/>
      <w:bookmarkEnd w:id="396"/>
      <w:bookmarkEnd w:id="397"/>
    </w:p>
    <w:p w14:paraId="2D81174E" w14:textId="77777777" w:rsidR="003438A2" w:rsidRPr="002D39B1" w:rsidRDefault="003438A2" w:rsidP="00862DBA">
      <w:pPr>
        <w:pStyle w:val="Heading4"/>
        <w:numPr>
          <w:ilvl w:val="0"/>
          <w:numId w:val="0"/>
        </w:numPr>
      </w:pPr>
      <w:r w:rsidRPr="002D39B1">
        <w:rPr>
          <w:i/>
        </w:rPr>
        <w:t>Neofabraea malicorticis</w:t>
      </w:r>
      <w:r>
        <w:rPr>
          <w:i/>
        </w:rPr>
        <w:t xml:space="preserve"> </w:t>
      </w:r>
      <w:r>
        <w:t xml:space="preserve">(EP) </w:t>
      </w:r>
    </w:p>
    <w:p w14:paraId="4C67DE48" w14:textId="77777777" w:rsidR="003438A2" w:rsidRPr="00F11126" w:rsidRDefault="003438A2" w:rsidP="00862DBA">
      <w:r>
        <w:rPr>
          <w:i/>
        </w:rPr>
        <w:t>Neofabraea</w:t>
      </w:r>
      <w:r w:rsidRPr="00CC4D19">
        <w:t xml:space="preserve"> </w:t>
      </w:r>
      <w:r w:rsidRPr="00CC4D19">
        <w:rPr>
          <w:i/>
        </w:rPr>
        <w:t>malicorticis</w:t>
      </w:r>
      <w:r w:rsidRPr="00CC4D19">
        <w:t xml:space="preserve"> </w:t>
      </w:r>
      <w:r>
        <w:rPr>
          <w:iCs/>
        </w:rPr>
        <w:t xml:space="preserve">is a </w:t>
      </w:r>
      <w:r w:rsidRPr="00F674FD">
        <w:t>fungal pathogen</w:t>
      </w:r>
      <w:r>
        <w:rPr>
          <w:i/>
        </w:rPr>
        <w:t xml:space="preserve"> </w:t>
      </w:r>
      <w:r>
        <w:t xml:space="preserve">belonging to the </w:t>
      </w:r>
      <w:r w:rsidRPr="002E2B82">
        <w:t>Dermateaceae</w:t>
      </w:r>
      <w:r>
        <w:t xml:space="preserve"> family that causes ‘bull’s eye rot’ in apple and pear fruit in the PNW-USA </w:t>
      </w:r>
      <w:r>
        <w:rPr>
          <w:noProof/>
        </w:rPr>
        <w:t xml:space="preserve">(Pscheidt &amp; Ocamb 2022b). </w:t>
      </w:r>
      <w:r>
        <w:rPr>
          <w:i/>
        </w:rPr>
        <w:t>Neofabraea</w:t>
      </w:r>
      <w:r w:rsidRPr="00CC4D19">
        <w:t xml:space="preserve"> </w:t>
      </w:r>
      <w:r w:rsidRPr="00CC4D19">
        <w:rPr>
          <w:i/>
        </w:rPr>
        <w:t>malicorticis</w:t>
      </w:r>
      <w:r w:rsidRPr="00116136">
        <w:t xml:space="preserve"> </w:t>
      </w:r>
      <w:r>
        <w:t>is an</w:t>
      </w:r>
      <w:r w:rsidRPr="00116136">
        <w:t xml:space="preserve"> important </w:t>
      </w:r>
      <w:r>
        <w:t xml:space="preserve">pathogen </w:t>
      </w:r>
      <w:r w:rsidRPr="00116136">
        <w:t xml:space="preserve">in apple and pear orchards </w:t>
      </w:r>
      <w:r>
        <w:t>in the PNW-</w:t>
      </w:r>
      <w:r w:rsidRPr="006E2278">
        <w:t>USA</w:t>
      </w:r>
      <w:r>
        <w:t xml:space="preserve"> </w:t>
      </w:r>
      <w:r>
        <w:rPr>
          <w:noProof/>
        </w:rPr>
        <w:t>(Amiri &amp; Ali 2016; Gariepy et al. 2005; Grove 1990a; Spotts 1990a; Sutton et al. 2014; Xiao 2007)</w:t>
      </w:r>
      <w:r>
        <w:t xml:space="preserve">, </w:t>
      </w:r>
      <w:r w:rsidRPr="00116136">
        <w:t>and also occur</w:t>
      </w:r>
      <w:r>
        <w:t>s</w:t>
      </w:r>
      <w:r w:rsidRPr="00116136">
        <w:t xml:space="preserve"> on a number </w:t>
      </w:r>
      <w:r w:rsidRPr="00F11126">
        <w:t xml:space="preserve">of other rosaceous hosts </w:t>
      </w:r>
      <w:r w:rsidRPr="00F11126">
        <w:rPr>
          <w:noProof/>
        </w:rPr>
        <w:t>(Grove 1990a)</w:t>
      </w:r>
      <w:r w:rsidRPr="00F11126">
        <w:t>.</w:t>
      </w:r>
    </w:p>
    <w:p w14:paraId="47C74CEB" w14:textId="77777777" w:rsidR="003438A2" w:rsidRPr="00F11126" w:rsidRDefault="003438A2" w:rsidP="001C0836">
      <w:bookmarkStart w:id="399" w:name="_Hlk109494276"/>
      <w:r w:rsidRPr="00F11126">
        <w:rPr>
          <w:i/>
        </w:rPr>
        <w:t>Neofabraea</w:t>
      </w:r>
      <w:r w:rsidRPr="00F11126">
        <w:t xml:space="preserve"> </w:t>
      </w:r>
      <w:r w:rsidRPr="00F11126">
        <w:rPr>
          <w:i/>
        </w:rPr>
        <w:t>malicorticis</w:t>
      </w:r>
      <w:r w:rsidRPr="00F11126">
        <w:t xml:space="preserve"> is widely distributed in North America </w:t>
      </w:r>
      <w:r w:rsidRPr="00F11126">
        <w:rPr>
          <w:noProof/>
        </w:rPr>
        <w:t xml:space="preserve">(Aguilar 2017) </w:t>
      </w:r>
      <w:r w:rsidRPr="00F11126">
        <w:t xml:space="preserve">and Europe </w:t>
      </w:r>
      <w:r w:rsidRPr="00F11126">
        <w:rPr>
          <w:noProof/>
        </w:rPr>
        <w:t>(Pešicová et al. 2017)</w:t>
      </w:r>
      <w:r w:rsidRPr="00F11126">
        <w:t xml:space="preserve">. In the PNW-USA, </w:t>
      </w:r>
      <w:r w:rsidRPr="00F11126">
        <w:rPr>
          <w:i/>
        </w:rPr>
        <w:t>N. malicorticis</w:t>
      </w:r>
      <w:r w:rsidRPr="00F11126">
        <w:t xml:space="preserve"> is very common in humid areas west of the Cascade Range </w:t>
      </w:r>
      <w:r w:rsidRPr="00F11126">
        <w:rPr>
          <w:noProof/>
        </w:rPr>
        <w:t>(Dugan, Grove &amp; Rogers 1993; Grove 1990a; Kienholz 1939)</w:t>
      </w:r>
      <w:r w:rsidRPr="00F11126">
        <w:t xml:space="preserve">. It is also widely reported in Oregon </w:t>
      </w:r>
      <w:r w:rsidRPr="00F11126">
        <w:rPr>
          <w:noProof/>
        </w:rPr>
        <w:t>(Gariepy et al. 2005)</w:t>
      </w:r>
      <w:r w:rsidRPr="00F11126">
        <w:t>.</w:t>
      </w:r>
    </w:p>
    <w:bookmarkEnd w:id="399"/>
    <w:p w14:paraId="43DEA844" w14:textId="77777777" w:rsidR="003438A2" w:rsidRPr="00F11126" w:rsidRDefault="003438A2" w:rsidP="00862DBA">
      <w:r w:rsidRPr="00F11126">
        <w:t xml:space="preserve">The tree canker caused on apple trees by </w:t>
      </w:r>
      <w:r w:rsidRPr="00F11126">
        <w:rPr>
          <w:i/>
        </w:rPr>
        <w:t>N. malicorticis</w:t>
      </w:r>
      <w:r w:rsidRPr="00F11126">
        <w:t xml:space="preserve"> is known as anthracnose canker </w:t>
      </w:r>
      <w:r w:rsidRPr="00F11126">
        <w:rPr>
          <w:noProof/>
        </w:rPr>
        <w:t>(Dugan, Grove &amp; Rogers 1993)</w:t>
      </w:r>
      <w:r w:rsidRPr="00F11126">
        <w:t xml:space="preserve">. While the canker may reduce growth and bearing capacity </w:t>
      </w:r>
      <w:r w:rsidRPr="00F11126">
        <w:rPr>
          <w:noProof/>
        </w:rPr>
        <w:t>(PNW Handbooks 2019b)</w:t>
      </w:r>
      <w:r w:rsidRPr="00F11126">
        <w:t xml:space="preserve"> it rarely kills branches or trees </w:t>
      </w:r>
      <w:r w:rsidRPr="00F11126">
        <w:rPr>
          <w:noProof/>
        </w:rPr>
        <w:t>(Grove 1990a; Sutton et al. 2014)</w:t>
      </w:r>
      <w:r w:rsidRPr="00F11126">
        <w:t xml:space="preserve">. The canker serves as a source of conidial inoculum for the infection of fruit and the pathogen is described as an aggressive pathogen </w:t>
      </w:r>
      <w:r w:rsidRPr="00F11126">
        <w:rPr>
          <w:noProof/>
        </w:rPr>
        <w:t>(Sutton et al. 2014)</w:t>
      </w:r>
      <w:r w:rsidRPr="00F11126">
        <w:t xml:space="preserve">. </w:t>
      </w:r>
    </w:p>
    <w:p w14:paraId="4FEA0AD3" w14:textId="77777777" w:rsidR="003438A2" w:rsidRPr="00116136" w:rsidRDefault="003438A2" w:rsidP="00862DBA">
      <w:r w:rsidRPr="00F11126">
        <w:t>Conidia are dispersed by rain or sprinkler irrigation, and can</w:t>
      </w:r>
      <w:r w:rsidRPr="00116136">
        <w:t xml:space="preserve"> infect lenticels or wounds at any time between petal fall and harvest </w:t>
      </w:r>
      <w:r w:rsidRPr="00116136">
        <w:rPr>
          <w:noProof/>
        </w:rPr>
        <w:t>(Spotts 1990a)</w:t>
      </w:r>
      <w:r w:rsidRPr="00116136">
        <w:t xml:space="preserve">, with the infection process more likely to commence closer to harvest </w:t>
      </w:r>
      <w:r w:rsidRPr="00116136">
        <w:rPr>
          <w:noProof/>
        </w:rPr>
        <w:t>(Henriquez, Sugar &amp; Spotts 2008)</w:t>
      </w:r>
      <w:r w:rsidRPr="00116136">
        <w:t xml:space="preserve">. Symptoms on fruit usually do not appear in the field, but show after </w:t>
      </w:r>
      <w:r w:rsidRPr="0025394B">
        <w:t>3 to 7 months of storage</w:t>
      </w:r>
      <w:r>
        <w:t xml:space="preserve"> </w:t>
      </w:r>
      <w:r>
        <w:rPr>
          <w:noProof/>
        </w:rPr>
        <w:t>(Gariepy et al. 2005; Spotts 1990a; Sutton et al. 2014)</w:t>
      </w:r>
      <w:r w:rsidRPr="00116136">
        <w:t>.</w:t>
      </w:r>
      <w:r>
        <w:t xml:space="preserve"> </w:t>
      </w:r>
      <w:r w:rsidRPr="00116136">
        <w:t xml:space="preserve">Symptoms of bull’s eye rot present as brown, depressed, round spots, reflecting the presence of acervuli, fruiting bodies containing conidia, which develop in concentric rings causing </w:t>
      </w:r>
      <w:r>
        <w:t xml:space="preserve">formation of </w:t>
      </w:r>
      <w:r w:rsidRPr="00116136">
        <w:t xml:space="preserve">a ‘bull’s eye’ pattern </w:t>
      </w:r>
      <w:r w:rsidRPr="00116136">
        <w:rPr>
          <w:noProof/>
        </w:rPr>
        <w:t>(Spotts 1990a; Sutton et al. 2014)</w:t>
      </w:r>
      <w:r w:rsidRPr="00116136">
        <w:t xml:space="preserve">. Cold storage does not eliminate the fungi, but can delay the onset of symptoms </w:t>
      </w:r>
      <w:r w:rsidRPr="00116136">
        <w:rPr>
          <w:noProof/>
        </w:rPr>
        <w:t>(Edney 1956)</w:t>
      </w:r>
      <w:r w:rsidRPr="00116136">
        <w:t>.</w:t>
      </w:r>
    </w:p>
    <w:p w14:paraId="60AE1D7D" w14:textId="77777777" w:rsidR="003438A2" w:rsidRDefault="003438A2" w:rsidP="00862DBA">
      <w:r w:rsidRPr="004E3F11">
        <w:rPr>
          <w:noProof/>
        </w:rPr>
        <w:t xml:space="preserve">The risk scenario of biosecurity concern for </w:t>
      </w:r>
      <w:r>
        <w:t>bull’s eye rots</w:t>
      </w:r>
      <w:r w:rsidRPr="004E3F11">
        <w:rPr>
          <w:noProof/>
        </w:rPr>
        <w:t xml:space="preserve"> is that </w:t>
      </w:r>
      <w:r>
        <w:t>symptomless infected fruit may enter Australia and result in the establishment and spread of this pathogen in Australia.</w:t>
      </w:r>
    </w:p>
    <w:p w14:paraId="12AE2046" w14:textId="77777777" w:rsidR="003438A2" w:rsidRDefault="003438A2" w:rsidP="00862DBA">
      <w:pPr>
        <w:rPr>
          <w:iCs/>
        </w:rPr>
      </w:pPr>
      <w:r>
        <w:rPr>
          <w:i/>
          <w:iCs/>
        </w:rPr>
        <w:t xml:space="preserve">Neofabraea malicorticis </w:t>
      </w:r>
      <w:r>
        <w:rPr>
          <w:iCs/>
        </w:rPr>
        <w:t xml:space="preserve">has been assessed previously under its synonym </w:t>
      </w:r>
      <w:r>
        <w:rPr>
          <w:i/>
          <w:iCs/>
        </w:rPr>
        <w:t>Cryptosporiopsis curvispora</w:t>
      </w:r>
      <w:r>
        <w:rPr>
          <w:iCs/>
        </w:rPr>
        <w:t xml:space="preserve">, in the existing import policy for fresh apple fruit from the People’s Republic of China </w:t>
      </w:r>
      <w:r>
        <w:rPr>
          <w:iCs/>
          <w:noProof/>
        </w:rPr>
        <w:t>(Biosecurity Australia 2010a)</w:t>
      </w:r>
      <w:r>
        <w:rPr>
          <w:iCs/>
        </w:rPr>
        <w:t xml:space="preserve">. In that policy, the unrestricted risk estimate for </w:t>
      </w:r>
      <w:r>
        <w:rPr>
          <w:i/>
          <w:iCs/>
        </w:rPr>
        <w:t>N. malicorticis</w:t>
      </w:r>
      <w:r>
        <w:rPr>
          <w:iCs/>
        </w:rPr>
        <w:t xml:space="preserve"> was assessed as Very Low, which achieves the ALOP for Australia. Therefore, no specific risk management measures are required for </w:t>
      </w:r>
      <w:r>
        <w:rPr>
          <w:i/>
          <w:iCs/>
        </w:rPr>
        <w:t xml:space="preserve">N. malicorticis </w:t>
      </w:r>
      <w:r>
        <w:rPr>
          <w:iCs/>
        </w:rPr>
        <w:t xml:space="preserve">for the fresh apple from China pathway. </w:t>
      </w:r>
    </w:p>
    <w:p w14:paraId="3D18EB6E" w14:textId="77777777" w:rsidR="003438A2" w:rsidRDefault="003438A2" w:rsidP="00862DBA">
      <w:r w:rsidRPr="00815A3A">
        <w:t xml:space="preserve">The department has assessed the likelihood of </w:t>
      </w:r>
      <w:r w:rsidRPr="00E106BD">
        <w:t xml:space="preserve">importation of </w:t>
      </w:r>
      <w:r w:rsidRPr="00C97E60">
        <w:rPr>
          <w:i/>
        </w:rPr>
        <w:t>N.</w:t>
      </w:r>
      <w:r w:rsidRPr="00C97E60">
        <w:t xml:space="preserve"> </w:t>
      </w:r>
      <w:r w:rsidRPr="00C97E60">
        <w:rPr>
          <w:i/>
        </w:rPr>
        <w:t>malicorticis</w:t>
      </w:r>
      <w:r w:rsidRPr="00C97E60">
        <w:t xml:space="preserve"> </w:t>
      </w:r>
      <w:r w:rsidRPr="00E106BD">
        <w:t xml:space="preserve">on fresh apple fruit from China as </w:t>
      </w:r>
      <w:r>
        <w:t>Moderate</w:t>
      </w:r>
      <w:r w:rsidRPr="00E106BD">
        <w:t xml:space="preserve"> </w:t>
      </w:r>
      <w:r>
        <w:rPr>
          <w:noProof/>
        </w:rPr>
        <w:t>(Biosecurity Australia 2010a)</w:t>
      </w:r>
      <w:r w:rsidRPr="00E106BD">
        <w:t>. However</w:t>
      </w:r>
      <w:r w:rsidRPr="00815A3A">
        <w:t xml:space="preserve">, </w:t>
      </w:r>
      <w:r>
        <w:t xml:space="preserve">the differences in </w:t>
      </w:r>
      <w:r w:rsidRPr="00815A3A">
        <w:t>pest prevalence</w:t>
      </w:r>
      <w:r>
        <w:t xml:space="preserve">, </w:t>
      </w:r>
      <w:r w:rsidRPr="00815A3A">
        <w:t xml:space="preserve">climate and horticulture practices </w:t>
      </w:r>
      <w:r>
        <w:t>between</w:t>
      </w:r>
      <w:r w:rsidRPr="00815A3A">
        <w:t xml:space="preserve"> export areas make it necessary to assess the likelihood of importation of </w:t>
      </w:r>
      <w:r>
        <w:rPr>
          <w:i/>
        </w:rPr>
        <w:t xml:space="preserve">N. </w:t>
      </w:r>
      <w:r w:rsidRPr="00CC4D19">
        <w:rPr>
          <w:i/>
        </w:rPr>
        <w:t>malicorticis</w:t>
      </w:r>
      <w:r w:rsidRPr="00CC4D19">
        <w:t xml:space="preserve"> </w:t>
      </w:r>
      <w:r w:rsidRPr="00815A3A">
        <w:t xml:space="preserve">associated with </w:t>
      </w:r>
      <w:r>
        <w:t xml:space="preserve">the </w:t>
      </w:r>
      <w:r w:rsidRPr="00815A3A">
        <w:t>PNW-USA</w:t>
      </w:r>
      <w:r>
        <w:t xml:space="preserve"> apple pathway</w:t>
      </w:r>
      <w:r w:rsidRPr="00815A3A">
        <w:t>.</w:t>
      </w:r>
    </w:p>
    <w:p w14:paraId="000CB82D" w14:textId="77777777" w:rsidR="003438A2" w:rsidRPr="00815A3A" w:rsidRDefault="003438A2" w:rsidP="00862DBA">
      <w:r w:rsidRPr="00815A3A">
        <w:t xml:space="preserve">The department has assessed the likelihood of </w:t>
      </w:r>
      <w:r>
        <w:t>distribution</w:t>
      </w:r>
      <w:r w:rsidRPr="00E106BD">
        <w:t xml:space="preserve"> of </w:t>
      </w:r>
      <w:r w:rsidRPr="00C97E60">
        <w:rPr>
          <w:i/>
        </w:rPr>
        <w:t>N.</w:t>
      </w:r>
      <w:r w:rsidRPr="00C97E60">
        <w:t xml:space="preserve"> </w:t>
      </w:r>
      <w:r w:rsidRPr="00C97E60">
        <w:rPr>
          <w:i/>
        </w:rPr>
        <w:t>malicorticis</w:t>
      </w:r>
      <w:r w:rsidRPr="00C97E60">
        <w:t xml:space="preserve"> </w:t>
      </w:r>
      <w:r w:rsidRPr="00E106BD">
        <w:t xml:space="preserve">on fresh apple fruit from China as </w:t>
      </w:r>
      <w:r>
        <w:t>High</w:t>
      </w:r>
      <w:r w:rsidRPr="00E106BD">
        <w:t xml:space="preserve"> </w:t>
      </w:r>
      <w:r>
        <w:rPr>
          <w:noProof/>
        </w:rPr>
        <w:t>(Biosecurity Australia 2010a)</w:t>
      </w:r>
      <w:r w:rsidRPr="00E106BD">
        <w:t xml:space="preserve">. </w:t>
      </w:r>
      <w:r>
        <w:t>Fresh a</w:t>
      </w:r>
      <w:r w:rsidRPr="00820F77">
        <w:t>pple</w:t>
      </w:r>
      <w:r>
        <w:t xml:space="preserve"> fruit </w:t>
      </w:r>
      <w:r w:rsidRPr="00820F77">
        <w:t>from the PNW</w:t>
      </w:r>
      <w:r>
        <w:t>-USA</w:t>
      </w:r>
      <w:r w:rsidRPr="00820F77">
        <w:t xml:space="preserve"> </w:t>
      </w:r>
      <w:r>
        <w:t xml:space="preserve">are </w:t>
      </w:r>
      <w:r w:rsidRPr="00820F77">
        <w:t>expected to be</w:t>
      </w:r>
      <w:r>
        <w:t xml:space="preserve"> </w:t>
      </w:r>
      <w:r w:rsidRPr="00820F77">
        <w:t>distributed in Australia</w:t>
      </w:r>
      <w:r>
        <w:t>,</w:t>
      </w:r>
      <w:r w:rsidRPr="00DC3C55">
        <w:t xml:space="preserve"> as a result of processing, sale or disposal,</w:t>
      </w:r>
      <w:r w:rsidRPr="00820F77">
        <w:t xml:space="preserve"> in a similar way to apples from China. </w:t>
      </w:r>
      <w:r>
        <w:t xml:space="preserve">Apples can be imported all year round, therefore, </w:t>
      </w:r>
      <w:r w:rsidRPr="00B81F41">
        <w:t>there would be no seasonal differences between both import pathways to contribute to variation in the risk rating for likelihood of distribution</w:t>
      </w:r>
      <w:r>
        <w:t xml:space="preserve">. </w:t>
      </w:r>
      <w:r>
        <w:rPr>
          <w:i/>
          <w:iCs/>
        </w:rPr>
        <w:t>Neofabraea malicorticis</w:t>
      </w:r>
      <w:r>
        <w:t xml:space="preserve"> has a wide range of plant hosts </w:t>
      </w:r>
      <w:bookmarkStart w:id="400" w:name="_Hlk109495593"/>
      <w:r w:rsidRPr="00F31B7C">
        <w:rPr>
          <w:noProof/>
        </w:rPr>
        <w:t xml:space="preserve">(de Jong et </w:t>
      </w:r>
      <w:r w:rsidRPr="00F31B7C">
        <w:rPr>
          <w:noProof/>
        </w:rPr>
        <w:lastRenderedPageBreak/>
        <w:t>al. 2001; Sutton et al. 2014)</w:t>
      </w:r>
      <w:r w:rsidRPr="00F31B7C">
        <w:t xml:space="preserve">, </w:t>
      </w:r>
      <w:bookmarkEnd w:id="400"/>
      <w:r w:rsidRPr="00F31B7C">
        <w:fldChar w:fldCharType="begin" w:fldLock="1"/>
      </w:r>
      <w:r w:rsidRPr="00F31B7C">
        <w:instrText xml:space="preserve"> QUOTE "" </w:instrText>
      </w:r>
      <w:r w:rsidRPr="00F31B7C">
        <w:rPr>
          <w:vanish/>
        </w:rPr>
        <w:fldChar w:fldCharType="begin" w:fldLock="1"/>
      </w:r>
      <w:r w:rsidRPr="00F31B7C">
        <w:rPr>
          <w:vanish/>
        </w:rPr>
        <w:instrText xml:space="preserve"> ADDIN PROCITE ÿ\11\05‘\19\02\00\00\00\00\01\00\00B\09\00\00EJ:\5CPlant\5CPublications\5CProject C Publications\5CProject_C_References.pdt$de Jong, Levesque, et al. 2001 #2661\01\04\00\07\00àà\00\00\00¿H\00Ð=\14\00\14\00\00\00\01\00\00\00\00\00\00\00\00\00\00\00\10\00\00\00\00\00\00\00\02\00\00\00\00\00\00\00\00\00,\00\00\00\01\00\00\00Lô\12\00=\11J\00,\00\00\00xô\12\00Lô\12\00\08\00àà\00\00\00¿H\00Ð=\14\00\14\00\00\00\01\00\00\00\00\00\00\00\00\00\00\00\10\00\00\00\00\00\00\00\13\00\00\00\00\00\00ÿÿÿÎÃÂwçÃÂw,\00\00\00Dò\12\00.ÄÂw,\00\00\00\00\00\00\00 </w:instrText>
      </w:r>
      <w:r w:rsidRPr="00F31B7C">
        <w:rPr>
          <w:vanish/>
        </w:rPr>
        <w:fldChar w:fldCharType="end"/>
      </w:r>
      <w:r w:rsidRPr="00F31B7C">
        <w:fldChar w:fldCharType="end"/>
      </w:r>
      <w:r w:rsidRPr="00F31B7C">
        <w:t xml:space="preserve">and </w:t>
      </w:r>
      <w:r>
        <w:t>infections</w:t>
      </w:r>
      <w:r w:rsidRPr="00F31B7C">
        <w:t xml:space="preserve"> are able to remain symptomless for up to 3 to 7 months while actively growing in cold </w:t>
      </w:r>
      <w:bookmarkStart w:id="401" w:name="_Hlk109507332"/>
      <w:r w:rsidRPr="00F31B7C">
        <w:t xml:space="preserve">storage </w:t>
      </w:r>
      <w:r>
        <w:rPr>
          <w:rFonts w:eastAsia="Times New Roman"/>
          <w:noProof/>
          <w:color w:val="000000"/>
          <w:szCs w:val="24"/>
        </w:rPr>
        <w:t>(Gariepy et al. 2005; Grove, Dugan &amp; Boal 1992; Spotts 1990a; Sutton et al. 2014)</w:t>
      </w:r>
      <w:r w:rsidRPr="00F31B7C">
        <w:rPr>
          <w:rFonts w:eastAsia="Times New Roman"/>
          <w:color w:val="000000"/>
          <w:szCs w:val="24"/>
        </w:rPr>
        <w:t xml:space="preserve">. </w:t>
      </w:r>
      <w:bookmarkEnd w:id="401"/>
      <w:r w:rsidRPr="00F31B7C">
        <w:t xml:space="preserve">Fruit that develop rot symptoms could be discarded in compost or in the natural environment where the rot is likely to encounter a host. </w:t>
      </w:r>
      <w:r w:rsidRPr="00F31B7C">
        <w:rPr>
          <w:i/>
          <w:iCs/>
        </w:rPr>
        <w:t>Neofabraea malicorticis</w:t>
      </w:r>
      <w:r w:rsidRPr="00F31B7C">
        <w:t xml:space="preserve"> thrives in decaying vegetable litter and can produce spores, which are a viable form of inoculum, from this source </w:t>
      </w:r>
      <w:bookmarkStart w:id="402" w:name="_Hlk109508261"/>
      <w:r w:rsidRPr="00F31B7C">
        <w:rPr>
          <w:noProof/>
        </w:rPr>
        <w:t>(Aguilar 2017; Grove, Dugan &amp; Boal 1992)</w:t>
      </w:r>
      <w:bookmarkEnd w:id="402"/>
      <w:r w:rsidRPr="00F31B7C">
        <w:t xml:space="preserve">. Infections in apples are not always superficial, and can include cells deep inside the lenticels of the apple </w:t>
      </w:r>
      <w:r>
        <w:rPr>
          <w:noProof/>
        </w:rPr>
        <w:t>(Spotts 1990a)</w:t>
      </w:r>
      <w:r w:rsidRPr="00F31B7C">
        <w:t>.</w:t>
      </w:r>
      <w:r w:rsidRPr="00F31B7C">
        <w:rPr>
          <w:rFonts w:eastAsia="Times New Roman"/>
          <w:color w:val="000000"/>
          <w:szCs w:val="24"/>
        </w:rPr>
        <w:t xml:space="preserve"> Any fungicide treatments applied during pre-harvest or packing house processes will only be partially effective at stopping bull’s eye rot.</w:t>
      </w:r>
      <w:r w:rsidRPr="00F31B7C">
        <w:t xml:space="preserve"> Therefore, the same rating of High assessed for </w:t>
      </w:r>
      <w:r w:rsidRPr="00F31B7C">
        <w:rPr>
          <w:i/>
        </w:rPr>
        <w:t>N.</w:t>
      </w:r>
      <w:r w:rsidRPr="00F31B7C">
        <w:t xml:space="preserve"> </w:t>
      </w:r>
      <w:r w:rsidRPr="00F31B7C">
        <w:rPr>
          <w:i/>
        </w:rPr>
        <w:t>malicorticis</w:t>
      </w:r>
      <w:r w:rsidRPr="00F31B7C">
        <w:t xml:space="preserve"> on apples from China is adopted for </w:t>
      </w:r>
      <w:r w:rsidRPr="00F31B7C">
        <w:rPr>
          <w:i/>
        </w:rPr>
        <w:t>N.</w:t>
      </w:r>
      <w:r w:rsidRPr="00F31B7C">
        <w:t xml:space="preserve"> </w:t>
      </w:r>
      <w:r w:rsidRPr="00F31B7C">
        <w:rPr>
          <w:i/>
        </w:rPr>
        <w:t>malicorticis</w:t>
      </w:r>
      <w:r w:rsidRPr="00F31B7C">
        <w:t xml:space="preserve"> on the PNW-USA apple pathway.</w:t>
      </w:r>
    </w:p>
    <w:p w14:paraId="03024854" w14:textId="77777777" w:rsidR="003438A2" w:rsidRDefault="003438A2" w:rsidP="00862DBA">
      <w:r w:rsidRPr="00820F77">
        <w:t xml:space="preserve">The likelihoods </w:t>
      </w:r>
      <w:r>
        <w:t xml:space="preserve">of establishment and spread of </w:t>
      </w:r>
      <w:r>
        <w:rPr>
          <w:i/>
        </w:rPr>
        <w:t>N.</w:t>
      </w:r>
      <w:r w:rsidRPr="00CC4D19">
        <w:t xml:space="preserve"> </w:t>
      </w:r>
      <w:r w:rsidRPr="00CC4D19">
        <w:rPr>
          <w:i/>
        </w:rPr>
        <w:t>malicorticis</w:t>
      </w:r>
      <w:r w:rsidRPr="00CC4D19">
        <w:t xml:space="preserve"> </w:t>
      </w:r>
      <w:r w:rsidRPr="00820F77">
        <w:t xml:space="preserve">in Australia </w:t>
      </w:r>
      <w:r w:rsidRPr="00815A3A">
        <w:t xml:space="preserve">from </w:t>
      </w:r>
      <w:r>
        <w:t xml:space="preserve">the </w:t>
      </w:r>
      <w:r w:rsidRPr="00815A3A">
        <w:t xml:space="preserve">PNW-USA apple pathway </w:t>
      </w:r>
      <w:r>
        <w:t>are also considered to</w:t>
      </w:r>
      <w:r w:rsidRPr="00820F77">
        <w:t xml:space="preserve"> be </w:t>
      </w:r>
      <w:r>
        <w:t xml:space="preserve">similar to those of the </w:t>
      </w:r>
      <w:r w:rsidRPr="00820F77">
        <w:t>previous assessment for apples from the People’s Republic of China</w:t>
      </w:r>
      <w:r>
        <w:t>, and are rated as Moderate and Moderate, respectively</w:t>
      </w:r>
      <w:r w:rsidRPr="00820F77">
        <w:t xml:space="preserve">. Those likelihoods relate specifically to events that occur in Australia and are principally independent of the import pathway. </w:t>
      </w:r>
      <w:r w:rsidRPr="00815A3A">
        <w:t>The consequences of entry</w:t>
      </w:r>
      <w:r>
        <w:t>,</w:t>
      </w:r>
      <w:r w:rsidRPr="00815A3A">
        <w:t xml:space="preserve"> establishment and spread for </w:t>
      </w:r>
      <w:r>
        <w:rPr>
          <w:i/>
        </w:rPr>
        <w:t>N.</w:t>
      </w:r>
      <w:r w:rsidRPr="00CC4D19">
        <w:t xml:space="preserve"> </w:t>
      </w:r>
      <w:r w:rsidRPr="00CC4D19">
        <w:rPr>
          <w:i/>
        </w:rPr>
        <w:t>malicorticis</w:t>
      </w:r>
      <w:r w:rsidRPr="00CC4D19">
        <w:t xml:space="preserve"> </w:t>
      </w:r>
      <w:r w:rsidRPr="00815A3A">
        <w:t>are also independent of the import pathway</w:t>
      </w:r>
      <w:r>
        <w:t>,</w:t>
      </w:r>
      <w:r w:rsidRPr="00815A3A">
        <w:t xml:space="preserve"> and</w:t>
      </w:r>
      <w:r>
        <w:t xml:space="preserve"> have been assessed as similar to the existing assessment of Low</w:t>
      </w:r>
      <w:r w:rsidRPr="00815A3A">
        <w:t xml:space="preserve"> </w:t>
      </w:r>
      <w:r>
        <w:t>for the apples from China</w:t>
      </w:r>
      <w:r w:rsidRPr="00815A3A">
        <w:t>.</w:t>
      </w:r>
      <w:r>
        <w:t xml:space="preserve"> </w:t>
      </w:r>
      <w:r w:rsidRPr="00815A3A">
        <w:t>Therefore, the existing ratings for the likelihoods of</w:t>
      </w:r>
      <w:r>
        <w:t xml:space="preserve"> </w:t>
      </w:r>
      <w:r w:rsidRPr="00815A3A">
        <w:t>establishment and spread</w:t>
      </w:r>
      <w:r>
        <w:t>,</w:t>
      </w:r>
      <w:r w:rsidRPr="00815A3A">
        <w:t xml:space="preserve"> </w:t>
      </w:r>
      <w:r>
        <w:t xml:space="preserve">and the </w:t>
      </w:r>
      <w:r w:rsidRPr="00815A3A">
        <w:t xml:space="preserve">rating for overall consequences for </w:t>
      </w:r>
      <w:r>
        <w:rPr>
          <w:i/>
        </w:rPr>
        <w:t>N.</w:t>
      </w:r>
      <w:r w:rsidRPr="00CC4D19">
        <w:t xml:space="preserve"> </w:t>
      </w:r>
      <w:r w:rsidRPr="00CC4D19">
        <w:rPr>
          <w:i/>
        </w:rPr>
        <w:t>malicorticis</w:t>
      </w:r>
      <w:r w:rsidRPr="00815A3A">
        <w:t xml:space="preserve"> </w:t>
      </w:r>
      <w:r>
        <w:t xml:space="preserve">on the China apple pathway </w:t>
      </w:r>
      <w:r w:rsidRPr="00815A3A">
        <w:t xml:space="preserve">have been adopted for </w:t>
      </w:r>
      <w:r>
        <w:rPr>
          <w:i/>
        </w:rPr>
        <w:t>N.</w:t>
      </w:r>
      <w:r w:rsidRPr="00CC4D19">
        <w:t xml:space="preserve"> </w:t>
      </w:r>
      <w:r w:rsidRPr="00CC4D19">
        <w:rPr>
          <w:i/>
        </w:rPr>
        <w:t>malicorticis</w:t>
      </w:r>
      <w:r>
        <w:t xml:space="preserve"> </w:t>
      </w:r>
      <w:r w:rsidRPr="00554A12">
        <w:t>on</w:t>
      </w:r>
      <w:r>
        <w:rPr>
          <w:i/>
        </w:rPr>
        <w:t xml:space="preserve"> </w:t>
      </w:r>
      <w:r w:rsidRPr="00815A3A">
        <w:t xml:space="preserve">the PNW-USA </w:t>
      </w:r>
      <w:r>
        <w:t xml:space="preserve">apple </w:t>
      </w:r>
      <w:r w:rsidRPr="00815A3A">
        <w:t>pathway.</w:t>
      </w:r>
    </w:p>
    <w:p w14:paraId="099D77EA" w14:textId="77777777" w:rsidR="003438A2" w:rsidRDefault="003438A2" w:rsidP="00862DBA">
      <w:bookmarkStart w:id="403" w:name="_Hlk46764179"/>
      <w:r>
        <w:t>T</w:t>
      </w:r>
      <w:r w:rsidRPr="00DF0121">
        <w:t xml:space="preserve">he department has </w:t>
      </w:r>
      <w:r>
        <w:t xml:space="preserve">also </w:t>
      </w:r>
      <w:r w:rsidRPr="00DF0121">
        <w:t xml:space="preserve">reviewed the latest literature — for example, </w:t>
      </w:r>
      <w:r>
        <w:rPr>
          <w:noProof/>
        </w:rPr>
        <w:t>Aguilar, Mazzola and Xiao (2018); Cameldi et al. (2016); Garton et al. (2016); Kingsnorth et al. (2017) and WSU (2018, 2020)</w:t>
      </w:r>
      <w:hyperlink w:anchor="_ENREF_24" w:tooltip="WSU, 2018 #33106" w:history="1"/>
      <w:r>
        <w:t>. N</w:t>
      </w:r>
      <w:r w:rsidRPr="0016743B">
        <w:t>o new inform</w:t>
      </w:r>
      <w:r w:rsidRPr="00DF0121">
        <w:t xml:space="preserve">ation has been identified </w:t>
      </w:r>
      <w:r>
        <w:t xml:space="preserve">that would </w:t>
      </w:r>
      <w:r w:rsidRPr="00DF0121">
        <w:t xml:space="preserve">significantly change the risk ratings for distribution, establishment, spread </w:t>
      </w:r>
      <w:r>
        <w:t xml:space="preserve">or </w:t>
      </w:r>
      <w:r w:rsidRPr="00DF0121">
        <w:t>consequences</w:t>
      </w:r>
      <w:r>
        <w:t>,</w:t>
      </w:r>
      <w:r w:rsidRPr="00DF0121">
        <w:t xml:space="preserve"> as set out for </w:t>
      </w:r>
      <w:r>
        <w:rPr>
          <w:i/>
        </w:rPr>
        <w:t>N.</w:t>
      </w:r>
      <w:r w:rsidRPr="00CC4D19">
        <w:t xml:space="preserve"> </w:t>
      </w:r>
      <w:r w:rsidRPr="00CC4D19">
        <w:rPr>
          <w:i/>
        </w:rPr>
        <w:t>malicorticis</w:t>
      </w:r>
      <w:r w:rsidRPr="00DF0121">
        <w:t xml:space="preserve"> in </w:t>
      </w:r>
      <w:r>
        <w:t xml:space="preserve">the </w:t>
      </w:r>
      <w:r w:rsidRPr="00DF0121">
        <w:t>existing polic</w:t>
      </w:r>
      <w:r>
        <w:t xml:space="preserve">y for apples from China.                                                                                   </w:t>
      </w:r>
    </w:p>
    <w:bookmarkEnd w:id="403"/>
    <w:p w14:paraId="790E1262" w14:textId="77777777" w:rsidR="003438A2" w:rsidRDefault="003438A2" w:rsidP="00F843A1">
      <w:pPr>
        <w:pStyle w:val="Heading4"/>
        <w:numPr>
          <w:ilvl w:val="2"/>
          <w:numId w:val="35"/>
        </w:numPr>
        <w:tabs>
          <w:tab w:val="num" w:pos="1929"/>
        </w:tabs>
        <w:ind w:left="1929"/>
      </w:pPr>
      <w:r>
        <w:t>Likelihood of entry</w:t>
      </w:r>
    </w:p>
    <w:p w14:paraId="2BE42119" w14:textId="77777777" w:rsidR="003438A2" w:rsidRPr="009C56D9" w:rsidRDefault="003438A2" w:rsidP="00862DBA">
      <w:r>
        <w:t>The likelihood of entry is considered in 2 parts, the likelihood of importation and the likelihood of distribution, which consider pre-border and post-border issues, respectively.</w:t>
      </w:r>
    </w:p>
    <w:p w14:paraId="69D68848" w14:textId="77777777" w:rsidR="003438A2" w:rsidRPr="0045382F" w:rsidRDefault="003438A2" w:rsidP="00862DBA">
      <w:pPr>
        <w:pStyle w:val="Heading5"/>
      </w:pPr>
      <w:r w:rsidRPr="0045382F">
        <w:t>Likelihood of importation</w:t>
      </w:r>
    </w:p>
    <w:p w14:paraId="663727F1" w14:textId="77777777" w:rsidR="003438A2" w:rsidRPr="00F75867" w:rsidRDefault="003438A2" w:rsidP="00862DBA">
      <w:r>
        <w:t xml:space="preserve">The likelihood that </w:t>
      </w:r>
      <w:r w:rsidRPr="00FD7B29">
        <w:rPr>
          <w:i/>
        </w:rPr>
        <w:t>N. malicorticis</w:t>
      </w:r>
      <w:r w:rsidRPr="00FD7B29">
        <w:t xml:space="preserve"> </w:t>
      </w:r>
      <w:r w:rsidRPr="00F75867">
        <w:t xml:space="preserve">will arrive in Australia with the importation of </w:t>
      </w:r>
      <w:r>
        <w:t>apples from the PNW-USA is assessed as High.</w:t>
      </w:r>
    </w:p>
    <w:p w14:paraId="6D043711" w14:textId="77777777" w:rsidR="003438A2" w:rsidRPr="00FD7B29" w:rsidRDefault="003438A2" w:rsidP="00862DBA">
      <w:r>
        <w:t xml:space="preserve">The following </w:t>
      </w:r>
      <w:r w:rsidRPr="00FD7B29">
        <w:t>information provides supporting evidence for this assessment.</w:t>
      </w:r>
    </w:p>
    <w:p w14:paraId="55C1844E" w14:textId="77777777" w:rsidR="003438A2" w:rsidRPr="00FD7B29" w:rsidRDefault="003438A2" w:rsidP="00862DBA">
      <w:r>
        <w:t xml:space="preserve">In the PNW-USA, </w:t>
      </w:r>
      <w:r>
        <w:rPr>
          <w:i/>
          <w:iCs/>
        </w:rPr>
        <w:t xml:space="preserve">N. malicorticis </w:t>
      </w:r>
      <w:r>
        <w:t xml:space="preserve">is </w:t>
      </w:r>
      <w:r w:rsidRPr="00FD7B29">
        <w:t xml:space="preserve">widely prevalent in apple production </w:t>
      </w:r>
      <w:r>
        <w:t xml:space="preserve">areas </w:t>
      </w:r>
    </w:p>
    <w:p w14:paraId="7BFD8B5C" w14:textId="77777777" w:rsidR="003438A2" w:rsidRPr="004420E6" w:rsidRDefault="003438A2" w:rsidP="003438A2">
      <w:pPr>
        <w:pStyle w:val="ListBullet"/>
        <w:numPr>
          <w:ilvl w:val="0"/>
          <w:numId w:val="15"/>
        </w:numPr>
      </w:pPr>
      <w:r w:rsidRPr="00E070A2">
        <w:rPr>
          <w:i/>
          <w:iCs/>
        </w:rPr>
        <w:t>Neofabraea malicorticis</w:t>
      </w:r>
      <w:r w:rsidRPr="004420E6">
        <w:t xml:space="preserve"> is prevalent on apples in the PNW-USA (Amiri &amp; Ali 2016; Xiao 2007). </w:t>
      </w:r>
    </w:p>
    <w:p w14:paraId="48D83F42" w14:textId="77777777" w:rsidR="003438A2" w:rsidRPr="00F11126" w:rsidRDefault="003438A2" w:rsidP="003438A2">
      <w:pPr>
        <w:pStyle w:val="ListBullet"/>
        <w:numPr>
          <w:ilvl w:val="0"/>
          <w:numId w:val="15"/>
        </w:numPr>
      </w:pPr>
      <w:r>
        <w:t>I</w:t>
      </w:r>
      <w:r w:rsidRPr="00FD7B29">
        <w:t xml:space="preserve">n Washington, </w:t>
      </w:r>
      <w:r w:rsidRPr="00FD7B29">
        <w:rPr>
          <w:i/>
        </w:rPr>
        <w:t>N. malicorticis</w:t>
      </w:r>
      <w:r w:rsidRPr="00FD7B29">
        <w:t xml:space="preserve"> is very common in the moist areas west of the Cascade</w:t>
      </w:r>
      <w:r>
        <w:t xml:space="preserve"> Range</w:t>
      </w:r>
      <w:r w:rsidRPr="00FD7B29">
        <w:t>s</w:t>
      </w:r>
      <w:r>
        <w:t xml:space="preserve"> </w:t>
      </w:r>
      <w:r w:rsidRPr="00F11126">
        <w:rPr>
          <w:noProof/>
        </w:rPr>
        <w:t>(Dugan, Grove &amp; Rogers 1993; Gariepy et al. 2005; Grove 1990a; Kienholz 1939; PNW Handbooks 2019b; Sutton et al. 2014)</w:t>
      </w:r>
      <w:r w:rsidRPr="00F11126">
        <w:t xml:space="preserve">. A survey of post-harvest rots in apple production areas of Washington state during 2003 and 2005 found </w:t>
      </w:r>
      <w:r w:rsidRPr="00F11126">
        <w:rPr>
          <w:i/>
          <w:iCs/>
        </w:rPr>
        <w:t xml:space="preserve">Neofabraea </w:t>
      </w:r>
      <w:r w:rsidRPr="00F11126">
        <w:t xml:space="preserve">spp. to be prevalent </w:t>
      </w:r>
      <w:r w:rsidRPr="00F11126">
        <w:rPr>
          <w:noProof/>
        </w:rPr>
        <w:t>(Kim &amp; Xiao 2008)</w:t>
      </w:r>
      <w:r w:rsidRPr="00F11126">
        <w:t>.</w:t>
      </w:r>
    </w:p>
    <w:p w14:paraId="2AFFA41D" w14:textId="77777777" w:rsidR="003438A2" w:rsidRPr="00F11126" w:rsidRDefault="003438A2" w:rsidP="003438A2">
      <w:pPr>
        <w:pStyle w:val="ListBullet"/>
        <w:numPr>
          <w:ilvl w:val="0"/>
          <w:numId w:val="15"/>
        </w:numPr>
      </w:pPr>
      <w:r w:rsidRPr="00F11126">
        <w:rPr>
          <w:i/>
        </w:rPr>
        <w:t>Neofabraea malicorticis</w:t>
      </w:r>
      <w:r w:rsidRPr="00F11126">
        <w:t xml:space="preserve"> is also widely reported in Oregon </w:t>
      </w:r>
      <w:r w:rsidRPr="00F11126">
        <w:rPr>
          <w:noProof/>
        </w:rPr>
        <w:t>(Gariepy et al. 2005)</w:t>
      </w:r>
      <w:r w:rsidRPr="00F11126">
        <w:t>.</w:t>
      </w:r>
    </w:p>
    <w:p w14:paraId="2C47BDE9" w14:textId="77777777" w:rsidR="003438A2" w:rsidRPr="00FD7B29" w:rsidRDefault="003438A2" w:rsidP="003438A2">
      <w:pPr>
        <w:pStyle w:val="ListBullet"/>
        <w:numPr>
          <w:ilvl w:val="0"/>
          <w:numId w:val="15"/>
        </w:numPr>
      </w:pPr>
      <w:r w:rsidRPr="00FD7B29">
        <w:lastRenderedPageBreak/>
        <w:t>Most of the widely-grown apple cultivars in the PNW-USA</w:t>
      </w:r>
      <w:r>
        <w:t xml:space="preserve"> are susceptible </w:t>
      </w:r>
      <w:r>
        <w:rPr>
          <w:noProof/>
        </w:rPr>
        <w:t>(PNW Handbooks 2019b), including</w:t>
      </w:r>
      <w:r w:rsidRPr="00FD7B29">
        <w:t xml:space="preserve"> Golden Delicious</w:t>
      </w:r>
      <w:r>
        <w:t>, Red Delicious</w:t>
      </w:r>
      <w:r w:rsidRPr="00FD7B29">
        <w:t xml:space="preserve"> and </w:t>
      </w:r>
      <w:r>
        <w:t>Fuji</w:t>
      </w:r>
      <w:r w:rsidRPr="00FD7B29">
        <w:t xml:space="preserve"> </w:t>
      </w:r>
      <w:r>
        <w:rPr>
          <w:noProof/>
        </w:rPr>
        <w:t>(Grove 1990a; MAL 2007; PNW Handbooks 2019b)</w:t>
      </w:r>
      <w:r w:rsidRPr="00FD7B29">
        <w:t>.</w:t>
      </w:r>
    </w:p>
    <w:p w14:paraId="574D5129" w14:textId="77777777" w:rsidR="003438A2" w:rsidRPr="00FD7B29" w:rsidRDefault="003438A2" w:rsidP="00862DBA">
      <w:r w:rsidRPr="00FD7B29">
        <w:rPr>
          <w:rFonts w:asciiTheme="majorHAnsi" w:hAnsiTheme="majorHAnsi"/>
        </w:rPr>
        <w:t xml:space="preserve">Asymptomatic </w:t>
      </w:r>
      <w:r w:rsidRPr="00FD7B29">
        <w:t xml:space="preserve">fruit </w:t>
      </w:r>
      <w:r w:rsidRPr="00FD7B29">
        <w:rPr>
          <w:rFonts w:asciiTheme="majorHAnsi" w:hAnsiTheme="majorHAnsi"/>
        </w:rPr>
        <w:t>infected</w:t>
      </w:r>
      <w:r w:rsidRPr="00FD7B29">
        <w:t xml:space="preserve"> with </w:t>
      </w:r>
      <w:r w:rsidRPr="00FD7B29">
        <w:rPr>
          <w:i/>
        </w:rPr>
        <w:t>N. malicorticis</w:t>
      </w:r>
      <w:r>
        <w:t xml:space="preserve"> will not be detected or removed</w:t>
      </w:r>
      <w:r w:rsidRPr="00FD7B29">
        <w:t xml:space="preserve"> during harvesting and packing processes</w:t>
      </w:r>
      <w:r>
        <w:t xml:space="preserve"> and may be packed for export</w:t>
      </w:r>
      <w:r w:rsidRPr="00FD7B29">
        <w:t>.</w:t>
      </w:r>
      <w:r>
        <w:t xml:space="preserve"> The pathogen is likely to survive cold temperatures during storage and transport.</w:t>
      </w:r>
    </w:p>
    <w:p w14:paraId="4C2F709A" w14:textId="77777777" w:rsidR="003438A2" w:rsidRPr="00FD7B29" w:rsidRDefault="003438A2" w:rsidP="003438A2">
      <w:pPr>
        <w:pStyle w:val="ListBullet"/>
        <w:numPr>
          <w:ilvl w:val="0"/>
          <w:numId w:val="15"/>
        </w:numPr>
      </w:pPr>
      <w:r w:rsidRPr="00FD7B29">
        <w:t xml:space="preserve">Cankers on apple trees produce conidia, which serve as inoculum for apple fruit infection. Fruit infection can occur any time between petal fall and harvest </w:t>
      </w:r>
      <w:r w:rsidRPr="00FD7B29">
        <w:rPr>
          <w:noProof/>
        </w:rPr>
        <w:t>(Spotts 1990a)</w:t>
      </w:r>
      <w:r w:rsidRPr="00FD7B29">
        <w:t xml:space="preserve">, with the infection process more likely to commence closer to harvest </w:t>
      </w:r>
      <w:r>
        <w:rPr>
          <w:noProof/>
        </w:rPr>
        <w:t>(Henriquez, Sugar &amp; Spotts 2008; Pscheidt &amp; Ocamb 2021d)</w:t>
      </w:r>
      <w:r w:rsidRPr="00FD7B29">
        <w:rPr>
          <w:iCs/>
        </w:rPr>
        <w:t>.</w:t>
      </w:r>
    </w:p>
    <w:p w14:paraId="52FFB490" w14:textId="77777777" w:rsidR="003438A2" w:rsidRDefault="003438A2" w:rsidP="003438A2">
      <w:pPr>
        <w:pStyle w:val="ListBullet"/>
        <w:numPr>
          <w:ilvl w:val="0"/>
          <w:numId w:val="15"/>
        </w:numPr>
      </w:pPr>
      <w:r w:rsidRPr="00E2097C">
        <w:t>Infections on fruit commonly remain asymptomatic at harvest, but become apparent after 3 to 7 months of storage</w:t>
      </w:r>
      <w:r>
        <w:t xml:space="preserve"> </w:t>
      </w:r>
      <w:r>
        <w:rPr>
          <w:noProof/>
        </w:rPr>
        <w:t>(Gariepy et al. 2005; Pierson, Ceponis &amp; McColloch 1971; Spotts 1990a; Sutton et al. 2014)</w:t>
      </w:r>
      <w:r w:rsidRPr="00CC4D19">
        <w:t>.</w:t>
      </w:r>
      <w:r>
        <w:t xml:space="preserve"> </w:t>
      </w:r>
    </w:p>
    <w:p w14:paraId="36BED261" w14:textId="77777777" w:rsidR="003438A2" w:rsidRDefault="003438A2" w:rsidP="003438A2">
      <w:pPr>
        <w:pStyle w:val="ListBullet"/>
        <w:numPr>
          <w:ilvl w:val="0"/>
          <w:numId w:val="15"/>
        </w:numPr>
      </w:pPr>
      <w:r w:rsidRPr="00FF151F">
        <w:t>Most apple fruit are cold stored prior to being exported. The period of cold storage may range from 1 day to 11 months</w:t>
      </w:r>
      <w:r>
        <w:t xml:space="preserve"> </w:t>
      </w:r>
      <w:r>
        <w:rPr>
          <w:noProof/>
        </w:rPr>
        <w:t>(Kupferman 1996)</w:t>
      </w:r>
      <w:r w:rsidRPr="00FF151F">
        <w:t>.</w:t>
      </w:r>
      <w:r>
        <w:t xml:space="preserve"> Infected apple fruit that are packed after extended period of storage are likely to show symptoms and will not be packed for export.</w:t>
      </w:r>
    </w:p>
    <w:p w14:paraId="51999373" w14:textId="77777777" w:rsidR="003438A2" w:rsidRDefault="003438A2" w:rsidP="003438A2">
      <w:pPr>
        <w:pStyle w:val="ListBullet"/>
        <w:numPr>
          <w:ilvl w:val="0"/>
          <w:numId w:val="15"/>
        </w:numPr>
      </w:pPr>
      <w:r>
        <w:t xml:space="preserve">However, infected apple fruit may be asymptomatic at the time they are processed and packed for export. </w:t>
      </w:r>
    </w:p>
    <w:p w14:paraId="0BBA962C" w14:textId="77777777" w:rsidR="003438A2" w:rsidRPr="00815A3A" w:rsidRDefault="003438A2" w:rsidP="003438A2">
      <w:pPr>
        <w:pStyle w:val="ListBullet"/>
        <w:numPr>
          <w:ilvl w:val="0"/>
          <w:numId w:val="15"/>
        </w:numPr>
      </w:pPr>
      <w:r>
        <w:rPr>
          <w:i/>
          <w:iCs/>
        </w:rPr>
        <w:t>Neofabraea</w:t>
      </w:r>
      <w:r w:rsidRPr="00FD7B29">
        <w:rPr>
          <w:i/>
        </w:rPr>
        <w:t xml:space="preserve"> malicorticis</w:t>
      </w:r>
      <w:r w:rsidRPr="00FD7B29">
        <w:t xml:space="preserve"> </w:t>
      </w:r>
      <w:r>
        <w:t>could survive cold temperatures during storage and transport</w:t>
      </w:r>
      <w:r w:rsidRPr="00815A3A">
        <w:t>.</w:t>
      </w:r>
    </w:p>
    <w:p w14:paraId="101FBEF9" w14:textId="77777777" w:rsidR="003438A2" w:rsidRDefault="003438A2" w:rsidP="003438A2">
      <w:pPr>
        <w:pStyle w:val="ListBullet"/>
        <w:numPr>
          <w:ilvl w:val="0"/>
          <w:numId w:val="15"/>
        </w:numPr>
      </w:pPr>
      <w:r w:rsidRPr="00CC4D19">
        <w:t xml:space="preserve">Cold temperatures, such as </w:t>
      </w:r>
      <w:r>
        <w:t>those during</w:t>
      </w:r>
      <w:r w:rsidRPr="00CC4D19">
        <w:t xml:space="preserve"> cold storage</w:t>
      </w:r>
      <w:r>
        <w:t xml:space="preserve"> of apples</w:t>
      </w:r>
      <w:r w:rsidRPr="00CC4D19">
        <w:t>, delay the onset of symptoms of bull’s eye rot</w:t>
      </w:r>
      <w:r>
        <w:t xml:space="preserve"> </w:t>
      </w:r>
      <w:r>
        <w:rPr>
          <w:noProof/>
        </w:rPr>
        <w:t>(Edney 1956; Pierson, Ceponis &amp; McColloch 1971; Spotts 1990a)</w:t>
      </w:r>
      <w:r>
        <w:t xml:space="preserve">. </w:t>
      </w:r>
    </w:p>
    <w:p w14:paraId="2CEE17A5" w14:textId="77777777" w:rsidR="003438A2" w:rsidRPr="00FD7B29" w:rsidRDefault="003438A2" w:rsidP="003438A2">
      <w:pPr>
        <w:pStyle w:val="ListBullet"/>
        <w:numPr>
          <w:ilvl w:val="0"/>
          <w:numId w:val="15"/>
        </w:numPr>
      </w:pPr>
      <w:r>
        <w:t>S</w:t>
      </w:r>
      <w:r w:rsidRPr="00256DB0">
        <w:t>ea freight</w:t>
      </w:r>
      <w:r>
        <w:t>,</w:t>
      </w:r>
      <w:r w:rsidRPr="00256DB0">
        <w:t xml:space="preserve"> </w:t>
      </w:r>
      <w:r>
        <w:t xml:space="preserve">which takes about 5 weeks, is likely to be </w:t>
      </w:r>
      <w:r w:rsidRPr="00256DB0">
        <w:t>the preferred method of transport</w:t>
      </w:r>
      <w:r>
        <w:t xml:space="preserve"> of apples from the PNW-USA to Australia and fruit will be maintained at very low temperatures.</w:t>
      </w:r>
      <w:r w:rsidRPr="0027062E">
        <w:t xml:space="preserve"> </w:t>
      </w:r>
      <w:r>
        <w:t>Harvested apples are normally cold-stored and transported at 0</w:t>
      </w:r>
      <w:bookmarkStart w:id="404" w:name="_Hlk41669378"/>
      <w:r w:rsidRPr="00223363">
        <w:t>°</w:t>
      </w:r>
      <w:bookmarkEnd w:id="404"/>
      <w:r>
        <w:t>C to 2</w:t>
      </w:r>
      <w:r w:rsidRPr="00223363">
        <w:t>°</w:t>
      </w:r>
      <w:r w:rsidRPr="00FD7B29">
        <w:t xml:space="preserve">C </w:t>
      </w:r>
      <w:r w:rsidRPr="00FD7B29">
        <w:rPr>
          <w:noProof/>
        </w:rPr>
        <w:t>(WSU Tree Fruit 2021c)</w:t>
      </w:r>
      <w:r w:rsidRPr="00FD7B29">
        <w:t>.</w:t>
      </w:r>
    </w:p>
    <w:p w14:paraId="450DEFD4" w14:textId="77777777" w:rsidR="003438A2" w:rsidRDefault="003438A2" w:rsidP="00862DBA">
      <w:r>
        <w:t xml:space="preserve">In the PNW-USA, </w:t>
      </w:r>
      <w:r>
        <w:rPr>
          <w:i/>
          <w:iCs/>
        </w:rPr>
        <w:t>N.</w:t>
      </w:r>
      <w:r w:rsidRPr="00FD7B29">
        <w:rPr>
          <w:i/>
        </w:rPr>
        <w:t xml:space="preserve"> malicorticis</w:t>
      </w:r>
      <w:r w:rsidRPr="00FD7B29">
        <w:t xml:space="preserve"> </w:t>
      </w:r>
      <w:r>
        <w:t xml:space="preserve">is highly prevalent in Washington and Oregon. Most of the commonly grown apple cultivars are susceptible to infection. </w:t>
      </w:r>
      <w:r w:rsidRPr="00D375BD">
        <w:t xml:space="preserve">Fruit infection can occur any time between petal fall and harvest, with </w:t>
      </w:r>
      <w:r>
        <w:t xml:space="preserve">the </w:t>
      </w:r>
      <w:r w:rsidRPr="00D375BD">
        <w:t xml:space="preserve">infection </w:t>
      </w:r>
      <w:r>
        <w:t xml:space="preserve">process </w:t>
      </w:r>
      <w:r w:rsidRPr="00D375BD">
        <w:t xml:space="preserve">more likely </w:t>
      </w:r>
      <w:r>
        <w:t xml:space="preserve">to commence </w:t>
      </w:r>
      <w:r w:rsidRPr="00D375BD">
        <w:t>closer to harvest</w:t>
      </w:r>
      <w:r>
        <w:t>.</w:t>
      </w:r>
      <w:r w:rsidRPr="00D375BD">
        <w:t xml:space="preserve"> </w:t>
      </w:r>
      <w:r>
        <w:t>I</w:t>
      </w:r>
      <w:r w:rsidRPr="00D375BD">
        <w:t>nfect</w:t>
      </w:r>
      <w:r>
        <w:t>ions of</w:t>
      </w:r>
      <w:r w:rsidRPr="00D375BD">
        <w:t xml:space="preserve"> fruit usually remain </w:t>
      </w:r>
      <w:r w:rsidRPr="004B2EC4">
        <w:t xml:space="preserve">asymptomatic until 3 to 7 months after entering storage. Symptomless infected fruit may be harvested and packed for export. </w:t>
      </w:r>
      <w:r w:rsidRPr="004B2EC4">
        <w:rPr>
          <w:i/>
          <w:iCs/>
        </w:rPr>
        <w:t>Neofabraea</w:t>
      </w:r>
      <w:r w:rsidRPr="00FD7B29">
        <w:rPr>
          <w:i/>
        </w:rPr>
        <w:t xml:space="preserve"> malicorticis</w:t>
      </w:r>
      <w:r w:rsidRPr="00FD7B29">
        <w:t xml:space="preserve"> </w:t>
      </w:r>
      <w:r w:rsidRPr="006E2504">
        <w:t xml:space="preserve">could survive cold </w:t>
      </w:r>
      <w:r>
        <w:t xml:space="preserve">temperatures during </w:t>
      </w:r>
      <w:r w:rsidRPr="006E2504">
        <w:t>storage in the PNW-USA and transport to Australia</w:t>
      </w:r>
      <w:r>
        <w:t xml:space="preserve">. </w:t>
      </w:r>
      <w:r w:rsidRPr="006E2504">
        <w:t xml:space="preserve">For the reasons outlined, the estimated likelihood </w:t>
      </w:r>
      <w:r>
        <w:t>of</w:t>
      </w:r>
      <w:r w:rsidRPr="006E2504">
        <w:t xml:space="preserve"> importation of </w:t>
      </w:r>
      <w:r>
        <w:rPr>
          <w:i/>
          <w:iCs/>
        </w:rPr>
        <w:t>N.</w:t>
      </w:r>
      <w:r w:rsidRPr="00FD7B29">
        <w:rPr>
          <w:i/>
        </w:rPr>
        <w:t xml:space="preserve"> malicorticis</w:t>
      </w:r>
      <w:r w:rsidRPr="00FD7B29">
        <w:t xml:space="preserve"> </w:t>
      </w:r>
      <w:r w:rsidRPr="006E2504">
        <w:t>on the PNW-USA apple pathway is assessed as High.</w:t>
      </w:r>
    </w:p>
    <w:p w14:paraId="42B67E85" w14:textId="77777777" w:rsidR="003438A2" w:rsidRDefault="003438A2" w:rsidP="00862DBA">
      <w:pPr>
        <w:pStyle w:val="Heading5"/>
      </w:pPr>
      <w:r>
        <w:t>Likelihood of distribution</w:t>
      </w:r>
    </w:p>
    <w:p w14:paraId="6E207A5F" w14:textId="77777777" w:rsidR="003438A2" w:rsidRPr="00E66CB0" w:rsidRDefault="003438A2" w:rsidP="00862DBA">
      <w:r w:rsidRPr="00E66CB0">
        <w:t xml:space="preserve">The likelihood that </w:t>
      </w:r>
      <w:r>
        <w:rPr>
          <w:i/>
          <w:iCs/>
        </w:rPr>
        <w:t>N.</w:t>
      </w:r>
      <w:r w:rsidRPr="00FD7B29">
        <w:rPr>
          <w:i/>
        </w:rPr>
        <w:t xml:space="preserve"> malicorticis</w:t>
      </w:r>
      <w:r w:rsidRPr="00FD7B29">
        <w:t xml:space="preserve"> </w:t>
      </w:r>
      <w:r w:rsidRPr="00E66CB0">
        <w:t xml:space="preserve">will be distributed within Australia in a viable state as a result of the processing, sale or disposal of apples from the PNW-USA, and subsequently transfer to a susceptible part of a host is considered to be similar to </w:t>
      </w:r>
      <w:r>
        <w:rPr>
          <w:i/>
          <w:iCs/>
        </w:rPr>
        <w:t xml:space="preserve">N. malicorticis </w:t>
      </w:r>
      <w:r>
        <w:t>on apples from China</w:t>
      </w:r>
      <w:r w:rsidRPr="00E66CB0">
        <w:t xml:space="preserve">. Therefore, the same rating of </w:t>
      </w:r>
      <w:r>
        <w:t>High</w:t>
      </w:r>
      <w:r w:rsidRPr="00E66CB0">
        <w:t xml:space="preserve"> for the likelihood of distribution previously assessed for </w:t>
      </w:r>
      <w:r>
        <w:rPr>
          <w:i/>
          <w:iCs/>
        </w:rPr>
        <w:t xml:space="preserve">N. malicorticis </w:t>
      </w:r>
      <w:r>
        <w:t>on the apples from China</w:t>
      </w:r>
      <w:r w:rsidRPr="00E66CB0">
        <w:rPr>
          <w:iCs/>
        </w:rPr>
        <w:t xml:space="preserve"> pathway is adopted for </w:t>
      </w:r>
      <w:r>
        <w:rPr>
          <w:i/>
          <w:iCs/>
        </w:rPr>
        <w:t>N.</w:t>
      </w:r>
      <w:r w:rsidRPr="00FD7B29">
        <w:rPr>
          <w:i/>
        </w:rPr>
        <w:t xml:space="preserve"> malicorticis</w:t>
      </w:r>
      <w:r>
        <w:rPr>
          <w:iCs/>
        </w:rPr>
        <w:t xml:space="preserve"> </w:t>
      </w:r>
      <w:r w:rsidRPr="00E66CB0">
        <w:rPr>
          <w:iCs/>
        </w:rPr>
        <w:t xml:space="preserve">on </w:t>
      </w:r>
      <w:r>
        <w:rPr>
          <w:iCs/>
        </w:rPr>
        <w:t xml:space="preserve">the </w:t>
      </w:r>
      <w:r w:rsidRPr="00E66CB0">
        <w:rPr>
          <w:iCs/>
        </w:rPr>
        <w:t xml:space="preserve">apples from PNW-USA pathway. </w:t>
      </w:r>
    </w:p>
    <w:p w14:paraId="6F038858" w14:textId="77777777" w:rsidR="003438A2" w:rsidRDefault="003438A2" w:rsidP="00862DBA">
      <w:pPr>
        <w:pStyle w:val="Heading5"/>
      </w:pPr>
      <w:r>
        <w:t>Overall likelihood of entry</w:t>
      </w:r>
    </w:p>
    <w:p w14:paraId="75927F4B" w14:textId="77777777" w:rsidR="003438A2" w:rsidRPr="00A12104" w:rsidRDefault="003438A2" w:rsidP="00862DBA">
      <w:r w:rsidRPr="00A12104">
        <w:t>The overall likelihood of entry is determined by combining the likelihood of importation with the likelihood of distribution using the matrix of ru</w:t>
      </w:r>
      <w:r>
        <w:t xml:space="preserve">les shown in </w:t>
      </w:r>
      <w:r>
        <w:fldChar w:fldCharType="begin" w:fldLock="1"/>
      </w:r>
      <w:r>
        <w:instrText xml:space="preserve"> REF _Ref457826350 \h </w:instrText>
      </w:r>
      <w:r>
        <w:fldChar w:fldCharType="separate"/>
      </w:r>
      <w:r>
        <w:t xml:space="preserve">Table </w:t>
      </w:r>
      <w:r>
        <w:rPr>
          <w:noProof/>
        </w:rPr>
        <w:t>2</w:t>
      </w:r>
      <w:r>
        <w:t>.</w:t>
      </w:r>
      <w:r>
        <w:rPr>
          <w:noProof/>
        </w:rPr>
        <w:t>3</w:t>
      </w:r>
      <w:r>
        <w:fldChar w:fldCharType="end"/>
      </w:r>
      <w:r>
        <w:t>.</w:t>
      </w:r>
    </w:p>
    <w:p w14:paraId="102A4CAC" w14:textId="77777777" w:rsidR="003438A2" w:rsidRDefault="003438A2" w:rsidP="00862DBA">
      <w:r>
        <w:lastRenderedPageBreak/>
        <w:t>The overall likelihood of entry is determined as High by combining the assessed likelihood of importation of High with the adopted likelihood of distribution of High, as assessed in the existing policy for fresh apple fruit from China.</w:t>
      </w:r>
    </w:p>
    <w:p w14:paraId="41CC0FAB" w14:textId="77777777" w:rsidR="003438A2" w:rsidRPr="00E66CB0" w:rsidRDefault="003438A2" w:rsidP="00F843A1">
      <w:pPr>
        <w:pStyle w:val="Heading4"/>
        <w:numPr>
          <w:ilvl w:val="2"/>
          <w:numId w:val="35"/>
        </w:numPr>
        <w:tabs>
          <w:tab w:val="num" w:pos="794"/>
          <w:tab w:val="num" w:pos="1786"/>
          <w:tab w:val="num" w:pos="1929"/>
        </w:tabs>
        <w:ind w:left="1786"/>
      </w:pPr>
      <w:r w:rsidRPr="00E66CB0">
        <w:t>Likelihood</w:t>
      </w:r>
      <w:r>
        <w:t>s</w:t>
      </w:r>
      <w:r w:rsidRPr="00E66CB0">
        <w:t xml:space="preserve"> of establishment and spread</w:t>
      </w:r>
    </w:p>
    <w:p w14:paraId="4C81DAE7" w14:textId="77777777" w:rsidR="003438A2" w:rsidRPr="00E66CB0" w:rsidRDefault="003438A2" w:rsidP="00862DBA">
      <w:pPr>
        <w:autoSpaceDE w:val="0"/>
        <w:autoSpaceDN w:val="0"/>
        <w:adjustRightInd w:val="0"/>
        <w:rPr>
          <w:rFonts w:cstheme="minorHAnsi"/>
        </w:rPr>
      </w:pPr>
      <w:r w:rsidRPr="00E66CB0">
        <w:rPr>
          <w:rFonts w:cstheme="minorHAnsi"/>
        </w:rPr>
        <w:t xml:space="preserve">The likelihoods of establishment and spread for </w:t>
      </w:r>
      <w:r>
        <w:rPr>
          <w:i/>
          <w:iCs/>
        </w:rPr>
        <w:t>N.</w:t>
      </w:r>
      <w:r w:rsidRPr="00FD7B29">
        <w:rPr>
          <w:i/>
        </w:rPr>
        <w:t xml:space="preserve"> malicorticis</w:t>
      </w:r>
      <w:r w:rsidRPr="00FD7B29">
        <w:t xml:space="preserve"> </w:t>
      </w:r>
      <w:r>
        <w:t xml:space="preserve">are </w:t>
      </w:r>
      <w:r w:rsidRPr="00E66CB0">
        <w:rPr>
          <w:rFonts w:cstheme="minorHAnsi"/>
        </w:rPr>
        <w:t xml:space="preserve">independent of the import pathway and are considered similar to those previously assessed for </w:t>
      </w:r>
      <w:r>
        <w:rPr>
          <w:i/>
          <w:iCs/>
        </w:rPr>
        <w:t xml:space="preserve">N. malicorticis </w:t>
      </w:r>
      <w:r>
        <w:t xml:space="preserve">on </w:t>
      </w:r>
      <w:r>
        <w:rPr>
          <w:rFonts w:cstheme="minorHAnsi"/>
        </w:rPr>
        <w:t xml:space="preserve">the </w:t>
      </w:r>
      <w:r w:rsidRPr="00E66CB0">
        <w:rPr>
          <w:rFonts w:cstheme="minorHAnsi"/>
        </w:rPr>
        <w:t xml:space="preserve">apples from </w:t>
      </w:r>
      <w:r>
        <w:rPr>
          <w:rFonts w:cstheme="minorHAnsi"/>
        </w:rPr>
        <w:t>China</w:t>
      </w:r>
      <w:r w:rsidRPr="00E66CB0">
        <w:rPr>
          <w:rFonts w:cstheme="minorHAnsi"/>
        </w:rPr>
        <w:t xml:space="preserve"> pathway.</w:t>
      </w:r>
    </w:p>
    <w:p w14:paraId="2CB7AA35" w14:textId="77777777" w:rsidR="003438A2" w:rsidRPr="00E66CB0" w:rsidRDefault="003438A2" w:rsidP="00320C7E">
      <w:r w:rsidRPr="00E66CB0">
        <w:rPr>
          <w:rFonts w:cstheme="minorHAnsi"/>
        </w:rPr>
        <w:t xml:space="preserve">Based on the previous assessment for </w:t>
      </w:r>
      <w:r>
        <w:rPr>
          <w:i/>
          <w:iCs/>
        </w:rPr>
        <w:t xml:space="preserve">N. malicorticis </w:t>
      </w:r>
      <w:r>
        <w:t xml:space="preserve">on apples from China </w:t>
      </w:r>
      <w:bookmarkStart w:id="405" w:name="_Hlk111756977"/>
      <w:r>
        <w:rPr>
          <w:noProof/>
        </w:rPr>
        <w:t>(Biosecurity Australia 2010a)</w:t>
      </w:r>
      <w:r>
        <w:t xml:space="preserve">, </w:t>
      </w:r>
      <w:bookmarkEnd w:id="405"/>
      <w:r w:rsidRPr="00E66CB0">
        <w:rPr>
          <w:rFonts w:cstheme="minorHAnsi"/>
        </w:rPr>
        <w:t xml:space="preserve">the likelihoods of establishment and spread for </w:t>
      </w:r>
      <w:r>
        <w:rPr>
          <w:i/>
          <w:iCs/>
        </w:rPr>
        <w:t>N.</w:t>
      </w:r>
      <w:r w:rsidRPr="00FD7B29">
        <w:rPr>
          <w:i/>
        </w:rPr>
        <w:t xml:space="preserve"> malicorticis</w:t>
      </w:r>
      <w:r>
        <w:rPr>
          <w:rFonts w:cstheme="minorHAnsi"/>
        </w:rPr>
        <w:t xml:space="preserve"> </w:t>
      </w:r>
      <w:r w:rsidRPr="00E66CB0">
        <w:rPr>
          <w:rFonts w:cstheme="minorHAnsi"/>
        </w:rPr>
        <w:t xml:space="preserve">are assessed as </w:t>
      </w:r>
      <w:r>
        <w:rPr>
          <w:rFonts w:cstheme="minorHAnsi"/>
        </w:rPr>
        <w:t>Moderate and Moderate, respectively</w:t>
      </w:r>
      <w:r w:rsidRPr="00E66CB0">
        <w:rPr>
          <w:rFonts w:cstheme="minorHAnsi"/>
        </w:rPr>
        <w:t>.</w:t>
      </w:r>
    </w:p>
    <w:p w14:paraId="1D098860" w14:textId="77777777" w:rsidR="003438A2" w:rsidRPr="0072197D" w:rsidRDefault="003438A2" w:rsidP="00F843A1">
      <w:pPr>
        <w:pStyle w:val="Heading4"/>
        <w:numPr>
          <w:ilvl w:val="2"/>
          <w:numId w:val="35"/>
        </w:numPr>
        <w:tabs>
          <w:tab w:val="num" w:pos="794"/>
          <w:tab w:val="num" w:pos="1786"/>
          <w:tab w:val="num" w:pos="1929"/>
        </w:tabs>
        <w:ind w:left="1786"/>
      </w:pPr>
      <w:r w:rsidRPr="0072197D">
        <w:t>Overall likelihood of entry, establishment and spread</w:t>
      </w:r>
    </w:p>
    <w:p w14:paraId="11C18B8B" w14:textId="77777777" w:rsidR="003438A2" w:rsidRPr="0072197D" w:rsidRDefault="003438A2" w:rsidP="00862DBA">
      <w:pPr>
        <w:autoSpaceDE w:val="0"/>
        <w:autoSpaceDN w:val="0"/>
        <w:adjustRightInd w:val="0"/>
      </w:pPr>
      <w:r w:rsidRPr="0072197D">
        <w:t xml:space="preserve">The overall likelihood of entry, establishment and spread is determined by combining the likelihoods of entry, of establishment and of spread using the matrix of rules shown in </w:t>
      </w:r>
      <w:r>
        <w:fldChar w:fldCharType="begin" w:fldLock="1"/>
      </w:r>
      <w:r>
        <w:instrText xml:space="preserve"> REF _Ref457826328 \h </w:instrText>
      </w:r>
      <w:r>
        <w:fldChar w:fldCharType="separate"/>
      </w:r>
      <w:r w:rsidRPr="00DB5F8D">
        <w:t xml:space="preserve">Table </w:t>
      </w:r>
      <w:r>
        <w:rPr>
          <w:noProof/>
        </w:rPr>
        <w:t>2</w:t>
      </w:r>
      <w:r>
        <w:t>.</w:t>
      </w:r>
      <w:r>
        <w:rPr>
          <w:noProof/>
        </w:rPr>
        <w:t>2</w:t>
      </w:r>
      <w:r>
        <w:fldChar w:fldCharType="end"/>
      </w:r>
      <w:r w:rsidRPr="00470AF1">
        <w:t>.</w:t>
      </w:r>
    </w:p>
    <w:p w14:paraId="4912FD9B" w14:textId="77777777" w:rsidR="003438A2" w:rsidRPr="0072197D" w:rsidRDefault="003438A2" w:rsidP="00862DBA">
      <w:pPr>
        <w:autoSpaceDE w:val="0"/>
        <w:autoSpaceDN w:val="0"/>
        <w:adjustRightInd w:val="0"/>
        <w:rPr>
          <w:rFonts w:cstheme="minorHAnsi"/>
        </w:rPr>
      </w:pPr>
      <w:r w:rsidRPr="0072197D">
        <w:t xml:space="preserve">The overall likelihood that </w:t>
      </w:r>
      <w:r>
        <w:rPr>
          <w:i/>
          <w:iCs/>
        </w:rPr>
        <w:t>N.</w:t>
      </w:r>
      <w:r w:rsidRPr="00FD7B29">
        <w:rPr>
          <w:i/>
        </w:rPr>
        <w:t xml:space="preserve"> malicorticis</w:t>
      </w:r>
      <w:r w:rsidRPr="00FD7B29">
        <w:t xml:space="preserve"> </w:t>
      </w:r>
      <w:r w:rsidRPr="0072197D">
        <w:t>will enter Australia as a result of trade in apples from the PNW-USA, be distributed in a viable state to a susceptible part of a host, establish in Australia and subsequently spread within Australia is assessed as Low</w:t>
      </w:r>
      <w:r w:rsidRPr="0072197D">
        <w:rPr>
          <w:rFonts w:cstheme="minorHAnsi"/>
        </w:rPr>
        <w:t>.</w:t>
      </w:r>
    </w:p>
    <w:p w14:paraId="7898004B" w14:textId="77777777" w:rsidR="003438A2" w:rsidRPr="00E66CB0" w:rsidRDefault="003438A2" w:rsidP="00F843A1">
      <w:pPr>
        <w:pStyle w:val="Heading4"/>
        <w:numPr>
          <w:ilvl w:val="2"/>
          <w:numId w:val="35"/>
        </w:numPr>
        <w:tabs>
          <w:tab w:val="num" w:pos="1843"/>
        </w:tabs>
        <w:ind w:left="1985" w:hanging="992"/>
      </w:pPr>
      <w:r w:rsidRPr="00E66CB0">
        <w:t>Consequences</w:t>
      </w:r>
    </w:p>
    <w:p w14:paraId="7A50270B" w14:textId="77777777" w:rsidR="003438A2" w:rsidRPr="00F11126" w:rsidRDefault="003438A2" w:rsidP="00862DBA">
      <w:pPr>
        <w:autoSpaceDE w:val="0"/>
        <w:autoSpaceDN w:val="0"/>
        <w:adjustRightInd w:val="0"/>
      </w:pPr>
      <w:r w:rsidRPr="00E66CB0">
        <w:t xml:space="preserve">The potential consequences of the entry, establishment and spread of </w:t>
      </w:r>
      <w:r>
        <w:rPr>
          <w:i/>
          <w:iCs/>
        </w:rPr>
        <w:t>N.</w:t>
      </w:r>
      <w:r w:rsidRPr="00FD7B29">
        <w:rPr>
          <w:i/>
        </w:rPr>
        <w:t xml:space="preserve"> malicorticis</w:t>
      </w:r>
      <w:r w:rsidRPr="00FD7B29">
        <w:t xml:space="preserve"> </w:t>
      </w:r>
      <w:r w:rsidRPr="00E66CB0">
        <w:t xml:space="preserve">in Australia are similar to those in the </w:t>
      </w:r>
      <w:r w:rsidRPr="00F11126">
        <w:t xml:space="preserve">previous assessment for </w:t>
      </w:r>
      <w:r w:rsidRPr="00F11126">
        <w:rPr>
          <w:i/>
          <w:iCs/>
        </w:rPr>
        <w:t xml:space="preserve">N. malicorticis </w:t>
      </w:r>
      <w:r w:rsidRPr="00F11126">
        <w:t xml:space="preserve">on the apples from China pathway, which were assessed as Low </w:t>
      </w:r>
      <w:r w:rsidRPr="00F11126">
        <w:rPr>
          <w:noProof/>
          <w:color w:val="000000" w:themeColor="text1"/>
        </w:rPr>
        <w:t>(Biosecurity Australia 2010a)</w:t>
      </w:r>
      <w:r w:rsidRPr="00F11126">
        <w:rPr>
          <w:color w:val="000000" w:themeColor="text1"/>
        </w:rPr>
        <w:t>.</w:t>
      </w:r>
      <w:r w:rsidRPr="00F11126">
        <w:t xml:space="preserve"> The overall consequences for </w:t>
      </w:r>
      <w:r w:rsidRPr="00F11126">
        <w:rPr>
          <w:i/>
          <w:iCs/>
        </w:rPr>
        <w:t>N.</w:t>
      </w:r>
      <w:r w:rsidRPr="00F11126">
        <w:rPr>
          <w:i/>
        </w:rPr>
        <w:t xml:space="preserve"> malicorticis</w:t>
      </w:r>
      <w:r w:rsidRPr="00F11126">
        <w:t xml:space="preserve"> on apples from the PNW-USA pathway are also assessed as Low.</w:t>
      </w:r>
    </w:p>
    <w:p w14:paraId="6FF6BD1D" w14:textId="77777777" w:rsidR="003438A2" w:rsidRPr="00F11126" w:rsidRDefault="003438A2" w:rsidP="00F843A1">
      <w:pPr>
        <w:pStyle w:val="Heading4"/>
        <w:numPr>
          <w:ilvl w:val="2"/>
          <w:numId w:val="35"/>
        </w:numPr>
        <w:tabs>
          <w:tab w:val="num" w:pos="1843"/>
        </w:tabs>
        <w:ind w:left="1929" w:hanging="936"/>
      </w:pPr>
      <w:r w:rsidRPr="00F11126">
        <w:t>Unrestricted risk estimate</w:t>
      </w:r>
    </w:p>
    <w:p w14:paraId="67C205EE" w14:textId="77777777" w:rsidR="003438A2" w:rsidRPr="00945121" w:rsidRDefault="003438A2" w:rsidP="00862DBA">
      <w:r w:rsidRPr="00F11126">
        <w:t>Unrestricted risk is the result of combining the overall likelihood of entry, establishment and</w:t>
      </w:r>
      <w:r w:rsidRPr="00945121">
        <w:t xml:space="preserve"> spread with the outcome of overall consequences. </w:t>
      </w:r>
      <w:r>
        <w:t>The overall l</w:t>
      </w:r>
      <w:r w:rsidRPr="00945121">
        <w:t xml:space="preserve">ikelihood and consequences are combined using the risk estimation matrix shown in </w:t>
      </w:r>
      <w:r>
        <w:fldChar w:fldCharType="begin" w:fldLock="1"/>
      </w:r>
      <w:r>
        <w:instrText xml:space="preserve"> REF _Ref457826369 \h </w:instrText>
      </w:r>
      <w:r>
        <w:fldChar w:fldCharType="separate"/>
      </w:r>
      <w:r>
        <w:t xml:space="preserve">Table </w:t>
      </w:r>
      <w:r>
        <w:rPr>
          <w:noProof/>
        </w:rPr>
        <w:t>2</w:t>
      </w:r>
      <w:r>
        <w:t>.</w:t>
      </w:r>
      <w:r>
        <w:rPr>
          <w:noProof/>
        </w:rPr>
        <w:t>5</w:t>
      </w:r>
      <w:r>
        <w:fldChar w:fldCharType="end"/>
      </w:r>
      <w:r w:rsidRPr="0036619E">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3438A2" w:rsidRPr="00E66CB0" w14:paraId="24DD7D05" w14:textId="77777777" w:rsidTr="001A4104">
        <w:trPr>
          <w:trHeight w:val="423"/>
        </w:trPr>
        <w:tc>
          <w:tcPr>
            <w:tcW w:w="5000" w:type="pct"/>
            <w:gridSpan w:val="2"/>
            <w:tcBorders>
              <w:top w:val="single" w:sz="4" w:space="0" w:color="auto"/>
              <w:bottom w:val="single" w:sz="4" w:space="0" w:color="auto"/>
            </w:tcBorders>
            <w:shd w:val="clear" w:color="auto" w:fill="auto"/>
          </w:tcPr>
          <w:p w14:paraId="196A7A2B" w14:textId="77777777" w:rsidR="003438A2" w:rsidRPr="00E66CB0" w:rsidRDefault="003438A2" w:rsidP="001A4104">
            <w:pPr>
              <w:pStyle w:val="TableHeading"/>
            </w:pPr>
            <w:r w:rsidRPr="00E66CB0">
              <w:t xml:space="preserve">Unrestricted risk estimate for </w:t>
            </w:r>
            <w:r>
              <w:rPr>
                <w:i/>
                <w:iCs/>
              </w:rPr>
              <w:t>N.</w:t>
            </w:r>
            <w:r w:rsidRPr="00FD7B29">
              <w:rPr>
                <w:i/>
              </w:rPr>
              <w:t xml:space="preserve"> malicorticis</w:t>
            </w:r>
          </w:p>
        </w:tc>
      </w:tr>
      <w:tr w:rsidR="003438A2" w:rsidRPr="00E66CB0" w14:paraId="6DB3D71B" w14:textId="77777777" w:rsidTr="001A4104">
        <w:trPr>
          <w:trHeight w:val="273"/>
        </w:trPr>
        <w:tc>
          <w:tcPr>
            <w:tcW w:w="3417" w:type="pct"/>
            <w:tcBorders>
              <w:top w:val="single" w:sz="4" w:space="0" w:color="auto"/>
              <w:bottom w:val="nil"/>
            </w:tcBorders>
            <w:shd w:val="clear" w:color="auto" w:fill="auto"/>
          </w:tcPr>
          <w:p w14:paraId="6011E189" w14:textId="77777777" w:rsidR="003438A2" w:rsidRPr="00E66CB0" w:rsidRDefault="003438A2" w:rsidP="001A4104">
            <w:pPr>
              <w:pStyle w:val="TableText"/>
            </w:pPr>
            <w:r w:rsidRPr="00E66CB0">
              <w:t>Overall likelihood of entry, establishment and spread</w:t>
            </w:r>
          </w:p>
        </w:tc>
        <w:tc>
          <w:tcPr>
            <w:tcW w:w="1583" w:type="pct"/>
            <w:tcBorders>
              <w:top w:val="single" w:sz="4" w:space="0" w:color="auto"/>
              <w:bottom w:val="nil"/>
            </w:tcBorders>
            <w:shd w:val="clear" w:color="auto" w:fill="auto"/>
          </w:tcPr>
          <w:p w14:paraId="290631DE" w14:textId="77777777" w:rsidR="003438A2" w:rsidRPr="00E66CB0" w:rsidRDefault="003438A2" w:rsidP="001A4104">
            <w:pPr>
              <w:pStyle w:val="TableText"/>
            </w:pPr>
            <w:r>
              <w:t>L</w:t>
            </w:r>
            <w:r w:rsidRPr="00E66CB0">
              <w:t>ow</w:t>
            </w:r>
          </w:p>
        </w:tc>
      </w:tr>
      <w:tr w:rsidR="003438A2" w:rsidRPr="00E66CB0" w14:paraId="7DA205A1" w14:textId="77777777" w:rsidTr="001A4104">
        <w:trPr>
          <w:trHeight w:val="284"/>
        </w:trPr>
        <w:tc>
          <w:tcPr>
            <w:tcW w:w="3417" w:type="pct"/>
            <w:tcBorders>
              <w:top w:val="nil"/>
              <w:bottom w:val="nil"/>
            </w:tcBorders>
            <w:shd w:val="clear" w:color="auto" w:fill="auto"/>
          </w:tcPr>
          <w:p w14:paraId="27500F43" w14:textId="77777777" w:rsidR="003438A2" w:rsidRPr="00E66CB0" w:rsidRDefault="003438A2" w:rsidP="001A4104">
            <w:pPr>
              <w:pStyle w:val="TableText"/>
            </w:pPr>
            <w:r w:rsidRPr="00E66CB0">
              <w:t>Consequences</w:t>
            </w:r>
          </w:p>
        </w:tc>
        <w:tc>
          <w:tcPr>
            <w:tcW w:w="1583" w:type="pct"/>
            <w:tcBorders>
              <w:top w:val="nil"/>
              <w:bottom w:val="nil"/>
            </w:tcBorders>
            <w:shd w:val="clear" w:color="auto" w:fill="auto"/>
          </w:tcPr>
          <w:p w14:paraId="456638E8" w14:textId="77777777" w:rsidR="003438A2" w:rsidRPr="00E66CB0" w:rsidRDefault="003438A2" w:rsidP="001A4104">
            <w:pPr>
              <w:pStyle w:val="TableText"/>
            </w:pPr>
            <w:r>
              <w:t>Low</w:t>
            </w:r>
          </w:p>
        </w:tc>
      </w:tr>
      <w:tr w:rsidR="003438A2" w:rsidRPr="00E66CB0" w14:paraId="4CE3FC0C" w14:textId="77777777" w:rsidTr="001A4104">
        <w:trPr>
          <w:trHeight w:val="284"/>
        </w:trPr>
        <w:tc>
          <w:tcPr>
            <w:tcW w:w="3417" w:type="pct"/>
            <w:tcBorders>
              <w:top w:val="nil"/>
              <w:bottom w:val="single" w:sz="4" w:space="0" w:color="auto"/>
            </w:tcBorders>
            <w:shd w:val="clear" w:color="auto" w:fill="auto"/>
          </w:tcPr>
          <w:p w14:paraId="4BBEDA2A" w14:textId="77777777" w:rsidR="003438A2" w:rsidRPr="00E66CB0" w:rsidRDefault="003438A2" w:rsidP="001A4104">
            <w:pPr>
              <w:pStyle w:val="TableText"/>
            </w:pPr>
            <w:r w:rsidRPr="00E66CB0">
              <w:t>Unrestricted risk</w:t>
            </w:r>
          </w:p>
        </w:tc>
        <w:tc>
          <w:tcPr>
            <w:tcW w:w="1583" w:type="pct"/>
            <w:tcBorders>
              <w:top w:val="nil"/>
              <w:bottom w:val="single" w:sz="4" w:space="0" w:color="auto"/>
            </w:tcBorders>
            <w:shd w:val="clear" w:color="auto" w:fill="auto"/>
          </w:tcPr>
          <w:p w14:paraId="73C44DA7" w14:textId="77777777" w:rsidR="003438A2" w:rsidRPr="00E66CB0" w:rsidRDefault="003438A2" w:rsidP="001A4104">
            <w:pPr>
              <w:pStyle w:val="TableText"/>
            </w:pPr>
            <w:r>
              <w:t xml:space="preserve">Very </w:t>
            </w:r>
            <w:r w:rsidRPr="00E66CB0">
              <w:t>Low</w:t>
            </w:r>
          </w:p>
        </w:tc>
      </w:tr>
    </w:tbl>
    <w:p w14:paraId="61494647" w14:textId="77777777" w:rsidR="003438A2" w:rsidRDefault="003438A2" w:rsidP="00862DBA"/>
    <w:p w14:paraId="5319FD8A" w14:textId="77777777" w:rsidR="003438A2" w:rsidRDefault="003438A2" w:rsidP="00862DBA">
      <w:pPr>
        <w:sectPr w:rsidR="003438A2" w:rsidSect="00E310DC">
          <w:pgSz w:w="11906" w:h="16838"/>
          <w:pgMar w:top="1418" w:right="1418" w:bottom="1418" w:left="1418" w:header="567" w:footer="283" w:gutter="0"/>
          <w:cols w:space="708"/>
          <w:docGrid w:linePitch="360"/>
        </w:sectPr>
      </w:pPr>
      <w:r>
        <w:t>T</w:t>
      </w:r>
      <w:r w:rsidRPr="00AD161A">
        <w:t>he unrestr</w:t>
      </w:r>
      <w:r w:rsidRPr="00C006EB">
        <w:t xml:space="preserve">icted risk estimate for </w:t>
      </w:r>
      <w:r>
        <w:rPr>
          <w:i/>
          <w:iCs/>
        </w:rPr>
        <w:t>N.</w:t>
      </w:r>
      <w:r w:rsidRPr="00FD7B29">
        <w:rPr>
          <w:i/>
        </w:rPr>
        <w:t xml:space="preserve"> malicorticis</w:t>
      </w:r>
      <w:r w:rsidRPr="00FD7B29">
        <w:t xml:space="preserve"> </w:t>
      </w:r>
      <w:r w:rsidRPr="00C006EB">
        <w:t xml:space="preserve">on </w:t>
      </w:r>
      <w:r>
        <w:t xml:space="preserve">the </w:t>
      </w:r>
      <w:r w:rsidRPr="00C006EB">
        <w:t xml:space="preserve">apples from PNW-USA pathway has been assessed as </w:t>
      </w:r>
      <w:r>
        <w:t>Very Low</w:t>
      </w:r>
      <w:r w:rsidRPr="00C006EB">
        <w:t>, which</w:t>
      </w:r>
      <w:r>
        <w:t xml:space="preserve"> </w:t>
      </w:r>
      <w:r w:rsidRPr="00C006EB">
        <w:t>achieve</w:t>
      </w:r>
      <w:r>
        <w:t>s</w:t>
      </w:r>
      <w:r w:rsidRPr="00C006EB">
        <w:t xml:space="preserve"> the ALOP for Australia. Therefore, </w:t>
      </w:r>
      <w:r>
        <w:t xml:space="preserve">no </w:t>
      </w:r>
      <w:r w:rsidRPr="00C006EB">
        <w:t xml:space="preserve">specific risk management measures are required for </w:t>
      </w:r>
      <w:r>
        <w:rPr>
          <w:i/>
          <w:iCs/>
        </w:rPr>
        <w:t>N.</w:t>
      </w:r>
      <w:r w:rsidRPr="00FD7B29">
        <w:rPr>
          <w:i/>
        </w:rPr>
        <w:t xml:space="preserve"> malicorticis</w:t>
      </w:r>
      <w:r w:rsidRPr="00FD7B29">
        <w:t xml:space="preserve"> </w:t>
      </w:r>
      <w:r w:rsidRPr="00C006EB">
        <w:t>on the PNW-USA apple pathway.</w:t>
      </w:r>
    </w:p>
    <w:p w14:paraId="2720789E" w14:textId="77777777" w:rsidR="003438A2" w:rsidRPr="0045382F" w:rsidRDefault="003438A2" w:rsidP="003438A2">
      <w:pPr>
        <w:pStyle w:val="Heading3"/>
        <w:numPr>
          <w:ilvl w:val="1"/>
          <w:numId w:val="31"/>
        </w:numPr>
      </w:pPr>
      <w:bookmarkStart w:id="406" w:name="_Toc10009733"/>
      <w:bookmarkStart w:id="407" w:name="_Toc112769020"/>
      <w:bookmarkStart w:id="408" w:name="_Toc238278600"/>
      <w:bookmarkStart w:id="409" w:name="_Ref15897921"/>
      <w:bookmarkEnd w:id="394"/>
      <w:bookmarkEnd w:id="395"/>
      <w:bookmarkEnd w:id="398"/>
      <w:r w:rsidRPr="0045382F">
        <w:lastRenderedPageBreak/>
        <w:t>European canker</w:t>
      </w:r>
      <w:bookmarkEnd w:id="406"/>
      <w:bookmarkEnd w:id="407"/>
    </w:p>
    <w:p w14:paraId="23C004F1" w14:textId="77777777" w:rsidR="003438A2" w:rsidRPr="009F5351" w:rsidRDefault="003438A2" w:rsidP="00862DBA">
      <w:pPr>
        <w:pStyle w:val="Heading4"/>
        <w:numPr>
          <w:ilvl w:val="0"/>
          <w:numId w:val="0"/>
        </w:numPr>
      </w:pPr>
      <w:r w:rsidRPr="0029171A">
        <w:rPr>
          <w:i/>
        </w:rPr>
        <w:t>Neonectria ditissima</w:t>
      </w:r>
      <w:r>
        <w:t xml:space="preserve"> </w:t>
      </w:r>
      <w:r w:rsidRPr="0029171A">
        <w:t>(EP)</w:t>
      </w:r>
    </w:p>
    <w:p w14:paraId="188A463A" w14:textId="77777777" w:rsidR="003438A2" w:rsidRDefault="003438A2" w:rsidP="00862DBA">
      <w:r w:rsidRPr="00B14987">
        <w:rPr>
          <w:i/>
          <w:iCs/>
        </w:rPr>
        <w:t>Neonectria ditissima</w:t>
      </w:r>
      <w:r w:rsidRPr="00B14987">
        <w:t xml:space="preserve"> is an ascomycete fungus belonging to the family Nectriaceae, and causes the important disease European canker that affects apple, pear and many species of hardwood forest trees</w:t>
      </w:r>
      <w:r>
        <w:t xml:space="preserve"> </w:t>
      </w:r>
      <w:r>
        <w:rPr>
          <w:noProof/>
        </w:rPr>
        <w:t>(Castlebury, Rossman &amp; Hyten 2006; Gómez-Cortecero et al. 2016; Grove 1990b; PNW Handbooks 2019a; Swinburne 1975; Wenneker &amp; Thomma 2020)</w:t>
      </w:r>
      <w:r>
        <w:t>.</w:t>
      </w:r>
    </w:p>
    <w:p w14:paraId="0BB4ED26" w14:textId="77777777" w:rsidR="003438A2" w:rsidRPr="00D407CD" w:rsidRDefault="003438A2" w:rsidP="00862DBA">
      <w:r w:rsidRPr="00037EAA">
        <w:rPr>
          <w:i/>
        </w:rPr>
        <w:t xml:space="preserve">Neonectria ditissima </w:t>
      </w:r>
      <w:r w:rsidRPr="00037EAA">
        <w:t xml:space="preserve">is present in North America, South America, Asia, Africa, New Zealand and Europe </w:t>
      </w:r>
      <w:r>
        <w:rPr>
          <w:noProof/>
        </w:rPr>
        <w:t>(CABI 2019)</w:t>
      </w:r>
      <w:r w:rsidRPr="00037EAA">
        <w:rPr>
          <w:rFonts w:cs="Arial"/>
          <w:color w:val="444444"/>
        </w:rPr>
        <w:t xml:space="preserve">. </w:t>
      </w:r>
      <w:r w:rsidRPr="00037EAA">
        <w:rPr>
          <w:lang w:eastAsia="en-AU"/>
        </w:rPr>
        <w:t>In the PNW-USA</w:t>
      </w:r>
      <w:r>
        <w:rPr>
          <w:lang w:eastAsia="en-AU"/>
        </w:rPr>
        <w:t>,</w:t>
      </w:r>
      <w:r w:rsidRPr="00037EAA">
        <w:rPr>
          <w:lang w:eastAsia="en-AU"/>
        </w:rPr>
        <w:t xml:space="preserve"> the disease is found primarily in high rainfall areas along the coast, such as Willamette Valley in </w:t>
      </w:r>
      <w:r>
        <w:rPr>
          <w:lang w:eastAsia="en-AU"/>
        </w:rPr>
        <w:t xml:space="preserve">western </w:t>
      </w:r>
      <w:r w:rsidRPr="00037EAA">
        <w:rPr>
          <w:lang w:eastAsia="en-AU"/>
        </w:rPr>
        <w:t>Oregon and western Washington</w:t>
      </w:r>
      <w:r>
        <w:rPr>
          <w:lang w:eastAsia="en-AU"/>
        </w:rPr>
        <w:t xml:space="preserve"> </w:t>
      </w:r>
      <w:r>
        <w:rPr>
          <w:noProof/>
          <w:lang w:eastAsia="en-AU"/>
        </w:rPr>
        <w:t>(CABI 2019; Grove 1990b; Kim &amp; Beresford 2012; PNW Handbooks 2019a; Pscheidt &amp; Ocamb 2021a; Shaw 1973)</w:t>
      </w:r>
      <w:r>
        <w:rPr>
          <w:lang w:eastAsia="en-AU"/>
        </w:rPr>
        <w:t>.</w:t>
      </w:r>
      <w:r w:rsidRPr="00E66CB0">
        <w:t xml:space="preserve"> </w:t>
      </w:r>
      <w:r w:rsidRPr="00E66CB0">
        <w:rPr>
          <w:i/>
        </w:rPr>
        <w:t>Neonectria ditissima</w:t>
      </w:r>
      <w:r w:rsidRPr="00E66CB0">
        <w:t xml:space="preserve"> has rarely been</w:t>
      </w:r>
      <w:r w:rsidRPr="00E66CB0">
        <w:rPr>
          <w:lang w:eastAsia="en-AU"/>
        </w:rPr>
        <w:t xml:space="preserve"> reported in southern, central or eastern Oregon </w:t>
      </w:r>
      <w:r w:rsidRPr="00320EF5">
        <w:rPr>
          <w:noProof/>
        </w:rPr>
        <w:t>(Pscheidt &amp; Ocamb 2021a)</w:t>
      </w:r>
      <w:r>
        <w:rPr>
          <w:noProof/>
        </w:rPr>
        <w:t>.</w:t>
      </w:r>
      <w:r w:rsidRPr="00E66CB0">
        <w:rPr>
          <w:lang w:eastAsia="en-AU"/>
        </w:rPr>
        <w:t xml:space="preserve"> The disease has not been reported in eastern </w:t>
      </w:r>
      <w:r w:rsidRPr="00D407CD">
        <w:rPr>
          <w:lang w:eastAsia="en-AU"/>
        </w:rPr>
        <w:t xml:space="preserve">Washington, which is where the majority of apples are produced in the PNW-USA, or in </w:t>
      </w:r>
      <w:r w:rsidRPr="00D407CD">
        <w:t xml:space="preserve">Idaho </w:t>
      </w:r>
      <w:r w:rsidRPr="00D407CD">
        <w:rPr>
          <w:noProof/>
          <w:lang w:eastAsia="en-AU"/>
        </w:rPr>
        <w:t>(CABI 2022; Pscheidt &amp; Ocamb 2021a)</w:t>
      </w:r>
      <w:r w:rsidRPr="00D407CD">
        <w:rPr>
          <w:lang w:eastAsia="en-AU"/>
        </w:rPr>
        <w:t>.</w:t>
      </w:r>
      <w:r w:rsidRPr="00D407CD">
        <w:t xml:space="preserve"> </w:t>
      </w:r>
      <w:r w:rsidRPr="00D407CD">
        <w:rPr>
          <w:i/>
        </w:rPr>
        <w:t xml:space="preserve">Neonectria ditissima </w:t>
      </w:r>
      <w:r w:rsidRPr="00D407CD">
        <w:t xml:space="preserve">has a wide host range, having been recorded on more than 60 tree and shrub species from 20 genera </w:t>
      </w:r>
      <w:r w:rsidRPr="00D407CD">
        <w:rPr>
          <w:noProof/>
        </w:rPr>
        <w:t>(Department of Agriculture 2018)</w:t>
      </w:r>
      <w:r w:rsidRPr="00D407CD">
        <w:t>.</w:t>
      </w:r>
    </w:p>
    <w:p w14:paraId="36FA889F" w14:textId="77777777" w:rsidR="003438A2" w:rsidRPr="00E66CB0" w:rsidRDefault="003438A2" w:rsidP="00862DBA">
      <w:r w:rsidRPr="00D407CD">
        <w:rPr>
          <w:lang w:eastAsia="en-AU"/>
        </w:rPr>
        <w:t xml:space="preserve">Infection of host plants by </w:t>
      </w:r>
      <w:r w:rsidRPr="00D407CD">
        <w:rPr>
          <w:i/>
          <w:iCs/>
          <w:lang w:eastAsia="en-AU"/>
        </w:rPr>
        <w:t xml:space="preserve">N. ditissima </w:t>
      </w:r>
      <w:r w:rsidRPr="00D407CD">
        <w:rPr>
          <w:lang w:eastAsia="en-AU"/>
        </w:rPr>
        <w:t>occurs during autumn rains, primarily through</w:t>
      </w:r>
      <w:r w:rsidRPr="001F6693">
        <w:rPr>
          <w:lang w:eastAsia="en-AU"/>
        </w:rPr>
        <w:t xml:space="preserve"> leaf scars, but the fungus may also enter a host through wounds</w:t>
      </w:r>
      <w:r w:rsidRPr="001F6693">
        <w:t xml:space="preserve"> such as pruning cuts, open calyces or through galls at the feeding sites of woolly aphids </w:t>
      </w:r>
      <w:r w:rsidRPr="001F6693">
        <w:rPr>
          <w:noProof/>
        </w:rPr>
        <w:t>(Swinburne 1975)</w:t>
      </w:r>
      <w:r w:rsidRPr="001F6693">
        <w:t xml:space="preserve">. </w:t>
      </w:r>
      <w:r w:rsidRPr="001F6693">
        <w:rPr>
          <w:lang w:eastAsia="en-AU"/>
        </w:rPr>
        <w:t xml:space="preserve">The canker caused by </w:t>
      </w:r>
      <w:r w:rsidRPr="001F6693">
        <w:rPr>
          <w:i/>
        </w:rPr>
        <w:t xml:space="preserve">N. ditissima </w:t>
      </w:r>
      <w:r w:rsidRPr="001F6693">
        <w:rPr>
          <w:lang w:eastAsia="en-AU"/>
        </w:rPr>
        <w:t xml:space="preserve">is perennial </w:t>
      </w:r>
      <w:r>
        <w:rPr>
          <w:noProof/>
          <w:lang w:eastAsia="en-AU"/>
        </w:rPr>
        <w:t>(Plante, Hamelin &amp; Bernier 2002)</w:t>
      </w:r>
      <w:r w:rsidRPr="001F6693">
        <w:rPr>
          <w:lang w:eastAsia="en-AU"/>
        </w:rPr>
        <w:t xml:space="preserve">. White clusters of fungal </w:t>
      </w:r>
      <w:r>
        <w:rPr>
          <w:lang w:eastAsia="en-AU"/>
        </w:rPr>
        <w:t>stromae</w:t>
      </w:r>
      <w:r w:rsidRPr="001F6693">
        <w:rPr>
          <w:lang w:eastAsia="en-AU"/>
        </w:rPr>
        <w:t xml:space="preserve"> (sporodochia) appear on the canker during either the first spring after infection or in the following autumn and winter.</w:t>
      </w:r>
      <w:r w:rsidRPr="00E66CB0">
        <w:t xml:space="preserve"> </w:t>
      </w:r>
    </w:p>
    <w:p w14:paraId="44580FFB" w14:textId="77777777" w:rsidR="003438A2" w:rsidRPr="009771B7" w:rsidRDefault="003438A2" w:rsidP="00862DBA">
      <w:r w:rsidRPr="00E66CB0">
        <w:t xml:space="preserve">In apples and pears, the fruit may also be infected, leading to the development of rot </w:t>
      </w:r>
      <w:r w:rsidRPr="00E66CB0">
        <w:rPr>
          <w:noProof/>
          <w:lang w:eastAsia="en-AU"/>
        </w:rPr>
        <w:t>(PNW Handbooks 2019a; Shaw 1973)</w:t>
      </w:r>
      <w:r w:rsidRPr="00E66CB0">
        <w:t xml:space="preserve">. Young fruit are most susceptible up to 4 weeks after pollination, with susceptibility declining until about 2 months after pollination when it increases again </w:t>
      </w:r>
      <w:r w:rsidRPr="00E66CB0">
        <w:rPr>
          <w:noProof/>
        </w:rPr>
        <w:t>(Xu &amp; Robinson 2010)</w:t>
      </w:r>
      <w:r w:rsidRPr="00E66CB0">
        <w:t xml:space="preserve">. Foliage is not affected </w:t>
      </w:r>
      <w:r w:rsidRPr="00E66CB0">
        <w:rPr>
          <w:noProof/>
        </w:rPr>
        <w:t>(Butler 1949)</w:t>
      </w:r>
      <w:r w:rsidRPr="00E66CB0">
        <w:t xml:space="preserve">. Typically, infection of fruit occurs at the </w:t>
      </w:r>
      <w:r w:rsidRPr="009771B7">
        <w:t xml:space="preserve">blossom end </w:t>
      </w:r>
      <w:r w:rsidRPr="009771B7">
        <w:rPr>
          <w:noProof/>
        </w:rPr>
        <w:t>(Weber &amp; Dralle 2013)</w:t>
      </w:r>
      <w:r w:rsidRPr="009771B7">
        <w:t xml:space="preserve">, through either an open calyx, lenticels, scab lesions or wounds caused by insects </w:t>
      </w:r>
      <w:r w:rsidRPr="009771B7">
        <w:rPr>
          <w:noProof/>
          <w:lang w:eastAsia="en-AU"/>
        </w:rPr>
        <w:t>(McCartney 1967; PNW Handbooks 2019a; Swinburne 1964, 1975)</w:t>
      </w:r>
      <w:r w:rsidRPr="009771B7">
        <w:t xml:space="preserve">. The rot can sometimes develop at the stem-end </w:t>
      </w:r>
      <w:r w:rsidRPr="009771B7">
        <w:rPr>
          <w:noProof/>
        </w:rPr>
        <w:t>(Bondoux &amp; Bulit 1959; Swinburne 1964)</w:t>
      </w:r>
      <w:r w:rsidRPr="009771B7">
        <w:t xml:space="preserve">, or occasionally on the surface of the fruit when the skin is damaged </w:t>
      </w:r>
      <w:r w:rsidRPr="009771B7">
        <w:rPr>
          <w:noProof/>
        </w:rPr>
        <w:t>(Bondoux &amp; Bulit 1959)</w:t>
      </w:r>
      <w:r w:rsidRPr="009771B7">
        <w:t xml:space="preserve">. Infection usually remains asymptomatic and generally develops into a rot during storage </w:t>
      </w:r>
      <w:r w:rsidRPr="009771B7">
        <w:rPr>
          <w:noProof/>
        </w:rPr>
        <w:t>(Bondoux &amp; Bulit 1959; Wenneker &amp; Thomma 2020)</w:t>
      </w:r>
      <w:r w:rsidRPr="009771B7">
        <w:t xml:space="preserve">. </w:t>
      </w:r>
      <w:bookmarkStart w:id="410" w:name="_Hlk42530607"/>
      <w:r w:rsidRPr="009771B7">
        <w:t xml:space="preserve">Inoculation studies showed that pre-harvest symptoms (eye-rot) may appear on fruit inoculated within four weeks after full bloom </w:t>
      </w:r>
      <w:r w:rsidRPr="009771B7">
        <w:rPr>
          <w:noProof/>
        </w:rPr>
        <w:t>(Xu &amp; Robinson 2010)</w:t>
      </w:r>
      <w:r w:rsidRPr="009771B7">
        <w:t xml:space="preserve">. </w:t>
      </w:r>
      <w:bookmarkEnd w:id="410"/>
      <w:r w:rsidRPr="009771B7">
        <w:t>Apple varieties vary greatly in their susceptibility to the disease, but no variety is immune</w:t>
      </w:r>
      <w:r>
        <w:t xml:space="preserve"> </w:t>
      </w:r>
      <w:r>
        <w:rPr>
          <w:noProof/>
        </w:rPr>
        <w:t>(Gómez-Cortecero et al. 2016; McKay 1947; PNW Handbooks 2019a; Walter et al. 2016)</w:t>
      </w:r>
      <w:r w:rsidRPr="009771B7">
        <w:t xml:space="preserve">. </w:t>
      </w:r>
    </w:p>
    <w:p w14:paraId="0169F052" w14:textId="77777777" w:rsidR="003438A2" w:rsidRDefault="003438A2" w:rsidP="00862DBA">
      <w:r w:rsidRPr="009771B7">
        <w:rPr>
          <w:i/>
        </w:rPr>
        <w:t>Neonectria ditissima</w:t>
      </w:r>
      <w:r w:rsidRPr="009771B7">
        <w:t xml:space="preserve"> produces two types of spores: conidia</w:t>
      </w:r>
      <w:r>
        <w:t xml:space="preserve"> (asexual) and ascospores (sexual). Conidia</w:t>
      </w:r>
      <w:r w:rsidRPr="009771B7">
        <w:t xml:space="preserve"> are produced in spring and summer </w:t>
      </w:r>
      <w:r>
        <w:t>from</w:t>
      </w:r>
      <w:r w:rsidRPr="009771B7">
        <w:t xml:space="preserve"> stroma (sporodochi</w:t>
      </w:r>
      <w:r>
        <w:t>um</w:t>
      </w:r>
      <w:r w:rsidRPr="009771B7">
        <w:t>) containing masses of hyphae</w:t>
      </w:r>
      <w:r>
        <w:t>. A</w:t>
      </w:r>
      <w:r w:rsidRPr="009771B7">
        <w:t xml:space="preserve">scospores are produced by the sexual morph of the fungus in autumn and winter. </w:t>
      </w:r>
      <w:r w:rsidRPr="009771B7">
        <w:rPr>
          <w:lang w:eastAsia="en-AU"/>
        </w:rPr>
        <w:t xml:space="preserve">Sexual bodies (perithecia) producing ascospores are round and red, and discharge spores during the second and subsequent winters and springs post-infection </w:t>
      </w:r>
      <w:r w:rsidRPr="009771B7">
        <w:rPr>
          <w:noProof/>
          <w:lang w:eastAsia="en-AU"/>
        </w:rPr>
        <w:t>(PNW Handbooks 2019a)</w:t>
      </w:r>
      <w:r w:rsidRPr="009771B7">
        <w:rPr>
          <w:lang w:eastAsia="en-AU"/>
        </w:rPr>
        <w:t xml:space="preserve">. </w:t>
      </w:r>
      <w:r w:rsidRPr="009771B7">
        <w:t xml:space="preserve">Conidia are dispersed by rain splash </w:t>
      </w:r>
      <w:r w:rsidRPr="009771B7">
        <w:rPr>
          <w:noProof/>
          <w:lang w:eastAsia="en-AU"/>
        </w:rPr>
        <w:t>(Amponsah et al. 2017; PNW Handbooks 2019a)</w:t>
      </w:r>
      <w:r w:rsidRPr="009771B7">
        <w:t xml:space="preserve">, and ascospores are dispersed by wind </w:t>
      </w:r>
      <w:r w:rsidRPr="009771B7">
        <w:rPr>
          <w:noProof/>
        </w:rPr>
        <w:t>(Swinburne 1975)</w:t>
      </w:r>
      <w:r w:rsidRPr="009771B7">
        <w:t xml:space="preserve">. Both </w:t>
      </w:r>
      <w:r>
        <w:t xml:space="preserve">types of </w:t>
      </w:r>
      <w:r w:rsidRPr="009771B7">
        <w:t xml:space="preserve">spores are able to germinate </w:t>
      </w:r>
      <w:r w:rsidRPr="009771B7">
        <w:lastRenderedPageBreak/>
        <w:t xml:space="preserve">over a temperature range of 6° to 32°C, with reduced germination occurring below 6°C and optimum germination occurring between 20° to 25°C </w:t>
      </w:r>
      <w:bookmarkStart w:id="411" w:name="_Hlk42527180"/>
      <w:r w:rsidRPr="009771B7">
        <w:rPr>
          <w:noProof/>
        </w:rPr>
        <w:t>(Latorre et al. 2002)</w:t>
      </w:r>
      <w:r w:rsidRPr="009771B7">
        <w:t xml:space="preserve">. </w:t>
      </w:r>
      <w:bookmarkEnd w:id="411"/>
    </w:p>
    <w:p w14:paraId="58352EFD" w14:textId="77777777" w:rsidR="003438A2" w:rsidRPr="00E66CB0" w:rsidRDefault="003438A2" w:rsidP="00862DBA">
      <w:r w:rsidRPr="004E3F11">
        <w:rPr>
          <w:noProof/>
        </w:rPr>
        <w:t xml:space="preserve">The risk scenario of biosecurity concern for </w:t>
      </w:r>
      <w:r w:rsidRPr="009F5351">
        <w:rPr>
          <w:i/>
        </w:rPr>
        <w:t>Neonectria ditissima</w:t>
      </w:r>
      <w:r w:rsidRPr="0070691A">
        <w:t xml:space="preserve"> </w:t>
      </w:r>
      <w:r w:rsidRPr="004E3F11">
        <w:rPr>
          <w:noProof/>
        </w:rPr>
        <w:t xml:space="preserve">is that </w:t>
      </w:r>
      <w:r w:rsidRPr="00E66CB0">
        <w:rPr>
          <w:noProof/>
        </w:rPr>
        <w:t>asymptomatic infected apple fruit may be imported.</w:t>
      </w:r>
    </w:p>
    <w:p w14:paraId="0B587868" w14:textId="77777777" w:rsidR="003438A2" w:rsidRPr="00D407CD" w:rsidRDefault="003438A2" w:rsidP="00862DBA">
      <w:r w:rsidRPr="009F5351">
        <w:rPr>
          <w:i/>
        </w:rPr>
        <w:t>Neonectria ditissima</w:t>
      </w:r>
      <w:r>
        <w:t xml:space="preserve"> was most recently assessed </w:t>
      </w:r>
      <w:r w:rsidRPr="00C4393C">
        <w:t xml:space="preserve">in the </w:t>
      </w:r>
      <w:r>
        <w:t xml:space="preserve">existing import policy for fresh apple fruit </w:t>
      </w:r>
      <w:r w:rsidRPr="00C4393C">
        <w:t xml:space="preserve">from </w:t>
      </w:r>
      <w:r w:rsidRPr="00D407CD">
        <w:t xml:space="preserve">New Zealand </w:t>
      </w:r>
      <w:r w:rsidRPr="00D407CD">
        <w:rPr>
          <w:noProof/>
        </w:rPr>
        <w:t>(Biosecurity Australia 2011b)</w:t>
      </w:r>
      <w:r w:rsidRPr="00D407CD">
        <w:t xml:space="preserve">. In that policy, the unrestricted risk estimate for </w:t>
      </w:r>
      <w:r w:rsidRPr="00D407CD">
        <w:rPr>
          <w:i/>
        </w:rPr>
        <w:t>N. ditissima</w:t>
      </w:r>
      <w:r w:rsidRPr="00D407CD">
        <w:t xml:space="preserve"> was assessed as Very Low, which achieved the ALOP for Australia, when certain industry commercial practices such as in-field controls and packing house sanitation were routinely applied. Similar in-field controls and packing house measures are applied on the PNW-USA apple pathway (see Section </w:t>
      </w:r>
      <w:r w:rsidRPr="00D407CD">
        <w:fldChar w:fldCharType="begin" w:fldLock="1"/>
      </w:r>
      <w:r w:rsidRPr="00D407CD">
        <w:instrText xml:space="preserve"> REF _Ref46060065 \n \h </w:instrText>
      </w:r>
      <w:r>
        <w:instrText xml:space="preserve"> \* MERGEFORMAT </w:instrText>
      </w:r>
      <w:r w:rsidRPr="00D407CD">
        <w:fldChar w:fldCharType="separate"/>
      </w:r>
      <w:r>
        <w:t>3.4.3</w:t>
      </w:r>
      <w:r w:rsidRPr="00D407CD">
        <w:fldChar w:fldCharType="end"/>
      </w:r>
      <w:r w:rsidRPr="00D407CD">
        <w:t>), and the assessment of likelihood of importation explicitly relies on their continued implementation.</w:t>
      </w:r>
    </w:p>
    <w:p w14:paraId="5C0FDA36" w14:textId="77777777" w:rsidR="003438A2" w:rsidRPr="00D407CD" w:rsidRDefault="003438A2" w:rsidP="00862DBA">
      <w:r w:rsidRPr="00D407CD">
        <w:t xml:space="preserve">The department has assessed the likelihood of importation of </w:t>
      </w:r>
      <w:r w:rsidRPr="00D407CD">
        <w:rPr>
          <w:i/>
        </w:rPr>
        <w:t>N.</w:t>
      </w:r>
      <w:r w:rsidRPr="00D407CD">
        <w:t xml:space="preserve"> </w:t>
      </w:r>
      <w:r w:rsidRPr="00D407CD">
        <w:rPr>
          <w:i/>
        </w:rPr>
        <w:t>ditissima</w:t>
      </w:r>
      <w:r w:rsidRPr="00D407CD">
        <w:t xml:space="preserve"> on fresh apple fruit from New Zealand as Very Low. Differences in pest prevalence, climate and transport times between New Zealand and the PNW-USA make it necessary to assess the likelihood of importation of </w:t>
      </w:r>
      <w:r w:rsidRPr="00D407CD">
        <w:rPr>
          <w:i/>
        </w:rPr>
        <w:t>N. ditissima</w:t>
      </w:r>
      <w:r w:rsidRPr="00D407CD">
        <w:t xml:space="preserve"> on the PNW-USA apple pathway.</w:t>
      </w:r>
    </w:p>
    <w:p w14:paraId="67333ECE" w14:textId="77777777" w:rsidR="003438A2" w:rsidRPr="00E66CB0" w:rsidRDefault="003438A2" w:rsidP="00862DBA">
      <w:bookmarkStart w:id="412" w:name="_Hlk37859395"/>
      <w:r w:rsidRPr="00D407CD">
        <w:t xml:space="preserve">The likelihood of distribution of </w:t>
      </w:r>
      <w:r w:rsidRPr="00D407CD">
        <w:rPr>
          <w:i/>
        </w:rPr>
        <w:t>N. ditissima</w:t>
      </w:r>
      <w:r w:rsidRPr="00D407CD">
        <w:t xml:space="preserve"> on fresh apple fruit from New Zealand was assessed as Very Low </w:t>
      </w:r>
      <w:r w:rsidRPr="00D407CD">
        <w:rPr>
          <w:noProof/>
        </w:rPr>
        <w:t>(Biosecurity Australia 2011b)</w:t>
      </w:r>
      <w:r w:rsidRPr="00D407CD">
        <w:t xml:space="preserve">. </w:t>
      </w:r>
      <w:bookmarkEnd w:id="412"/>
      <w:r w:rsidRPr="00D407CD">
        <w:t>Fresh apple fruit from the PNW-USA is expected to be distributed in Australia, as a result of processing, sale or disposal, in a similar way to apples from New Zealand. Apples in the PNW-USA</w:t>
      </w:r>
      <w:r w:rsidRPr="00E66CB0">
        <w:t xml:space="preserve"> are harvested from August until early November</w:t>
      </w:r>
      <w:r>
        <w:t xml:space="preserve"> </w:t>
      </w:r>
      <w:r>
        <w:rPr>
          <w:noProof/>
        </w:rPr>
        <w:t>(Washington Apple Commission 2019)</w:t>
      </w:r>
      <w:r w:rsidRPr="00E66CB0">
        <w:t xml:space="preserve"> and apples in New Zealand are harvested </w:t>
      </w:r>
      <w:r>
        <w:t>from</w:t>
      </w:r>
      <w:r w:rsidRPr="00E66CB0">
        <w:t xml:space="preserve"> February to </w:t>
      </w:r>
      <w:r>
        <w:t>May</w:t>
      </w:r>
      <w:r w:rsidRPr="00E66CB0">
        <w:t xml:space="preserve"> </w:t>
      </w:r>
      <w:r w:rsidRPr="00E922B3">
        <w:rPr>
          <w:noProof/>
        </w:rPr>
        <w:t>(AgFirst 2022)</w:t>
      </w:r>
      <w:r w:rsidRPr="00E66CB0">
        <w:t xml:space="preserve">. As apples from both New Zealand and the PNW-USA may be imported throughout the year, there would be no seasonal differences between </w:t>
      </w:r>
      <w:r>
        <w:t>the</w:t>
      </w:r>
      <w:r w:rsidRPr="00E66CB0">
        <w:t xml:space="preserve"> import pathways to contribute to variation in the risk rating for likelihood of distribution.</w:t>
      </w:r>
    </w:p>
    <w:p w14:paraId="33FD41F9" w14:textId="77777777" w:rsidR="003438A2" w:rsidRDefault="003438A2" w:rsidP="00862DBA">
      <w:r>
        <w:t xml:space="preserve">Hosts of </w:t>
      </w:r>
      <w:r w:rsidRPr="009F5351">
        <w:rPr>
          <w:i/>
        </w:rPr>
        <w:t>N</w:t>
      </w:r>
      <w:r>
        <w:rPr>
          <w:i/>
        </w:rPr>
        <w:t>. </w:t>
      </w:r>
      <w:r w:rsidRPr="009F5351">
        <w:rPr>
          <w:i/>
        </w:rPr>
        <w:t>ditissima</w:t>
      </w:r>
      <w:r w:rsidRPr="007C7B20">
        <w:rPr>
          <w:iCs/>
        </w:rPr>
        <w:t>,</w:t>
      </w:r>
      <w:r>
        <w:t xml:space="preserve"> including</w:t>
      </w:r>
      <w:r w:rsidRPr="007D456A">
        <w:rPr>
          <w:i/>
        </w:rPr>
        <w:t xml:space="preserve"> </w:t>
      </w:r>
      <w:r w:rsidRPr="003B0AE3">
        <w:rPr>
          <w:i/>
        </w:rPr>
        <w:t>Malus</w:t>
      </w:r>
      <w:r>
        <w:t xml:space="preserve"> spp. and </w:t>
      </w:r>
      <w:r w:rsidRPr="003B0AE3">
        <w:rPr>
          <w:i/>
        </w:rPr>
        <w:t>Pyrus</w:t>
      </w:r>
      <w:r>
        <w:t xml:space="preserve"> spp., are present across Australia. </w:t>
      </w:r>
      <w:r w:rsidRPr="005E6DE2">
        <w:rPr>
          <w:i/>
        </w:rPr>
        <w:t>Neonectria ditissima</w:t>
      </w:r>
      <w:r>
        <w:t xml:space="preserve"> infections of fruit can remain asymptomatic </w:t>
      </w:r>
      <w:r>
        <w:rPr>
          <w:noProof/>
        </w:rPr>
        <w:t>(PNW Handbooks 2019a; Wenneker &amp; Thomma 2020)</w:t>
      </w:r>
      <w:r w:rsidRPr="00F64DA3">
        <w:t xml:space="preserve">, and </w:t>
      </w:r>
      <w:r>
        <w:t>are</w:t>
      </w:r>
      <w:r w:rsidRPr="00F64DA3">
        <w:t xml:space="preserve"> able to survive long periods (</w:t>
      </w:r>
      <w:r>
        <w:t>three to seven</w:t>
      </w:r>
      <w:r w:rsidRPr="00F64DA3">
        <w:t xml:space="preserve"> months) of </w:t>
      </w:r>
      <w:r>
        <w:t xml:space="preserve">cold </w:t>
      </w:r>
      <w:r w:rsidRPr="00F64DA3">
        <w:t xml:space="preserve">storage </w:t>
      </w:r>
      <w:r>
        <w:rPr>
          <w:noProof/>
        </w:rPr>
        <w:t>(Snowdon 1990; Swinburne 1975)</w:t>
      </w:r>
      <w:r>
        <w:t xml:space="preserve"> </w:t>
      </w:r>
      <w:r w:rsidRPr="00F64DA3">
        <w:t xml:space="preserve">and transport. </w:t>
      </w:r>
      <w:r w:rsidRPr="00E66CB0">
        <w:t xml:space="preserve">Disposal of damaged fruit and fruit waste (e.g. apple cores) would largely occur through managed waste systems. Potential exposure to suitable host plants from waste discarded into managed waste systems is likely to be negligible. </w:t>
      </w:r>
      <w:r w:rsidRPr="00E66CB0">
        <w:rPr>
          <w:rFonts w:cs="Arial"/>
        </w:rPr>
        <w:t>A small proportion of fruit waste may be discarded</w:t>
      </w:r>
      <w:r>
        <w:rPr>
          <w:rFonts w:cs="Arial"/>
        </w:rPr>
        <w:t xml:space="preserve"> as </w:t>
      </w:r>
      <w:r>
        <w:t>litter throughout Australia in urban, peri-urban and agricultural situations, as well as areas of natural vegetation</w:t>
      </w:r>
      <w:r w:rsidRPr="00E66CB0">
        <w:rPr>
          <w:rFonts w:cs="Arial"/>
        </w:rPr>
        <w:t xml:space="preserve"> within a reasonable distance of a suitable host. However, </w:t>
      </w:r>
      <w:r w:rsidRPr="00E66CB0">
        <w:t xml:space="preserve">successful distribution of </w:t>
      </w:r>
      <w:r w:rsidRPr="00E66CB0">
        <w:rPr>
          <w:i/>
          <w:iCs/>
        </w:rPr>
        <w:t>N. ditissima</w:t>
      </w:r>
      <w:r w:rsidRPr="00E66CB0">
        <w:t>, if present, from fruit waste to a susceptible part of a host is not likely to occur as apple waste would quickly decay, minimising the likelihood of conidia development</w:t>
      </w:r>
      <w:r>
        <w:t>;</w:t>
      </w:r>
      <w:r w:rsidRPr="00E66CB0">
        <w:t xml:space="preserve"> there are no known specific vectors or mechanisms to transmit the pathogen from apple waste to a host. </w:t>
      </w:r>
      <w:r w:rsidRPr="003E70C6">
        <w:t xml:space="preserve">Therefore, the </w:t>
      </w:r>
      <w:r>
        <w:t>same rating of Very Low for the l</w:t>
      </w:r>
      <w:r w:rsidRPr="003E70C6">
        <w:t xml:space="preserve">ikelihood of distribution of </w:t>
      </w:r>
      <w:r w:rsidRPr="003E70C6">
        <w:rPr>
          <w:i/>
        </w:rPr>
        <w:t>N. ditissima</w:t>
      </w:r>
      <w:r w:rsidRPr="003E70C6">
        <w:t xml:space="preserve"> </w:t>
      </w:r>
      <w:r>
        <w:t xml:space="preserve">on the fresh </w:t>
      </w:r>
      <w:r w:rsidRPr="003E70C6">
        <w:t>apple</w:t>
      </w:r>
      <w:r>
        <w:t xml:space="preserve"> fruit from New Zealand pathway is adopted for the PNW-USA apple pathway. </w:t>
      </w:r>
    </w:p>
    <w:p w14:paraId="15D8BED5" w14:textId="77777777" w:rsidR="003438A2" w:rsidRDefault="003438A2" w:rsidP="00862DBA">
      <w:r>
        <w:t xml:space="preserve">The likelihoods of establishment and spread of </w:t>
      </w:r>
      <w:r w:rsidRPr="009F5351">
        <w:rPr>
          <w:i/>
        </w:rPr>
        <w:t>N</w:t>
      </w:r>
      <w:r>
        <w:rPr>
          <w:i/>
        </w:rPr>
        <w:t>. </w:t>
      </w:r>
      <w:r w:rsidRPr="009F5351">
        <w:rPr>
          <w:i/>
        </w:rPr>
        <w:t>ditissima</w:t>
      </w:r>
      <w:r>
        <w:t xml:space="preserve"> in Australia from apples on the PNW-USA pathway have also been </w:t>
      </w:r>
      <w:r w:rsidRPr="00D407CD">
        <w:t xml:space="preserve">assessed as similar to the previous respective assessments of Moderate for apple fruit from New Zealand </w:t>
      </w:r>
      <w:r w:rsidRPr="00D407CD">
        <w:rPr>
          <w:noProof/>
        </w:rPr>
        <w:t>(Biosecurity Australia 2011b)</w:t>
      </w:r>
      <w:r w:rsidRPr="00D407CD">
        <w:t>. These likelihoods relate specifically to events that occur in Australia and are principally independent of the import pathway. The consequences of entry, establishment</w:t>
      </w:r>
      <w:r w:rsidRPr="00AE2B0D">
        <w:t xml:space="preserve"> and spread for </w:t>
      </w:r>
      <w:r w:rsidRPr="00AE2B0D">
        <w:rPr>
          <w:i/>
        </w:rPr>
        <w:t>N. ditissima</w:t>
      </w:r>
      <w:r w:rsidRPr="00AE2B0D">
        <w:t xml:space="preserve"> are also independent of the import pathway </w:t>
      </w:r>
      <w:r>
        <w:t xml:space="preserve">and </w:t>
      </w:r>
      <w:r w:rsidRPr="00AE2B0D">
        <w:t xml:space="preserve">have been assessed as </w:t>
      </w:r>
      <w:r>
        <w:t xml:space="preserve">similar </w:t>
      </w:r>
      <w:r w:rsidRPr="00E6647A">
        <w:t xml:space="preserve">between pest risk </w:t>
      </w:r>
      <w:r w:rsidRPr="00E6647A">
        <w:lastRenderedPageBreak/>
        <w:t>assessments</w:t>
      </w:r>
      <w:r>
        <w:t xml:space="preserve"> as </w:t>
      </w:r>
      <w:r w:rsidRPr="00AE2B0D">
        <w:t>Low</w:t>
      </w:r>
      <w:r>
        <w:t xml:space="preserve">. Therefore, the existing ratings for likelihoods of </w:t>
      </w:r>
      <w:r w:rsidRPr="00E6647A">
        <w:t xml:space="preserve">establishment and spread </w:t>
      </w:r>
      <w:r>
        <w:t xml:space="preserve">of Moderate and the rating for the overall consequences of Low for </w:t>
      </w:r>
      <w:r w:rsidRPr="00AE2B0D">
        <w:rPr>
          <w:i/>
        </w:rPr>
        <w:t>N. ditissima</w:t>
      </w:r>
      <w:r w:rsidRPr="00AE2B0D">
        <w:t xml:space="preserve"> </w:t>
      </w:r>
      <w:r>
        <w:t>have been adopted for the PNW-USA apple pathway.</w:t>
      </w:r>
    </w:p>
    <w:p w14:paraId="371DAEE5" w14:textId="77777777" w:rsidR="003438A2" w:rsidRPr="00E66CB0" w:rsidRDefault="003438A2" w:rsidP="00862DBA">
      <w:r>
        <w:t>The department has also reviewed the latest literature</w:t>
      </w:r>
      <w:r w:rsidRPr="0034644A">
        <w:t>—</w:t>
      </w:r>
      <w:bookmarkStart w:id="413" w:name="_Hlk42604940"/>
      <w:r>
        <w:t>for example,</w:t>
      </w:r>
      <w:r w:rsidRPr="00E66CB0">
        <w:rPr>
          <w:noProof/>
        </w:rPr>
        <w:t xml:space="preserve"> </w:t>
      </w:r>
      <w:hyperlink w:anchor="_ENREF_28" w:tooltip="Amponsah, 2017 #39150" w:history="1">
        <w:r w:rsidRPr="00E66CB0">
          <w:rPr>
            <w:noProof/>
            <w:lang w:eastAsia="en-AU"/>
          </w:rPr>
          <w:t>Amponsah et al (2017</w:t>
        </w:r>
      </w:hyperlink>
      <w:r w:rsidRPr="00E66CB0">
        <w:rPr>
          <w:noProof/>
          <w:lang w:eastAsia="en-AU"/>
        </w:rPr>
        <w:t xml:space="preserve">), </w:t>
      </w:r>
      <w:r>
        <w:rPr>
          <w:rFonts w:eastAsia="Calibri"/>
          <w:noProof/>
        </w:rPr>
        <w:t>Amponsah et al. (2015); Farr and Rossman (2019); Kim and Beresford (2012); PNW Handbooks (2019a); Walter et al. (2016) and Wenneker et al. (2017)</w:t>
      </w:r>
      <w:r>
        <w:t>. N</w:t>
      </w:r>
      <w:r w:rsidRPr="00E66CB0">
        <w:t xml:space="preserve">o new information has been identified that would significantly change the risk ratings for distribution, establishment, spread and consequences as set out for </w:t>
      </w:r>
      <w:r w:rsidRPr="00E66CB0">
        <w:rPr>
          <w:i/>
        </w:rPr>
        <w:t>N. ditissima</w:t>
      </w:r>
      <w:r w:rsidRPr="00E66CB0">
        <w:t xml:space="preserve"> in the existing policy.</w:t>
      </w:r>
    </w:p>
    <w:bookmarkEnd w:id="413"/>
    <w:p w14:paraId="08CB65E8" w14:textId="77777777" w:rsidR="003438A2" w:rsidRPr="00E66CB0" w:rsidRDefault="003438A2" w:rsidP="003438A2">
      <w:pPr>
        <w:pStyle w:val="Heading4"/>
        <w:numPr>
          <w:ilvl w:val="2"/>
          <w:numId w:val="31"/>
        </w:numPr>
        <w:tabs>
          <w:tab w:val="clear" w:pos="1645"/>
          <w:tab w:val="num" w:pos="794"/>
        </w:tabs>
        <w:ind w:left="1786"/>
      </w:pPr>
      <w:r w:rsidRPr="00E66CB0">
        <w:t>Likelihood of entry</w:t>
      </w:r>
    </w:p>
    <w:p w14:paraId="7E11192B" w14:textId="77777777" w:rsidR="003438A2" w:rsidRPr="00E66CB0" w:rsidRDefault="003438A2" w:rsidP="00862DBA">
      <w:r w:rsidRPr="00E66CB0">
        <w:t>The likelihood of entry is considered in 2 parts, the likelihood of importation and the likelihood of distribution, which consider pre-border and post-border issues, respectively.</w:t>
      </w:r>
    </w:p>
    <w:p w14:paraId="70FF870C" w14:textId="77777777" w:rsidR="003438A2" w:rsidRDefault="003438A2" w:rsidP="00862DBA">
      <w:pPr>
        <w:pStyle w:val="Heading5"/>
      </w:pPr>
      <w:r w:rsidRPr="00A47E67">
        <w:t xml:space="preserve">Likelihood of importation </w:t>
      </w:r>
    </w:p>
    <w:p w14:paraId="15ECBE17" w14:textId="77777777" w:rsidR="003438A2" w:rsidRPr="0070691A" w:rsidRDefault="003438A2" w:rsidP="00862DBA">
      <w:r w:rsidRPr="0070691A">
        <w:t xml:space="preserve">The likelihood that </w:t>
      </w:r>
      <w:r w:rsidRPr="009F5351">
        <w:rPr>
          <w:i/>
        </w:rPr>
        <w:t>N</w:t>
      </w:r>
      <w:r>
        <w:rPr>
          <w:i/>
        </w:rPr>
        <w:t>. </w:t>
      </w:r>
      <w:r w:rsidRPr="009F5351">
        <w:rPr>
          <w:i/>
        </w:rPr>
        <w:t>ditissima</w:t>
      </w:r>
      <w:r w:rsidRPr="0070691A">
        <w:t xml:space="preserve"> will arrive in Australia with the importation of </w:t>
      </w:r>
      <w:r>
        <w:t xml:space="preserve">apples from the PNW-USA </w:t>
      </w:r>
      <w:r w:rsidRPr="0070691A">
        <w:t>is</w:t>
      </w:r>
      <w:r>
        <w:t xml:space="preserve"> assessed as Very Low.</w:t>
      </w:r>
    </w:p>
    <w:p w14:paraId="36452D08" w14:textId="77777777" w:rsidR="003438A2" w:rsidRDefault="003438A2" w:rsidP="00862DBA">
      <w:r>
        <w:t>The following information provides supporting evidence for this assessment.</w:t>
      </w:r>
    </w:p>
    <w:p w14:paraId="16DD59FC" w14:textId="77777777" w:rsidR="003438A2" w:rsidRDefault="003438A2" w:rsidP="00862DBA">
      <w:r w:rsidRPr="000F1394">
        <w:rPr>
          <w:i/>
        </w:rPr>
        <w:t>Neonectria ditissima</w:t>
      </w:r>
      <w:r w:rsidRPr="000F1394">
        <w:rPr>
          <w:rFonts w:eastAsia="Calibri"/>
        </w:rPr>
        <w:t xml:space="preserve"> </w:t>
      </w:r>
      <w:r>
        <w:rPr>
          <w:rFonts w:eastAsia="Calibri"/>
        </w:rPr>
        <w:t xml:space="preserve">is uncommon in </w:t>
      </w:r>
      <w:r w:rsidRPr="000F1394">
        <w:t>apple production areas in the PNW-USA.</w:t>
      </w:r>
    </w:p>
    <w:p w14:paraId="44D1D65D" w14:textId="77777777" w:rsidR="003438A2" w:rsidRPr="000916B3" w:rsidRDefault="003438A2" w:rsidP="003438A2">
      <w:pPr>
        <w:pStyle w:val="ListBullet"/>
        <w:numPr>
          <w:ilvl w:val="0"/>
          <w:numId w:val="15"/>
        </w:numPr>
      </w:pPr>
      <w:r w:rsidRPr="000916B3">
        <w:rPr>
          <w:i/>
          <w:iCs/>
        </w:rPr>
        <w:t>Neonectria ditissima</w:t>
      </w:r>
      <w:r w:rsidRPr="000916B3">
        <w:t xml:space="preserve"> is present in the PNW-USA (APHIS 2007; Farr &amp; Rossman 2019; Grove 1990b; PNW Handbooks 2019a).</w:t>
      </w:r>
    </w:p>
    <w:p w14:paraId="41198201" w14:textId="77777777" w:rsidR="003438A2" w:rsidRPr="00E66CB0" w:rsidRDefault="003438A2" w:rsidP="003438A2">
      <w:pPr>
        <w:pStyle w:val="ListBullet"/>
        <w:numPr>
          <w:ilvl w:val="0"/>
          <w:numId w:val="15"/>
        </w:numPr>
        <w:rPr>
          <w:i/>
        </w:rPr>
      </w:pPr>
      <w:r w:rsidRPr="005222CF">
        <w:t xml:space="preserve">The disease is found primarily in </w:t>
      </w:r>
      <w:r>
        <w:t xml:space="preserve">coastal </w:t>
      </w:r>
      <w:r w:rsidRPr="005222CF">
        <w:t xml:space="preserve">high rainfall areas </w:t>
      </w:r>
      <w:r>
        <w:t>of western Oregon (</w:t>
      </w:r>
      <w:r w:rsidRPr="005222CF">
        <w:t>Willamette Valley</w:t>
      </w:r>
      <w:r>
        <w:t>) and western Washington,</w:t>
      </w:r>
      <w:r w:rsidRPr="005222CF">
        <w:t xml:space="preserve"> and rarely in southern, central or eastern </w:t>
      </w:r>
      <w:r>
        <w:t xml:space="preserve">parts of Oregon </w:t>
      </w:r>
      <w:r w:rsidRPr="00E66CB0">
        <w:t>and not reported in eastern Washington</w:t>
      </w:r>
      <w:r>
        <w:t xml:space="preserve"> (</w:t>
      </w:r>
      <w:hyperlink w:anchor="_ENREF_171" w:tooltip="Pscheidt, 2021 #44538" w:history="1">
        <w:r w:rsidRPr="00320EF5">
          <w:rPr>
            <w:noProof/>
          </w:rPr>
          <w:t>Pscheidt &amp; Ocamb 2021a</w:t>
        </w:r>
      </w:hyperlink>
      <w:r>
        <w:rPr>
          <w:noProof/>
        </w:rPr>
        <w:t>).</w:t>
      </w:r>
      <w:r>
        <w:t xml:space="preserve"> </w:t>
      </w:r>
    </w:p>
    <w:p w14:paraId="0A9D4080" w14:textId="77777777" w:rsidR="003438A2" w:rsidRPr="00E66CB0" w:rsidRDefault="003438A2" w:rsidP="003438A2">
      <w:pPr>
        <w:pStyle w:val="ListBullet"/>
        <w:numPr>
          <w:ilvl w:val="0"/>
          <w:numId w:val="15"/>
        </w:numPr>
      </w:pPr>
      <w:r w:rsidRPr="00E66CB0">
        <w:rPr>
          <w:i/>
        </w:rPr>
        <w:t>Neonectria ditissima</w:t>
      </w:r>
      <w:r w:rsidRPr="00E66CB0">
        <w:t xml:space="preserve"> has not been reported in apple orchards in eastern Washington </w:t>
      </w:r>
      <w:r>
        <w:t>(</w:t>
      </w:r>
      <w:hyperlink w:anchor="_ENREF_171" w:tooltip="Pscheidt, 2021 #44538" w:history="1">
        <w:r w:rsidRPr="00320EF5">
          <w:rPr>
            <w:noProof/>
          </w:rPr>
          <w:t>Pscheidt &amp; Ocamb 2021a</w:t>
        </w:r>
      </w:hyperlink>
      <w:r>
        <w:rPr>
          <w:noProof/>
        </w:rPr>
        <w:t xml:space="preserve">), </w:t>
      </w:r>
      <w:r w:rsidRPr="00E66CB0">
        <w:t>which produce over 95% of the apples within the PNW-USA</w:t>
      </w:r>
      <w:r>
        <w:t xml:space="preserve"> </w:t>
      </w:r>
      <w:r>
        <w:rPr>
          <w:noProof/>
        </w:rPr>
        <w:t>(Grove 1990b; Kim &amp; Beresford 2012; Shaw 1973)</w:t>
      </w:r>
      <w:r w:rsidRPr="00E66CB0">
        <w:t>.</w:t>
      </w:r>
    </w:p>
    <w:p w14:paraId="4DC023B3" w14:textId="77777777" w:rsidR="003438A2" w:rsidRPr="00E66CB0" w:rsidRDefault="003438A2" w:rsidP="003438A2">
      <w:pPr>
        <w:pStyle w:val="ListBullet"/>
        <w:numPr>
          <w:ilvl w:val="0"/>
          <w:numId w:val="15"/>
        </w:numPr>
      </w:pPr>
      <w:r w:rsidRPr="00E66CB0">
        <w:rPr>
          <w:i/>
        </w:rPr>
        <w:t xml:space="preserve">Neonectria ditissima </w:t>
      </w:r>
      <w:r w:rsidRPr="00E66CB0">
        <w:rPr>
          <w:iCs/>
        </w:rPr>
        <w:t>has not been reported from the state of Idaho</w:t>
      </w:r>
      <w:r>
        <w:rPr>
          <w:iCs/>
        </w:rPr>
        <w:t xml:space="preserve"> </w:t>
      </w:r>
      <w:r>
        <w:rPr>
          <w:noProof/>
        </w:rPr>
        <w:t>(CABI 2022; Pscheidt &amp; Ocamb 2021a)</w:t>
      </w:r>
      <w:r>
        <w:t>.</w:t>
      </w:r>
    </w:p>
    <w:p w14:paraId="5F266284" w14:textId="77777777" w:rsidR="003438A2" w:rsidRPr="00E66CB0" w:rsidRDefault="003438A2" w:rsidP="00862DBA">
      <w:r w:rsidRPr="00E66CB0">
        <w:rPr>
          <w:i/>
        </w:rPr>
        <w:t>Neonectria ditissima</w:t>
      </w:r>
      <w:r w:rsidRPr="00E66CB0">
        <w:rPr>
          <w:rFonts w:eastAsia="Calibri"/>
        </w:rPr>
        <w:t xml:space="preserve"> </w:t>
      </w:r>
      <w:r w:rsidRPr="00E66CB0">
        <w:t>is unlikely to be associated with apple fruit in the PNW-USA because climatic conditions have low suitability for fruit infection.</w:t>
      </w:r>
    </w:p>
    <w:p w14:paraId="5E9E4FA6" w14:textId="77777777" w:rsidR="003438A2" w:rsidRDefault="003438A2" w:rsidP="003438A2">
      <w:pPr>
        <w:pStyle w:val="ListBullet"/>
        <w:numPr>
          <w:ilvl w:val="0"/>
          <w:numId w:val="15"/>
        </w:numPr>
      </w:pPr>
      <w:r w:rsidRPr="00E66CB0">
        <w:t xml:space="preserve">Climatic modelling </w:t>
      </w:r>
      <w:r>
        <w:t xml:space="preserve">has </w:t>
      </w:r>
      <w:r w:rsidRPr="00E66CB0">
        <w:t xml:space="preserve">predicted the major production areas of the PNW-USA have low suitability for fruit infection </w:t>
      </w:r>
      <w:r w:rsidRPr="00E66CB0">
        <w:rPr>
          <w:noProof/>
        </w:rPr>
        <w:t>(Beresford &amp; Kim 2011)</w:t>
      </w:r>
      <w:r w:rsidRPr="00E66CB0">
        <w:t xml:space="preserve"> due to the absence of prolonged periods of wetness in summer months. </w:t>
      </w:r>
    </w:p>
    <w:p w14:paraId="7A626A25" w14:textId="77777777" w:rsidR="003438A2" w:rsidRPr="00E66CB0" w:rsidRDefault="00000000" w:rsidP="003438A2">
      <w:pPr>
        <w:pStyle w:val="ListBullet"/>
        <w:numPr>
          <w:ilvl w:val="0"/>
          <w:numId w:val="15"/>
        </w:numPr>
      </w:pPr>
      <w:hyperlink w:anchor="_ENREF_28" w:tooltip="Amponsah, 2017 #39150" w:history="1">
        <w:r w:rsidR="003438A2" w:rsidRPr="00E66CB0">
          <w:rPr>
            <w:noProof/>
            <w:lang w:eastAsia="en-AU"/>
          </w:rPr>
          <w:t>Amponsah et al (2017</w:t>
        </w:r>
      </w:hyperlink>
      <w:r w:rsidR="003438A2" w:rsidRPr="00E66CB0">
        <w:rPr>
          <w:noProof/>
          <w:lang w:eastAsia="en-AU"/>
        </w:rPr>
        <w:t xml:space="preserve">) confirmed through spore trapping studies in New Zealand that conidia and ascospores </w:t>
      </w:r>
      <w:r w:rsidR="003438A2">
        <w:rPr>
          <w:noProof/>
          <w:lang w:eastAsia="en-AU"/>
        </w:rPr>
        <w:t>could</w:t>
      </w:r>
      <w:r w:rsidR="003438A2" w:rsidRPr="00E66CB0">
        <w:rPr>
          <w:noProof/>
          <w:lang w:eastAsia="en-AU"/>
        </w:rPr>
        <w:t xml:space="preserve"> be </w:t>
      </w:r>
      <w:r w:rsidR="003438A2">
        <w:rPr>
          <w:noProof/>
          <w:lang w:eastAsia="en-AU"/>
        </w:rPr>
        <w:t>disseminated at</w:t>
      </w:r>
      <w:r w:rsidR="003438A2" w:rsidRPr="00E66CB0">
        <w:rPr>
          <w:noProof/>
          <w:lang w:eastAsia="en-AU"/>
        </w:rPr>
        <w:t xml:space="preserve"> any time of year when rainfall occurred.</w:t>
      </w:r>
    </w:p>
    <w:p w14:paraId="2C8EFB4A" w14:textId="77777777" w:rsidR="003438A2" w:rsidRPr="00E66CB0" w:rsidRDefault="003438A2" w:rsidP="003438A2">
      <w:pPr>
        <w:pStyle w:val="ListBullet"/>
        <w:numPr>
          <w:ilvl w:val="0"/>
          <w:numId w:val="15"/>
        </w:numPr>
      </w:pPr>
      <w:r w:rsidRPr="00E66CB0">
        <w:t xml:space="preserve">For fruit to become infected with </w:t>
      </w:r>
      <w:r w:rsidRPr="00E66CB0">
        <w:rPr>
          <w:i/>
        </w:rPr>
        <w:t>N. ditissima</w:t>
      </w:r>
      <w:r w:rsidRPr="00E66CB0">
        <w:t xml:space="preserve">, </w:t>
      </w:r>
      <w:bookmarkStart w:id="414" w:name="_Hlk110190832"/>
      <w:r w:rsidRPr="00E66CB0">
        <w:t>prolonged periods of wetness in summer months are required to enable the production, dissemination and germination of spores</w:t>
      </w:r>
      <w:bookmarkEnd w:id="414"/>
      <w:r w:rsidRPr="00E66CB0">
        <w:t xml:space="preserve">. All three events need to occur for fruit to become infected </w:t>
      </w:r>
      <w:r w:rsidRPr="00E66CB0">
        <w:rPr>
          <w:noProof/>
        </w:rPr>
        <w:t>(Swinburne et al. 1975)</w:t>
      </w:r>
      <w:r w:rsidRPr="00E66CB0">
        <w:t xml:space="preserve">. </w:t>
      </w:r>
    </w:p>
    <w:p w14:paraId="044B0474" w14:textId="77777777" w:rsidR="003438A2" w:rsidRPr="00E66CB0" w:rsidRDefault="003438A2" w:rsidP="003438A2">
      <w:pPr>
        <w:pStyle w:val="ListBullet"/>
        <w:numPr>
          <w:ilvl w:val="0"/>
          <w:numId w:val="15"/>
        </w:numPr>
      </w:pPr>
      <w:r w:rsidRPr="00E66CB0">
        <w:t xml:space="preserve">Germination of </w:t>
      </w:r>
      <w:r w:rsidRPr="00E66CB0">
        <w:rPr>
          <w:i/>
          <w:iCs/>
          <w:lang w:eastAsia="en-AU"/>
        </w:rPr>
        <w:t>N.</w:t>
      </w:r>
      <w:r w:rsidRPr="00E66CB0">
        <w:rPr>
          <w:i/>
        </w:rPr>
        <w:t> ditissima</w:t>
      </w:r>
      <w:r w:rsidRPr="00E66CB0">
        <w:t xml:space="preserve"> conidia is dependent on availability of moisture and temperature, however, regardless of moisture, conidial germination </w:t>
      </w:r>
      <w:r>
        <w:t>is</w:t>
      </w:r>
      <w:r w:rsidRPr="00E66CB0">
        <w:t xml:space="preserve"> reduced below 6</w:t>
      </w:r>
      <w:r w:rsidRPr="00E66CB0">
        <w:rPr>
          <w:vertAlign w:val="superscript"/>
        </w:rPr>
        <w:t>°</w:t>
      </w:r>
      <w:r w:rsidRPr="00E66CB0">
        <w:t xml:space="preserve">C and infection </w:t>
      </w:r>
      <w:r>
        <w:t>does not</w:t>
      </w:r>
      <w:r w:rsidRPr="00E66CB0">
        <w:t xml:space="preserve"> occur below </w:t>
      </w:r>
      <w:r>
        <w:t>5</w:t>
      </w:r>
      <w:r w:rsidRPr="00E66CB0">
        <w:t>°C (</w:t>
      </w:r>
      <w:hyperlink w:anchor="_ENREF_473" w:tooltip="Latorre, 2002 #780" w:history="1">
        <w:r w:rsidRPr="00E66CB0">
          <w:rPr>
            <w:noProof/>
          </w:rPr>
          <w:t>Latorre et al. 2002</w:t>
        </w:r>
      </w:hyperlink>
      <w:r w:rsidRPr="00E66CB0">
        <w:rPr>
          <w:noProof/>
        </w:rPr>
        <w:t xml:space="preserve">). </w:t>
      </w:r>
    </w:p>
    <w:p w14:paraId="4CF67CF4" w14:textId="77777777" w:rsidR="003438A2" w:rsidRPr="00E66CB0" w:rsidRDefault="00000000" w:rsidP="003438A2">
      <w:pPr>
        <w:pStyle w:val="ListBullet"/>
        <w:numPr>
          <w:ilvl w:val="0"/>
          <w:numId w:val="15"/>
        </w:numPr>
      </w:pPr>
      <w:hyperlink w:anchor="_ENREF_877" w:tooltip="Xu, 2010 #12846" w:history="1">
        <w:r w:rsidR="003438A2" w:rsidRPr="00E66CB0">
          <w:rPr>
            <w:noProof/>
          </w:rPr>
          <w:t>Xu &amp; Robinson (2010</w:t>
        </w:r>
      </w:hyperlink>
      <w:r w:rsidR="003438A2" w:rsidRPr="00E66CB0">
        <w:rPr>
          <w:noProof/>
        </w:rPr>
        <w:t>) reported that t</w:t>
      </w:r>
      <w:r w:rsidR="003438A2" w:rsidRPr="00E66CB0">
        <w:rPr>
          <w:rFonts w:cs="Roboto Light"/>
          <w:lang w:eastAsia="en-AU"/>
        </w:rPr>
        <w:t xml:space="preserve">he incidence of fruit rot was influenced more by fruit maturity at the time of inoculation than by </w:t>
      </w:r>
      <w:r w:rsidR="003438A2" w:rsidRPr="00D407CD">
        <w:rPr>
          <w:rFonts w:cs="Roboto Light"/>
          <w:lang w:eastAsia="en-AU"/>
        </w:rPr>
        <w:t xml:space="preserve">duration of wetness. Mature fruit were more </w:t>
      </w:r>
      <w:r w:rsidR="003438A2" w:rsidRPr="00D407CD">
        <w:rPr>
          <w:rFonts w:cs="Roboto Light"/>
          <w:lang w:eastAsia="en-AU"/>
        </w:rPr>
        <w:lastRenderedPageBreak/>
        <w:t xml:space="preserve">resistant to infection by </w:t>
      </w:r>
      <w:r w:rsidR="003438A2" w:rsidRPr="00D407CD">
        <w:rPr>
          <w:rFonts w:cs="Roboto Light"/>
          <w:i/>
          <w:iCs/>
          <w:lang w:eastAsia="en-AU"/>
        </w:rPr>
        <w:t>N. ditissima</w:t>
      </w:r>
      <w:r w:rsidR="003438A2" w:rsidRPr="00D407CD">
        <w:rPr>
          <w:rFonts w:cs="Roboto Light"/>
          <w:lang w:eastAsia="en-AU"/>
        </w:rPr>
        <w:t xml:space="preserve"> than immature fruit in which starch conversion had not progressed. However, </w:t>
      </w:r>
      <w:r w:rsidR="003438A2" w:rsidRPr="00D407CD">
        <w:rPr>
          <w:rFonts w:cs="AdvPSSAB-I"/>
          <w:lang w:eastAsia="en-AU"/>
        </w:rPr>
        <w:t>wetness was essential</w:t>
      </w:r>
      <w:r w:rsidR="003438A2" w:rsidRPr="00D407CD" w:rsidDel="0003069A">
        <w:rPr>
          <w:rFonts w:cs="Roboto Light"/>
          <w:lang w:eastAsia="en-AU"/>
        </w:rPr>
        <w:t xml:space="preserve"> </w:t>
      </w:r>
      <w:r w:rsidR="003438A2" w:rsidRPr="00D407CD">
        <w:rPr>
          <w:rFonts w:cs="Roboto Light"/>
          <w:lang w:eastAsia="en-AU"/>
        </w:rPr>
        <w:t>for inoculated</w:t>
      </w:r>
      <w:r w:rsidR="003438A2" w:rsidRPr="00E66CB0">
        <w:rPr>
          <w:rFonts w:cs="Roboto Light"/>
          <w:lang w:eastAsia="en-AU"/>
        </w:rPr>
        <w:t xml:space="preserve"> conidia to germinate</w:t>
      </w:r>
      <w:r w:rsidR="003438A2" w:rsidRPr="00E66CB0">
        <w:rPr>
          <w:rFonts w:cs="AdvPSSAB-I"/>
          <w:lang w:eastAsia="en-AU"/>
        </w:rPr>
        <w:t>.</w:t>
      </w:r>
    </w:p>
    <w:p w14:paraId="272479EE" w14:textId="77777777" w:rsidR="003438A2" w:rsidRPr="007C70FE" w:rsidRDefault="003438A2" w:rsidP="00862DBA">
      <w:r w:rsidRPr="007C70FE">
        <w:t xml:space="preserve">Existing </w:t>
      </w:r>
      <w:r>
        <w:t>in-field controls will further reduce the likelihood of fruit infection.</w:t>
      </w:r>
    </w:p>
    <w:p w14:paraId="3D665868" w14:textId="77777777" w:rsidR="003438A2" w:rsidRPr="00274684" w:rsidRDefault="003438A2" w:rsidP="003438A2">
      <w:pPr>
        <w:pStyle w:val="ListBullet"/>
        <w:numPr>
          <w:ilvl w:val="0"/>
          <w:numId w:val="15"/>
        </w:numPr>
        <w:rPr>
          <w:rFonts w:eastAsiaTheme="majorEastAsia" w:cstheme="majorBidi"/>
          <w:b/>
          <w:bCs/>
          <w:color w:val="595959" w:themeColor="text1" w:themeTint="A6"/>
          <w:sz w:val="20"/>
          <w:szCs w:val="18"/>
        </w:rPr>
      </w:pPr>
      <w:r>
        <w:t>I</w:t>
      </w:r>
      <w:r w:rsidRPr="0068403C">
        <w:t xml:space="preserve">ndustry in-field control practices </w:t>
      </w:r>
      <w:r>
        <w:t xml:space="preserve">are </w:t>
      </w:r>
      <w:r w:rsidRPr="0068403C">
        <w:t xml:space="preserve">in place for </w:t>
      </w:r>
      <w:r w:rsidRPr="007C70FE">
        <w:rPr>
          <w:i/>
        </w:rPr>
        <w:t>N. ditissima</w:t>
      </w:r>
      <w:r w:rsidRPr="0068403C">
        <w:t xml:space="preserve"> </w:t>
      </w:r>
      <w:r>
        <w:t xml:space="preserve">where it occurs in the PNW-USA, </w:t>
      </w:r>
      <w:r w:rsidRPr="0068403C">
        <w:t>as outlined</w:t>
      </w:r>
      <w:r>
        <w:t xml:space="preserve"> in </w:t>
      </w:r>
      <w:r>
        <w:fldChar w:fldCharType="begin" w:fldLock="1"/>
      </w:r>
      <w:r>
        <w:instrText xml:space="preserve"> REF _Ref108437154 \h </w:instrText>
      </w:r>
      <w:r>
        <w:fldChar w:fldCharType="separate"/>
      </w:r>
      <w:r>
        <w:t xml:space="preserve">Table </w:t>
      </w:r>
      <w:r>
        <w:rPr>
          <w:noProof/>
        </w:rPr>
        <w:t>3</w:t>
      </w:r>
      <w:r>
        <w:t>.</w:t>
      </w:r>
      <w:r>
        <w:rPr>
          <w:noProof/>
        </w:rPr>
        <w:t>1</w:t>
      </w:r>
      <w:r>
        <w:fldChar w:fldCharType="end"/>
      </w:r>
      <w:r>
        <w:t>.</w:t>
      </w:r>
    </w:p>
    <w:p w14:paraId="1A5A696C" w14:textId="77777777" w:rsidR="003438A2" w:rsidRDefault="003438A2" w:rsidP="003438A2">
      <w:pPr>
        <w:pStyle w:val="ListBullet"/>
        <w:numPr>
          <w:ilvl w:val="0"/>
          <w:numId w:val="15"/>
        </w:numPr>
      </w:pPr>
      <w:r w:rsidRPr="0070691A">
        <w:t>V</w:t>
      </w:r>
      <w:r w:rsidRPr="007C70FE">
        <w:t xml:space="preserve">arious disease management measures </w:t>
      </w:r>
      <w:r>
        <w:t xml:space="preserve">used </w:t>
      </w:r>
      <w:r w:rsidRPr="007C70FE">
        <w:t>to control summer fruit rots in</w:t>
      </w:r>
      <w:r>
        <w:t xml:space="preserve"> USA </w:t>
      </w:r>
      <w:r w:rsidRPr="007C70FE">
        <w:t>orchards, including cultural practices and the use of fungicides</w:t>
      </w:r>
      <w:r w:rsidRPr="0070691A">
        <w:t xml:space="preserve"> </w:t>
      </w:r>
      <w:r>
        <w:rPr>
          <w:noProof/>
        </w:rPr>
        <w:t>(Xiao 2015)</w:t>
      </w:r>
      <w:r>
        <w:t>,</w:t>
      </w:r>
      <w:r w:rsidRPr="007C70FE">
        <w:t xml:space="preserve"> would greatly reduce the likelihood of </w:t>
      </w:r>
      <w:r w:rsidRPr="007C70FE">
        <w:rPr>
          <w:i/>
        </w:rPr>
        <w:t>N. ditissima</w:t>
      </w:r>
      <w:r>
        <w:t xml:space="preserve"> infections being present.</w:t>
      </w:r>
    </w:p>
    <w:p w14:paraId="198B0D55" w14:textId="77777777" w:rsidR="003438A2" w:rsidRDefault="003438A2" w:rsidP="003438A2">
      <w:pPr>
        <w:pStyle w:val="ListBullet"/>
        <w:numPr>
          <w:ilvl w:val="0"/>
          <w:numId w:val="15"/>
        </w:numPr>
        <w:rPr>
          <w:lang w:val="en" w:eastAsia="en-AU"/>
        </w:rPr>
      </w:pPr>
      <w:r>
        <w:rPr>
          <w:lang w:val="en"/>
        </w:rPr>
        <w:t xml:space="preserve">In-field control for </w:t>
      </w:r>
      <w:r w:rsidRPr="009F5351">
        <w:rPr>
          <w:i/>
        </w:rPr>
        <w:t>N</w:t>
      </w:r>
      <w:r>
        <w:rPr>
          <w:i/>
        </w:rPr>
        <w:t>. </w:t>
      </w:r>
      <w:r w:rsidRPr="009F5351">
        <w:rPr>
          <w:i/>
        </w:rPr>
        <w:t>ditissima</w:t>
      </w:r>
      <w:r>
        <w:rPr>
          <w:lang w:val="en"/>
        </w:rPr>
        <w:t xml:space="preserve"> involves c</w:t>
      </w:r>
      <w:r w:rsidRPr="00C648E6">
        <w:rPr>
          <w:lang w:val="en"/>
        </w:rPr>
        <w:t>ultural control</w:t>
      </w:r>
      <w:r w:rsidRPr="00C648E6">
        <w:t xml:space="preserve"> </w:t>
      </w:r>
      <w:r>
        <w:t>by</w:t>
      </w:r>
      <w:r w:rsidRPr="00C648E6">
        <w:t xml:space="preserve"> removing and </w:t>
      </w:r>
      <w:r w:rsidRPr="00C648E6">
        <w:rPr>
          <w:lang w:val="en" w:eastAsia="en-AU"/>
        </w:rPr>
        <w:t>destroy</w:t>
      </w:r>
      <w:r w:rsidRPr="00C648E6">
        <w:t xml:space="preserve">ing cankers </w:t>
      </w:r>
      <w:r>
        <w:t xml:space="preserve">on host plants </w:t>
      </w:r>
      <w:r w:rsidRPr="00C648E6">
        <w:t>during dry weather</w:t>
      </w:r>
      <w:r>
        <w:t>,</w:t>
      </w:r>
      <w:r w:rsidRPr="00C648E6">
        <w:t xml:space="preserve"> and dis</w:t>
      </w:r>
      <w:r w:rsidRPr="00C648E6">
        <w:rPr>
          <w:lang w:val="en" w:eastAsia="en-AU"/>
        </w:rPr>
        <w:t>infect</w:t>
      </w:r>
      <w:r w:rsidRPr="00C648E6">
        <w:t>ing</w:t>
      </w:r>
      <w:r w:rsidRPr="00C648E6">
        <w:rPr>
          <w:lang w:val="en" w:eastAsia="en-AU"/>
        </w:rPr>
        <w:t xml:space="preserve"> pruning shears.</w:t>
      </w:r>
    </w:p>
    <w:p w14:paraId="068B3918" w14:textId="77777777" w:rsidR="003438A2" w:rsidRDefault="003438A2" w:rsidP="003438A2">
      <w:pPr>
        <w:pStyle w:val="ListBullet"/>
        <w:numPr>
          <w:ilvl w:val="0"/>
          <w:numId w:val="15"/>
        </w:numPr>
        <w:rPr>
          <w:lang w:val="en" w:eastAsia="en-AU"/>
        </w:rPr>
      </w:pPr>
      <w:r>
        <w:rPr>
          <w:lang w:val="en" w:eastAsia="en-AU"/>
        </w:rPr>
        <w:t xml:space="preserve">In addition, in-field fungicide applications for canker control are conducted </w:t>
      </w:r>
      <w:r w:rsidRPr="00C648E6">
        <w:rPr>
          <w:lang w:val="en"/>
        </w:rPr>
        <w:t xml:space="preserve">before </w:t>
      </w:r>
      <w:r>
        <w:rPr>
          <w:lang w:val="en"/>
        </w:rPr>
        <w:t>autumn</w:t>
      </w:r>
      <w:r w:rsidRPr="00C648E6">
        <w:rPr>
          <w:lang w:val="en"/>
        </w:rPr>
        <w:t xml:space="preserve"> rains for fruit rot control</w:t>
      </w:r>
      <w:r>
        <w:rPr>
          <w:lang w:val="en"/>
        </w:rPr>
        <w:t>,</w:t>
      </w:r>
      <w:r w:rsidRPr="00C648E6">
        <w:rPr>
          <w:lang w:val="en"/>
        </w:rPr>
        <w:t xml:space="preserve"> and during early </w:t>
      </w:r>
      <w:r>
        <w:rPr>
          <w:lang w:val="en"/>
        </w:rPr>
        <w:t xml:space="preserve">and </w:t>
      </w:r>
      <w:r w:rsidRPr="00C648E6">
        <w:rPr>
          <w:lang w:val="en"/>
        </w:rPr>
        <w:t>mid to lat</w:t>
      </w:r>
      <w:r>
        <w:rPr>
          <w:lang w:val="en"/>
        </w:rPr>
        <w:t xml:space="preserve">e leaf fall for canker control on branches. </w:t>
      </w:r>
      <w:r w:rsidRPr="00C648E6">
        <w:rPr>
          <w:lang w:val="en"/>
        </w:rPr>
        <w:t>Fungicide</w:t>
      </w:r>
      <w:r>
        <w:rPr>
          <w:lang w:val="en"/>
        </w:rPr>
        <w:t xml:space="preserve"> applications also </w:t>
      </w:r>
      <w:r w:rsidRPr="00C648E6">
        <w:rPr>
          <w:lang w:val="en"/>
        </w:rPr>
        <w:t>protect leaf scars</w:t>
      </w:r>
      <w:r>
        <w:rPr>
          <w:lang w:val="en"/>
        </w:rPr>
        <w:t>.</w:t>
      </w:r>
    </w:p>
    <w:p w14:paraId="2619FE93" w14:textId="77777777" w:rsidR="003438A2" w:rsidRPr="00FF151F" w:rsidRDefault="003438A2" w:rsidP="003438A2">
      <w:pPr>
        <w:pStyle w:val="ListBullet"/>
        <w:numPr>
          <w:ilvl w:val="0"/>
          <w:numId w:val="15"/>
        </w:numPr>
      </w:pPr>
      <w:r w:rsidRPr="00FF151F">
        <w:t>Fungicide applications can reduce cankers by 65 to 90</w:t>
      </w:r>
      <w:r>
        <w:t>%</w:t>
      </w:r>
      <w:r w:rsidRPr="00FF151F">
        <w:t>, although they must be supplemented by canker removal and wound treatment</w:t>
      </w:r>
      <w:r>
        <w:t xml:space="preserve"> (</w:t>
      </w:r>
      <w:hyperlink w:anchor="_ENREF_53" w:tooltip="Cooke, 1999 #525" w:history="1">
        <w:r>
          <w:rPr>
            <w:noProof/>
          </w:rPr>
          <w:t>Cooke 1999</w:t>
        </w:r>
      </w:hyperlink>
      <w:r>
        <w:rPr>
          <w:noProof/>
        </w:rPr>
        <w:t xml:space="preserve">). </w:t>
      </w:r>
    </w:p>
    <w:p w14:paraId="4E48115D" w14:textId="77777777" w:rsidR="003438A2" w:rsidRPr="00FF151F" w:rsidRDefault="003438A2" w:rsidP="00862DBA">
      <w:r>
        <w:t>P</w:t>
      </w:r>
      <w:r w:rsidRPr="00FF151F">
        <w:t xml:space="preserve">acking house procedures will greatly reduce the </w:t>
      </w:r>
      <w:r>
        <w:t>likelihood</w:t>
      </w:r>
      <w:r w:rsidRPr="00FF151F">
        <w:t xml:space="preserve"> of infected fruit being exported.</w:t>
      </w:r>
    </w:p>
    <w:p w14:paraId="3DCEECF5" w14:textId="77777777" w:rsidR="003438A2" w:rsidRPr="0051357D" w:rsidRDefault="003438A2" w:rsidP="003438A2">
      <w:pPr>
        <w:pStyle w:val="ListBullet"/>
        <w:numPr>
          <w:ilvl w:val="0"/>
          <w:numId w:val="15"/>
        </w:numPr>
        <w:rPr>
          <w:b/>
          <w:bCs/>
        </w:rPr>
      </w:pPr>
      <w:r w:rsidRPr="00FF151F">
        <w:rPr>
          <w:sz w:val="24"/>
          <w:szCs w:val="24"/>
        </w:rPr>
        <w:t>C</w:t>
      </w:r>
      <w:r w:rsidRPr="00FF151F">
        <w:t>hlorine solutions have been shown to be effective at controlling a range of pathogens</w:t>
      </w:r>
      <w:r>
        <w:t xml:space="preserve"> </w:t>
      </w:r>
      <w:r>
        <w:rPr>
          <w:noProof/>
        </w:rPr>
        <w:t>(Brown 2002; Kupferman 1984; Suslow 2004)</w:t>
      </w:r>
      <w:r>
        <w:t>.</w:t>
      </w:r>
    </w:p>
    <w:p w14:paraId="46655A7B" w14:textId="77777777" w:rsidR="003438A2" w:rsidRPr="00FF151F" w:rsidRDefault="003438A2" w:rsidP="003438A2">
      <w:pPr>
        <w:pStyle w:val="ListBullet"/>
        <w:numPr>
          <w:ilvl w:val="0"/>
          <w:numId w:val="15"/>
        </w:numPr>
      </w:pPr>
      <w:r w:rsidRPr="00FF151F">
        <w:rPr>
          <w:iCs/>
        </w:rPr>
        <w:t xml:space="preserve">Both conidia and ascospores of </w:t>
      </w:r>
      <w:r w:rsidRPr="00FF151F">
        <w:rPr>
          <w:i/>
        </w:rPr>
        <w:t>N. ditissima</w:t>
      </w:r>
      <w:r w:rsidRPr="00FF151F">
        <w:t xml:space="preserve"> from various inoculum sources </w:t>
      </w:r>
      <w:bookmarkStart w:id="415" w:name="_Hlk42467853"/>
      <w:r w:rsidRPr="00FF151F">
        <w:t>can initiate infection</w:t>
      </w:r>
      <w:bookmarkEnd w:id="415"/>
      <w:r w:rsidRPr="00FF151F">
        <w:t xml:space="preserve"> on fruit </w:t>
      </w:r>
      <w:r w:rsidRPr="00FF151F">
        <w:rPr>
          <w:noProof/>
        </w:rPr>
        <w:t>(Latorre et al. 2002)</w:t>
      </w:r>
      <w:r w:rsidRPr="00FF151F">
        <w:t xml:space="preserve">. </w:t>
      </w:r>
      <w:bookmarkStart w:id="416" w:name="_Hlk42498681"/>
      <w:r w:rsidRPr="00FF151F">
        <w:t xml:space="preserve">Spores on the surface of fruit that </w:t>
      </w:r>
      <w:bookmarkEnd w:id="416"/>
      <w:r w:rsidRPr="00FF151F">
        <w:t xml:space="preserve">survive </w:t>
      </w:r>
      <w:r>
        <w:t xml:space="preserve">post-harvest </w:t>
      </w:r>
      <w:r w:rsidRPr="00FF151F">
        <w:t xml:space="preserve">disinfectants and washing are unlikely to be a source for infection as they are sensitive to desiccation during cold storage, even </w:t>
      </w:r>
      <w:r>
        <w:t>with free moisture or wetness</w:t>
      </w:r>
      <w:r w:rsidRPr="00FF151F">
        <w:t xml:space="preserve"> (Latorre et al. 2002).</w:t>
      </w:r>
      <w:r>
        <w:t xml:space="preserve"> </w:t>
      </w:r>
      <w:r>
        <w:rPr>
          <w:noProof/>
        </w:rPr>
        <w:t>Dubin and English (1975)</w:t>
      </w:r>
      <w:r>
        <w:t xml:space="preserve"> </w:t>
      </w:r>
      <w:r w:rsidRPr="00FF151F">
        <w:t xml:space="preserve">found that conidia that could contaminate the fruit surface or survive packing house processes of disinfecting and washing will not survive for more than a few days in cold storage even </w:t>
      </w:r>
      <w:r>
        <w:t>with wetness</w:t>
      </w:r>
      <w:r w:rsidRPr="00FF151F">
        <w:t>.</w:t>
      </w:r>
    </w:p>
    <w:p w14:paraId="394CF49B" w14:textId="77777777" w:rsidR="003438A2" w:rsidRPr="00FF151F" w:rsidRDefault="003438A2" w:rsidP="003438A2">
      <w:pPr>
        <w:pStyle w:val="ListBullet"/>
      </w:pPr>
      <w:r w:rsidRPr="00FF151F">
        <w:rPr>
          <w:rFonts w:cs="Roboto Light"/>
          <w:lang w:eastAsia="en-AU"/>
        </w:rPr>
        <w:t xml:space="preserve">For fruit internally colonised by </w:t>
      </w:r>
      <w:r w:rsidRPr="00FF151F">
        <w:rPr>
          <w:i/>
        </w:rPr>
        <w:t>N. ditissima</w:t>
      </w:r>
      <w:r w:rsidRPr="00FF151F">
        <w:t xml:space="preserve"> mycelia </w:t>
      </w:r>
      <w:r w:rsidRPr="00FF151F">
        <w:rPr>
          <w:iCs/>
        </w:rPr>
        <w:t xml:space="preserve">at harvest (which is rare in </w:t>
      </w:r>
      <w:r w:rsidRPr="00FF151F">
        <w:rPr>
          <w:rFonts w:cs="Roboto Light"/>
          <w:lang w:eastAsia="en-AU"/>
        </w:rPr>
        <w:t>commercially produced fruit),</w:t>
      </w:r>
      <w:r w:rsidRPr="00FF151F">
        <w:rPr>
          <w:iCs/>
        </w:rPr>
        <w:t xml:space="preserve"> </w:t>
      </w:r>
      <w:r w:rsidRPr="00FF151F">
        <w:t>the pathogen</w:t>
      </w:r>
      <w:r w:rsidRPr="00FF151F">
        <w:rPr>
          <w:i/>
          <w:iCs/>
        </w:rPr>
        <w:t xml:space="preserve"> </w:t>
      </w:r>
      <w:r w:rsidRPr="00FF151F">
        <w:t>is unlikely to be impacted by packing house procedures and is able to survive long periods (3</w:t>
      </w:r>
      <w:r>
        <w:t xml:space="preserve"> to </w:t>
      </w:r>
      <w:r w:rsidRPr="00FF151F">
        <w:t xml:space="preserve">7 months) of cold storage and transport. </w:t>
      </w:r>
    </w:p>
    <w:p w14:paraId="5850A291" w14:textId="77777777" w:rsidR="003438A2" w:rsidRPr="00FF151F" w:rsidRDefault="003438A2" w:rsidP="003438A2">
      <w:pPr>
        <w:pStyle w:val="ListBullet"/>
      </w:pPr>
      <w:r w:rsidRPr="00FF151F">
        <w:t>Most apple fruit are cold stored prior to being exported. The period of cold storage may range from 1 day to 11 months (</w:t>
      </w:r>
      <w:hyperlink w:anchor="_ENREF_451" w:tooltip="Kupferman, 1996 #4887" w:history="1">
        <w:r w:rsidRPr="00FF151F">
          <w:rPr>
            <w:noProof/>
          </w:rPr>
          <w:t>Kupferman 1996</w:t>
        </w:r>
      </w:hyperlink>
      <w:r w:rsidRPr="00FF151F">
        <w:t xml:space="preserve">). </w:t>
      </w:r>
      <w:r>
        <w:t>S</w:t>
      </w:r>
      <w:r w:rsidRPr="00FF151F">
        <w:rPr>
          <w:iCs/>
        </w:rPr>
        <w:t xml:space="preserve">ymptoms become apparent on infected fruit </w:t>
      </w:r>
      <w:r>
        <w:rPr>
          <w:iCs/>
        </w:rPr>
        <w:t xml:space="preserve">during cold storage </w:t>
      </w:r>
      <w:r w:rsidRPr="00FF151F">
        <w:rPr>
          <w:iCs/>
        </w:rPr>
        <w:t>and s</w:t>
      </w:r>
      <w:r>
        <w:rPr>
          <w:iCs/>
        </w:rPr>
        <w:t>ymptomatic</w:t>
      </w:r>
      <w:r w:rsidRPr="00FF151F">
        <w:rPr>
          <w:iCs/>
        </w:rPr>
        <w:t xml:space="preserve"> fruit will likely be detected</w:t>
      </w:r>
      <w:r>
        <w:rPr>
          <w:iCs/>
        </w:rPr>
        <w:t xml:space="preserve"> during packing house processes</w:t>
      </w:r>
      <w:r w:rsidRPr="00FF151F">
        <w:rPr>
          <w:iCs/>
        </w:rPr>
        <w:t>. Consignments detected with symptoms post</w:t>
      </w:r>
      <w:r>
        <w:rPr>
          <w:iCs/>
        </w:rPr>
        <w:t>-</w:t>
      </w:r>
      <w:r w:rsidRPr="00FF151F">
        <w:rPr>
          <w:iCs/>
        </w:rPr>
        <w:t>cold storage at the</w:t>
      </w:r>
      <w:r w:rsidRPr="00FF151F">
        <w:t xml:space="preserve"> pre-export phytosanitary inspection</w:t>
      </w:r>
      <w:r w:rsidRPr="00FF151F">
        <w:rPr>
          <w:iCs/>
        </w:rPr>
        <w:t xml:space="preserve"> will be rejected for export.</w:t>
      </w:r>
    </w:p>
    <w:p w14:paraId="287980B9" w14:textId="77777777" w:rsidR="003438A2" w:rsidRPr="00FF151F" w:rsidRDefault="003438A2" w:rsidP="003438A2">
      <w:pPr>
        <w:pStyle w:val="ListBullet"/>
      </w:pPr>
      <w:r w:rsidRPr="00FF151F">
        <w:t xml:space="preserve">Surveys of apple storage rots in the PNW-USA in commercial packing houses from about 180 grower lots in 2003, 2004 and 2005 did not detect </w:t>
      </w:r>
      <w:r w:rsidRPr="00FF151F">
        <w:rPr>
          <w:i/>
        </w:rPr>
        <w:t>N. ditissima</w:t>
      </w:r>
      <w:r w:rsidRPr="00FF151F">
        <w:t xml:space="preserve"> </w:t>
      </w:r>
      <w:r w:rsidRPr="00FF151F">
        <w:rPr>
          <w:noProof/>
          <w:lang w:eastAsia="en-AU"/>
        </w:rPr>
        <w:t>(Kim &amp; Xiao 2008)</w:t>
      </w:r>
      <w:r w:rsidRPr="00FF151F">
        <w:t xml:space="preserve">. </w:t>
      </w:r>
    </w:p>
    <w:p w14:paraId="584C1033" w14:textId="77777777" w:rsidR="003438A2" w:rsidRPr="00FF151F" w:rsidRDefault="003438A2" w:rsidP="003438A2">
      <w:pPr>
        <w:pStyle w:val="ListBullet"/>
        <w:numPr>
          <w:ilvl w:val="0"/>
          <w:numId w:val="15"/>
        </w:numPr>
      </w:pPr>
      <w:r w:rsidRPr="00FF151F">
        <w:t xml:space="preserve">A more recent survey of Washington packing houses in 2016 of fruit picked in 2015 failed to detect this pathogen </w:t>
      </w:r>
      <w:r>
        <w:rPr>
          <w:noProof/>
          <w:lang w:eastAsia="en-AU"/>
        </w:rPr>
        <w:t>(Amiri &amp; Ali 2016)</w:t>
      </w:r>
      <w:r w:rsidRPr="00FF151F">
        <w:t>.</w:t>
      </w:r>
    </w:p>
    <w:p w14:paraId="791649F1" w14:textId="77777777" w:rsidR="003438A2" w:rsidRPr="00AD5EB5" w:rsidRDefault="003438A2" w:rsidP="00862DBA">
      <w:pPr>
        <w:rPr>
          <w:strike/>
        </w:rPr>
      </w:pPr>
      <w:r>
        <w:rPr>
          <w:iCs/>
        </w:rPr>
        <w:t xml:space="preserve">Any fruit infected with </w:t>
      </w:r>
      <w:r w:rsidRPr="00B43FDB">
        <w:rPr>
          <w:i/>
        </w:rPr>
        <w:t>N</w:t>
      </w:r>
      <w:r>
        <w:rPr>
          <w:i/>
        </w:rPr>
        <w:t>.</w:t>
      </w:r>
      <w:r w:rsidRPr="00B43FDB">
        <w:rPr>
          <w:i/>
        </w:rPr>
        <w:t xml:space="preserve"> ditissima</w:t>
      </w:r>
      <w:r w:rsidRPr="00B43FDB">
        <w:t xml:space="preserve"> </w:t>
      </w:r>
      <w:r>
        <w:t>that remain asymptomatic during pre-export phytosanitary inspection will not</w:t>
      </w:r>
      <w:r w:rsidRPr="00B43FDB">
        <w:t xml:space="preserve"> be detected </w:t>
      </w:r>
      <w:r>
        <w:t>and may be exported</w:t>
      </w:r>
      <w:r w:rsidRPr="00B43FDB">
        <w:t>.</w:t>
      </w:r>
      <w:r>
        <w:t xml:space="preserve"> The </w:t>
      </w:r>
      <w:r w:rsidRPr="00D407CD">
        <w:t>pathogen is likely to survive but may be adversely affected by cold temperatures during transport to</w:t>
      </w:r>
      <w:r>
        <w:t xml:space="preserve"> Australia.</w:t>
      </w:r>
    </w:p>
    <w:p w14:paraId="671FA573" w14:textId="77777777" w:rsidR="003438A2" w:rsidRDefault="003438A2" w:rsidP="003438A2">
      <w:pPr>
        <w:pStyle w:val="ListBullet"/>
        <w:numPr>
          <w:ilvl w:val="0"/>
          <w:numId w:val="15"/>
        </w:numPr>
      </w:pPr>
      <w:r>
        <w:t>Asymptomatic i</w:t>
      </w:r>
      <w:r w:rsidRPr="003604AD">
        <w:t xml:space="preserve">nfection </w:t>
      </w:r>
      <w:r>
        <w:t xml:space="preserve">by </w:t>
      </w:r>
      <w:r w:rsidRPr="007C70FE">
        <w:rPr>
          <w:i/>
        </w:rPr>
        <w:t>N. ditissima</w:t>
      </w:r>
      <w:r>
        <w:t xml:space="preserve"> on apple fruit </w:t>
      </w:r>
      <w:r w:rsidRPr="003604AD">
        <w:t xml:space="preserve">generally develops into a </w:t>
      </w:r>
      <w:r>
        <w:t xml:space="preserve">visible </w:t>
      </w:r>
      <w:r w:rsidRPr="003604AD">
        <w:t>rot duri</w:t>
      </w:r>
      <w:r>
        <w:t xml:space="preserve">ng storage </w:t>
      </w:r>
      <w:r>
        <w:rPr>
          <w:noProof/>
        </w:rPr>
        <w:t>(Bondoux &amp; Bulit 1959; PNW Handbooks 2019a; Wenneker &amp; Thomma 2020)</w:t>
      </w:r>
      <w:r>
        <w:t xml:space="preserve">. </w:t>
      </w:r>
      <w:r w:rsidRPr="007C70FE">
        <w:t>In cooking varieties</w:t>
      </w:r>
      <w:r w:rsidRPr="0070691A">
        <w:t>,</w:t>
      </w:r>
      <w:r w:rsidRPr="007C70FE">
        <w:t xml:space="preserve"> fruit infections can express after </w:t>
      </w:r>
      <w:r>
        <w:t>three to seven</w:t>
      </w:r>
      <w:r w:rsidRPr="007C70FE">
        <w:t xml:space="preserve"> months of storage </w:t>
      </w:r>
      <w:r>
        <w:rPr>
          <w:noProof/>
        </w:rPr>
        <w:t>(Snowdon 1990; Swinburne 1975)</w:t>
      </w:r>
      <w:r w:rsidRPr="007C70FE">
        <w:t xml:space="preserve"> especially if </w:t>
      </w:r>
      <w:r>
        <w:t>infection</w:t>
      </w:r>
      <w:r w:rsidRPr="007C70FE">
        <w:t xml:space="preserve"> occurs </w:t>
      </w:r>
      <w:r>
        <w:t>late in</w:t>
      </w:r>
      <w:r w:rsidRPr="007C70FE">
        <w:t xml:space="preserve"> the </w:t>
      </w:r>
      <w:r>
        <w:t xml:space="preserve">growing </w:t>
      </w:r>
      <w:r w:rsidRPr="007C70FE">
        <w:t>s</w:t>
      </w:r>
      <w:r>
        <w:t xml:space="preserve">eason </w:t>
      </w:r>
      <w:r>
        <w:rPr>
          <w:noProof/>
        </w:rPr>
        <w:t>(Bondoux &amp; Bulit 1959)</w:t>
      </w:r>
      <w:r>
        <w:t>.</w:t>
      </w:r>
    </w:p>
    <w:p w14:paraId="441B1334" w14:textId="77777777" w:rsidR="003438A2" w:rsidRPr="00FF151F" w:rsidRDefault="003438A2" w:rsidP="003438A2">
      <w:pPr>
        <w:pStyle w:val="ListBullet"/>
        <w:numPr>
          <w:ilvl w:val="0"/>
          <w:numId w:val="15"/>
        </w:numPr>
      </w:pPr>
      <w:r w:rsidRPr="00FF151F">
        <w:lastRenderedPageBreak/>
        <w:t>Depending on the timing of infection and the period of cold storage prior to pre-export phytosanitary inspection, some infected fruit may remain symptomless during inspection and may be exported.</w:t>
      </w:r>
    </w:p>
    <w:p w14:paraId="5DBC9758" w14:textId="77777777" w:rsidR="003438A2" w:rsidRPr="00372AE6" w:rsidRDefault="003438A2" w:rsidP="003438A2">
      <w:pPr>
        <w:pStyle w:val="ListBullet"/>
        <w:numPr>
          <w:ilvl w:val="0"/>
          <w:numId w:val="15"/>
        </w:numPr>
      </w:pPr>
      <w:r w:rsidRPr="00372AE6">
        <w:t>Cold storage at 0°C to 2°C and low temperature transport are likely to adversely affect infection</w:t>
      </w:r>
      <w:r>
        <w:t xml:space="preserve"> </w:t>
      </w:r>
      <w:r w:rsidRPr="00372AE6">
        <w:t xml:space="preserve">as conidial germination of </w:t>
      </w:r>
      <w:r w:rsidRPr="00372AE6">
        <w:rPr>
          <w:i/>
          <w:iCs/>
        </w:rPr>
        <w:t>N. ditissima</w:t>
      </w:r>
      <w:r w:rsidRPr="00372AE6">
        <w:t xml:space="preserve"> is reduced below 6</w:t>
      </w:r>
      <w:r w:rsidRPr="00372AE6">
        <w:rPr>
          <w:vertAlign w:val="superscript"/>
        </w:rPr>
        <w:t>°</w:t>
      </w:r>
      <w:r w:rsidRPr="00372AE6">
        <w:t>C and infection does not occur below 5°C (</w:t>
      </w:r>
      <w:hyperlink w:anchor="_ENREF_473" w:tooltip="Latorre, 2002 #780" w:history="1">
        <w:r w:rsidRPr="00372AE6">
          <w:rPr>
            <w:noProof/>
          </w:rPr>
          <w:t>Latorre et al. 2002</w:t>
        </w:r>
      </w:hyperlink>
      <w:r w:rsidRPr="00372AE6">
        <w:rPr>
          <w:noProof/>
        </w:rPr>
        <w:t>).</w:t>
      </w:r>
    </w:p>
    <w:p w14:paraId="2706E290" w14:textId="77777777" w:rsidR="003438A2" w:rsidRDefault="003438A2" w:rsidP="003438A2">
      <w:pPr>
        <w:pStyle w:val="ListBullet"/>
        <w:numPr>
          <w:ilvl w:val="0"/>
          <w:numId w:val="15"/>
        </w:numPr>
      </w:pPr>
      <w:r>
        <w:t>S</w:t>
      </w:r>
      <w:r w:rsidRPr="00256DB0">
        <w:t>ea freight</w:t>
      </w:r>
      <w:r>
        <w:t>,</w:t>
      </w:r>
      <w:r w:rsidRPr="00256DB0">
        <w:t xml:space="preserve"> </w:t>
      </w:r>
      <w:r>
        <w:t xml:space="preserve">which takes about five weeks, is likely to be </w:t>
      </w:r>
      <w:r w:rsidRPr="00256DB0">
        <w:t>the preferred method of transport</w:t>
      </w:r>
      <w:r>
        <w:t xml:space="preserve"> of apples from the PNW-USA to Australia. </w:t>
      </w:r>
      <w:r w:rsidRPr="00FF151F">
        <w:t xml:space="preserve">Some infected fruit may express visible symptoms when arriving in Australia and will likely be detected and rejected at the on-arrival inspection. </w:t>
      </w:r>
      <w:r>
        <w:t>However, some infected fruit may remain symptomless on arrival and will not be detected.</w:t>
      </w:r>
    </w:p>
    <w:p w14:paraId="4E2E6EC0" w14:textId="77777777" w:rsidR="003438A2" w:rsidRDefault="003438A2" w:rsidP="00862DBA">
      <w:pPr>
        <w:spacing w:before="240"/>
      </w:pPr>
      <w:r>
        <w:t>W</w:t>
      </w:r>
      <w:r w:rsidRPr="006657C0">
        <w:t xml:space="preserve">hile </w:t>
      </w:r>
      <w:r w:rsidRPr="000470A2">
        <w:rPr>
          <w:i/>
        </w:rPr>
        <w:t>N. ditissima</w:t>
      </w:r>
      <w:r w:rsidRPr="006657C0">
        <w:t xml:space="preserve"> has been recorded within some apple</w:t>
      </w:r>
      <w:r>
        <w:t xml:space="preserve"> </w:t>
      </w:r>
      <w:r w:rsidRPr="006657C0">
        <w:t xml:space="preserve">producing areas in </w:t>
      </w:r>
      <w:r>
        <w:t>the PNW-USA,</w:t>
      </w:r>
      <w:r w:rsidRPr="006657C0">
        <w:t xml:space="preserve"> climatic conditions limit the </w:t>
      </w:r>
      <w:r>
        <w:t>occurrence</w:t>
      </w:r>
      <w:r w:rsidRPr="006657C0">
        <w:t xml:space="preserve"> of this pathogen</w:t>
      </w:r>
      <w:r>
        <w:t xml:space="preserve"> and disease incidence</w:t>
      </w:r>
      <w:r w:rsidRPr="006657C0">
        <w:t xml:space="preserve">. The limited </w:t>
      </w:r>
      <w:r>
        <w:t>occurrence</w:t>
      </w:r>
      <w:r w:rsidRPr="006657C0">
        <w:t xml:space="preserve"> reduce</w:t>
      </w:r>
      <w:r>
        <w:t>s</w:t>
      </w:r>
      <w:r w:rsidRPr="006657C0">
        <w:t xml:space="preserve"> the</w:t>
      </w:r>
      <w:r>
        <w:t xml:space="preserve"> </w:t>
      </w:r>
      <w:r w:rsidRPr="006657C0">
        <w:t>potential for a source of inoculum to be present in orchards that produce apples for</w:t>
      </w:r>
      <w:r>
        <w:t xml:space="preserve"> </w:t>
      </w:r>
      <w:r w:rsidRPr="006657C0">
        <w:t>export. Further, specific environmental conditions are required over an extended period of</w:t>
      </w:r>
      <w:r>
        <w:t xml:space="preserve"> </w:t>
      </w:r>
      <w:r w:rsidRPr="006657C0">
        <w:t>time to produce spores that could potentially infect fruit.</w:t>
      </w:r>
      <w:r>
        <w:t xml:space="preserve"> T</w:t>
      </w:r>
      <w:r w:rsidRPr="006657C0">
        <w:t>hese conditions are</w:t>
      </w:r>
      <w:r>
        <w:t xml:space="preserve"> </w:t>
      </w:r>
      <w:r w:rsidRPr="006657C0">
        <w:t xml:space="preserve">unlikely to occur in </w:t>
      </w:r>
      <w:r>
        <w:t>the</w:t>
      </w:r>
      <w:r w:rsidRPr="006657C0">
        <w:t xml:space="preserve"> export</w:t>
      </w:r>
      <w:r>
        <w:t>ing</w:t>
      </w:r>
      <w:r w:rsidRPr="006657C0">
        <w:t xml:space="preserve"> region.</w:t>
      </w:r>
    </w:p>
    <w:p w14:paraId="665B9DAE" w14:textId="77777777" w:rsidR="003438A2" w:rsidRDefault="003438A2" w:rsidP="00862DBA">
      <w:pPr>
        <w:spacing w:before="240"/>
      </w:pPr>
      <w:r w:rsidRPr="006657C0">
        <w:t xml:space="preserve">Further, fruit </w:t>
      </w:r>
      <w:r>
        <w:t>are</w:t>
      </w:r>
      <w:r w:rsidRPr="006657C0">
        <w:t xml:space="preserve"> produced in orchards using targeted and general management measures</w:t>
      </w:r>
      <w:r>
        <w:t xml:space="preserve"> </w:t>
      </w:r>
      <w:r w:rsidRPr="006657C0">
        <w:t xml:space="preserve">to control </w:t>
      </w:r>
      <w:r w:rsidRPr="006657C0">
        <w:rPr>
          <w:i/>
        </w:rPr>
        <w:t>N. ditissima</w:t>
      </w:r>
      <w:r w:rsidRPr="006657C0">
        <w:t>. These management measures limit inoculum levels within an</w:t>
      </w:r>
      <w:r>
        <w:t xml:space="preserve"> </w:t>
      </w:r>
      <w:r w:rsidRPr="006657C0">
        <w:t xml:space="preserve">orchard and therefore </w:t>
      </w:r>
      <w:bookmarkStart w:id="417" w:name="_Hlk110191137"/>
      <w:r w:rsidRPr="006657C0">
        <w:t>reduce the opportunity for fruit infection</w:t>
      </w:r>
      <w:bookmarkEnd w:id="417"/>
      <w:r w:rsidRPr="006657C0">
        <w:t>, even when climatic conditions</w:t>
      </w:r>
      <w:r>
        <w:t xml:space="preserve"> </w:t>
      </w:r>
      <w:r w:rsidRPr="006657C0">
        <w:t xml:space="preserve">are favourable. The </w:t>
      </w:r>
      <w:r>
        <w:t>lack of reported</w:t>
      </w:r>
      <w:r w:rsidRPr="006657C0">
        <w:t xml:space="preserve"> fruit infections </w:t>
      </w:r>
      <w:r>
        <w:t>i</w:t>
      </w:r>
      <w:r w:rsidRPr="006657C0">
        <w:t xml:space="preserve">n </w:t>
      </w:r>
      <w:r>
        <w:t>packing houses in the PNW-USA</w:t>
      </w:r>
      <w:r w:rsidRPr="006657C0">
        <w:t xml:space="preserve"> </w:t>
      </w:r>
      <w:r>
        <w:t xml:space="preserve">in surveys </w:t>
      </w:r>
      <w:r w:rsidRPr="006657C0">
        <w:t xml:space="preserve">supports </w:t>
      </w:r>
      <w:r>
        <w:t>the</w:t>
      </w:r>
      <w:r w:rsidRPr="006657C0">
        <w:t xml:space="preserve"> limited </w:t>
      </w:r>
      <w:r>
        <w:t>occurrence of</w:t>
      </w:r>
      <w:r w:rsidRPr="006657C0">
        <w:t xml:space="preserve"> fruit infection.</w:t>
      </w:r>
      <w:r>
        <w:t xml:space="preserve"> Should some fruit infection occur, </w:t>
      </w:r>
      <w:r w:rsidRPr="006657C0">
        <w:t>packing house</w:t>
      </w:r>
      <w:r>
        <w:t xml:space="preserve"> procedures such as application of</w:t>
      </w:r>
      <w:r w:rsidRPr="006657C0">
        <w:t xml:space="preserve"> disinfectants</w:t>
      </w:r>
      <w:r>
        <w:t xml:space="preserve"> will </w:t>
      </w:r>
      <w:r w:rsidRPr="006657C0">
        <w:t xml:space="preserve">limit surface contamination </w:t>
      </w:r>
      <w:r>
        <w:t>from</w:t>
      </w:r>
      <w:r w:rsidRPr="006657C0">
        <w:t xml:space="preserve"> short</w:t>
      </w:r>
      <w:r>
        <w:t>-</w:t>
      </w:r>
      <w:r w:rsidRPr="006657C0">
        <w:t xml:space="preserve">lived spores. Grading procedures </w:t>
      </w:r>
      <w:r>
        <w:t xml:space="preserve">and pre-export inspection, which generally occurs after a period of cold storage, </w:t>
      </w:r>
      <w:r w:rsidRPr="006657C0">
        <w:t>will also</w:t>
      </w:r>
      <w:r>
        <w:t xml:space="preserve"> </w:t>
      </w:r>
      <w:r w:rsidRPr="006657C0">
        <w:t>remove apples with visible fruit rots.</w:t>
      </w:r>
      <w:r>
        <w:t xml:space="preserve"> For the reasons outlined, the </w:t>
      </w:r>
      <w:r w:rsidRPr="003F1A82">
        <w:t>likelihood</w:t>
      </w:r>
      <w:r>
        <w:t xml:space="preserve"> estimate for </w:t>
      </w:r>
      <w:r w:rsidRPr="003F1A82">
        <w:t xml:space="preserve">importation </w:t>
      </w:r>
      <w:r>
        <w:t xml:space="preserve">of </w:t>
      </w:r>
      <w:r w:rsidRPr="0070691A">
        <w:rPr>
          <w:i/>
        </w:rPr>
        <w:t>N.</w:t>
      </w:r>
      <w:r w:rsidRPr="007C70FE">
        <w:rPr>
          <w:i/>
        </w:rPr>
        <w:t> ditissima</w:t>
      </w:r>
      <w:r>
        <w:rPr>
          <w:i/>
        </w:rPr>
        <w:t xml:space="preserve"> </w:t>
      </w:r>
      <w:r>
        <w:t>on the PNW-USA apple pathway is assessed as Very Low.</w:t>
      </w:r>
    </w:p>
    <w:p w14:paraId="63BD058F" w14:textId="77777777" w:rsidR="003438A2" w:rsidRPr="00FF151F" w:rsidRDefault="003438A2" w:rsidP="00862DBA">
      <w:pPr>
        <w:pStyle w:val="Heading5"/>
      </w:pPr>
      <w:r w:rsidRPr="00FF151F">
        <w:t>Likelihood of distribution</w:t>
      </w:r>
    </w:p>
    <w:p w14:paraId="658B279F" w14:textId="77777777" w:rsidR="003438A2" w:rsidRPr="00FF151F" w:rsidRDefault="003438A2" w:rsidP="00862DBA">
      <w:r w:rsidRPr="00FF151F">
        <w:t xml:space="preserve">The likelihood that </w:t>
      </w:r>
      <w:r w:rsidRPr="00FF151F">
        <w:rPr>
          <w:i/>
        </w:rPr>
        <w:t>N. ditissima</w:t>
      </w:r>
      <w:r w:rsidRPr="00FF151F">
        <w:t xml:space="preserve"> will be distributed within Australia in a viable state as a result of the processing, sale or disposal of apples from the PNW-USA, and subsequently transfer to susceptible hosts is considered to be similar to </w:t>
      </w:r>
      <w:r w:rsidRPr="00FF151F">
        <w:rPr>
          <w:i/>
        </w:rPr>
        <w:t>N. ditissima</w:t>
      </w:r>
      <w:r w:rsidRPr="00FF151F">
        <w:t xml:space="preserve"> </w:t>
      </w:r>
      <w:r w:rsidRPr="00FF151F">
        <w:rPr>
          <w:iCs/>
        </w:rPr>
        <w:t>on apples from New Zealand</w:t>
      </w:r>
      <w:r w:rsidRPr="00FF151F">
        <w:t xml:space="preserve">. </w:t>
      </w:r>
    </w:p>
    <w:p w14:paraId="267BF573" w14:textId="77777777" w:rsidR="003438A2" w:rsidRPr="00FF151F" w:rsidRDefault="003438A2" w:rsidP="00862DBA">
      <w:r w:rsidRPr="00FF151F">
        <w:t xml:space="preserve">Therefore, the same rating of Very Low for the likelihood of distribution previously assessed for </w:t>
      </w:r>
      <w:r w:rsidRPr="00FF151F">
        <w:rPr>
          <w:i/>
        </w:rPr>
        <w:t>N. ditissima</w:t>
      </w:r>
      <w:r w:rsidRPr="00FF151F">
        <w:t xml:space="preserve"> </w:t>
      </w:r>
      <w:r w:rsidRPr="00FF151F">
        <w:rPr>
          <w:iCs/>
        </w:rPr>
        <w:t xml:space="preserve">on </w:t>
      </w:r>
      <w:r>
        <w:rPr>
          <w:iCs/>
        </w:rPr>
        <w:t xml:space="preserve">the </w:t>
      </w:r>
      <w:r w:rsidRPr="00FF151F">
        <w:rPr>
          <w:iCs/>
        </w:rPr>
        <w:t xml:space="preserve">apples from New Zealand pathway is adopted for </w:t>
      </w:r>
      <w:r w:rsidRPr="00FF151F">
        <w:rPr>
          <w:i/>
        </w:rPr>
        <w:t>N. ditissima</w:t>
      </w:r>
      <w:r w:rsidRPr="00FF151F">
        <w:t xml:space="preserve"> </w:t>
      </w:r>
      <w:r w:rsidRPr="00FF151F">
        <w:rPr>
          <w:iCs/>
        </w:rPr>
        <w:t xml:space="preserve">on </w:t>
      </w:r>
      <w:r>
        <w:rPr>
          <w:iCs/>
        </w:rPr>
        <w:t xml:space="preserve">the </w:t>
      </w:r>
      <w:r w:rsidRPr="00FF151F">
        <w:rPr>
          <w:iCs/>
        </w:rPr>
        <w:t xml:space="preserve">apples from PNW-USA pathway. </w:t>
      </w:r>
    </w:p>
    <w:p w14:paraId="7C840BD3" w14:textId="77777777" w:rsidR="003438A2" w:rsidRPr="00FF151F" w:rsidRDefault="003438A2" w:rsidP="00862DBA">
      <w:pPr>
        <w:pStyle w:val="Heading5"/>
      </w:pPr>
      <w:r w:rsidRPr="00FF151F">
        <w:t>Overall likelihood of entry</w:t>
      </w:r>
    </w:p>
    <w:p w14:paraId="70C68FB1" w14:textId="77777777" w:rsidR="003438A2" w:rsidRPr="00FF151F" w:rsidRDefault="003438A2" w:rsidP="00862DBA">
      <w:r w:rsidRPr="00FF151F">
        <w:t xml:space="preserve">The overall likelihood of entry is determined as Extremely Low by combining the assessed likelihood of importation of Very Low with the adopted likelihood of distribution of Very Low, </w:t>
      </w:r>
      <w:r w:rsidRPr="00FF151F">
        <w:rPr>
          <w:rFonts w:cstheme="minorHAnsi"/>
        </w:rPr>
        <w:t>using the matrix of rules in</w:t>
      </w:r>
      <w:r>
        <w:rPr>
          <w:rFonts w:cstheme="minorHAnsi"/>
        </w:rPr>
        <w:t xml:space="preserve"> </w:t>
      </w:r>
      <w:r>
        <w:rPr>
          <w:rFonts w:cstheme="minorHAnsi"/>
        </w:rPr>
        <w:fldChar w:fldCharType="begin" w:fldLock="1"/>
      </w:r>
      <w:r>
        <w:rPr>
          <w:rFonts w:cstheme="minorHAnsi"/>
        </w:rPr>
        <w:instrText xml:space="preserve"> REF _Ref457826328 \h </w:instrText>
      </w:r>
      <w:r>
        <w:rPr>
          <w:rFonts w:cstheme="minorHAnsi"/>
        </w:rPr>
      </w:r>
      <w:r>
        <w:rPr>
          <w:rFonts w:cstheme="minorHAnsi"/>
        </w:rPr>
        <w:fldChar w:fldCharType="separate"/>
      </w:r>
      <w:r w:rsidRPr="00DB5F8D">
        <w:t xml:space="preserve">Table </w:t>
      </w:r>
      <w:r>
        <w:rPr>
          <w:noProof/>
        </w:rPr>
        <w:t>2</w:t>
      </w:r>
      <w:r>
        <w:t>.</w:t>
      </w:r>
      <w:r>
        <w:rPr>
          <w:noProof/>
        </w:rPr>
        <w:t>2</w:t>
      </w:r>
      <w:r>
        <w:rPr>
          <w:rFonts w:cstheme="minorHAnsi"/>
        </w:rPr>
        <w:fldChar w:fldCharType="end"/>
      </w:r>
      <w:r>
        <w:rPr>
          <w:rFonts w:cstheme="minorHAnsi"/>
        </w:rPr>
        <w:t>.</w:t>
      </w:r>
    </w:p>
    <w:p w14:paraId="0C8364D4" w14:textId="77777777" w:rsidR="003438A2" w:rsidRPr="00FF151F" w:rsidRDefault="003438A2" w:rsidP="003438A2">
      <w:pPr>
        <w:pStyle w:val="Heading4"/>
        <w:numPr>
          <w:ilvl w:val="2"/>
          <w:numId w:val="31"/>
        </w:numPr>
        <w:tabs>
          <w:tab w:val="clear" w:pos="1645"/>
          <w:tab w:val="num" w:pos="794"/>
        </w:tabs>
        <w:ind w:left="1786"/>
      </w:pPr>
      <w:r w:rsidRPr="00FF151F">
        <w:t>Likelihood</w:t>
      </w:r>
      <w:r>
        <w:t>s</w:t>
      </w:r>
      <w:r w:rsidRPr="00FF151F">
        <w:t xml:space="preserve"> of establishment and spread</w:t>
      </w:r>
    </w:p>
    <w:p w14:paraId="27BFBF4E" w14:textId="77777777" w:rsidR="003438A2" w:rsidRPr="00FF151F" w:rsidRDefault="003438A2" w:rsidP="00862DBA">
      <w:pPr>
        <w:autoSpaceDE w:val="0"/>
        <w:autoSpaceDN w:val="0"/>
        <w:adjustRightInd w:val="0"/>
        <w:rPr>
          <w:rFonts w:cstheme="minorHAnsi"/>
        </w:rPr>
      </w:pPr>
      <w:r w:rsidRPr="00FF151F">
        <w:rPr>
          <w:rFonts w:cstheme="minorHAnsi"/>
        </w:rPr>
        <w:t xml:space="preserve">The likelihoods of establishment and spread for </w:t>
      </w:r>
      <w:r w:rsidRPr="00FF151F">
        <w:rPr>
          <w:i/>
        </w:rPr>
        <w:t>N. ditissima</w:t>
      </w:r>
      <w:r w:rsidRPr="00FF151F">
        <w:t xml:space="preserve"> </w:t>
      </w:r>
      <w:r w:rsidRPr="00FF151F">
        <w:rPr>
          <w:rFonts w:cstheme="minorHAnsi"/>
        </w:rPr>
        <w:t>are independent of the import pathway and are considered similar to those previously assessed for apples from New Zealand.</w:t>
      </w:r>
    </w:p>
    <w:p w14:paraId="021AE636" w14:textId="35B37D99" w:rsidR="003438A2" w:rsidRPr="00D407CD" w:rsidRDefault="003438A2" w:rsidP="00862DBA">
      <w:pPr>
        <w:autoSpaceDE w:val="0"/>
        <w:autoSpaceDN w:val="0"/>
        <w:adjustRightInd w:val="0"/>
      </w:pPr>
      <w:r w:rsidRPr="00FF151F">
        <w:rPr>
          <w:rFonts w:cstheme="minorHAnsi"/>
        </w:rPr>
        <w:lastRenderedPageBreak/>
        <w:t xml:space="preserve">Based on the previous assessment for apples from </w:t>
      </w:r>
      <w:r w:rsidRPr="00D407CD">
        <w:rPr>
          <w:rFonts w:cstheme="minorHAnsi"/>
        </w:rPr>
        <w:t xml:space="preserve">New Zealand </w:t>
      </w:r>
      <w:r w:rsidRPr="00D407CD">
        <w:rPr>
          <w:noProof/>
        </w:rPr>
        <w:t>(Biosecurity Australia 2011b)</w:t>
      </w:r>
      <w:r w:rsidRPr="00D407CD">
        <w:t xml:space="preserve">, </w:t>
      </w:r>
      <w:r w:rsidRPr="00D407CD">
        <w:rPr>
          <w:rFonts w:cstheme="minorHAnsi"/>
        </w:rPr>
        <w:t xml:space="preserve">the likelihoods of establishment and spread for </w:t>
      </w:r>
      <w:r w:rsidRPr="00D407CD">
        <w:rPr>
          <w:i/>
        </w:rPr>
        <w:t>N. ditissima</w:t>
      </w:r>
      <w:r w:rsidRPr="00D407CD">
        <w:t xml:space="preserve"> </w:t>
      </w:r>
      <w:r w:rsidRPr="00D407CD">
        <w:rPr>
          <w:rFonts w:cstheme="minorHAnsi"/>
        </w:rPr>
        <w:t>are assessed as Moderate and Moderate, respectively.</w:t>
      </w:r>
    </w:p>
    <w:p w14:paraId="5CFE550C" w14:textId="77777777" w:rsidR="003438A2" w:rsidRPr="00D407CD" w:rsidRDefault="003438A2" w:rsidP="003438A2">
      <w:pPr>
        <w:pStyle w:val="Heading4"/>
        <w:numPr>
          <w:ilvl w:val="2"/>
          <w:numId w:val="31"/>
        </w:numPr>
        <w:tabs>
          <w:tab w:val="clear" w:pos="1645"/>
          <w:tab w:val="num" w:pos="794"/>
        </w:tabs>
        <w:ind w:left="1786"/>
      </w:pPr>
      <w:r w:rsidRPr="00D407CD">
        <w:t>Overall likelihood of entry, establishment and spread</w:t>
      </w:r>
    </w:p>
    <w:p w14:paraId="24118661" w14:textId="77777777" w:rsidR="003438A2" w:rsidRPr="00BC1B9F" w:rsidRDefault="003438A2" w:rsidP="00862DBA">
      <w:pPr>
        <w:autoSpaceDE w:val="0"/>
        <w:autoSpaceDN w:val="0"/>
        <w:adjustRightInd w:val="0"/>
      </w:pPr>
      <w:r w:rsidRPr="00BC1B9F">
        <w:t>The overall likelihood of entry, establishment and spread is determined by combining the likelihoods of entry, of establishment and of spread using the matrix of rules shown in</w:t>
      </w:r>
      <w:r>
        <w:t xml:space="preserve"> </w:t>
      </w:r>
      <w:r>
        <w:fldChar w:fldCharType="begin" w:fldLock="1"/>
      </w:r>
      <w:r>
        <w:instrText xml:space="preserve"> REF _Ref457826328 \h </w:instrText>
      </w:r>
      <w:r>
        <w:fldChar w:fldCharType="separate"/>
      </w:r>
      <w:r w:rsidRPr="00DB5F8D">
        <w:t xml:space="preserve">Table </w:t>
      </w:r>
      <w:r>
        <w:rPr>
          <w:noProof/>
        </w:rPr>
        <w:t>2</w:t>
      </w:r>
      <w:r>
        <w:t>.</w:t>
      </w:r>
      <w:r>
        <w:rPr>
          <w:noProof/>
        </w:rPr>
        <w:t>2</w:t>
      </w:r>
      <w:r>
        <w:fldChar w:fldCharType="end"/>
      </w:r>
      <w:r>
        <w:t>.</w:t>
      </w:r>
    </w:p>
    <w:p w14:paraId="4F5CF9A0" w14:textId="77777777" w:rsidR="003438A2" w:rsidRPr="00BC1B9F" w:rsidRDefault="003438A2" w:rsidP="00862DBA">
      <w:pPr>
        <w:autoSpaceDE w:val="0"/>
        <w:autoSpaceDN w:val="0"/>
        <w:adjustRightInd w:val="0"/>
        <w:rPr>
          <w:rFonts w:cstheme="minorHAnsi"/>
        </w:rPr>
      </w:pPr>
      <w:r w:rsidRPr="00BC1B9F">
        <w:t xml:space="preserve">The overall likelihood that </w:t>
      </w:r>
      <w:r w:rsidRPr="00BC1B9F">
        <w:rPr>
          <w:i/>
        </w:rPr>
        <w:t>N. ditissima</w:t>
      </w:r>
      <w:r w:rsidRPr="00BC1B9F">
        <w:t xml:space="preserve"> will enter Australia as a result of trade in apples from the PNW-USA, be distributed in a viable state to a susceptible part of a host, establish in Australia and subsequently spread within Australia is assessed as Extremely </w:t>
      </w:r>
      <w:r>
        <w:t>Low</w:t>
      </w:r>
      <w:r w:rsidRPr="00BC1B9F">
        <w:rPr>
          <w:rFonts w:cstheme="minorHAnsi"/>
        </w:rPr>
        <w:t>.</w:t>
      </w:r>
    </w:p>
    <w:p w14:paraId="3CE1466B" w14:textId="77777777" w:rsidR="003438A2" w:rsidRPr="00FF151F" w:rsidRDefault="003438A2" w:rsidP="003438A2">
      <w:pPr>
        <w:pStyle w:val="Heading4"/>
        <w:numPr>
          <w:ilvl w:val="2"/>
          <w:numId w:val="31"/>
        </w:numPr>
        <w:tabs>
          <w:tab w:val="clear" w:pos="1645"/>
          <w:tab w:val="num" w:pos="794"/>
        </w:tabs>
        <w:ind w:left="1786"/>
      </w:pPr>
      <w:r w:rsidRPr="00FF151F">
        <w:t>Consequences</w:t>
      </w:r>
    </w:p>
    <w:p w14:paraId="295741CD" w14:textId="77777777" w:rsidR="003438A2" w:rsidRPr="00D407CD" w:rsidRDefault="003438A2" w:rsidP="00862DBA">
      <w:pPr>
        <w:autoSpaceDE w:val="0"/>
        <w:autoSpaceDN w:val="0"/>
        <w:adjustRightInd w:val="0"/>
        <w:rPr>
          <w:rFonts w:cstheme="minorHAnsi"/>
        </w:rPr>
      </w:pPr>
      <w:r w:rsidRPr="00FF151F">
        <w:t xml:space="preserve">The potential consequences of the entry, establishment and spread of </w:t>
      </w:r>
      <w:r w:rsidRPr="00FF151F">
        <w:rPr>
          <w:i/>
        </w:rPr>
        <w:t>N. ditissima</w:t>
      </w:r>
      <w:r w:rsidRPr="00FF151F">
        <w:t xml:space="preserve"> in Australia are similar to those in the previous </w:t>
      </w:r>
      <w:r w:rsidRPr="00D407CD">
        <w:t xml:space="preserve">assessment for </w:t>
      </w:r>
      <w:r w:rsidRPr="00D407CD">
        <w:rPr>
          <w:i/>
        </w:rPr>
        <w:t>N. ditissima</w:t>
      </w:r>
      <w:r w:rsidRPr="00D407CD">
        <w:t xml:space="preserve"> on the apples from New Zealand pathway, which were assessed as Low </w:t>
      </w:r>
      <w:r w:rsidRPr="00D407CD">
        <w:rPr>
          <w:noProof/>
        </w:rPr>
        <w:t>(Biosecurity Australia 2011b)</w:t>
      </w:r>
      <w:r w:rsidRPr="00D407CD">
        <w:t xml:space="preserve">. The overall consequences for </w:t>
      </w:r>
      <w:r w:rsidRPr="00D407CD">
        <w:rPr>
          <w:i/>
        </w:rPr>
        <w:t>N. ditissima</w:t>
      </w:r>
      <w:r w:rsidRPr="00D407CD">
        <w:t xml:space="preserve"> on apples from the PNW-USA pathway are also assessed as Low.</w:t>
      </w:r>
    </w:p>
    <w:p w14:paraId="13842187" w14:textId="77777777" w:rsidR="003438A2" w:rsidRPr="00D407CD" w:rsidRDefault="003438A2" w:rsidP="003438A2">
      <w:pPr>
        <w:pStyle w:val="Heading4"/>
        <w:numPr>
          <w:ilvl w:val="2"/>
          <w:numId w:val="31"/>
        </w:numPr>
        <w:tabs>
          <w:tab w:val="clear" w:pos="1645"/>
          <w:tab w:val="num" w:pos="794"/>
        </w:tabs>
        <w:ind w:left="1786"/>
      </w:pPr>
      <w:r w:rsidRPr="00D407CD">
        <w:t>Unrestricted risk estimate</w:t>
      </w:r>
    </w:p>
    <w:p w14:paraId="4F06F988" w14:textId="77777777" w:rsidR="003438A2" w:rsidRPr="00D407CD" w:rsidRDefault="003438A2" w:rsidP="00862DBA">
      <w:bookmarkStart w:id="418" w:name="_Hlk47596833"/>
      <w:r w:rsidRPr="00D407CD">
        <w:t xml:space="preserve">Unrestricted risk is the result of combining the overall likelihood of entry, establishment and spread with the outcome of overall consequences. The overall likelihood and consequences are combined using the risk estimation matrix shown in </w:t>
      </w:r>
      <w:r w:rsidRPr="00D407CD">
        <w:fldChar w:fldCharType="begin" w:fldLock="1"/>
      </w:r>
      <w:r w:rsidRPr="00D407CD">
        <w:instrText xml:space="preserve"> REF _Ref457826369 \h </w:instrText>
      </w:r>
      <w:r>
        <w:instrText xml:space="preserve"> \* MERGEFORMAT </w:instrText>
      </w:r>
      <w:r w:rsidRPr="00D407CD">
        <w:fldChar w:fldCharType="separate"/>
      </w:r>
      <w:r>
        <w:t xml:space="preserve">Table </w:t>
      </w:r>
      <w:r>
        <w:rPr>
          <w:noProof/>
        </w:rPr>
        <w:t>2.5</w:t>
      </w:r>
      <w:r w:rsidRPr="00D407CD">
        <w:fldChar w:fldCharType="end"/>
      </w:r>
      <w:r w:rsidRPr="00D407CD">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3438A2" w:rsidRPr="00D407CD" w14:paraId="5CCF02DA" w14:textId="77777777" w:rsidTr="001A4104">
        <w:trPr>
          <w:trHeight w:val="423"/>
        </w:trPr>
        <w:tc>
          <w:tcPr>
            <w:tcW w:w="5000" w:type="pct"/>
            <w:gridSpan w:val="2"/>
            <w:tcBorders>
              <w:top w:val="single" w:sz="4" w:space="0" w:color="auto"/>
              <w:bottom w:val="single" w:sz="4" w:space="0" w:color="auto"/>
            </w:tcBorders>
            <w:shd w:val="clear" w:color="auto" w:fill="auto"/>
          </w:tcPr>
          <w:p w14:paraId="599FA6CE" w14:textId="77777777" w:rsidR="003438A2" w:rsidRPr="00D407CD" w:rsidRDefault="003438A2" w:rsidP="001A4104">
            <w:pPr>
              <w:pStyle w:val="TableHeading"/>
            </w:pPr>
            <w:r w:rsidRPr="00D407CD">
              <w:t xml:space="preserve">Unrestricted risk estimate for </w:t>
            </w:r>
            <w:r w:rsidRPr="00D407CD">
              <w:rPr>
                <w:i/>
              </w:rPr>
              <w:t>N. ditissima</w:t>
            </w:r>
          </w:p>
        </w:tc>
      </w:tr>
      <w:tr w:rsidR="003438A2" w:rsidRPr="00D407CD" w14:paraId="57D28AA3" w14:textId="77777777" w:rsidTr="001A4104">
        <w:trPr>
          <w:trHeight w:val="273"/>
        </w:trPr>
        <w:tc>
          <w:tcPr>
            <w:tcW w:w="3417" w:type="pct"/>
            <w:tcBorders>
              <w:top w:val="single" w:sz="4" w:space="0" w:color="auto"/>
              <w:bottom w:val="nil"/>
            </w:tcBorders>
            <w:shd w:val="clear" w:color="auto" w:fill="auto"/>
          </w:tcPr>
          <w:p w14:paraId="0CAD531E" w14:textId="77777777" w:rsidR="003438A2" w:rsidRPr="00D407CD" w:rsidRDefault="003438A2" w:rsidP="001A4104">
            <w:pPr>
              <w:pStyle w:val="TableText"/>
            </w:pPr>
            <w:r w:rsidRPr="00D407CD">
              <w:t>Overall likelihood of entry, establishment and spread</w:t>
            </w:r>
          </w:p>
        </w:tc>
        <w:tc>
          <w:tcPr>
            <w:tcW w:w="1583" w:type="pct"/>
            <w:tcBorders>
              <w:top w:val="single" w:sz="4" w:space="0" w:color="auto"/>
              <w:bottom w:val="nil"/>
            </w:tcBorders>
            <w:shd w:val="clear" w:color="auto" w:fill="auto"/>
          </w:tcPr>
          <w:p w14:paraId="705A6B48" w14:textId="77777777" w:rsidR="003438A2" w:rsidRPr="00D407CD" w:rsidRDefault="003438A2" w:rsidP="001A4104">
            <w:pPr>
              <w:pStyle w:val="TableText"/>
            </w:pPr>
            <w:r w:rsidRPr="00D407CD">
              <w:t>Extremely low</w:t>
            </w:r>
          </w:p>
        </w:tc>
      </w:tr>
      <w:tr w:rsidR="003438A2" w:rsidRPr="00D407CD" w14:paraId="2E7C6128" w14:textId="77777777" w:rsidTr="001A4104">
        <w:trPr>
          <w:trHeight w:val="284"/>
        </w:trPr>
        <w:tc>
          <w:tcPr>
            <w:tcW w:w="3417" w:type="pct"/>
            <w:tcBorders>
              <w:top w:val="nil"/>
              <w:bottom w:val="nil"/>
            </w:tcBorders>
            <w:shd w:val="clear" w:color="auto" w:fill="auto"/>
          </w:tcPr>
          <w:p w14:paraId="431D7531" w14:textId="77777777" w:rsidR="003438A2" w:rsidRPr="00D407CD" w:rsidRDefault="003438A2" w:rsidP="001A4104">
            <w:pPr>
              <w:pStyle w:val="TableText"/>
            </w:pPr>
            <w:r w:rsidRPr="00D407CD">
              <w:t>Consequences</w:t>
            </w:r>
          </w:p>
        </w:tc>
        <w:tc>
          <w:tcPr>
            <w:tcW w:w="1583" w:type="pct"/>
            <w:tcBorders>
              <w:top w:val="nil"/>
              <w:bottom w:val="nil"/>
            </w:tcBorders>
            <w:shd w:val="clear" w:color="auto" w:fill="auto"/>
          </w:tcPr>
          <w:p w14:paraId="5C25BACE" w14:textId="77777777" w:rsidR="003438A2" w:rsidRPr="00D407CD" w:rsidRDefault="003438A2" w:rsidP="001A4104">
            <w:pPr>
              <w:pStyle w:val="TableText"/>
            </w:pPr>
            <w:r w:rsidRPr="00D407CD">
              <w:t>Low</w:t>
            </w:r>
          </w:p>
        </w:tc>
      </w:tr>
      <w:tr w:rsidR="003438A2" w:rsidRPr="00D407CD" w14:paraId="5EF6D5E2" w14:textId="77777777" w:rsidTr="001A4104">
        <w:trPr>
          <w:trHeight w:val="284"/>
        </w:trPr>
        <w:tc>
          <w:tcPr>
            <w:tcW w:w="3417" w:type="pct"/>
            <w:tcBorders>
              <w:top w:val="nil"/>
              <w:bottom w:val="single" w:sz="4" w:space="0" w:color="auto"/>
            </w:tcBorders>
            <w:shd w:val="clear" w:color="auto" w:fill="auto"/>
          </w:tcPr>
          <w:p w14:paraId="74A7F9B8" w14:textId="77777777" w:rsidR="003438A2" w:rsidRPr="00D407CD" w:rsidRDefault="003438A2" w:rsidP="001A4104">
            <w:pPr>
              <w:pStyle w:val="TableText"/>
            </w:pPr>
            <w:r w:rsidRPr="00D407CD">
              <w:t>Unrestricted risk</w:t>
            </w:r>
          </w:p>
        </w:tc>
        <w:tc>
          <w:tcPr>
            <w:tcW w:w="1583" w:type="pct"/>
            <w:tcBorders>
              <w:top w:val="nil"/>
              <w:bottom w:val="single" w:sz="4" w:space="0" w:color="auto"/>
            </w:tcBorders>
            <w:shd w:val="clear" w:color="auto" w:fill="auto"/>
          </w:tcPr>
          <w:p w14:paraId="6B23FEE7" w14:textId="77777777" w:rsidR="003438A2" w:rsidRPr="00D407CD" w:rsidRDefault="003438A2" w:rsidP="001A4104">
            <w:pPr>
              <w:pStyle w:val="TableText"/>
            </w:pPr>
            <w:r w:rsidRPr="00D407CD">
              <w:t>Negligible</w:t>
            </w:r>
          </w:p>
        </w:tc>
      </w:tr>
    </w:tbl>
    <w:p w14:paraId="3E782395" w14:textId="77777777" w:rsidR="003438A2" w:rsidRPr="00D407CD" w:rsidRDefault="003438A2" w:rsidP="00862DBA"/>
    <w:p w14:paraId="21F9D4DC" w14:textId="77777777" w:rsidR="003438A2" w:rsidRDefault="003438A2" w:rsidP="00862DBA">
      <w:pPr>
        <w:sectPr w:rsidR="003438A2" w:rsidSect="00E310DC">
          <w:pgSz w:w="11906" w:h="16838"/>
          <w:pgMar w:top="1418" w:right="1418" w:bottom="1418" w:left="1418" w:header="567" w:footer="283" w:gutter="0"/>
          <w:cols w:space="708"/>
          <w:docGrid w:linePitch="360"/>
        </w:sectPr>
      </w:pPr>
      <w:r w:rsidRPr="00D407CD">
        <w:t xml:space="preserve">When routinely applied industry commercial practices such as in-field controls and packing house sanitation are taken into consideration, the unrestricted risk estimate for </w:t>
      </w:r>
      <w:r w:rsidRPr="00D407CD">
        <w:rPr>
          <w:i/>
        </w:rPr>
        <w:t xml:space="preserve">N. ditissima </w:t>
      </w:r>
      <w:r w:rsidRPr="00D407CD">
        <w:t xml:space="preserve">on the apples from PNW-USA pathway has been assessed as Negligible, which achieves the ALOP for Australia. Therefore, no additional practices or specific risk management measures are required for </w:t>
      </w:r>
      <w:r w:rsidRPr="00D407CD">
        <w:rPr>
          <w:i/>
        </w:rPr>
        <w:t xml:space="preserve">N. ditissima </w:t>
      </w:r>
      <w:r w:rsidRPr="00D407CD">
        <w:t>on the PNW-USA apple pathway.</w:t>
      </w:r>
      <w:bookmarkEnd w:id="418"/>
    </w:p>
    <w:p w14:paraId="0867CB93" w14:textId="77777777" w:rsidR="003438A2" w:rsidRPr="00AB1BD9" w:rsidRDefault="003438A2" w:rsidP="00F843A1">
      <w:pPr>
        <w:pStyle w:val="Heading3"/>
        <w:numPr>
          <w:ilvl w:val="1"/>
          <w:numId w:val="35"/>
        </w:numPr>
      </w:pPr>
      <w:bookmarkStart w:id="419" w:name="_Ref46060217"/>
      <w:bookmarkStart w:id="420" w:name="_Toc112769021"/>
      <w:bookmarkStart w:id="421" w:name="_Hlk42014023"/>
      <w:bookmarkEnd w:id="408"/>
      <w:bookmarkEnd w:id="409"/>
      <w:r w:rsidRPr="00AB1BD9">
        <w:lastRenderedPageBreak/>
        <w:t>Speck rot</w:t>
      </w:r>
      <w:bookmarkEnd w:id="419"/>
      <w:bookmarkEnd w:id="420"/>
    </w:p>
    <w:p w14:paraId="10F97D1A" w14:textId="77777777" w:rsidR="003438A2" w:rsidRPr="007A090D" w:rsidRDefault="003438A2" w:rsidP="00862DBA">
      <w:pPr>
        <w:pStyle w:val="Heading4"/>
        <w:numPr>
          <w:ilvl w:val="0"/>
          <w:numId w:val="0"/>
        </w:numPr>
        <w:spacing w:line="276" w:lineRule="auto"/>
        <w:rPr>
          <w:i/>
        </w:rPr>
      </w:pPr>
      <w:r w:rsidRPr="007A090D">
        <w:rPr>
          <w:i/>
        </w:rPr>
        <w:t>Phacidiopycnis washingtonensis</w:t>
      </w:r>
    </w:p>
    <w:p w14:paraId="4E4118D9" w14:textId="77777777" w:rsidR="003438A2" w:rsidRPr="00E64620" w:rsidRDefault="003438A2" w:rsidP="00862DBA">
      <w:r w:rsidRPr="00E64620">
        <w:rPr>
          <w:i/>
        </w:rPr>
        <w:t>Phacidiopycnis washingtonensis</w:t>
      </w:r>
      <w:r w:rsidRPr="00E64620">
        <w:t xml:space="preserve"> is an ascomycete fungal pathogen belonging to the family Rhytismataceae, that causes a post-harvest rot disease named ‘speck rot’ in apple and pear fruit in the PNW-USA</w:t>
      </w:r>
      <w:r>
        <w:t xml:space="preserve"> </w:t>
      </w:r>
      <w:r>
        <w:rPr>
          <w:noProof/>
        </w:rPr>
        <w:t>(Ali et al. 2018; Amiri &amp; Ali 2016; Kim &amp; Xiao 2006; Pscheidt &amp; Ocamb 2021c; Xiao 2011; Xiao &amp; Kim 2013)</w:t>
      </w:r>
      <w:r>
        <w:t>.</w:t>
      </w:r>
    </w:p>
    <w:p w14:paraId="326324D5" w14:textId="585BBB59" w:rsidR="003438A2" w:rsidRPr="00E64620" w:rsidRDefault="003438A2" w:rsidP="00862DBA">
      <w:r w:rsidRPr="00847F92">
        <w:rPr>
          <w:i/>
        </w:rPr>
        <w:t>Phacidiopycnis washingtonensis</w:t>
      </w:r>
      <w:r w:rsidRPr="00847F92">
        <w:t xml:space="preserve"> is a</w:t>
      </w:r>
      <w:r>
        <w:t>n</w:t>
      </w:r>
      <w:r w:rsidRPr="00847F92">
        <w:t xml:space="preserve"> emerging pome fruit pathogen </w:t>
      </w:r>
      <w:r>
        <w:t xml:space="preserve">in PNW-USA </w:t>
      </w:r>
      <w:r>
        <w:rPr>
          <w:noProof/>
        </w:rPr>
        <w:t>(Amiri &amp; Ali 2016)</w:t>
      </w:r>
      <w:r>
        <w:t>,</w:t>
      </w:r>
      <w:r w:rsidRPr="00847F92">
        <w:t xml:space="preserve"> which was discovered in Washington during a survey of post-harvest diseases in Red Delicious apples in the 2002 and 2003</w:t>
      </w:r>
      <w:r>
        <w:t xml:space="preserve"> </w:t>
      </w:r>
      <w:r w:rsidRPr="00847F92">
        <w:t xml:space="preserve">storage seasons </w:t>
      </w:r>
      <w:r>
        <w:rPr>
          <w:noProof/>
        </w:rPr>
        <w:t>(Kim &amp; Xiao 2006; Sikdar et al. 2014; Xiao et al. 2005; Xiao &amp; Kim 2008)</w:t>
      </w:r>
      <w:r w:rsidRPr="00847F92">
        <w:t>. It is more common in apples than</w:t>
      </w:r>
      <w:r>
        <w:t xml:space="preserve"> in</w:t>
      </w:r>
      <w:r w:rsidRPr="00847F92">
        <w:t xml:space="preserve"> pears in Washington</w:t>
      </w:r>
      <w:r>
        <w:t xml:space="preserve"> </w:t>
      </w:r>
      <w:r>
        <w:rPr>
          <w:noProof/>
        </w:rPr>
        <w:t>(Amiri &amp; Ali 2016)</w:t>
      </w:r>
      <w:r>
        <w:t>. S</w:t>
      </w:r>
      <w:r w:rsidRPr="00847F92">
        <w:t>ince</w:t>
      </w:r>
      <w:r w:rsidRPr="003E3346">
        <w:t xml:space="preserve"> 2002, </w:t>
      </w:r>
      <w:r w:rsidRPr="003E3346">
        <w:rPr>
          <w:i/>
        </w:rPr>
        <w:t>P. washingtonensis</w:t>
      </w:r>
      <w:r w:rsidRPr="003E3346">
        <w:t xml:space="preserve"> has </w:t>
      </w:r>
      <w:r>
        <w:t>been found in</w:t>
      </w:r>
      <w:r w:rsidRPr="003E3346">
        <w:t xml:space="preserve"> Oregon</w:t>
      </w:r>
      <w:r>
        <w:t xml:space="preserve"> </w:t>
      </w:r>
      <w:bookmarkStart w:id="422" w:name="_Hlk111846439"/>
      <w:r>
        <w:rPr>
          <w:noProof/>
        </w:rPr>
        <w:t>(Elliott et al. 2014)</w:t>
      </w:r>
      <w:r>
        <w:t xml:space="preserve">, </w:t>
      </w:r>
      <w:bookmarkEnd w:id="422"/>
      <w:r w:rsidRPr="00696309">
        <w:t>but it has</w:t>
      </w:r>
      <w:r w:rsidRPr="00802C6E">
        <w:t xml:space="preserve"> </w:t>
      </w:r>
      <w:r>
        <w:t xml:space="preserve">not been </w:t>
      </w:r>
      <w:r w:rsidRPr="00E64620">
        <w:t>recorded in Idaho.</w:t>
      </w:r>
    </w:p>
    <w:p w14:paraId="2088DDB7" w14:textId="522F2683" w:rsidR="003438A2" w:rsidRPr="00E64620" w:rsidRDefault="003438A2" w:rsidP="00862DBA">
      <w:r w:rsidRPr="00E64620">
        <w:t xml:space="preserve">Globally, </w:t>
      </w:r>
      <w:r w:rsidRPr="00E64620">
        <w:rPr>
          <w:i/>
        </w:rPr>
        <w:t>P. washingtonensis</w:t>
      </w:r>
      <w:r w:rsidRPr="00E64620">
        <w:t xml:space="preserve"> is present in Germany </w:t>
      </w:r>
      <w:r w:rsidRPr="00E64620">
        <w:rPr>
          <w:noProof/>
        </w:rPr>
        <w:t>(Weber 2011)</w:t>
      </w:r>
      <w:r w:rsidRPr="00E64620">
        <w:t xml:space="preserve">, Italy </w:t>
      </w:r>
      <w:r w:rsidRPr="00E64620">
        <w:rPr>
          <w:noProof/>
        </w:rPr>
        <w:t>(Garibaldi et al. 2010; Sikdar et al. 2016)</w:t>
      </w:r>
      <w:r w:rsidRPr="00E64620">
        <w:t xml:space="preserve">, South America </w:t>
      </w:r>
      <w:r w:rsidRPr="00E64620">
        <w:rPr>
          <w:noProof/>
        </w:rPr>
        <w:t>(Díaz et al. 2016)</w:t>
      </w:r>
      <w:r w:rsidRPr="00E64620">
        <w:t xml:space="preserve"> and India</w:t>
      </w:r>
      <w:r>
        <w:t xml:space="preserve"> (</w:t>
      </w:r>
      <w:hyperlink w:anchor="_ENREF_14" w:tooltip="Amiri, 2016 #46688" w:history="1">
        <w:r>
          <w:rPr>
            <w:noProof/>
            <w:lang w:eastAsia="en-AU"/>
          </w:rPr>
          <w:t>Amiri &amp; Ali 2016</w:t>
        </w:r>
      </w:hyperlink>
      <w:r>
        <w:rPr>
          <w:noProof/>
          <w:lang w:eastAsia="en-AU"/>
        </w:rPr>
        <w:t>).</w:t>
      </w:r>
      <w:r w:rsidRPr="00E64620">
        <w:t xml:space="preserve"> Known hosts of </w:t>
      </w:r>
      <w:r w:rsidRPr="00E64620">
        <w:rPr>
          <w:i/>
        </w:rPr>
        <w:t>P. washingtonensis</w:t>
      </w:r>
      <w:r w:rsidRPr="00E64620">
        <w:t xml:space="preserve"> are </w:t>
      </w:r>
      <w:r w:rsidRPr="00E64620">
        <w:rPr>
          <w:i/>
        </w:rPr>
        <w:t>Malus</w:t>
      </w:r>
      <w:r w:rsidRPr="00E64620">
        <w:t xml:space="preserve"> spp. (apple and crabapple) and </w:t>
      </w:r>
      <w:r w:rsidRPr="00E64620">
        <w:rPr>
          <w:i/>
        </w:rPr>
        <w:t>Pyrus communis</w:t>
      </w:r>
      <w:r w:rsidRPr="00E64620">
        <w:t xml:space="preserve"> (pear) </w:t>
      </w:r>
      <w:r w:rsidRPr="00E64620">
        <w:rPr>
          <w:noProof/>
        </w:rPr>
        <w:t>(Kim &amp; Xiao 2006; Xiao et al. 2005)</w:t>
      </w:r>
      <w:r w:rsidRPr="00E64620">
        <w:t xml:space="preserve"> in Washington, </w:t>
      </w:r>
      <w:r w:rsidRPr="00E64620">
        <w:rPr>
          <w:i/>
        </w:rPr>
        <w:t>Arbutus menziesii</w:t>
      </w:r>
      <w:r w:rsidRPr="00E64620">
        <w:t xml:space="preserve"> (Pacific madrone) in Washington and Oregon</w:t>
      </w:r>
      <w:r>
        <w:t xml:space="preserve"> </w:t>
      </w:r>
      <w:r>
        <w:rPr>
          <w:noProof/>
        </w:rPr>
        <w:t>(Elliott et al. 2014)</w:t>
      </w:r>
      <w:r>
        <w:t xml:space="preserve"> </w:t>
      </w:r>
      <w:r w:rsidRPr="00E64620">
        <w:t xml:space="preserve">and </w:t>
      </w:r>
      <w:r w:rsidRPr="00E64620">
        <w:rPr>
          <w:i/>
        </w:rPr>
        <w:t>Diospyros kaki</w:t>
      </w:r>
      <w:r w:rsidRPr="00E64620">
        <w:t xml:space="preserve"> (persimmon) in Italy </w:t>
      </w:r>
      <w:r w:rsidRPr="00E64620">
        <w:rPr>
          <w:noProof/>
        </w:rPr>
        <w:t>(Garibaldi et al. 2010)</w:t>
      </w:r>
      <w:r w:rsidRPr="00E64620">
        <w:t xml:space="preserve">. This disease is distinct from Phacidiopycnis rot caused by the fungus </w:t>
      </w:r>
      <w:r w:rsidRPr="00E64620">
        <w:rPr>
          <w:rFonts w:eastAsia="Calibri" w:cs="Times New Roman"/>
          <w:i/>
        </w:rPr>
        <w:t>Discula pyri</w:t>
      </w:r>
      <w:r w:rsidRPr="00E64620">
        <w:rPr>
          <w:rFonts w:eastAsia="Calibri" w:cs="Times New Roman"/>
          <w:iCs/>
        </w:rPr>
        <w:t xml:space="preserve">, </w:t>
      </w:r>
      <w:r w:rsidRPr="00E64620">
        <w:rPr>
          <w:rFonts w:eastAsia="Calibri" w:cs="Times New Roman"/>
        </w:rPr>
        <w:t>which is primarily a pear rot and is considered under a separate assessment in this report</w:t>
      </w:r>
      <w:r>
        <w:rPr>
          <w:rFonts w:eastAsia="Calibri" w:cs="Times New Roman"/>
        </w:rPr>
        <w:t xml:space="preserve"> in </w:t>
      </w:r>
      <w:r w:rsidRPr="00E64620">
        <w:rPr>
          <w:rFonts w:eastAsia="Calibri" w:cs="Times New Roman"/>
          <w:iCs/>
        </w:rPr>
        <w:t xml:space="preserve">(Section </w:t>
      </w:r>
      <w:r w:rsidRPr="00E64620">
        <w:rPr>
          <w:rFonts w:eastAsia="Calibri" w:cs="Times New Roman"/>
          <w:iCs/>
        </w:rPr>
        <w:fldChar w:fldCharType="begin" w:fldLock="1"/>
      </w:r>
      <w:r w:rsidRPr="00E64620">
        <w:rPr>
          <w:rFonts w:eastAsia="Calibri" w:cs="Times New Roman"/>
          <w:iCs/>
        </w:rPr>
        <w:instrText xml:space="preserve"> REF _Ref46060331 \r \h </w:instrText>
      </w:r>
      <w:r>
        <w:rPr>
          <w:rFonts w:eastAsia="Calibri" w:cs="Times New Roman"/>
          <w:iCs/>
        </w:rPr>
        <w:instrText xml:space="preserve"> \* MERGEFORMAT </w:instrText>
      </w:r>
      <w:r w:rsidRPr="00E64620">
        <w:rPr>
          <w:rFonts w:eastAsia="Calibri" w:cs="Times New Roman"/>
          <w:iCs/>
        </w:rPr>
      </w:r>
      <w:r w:rsidRPr="00E64620">
        <w:rPr>
          <w:rFonts w:eastAsia="Calibri" w:cs="Times New Roman"/>
          <w:iCs/>
        </w:rPr>
        <w:fldChar w:fldCharType="separate"/>
      </w:r>
      <w:r>
        <w:rPr>
          <w:rFonts w:eastAsia="Calibri" w:cs="Times New Roman"/>
          <w:iCs/>
        </w:rPr>
        <w:t>4.17</w:t>
      </w:r>
      <w:r w:rsidRPr="00E64620">
        <w:rPr>
          <w:rFonts w:eastAsia="Calibri" w:cs="Times New Roman"/>
          <w:iCs/>
        </w:rPr>
        <w:fldChar w:fldCharType="end"/>
      </w:r>
      <w:r w:rsidRPr="00E64620">
        <w:rPr>
          <w:rFonts w:eastAsia="Calibri" w:cs="Times New Roman"/>
          <w:iCs/>
        </w:rPr>
        <w:t>)</w:t>
      </w:r>
      <w:r w:rsidRPr="00E64620">
        <w:rPr>
          <w:rFonts w:eastAsia="Calibri" w:cs="Times New Roman"/>
        </w:rPr>
        <w:t>.</w:t>
      </w:r>
    </w:p>
    <w:p w14:paraId="3DAE8342" w14:textId="77777777" w:rsidR="003438A2" w:rsidRPr="00E64620" w:rsidRDefault="003438A2" w:rsidP="00862DBA">
      <w:r w:rsidRPr="00E64620">
        <w:rPr>
          <w:i/>
        </w:rPr>
        <w:t>Phacidiopycnis washingtonensis</w:t>
      </w:r>
      <w:r w:rsidRPr="00E64620">
        <w:t xml:space="preserve"> </w:t>
      </w:r>
      <w:r>
        <w:t>enters fruit through the</w:t>
      </w:r>
      <w:r w:rsidRPr="00E64620">
        <w:t xml:space="preserve"> stem-end</w:t>
      </w:r>
      <w:r>
        <w:t>,</w:t>
      </w:r>
      <w:r w:rsidRPr="00E64620">
        <w:t xml:space="preserve"> calyx-end or through wounds, causing stem-end rot, calyx-end rot and wound rot, </w:t>
      </w:r>
      <w:r w:rsidRPr="00E43839">
        <w:t>respectively</w:t>
      </w:r>
      <w:r>
        <w:t xml:space="preserve"> </w:t>
      </w:r>
      <w:r>
        <w:rPr>
          <w:noProof/>
          <w:lang w:eastAsia="en-AU"/>
        </w:rPr>
        <w:t>(Amiri &amp; Ali 2016; Xiao &amp; Kim 2008, 2013).</w:t>
      </w:r>
      <w:r>
        <w:t xml:space="preserve"> T</w:t>
      </w:r>
      <w:r w:rsidRPr="00E04E9D">
        <w:t xml:space="preserve">he </w:t>
      </w:r>
      <w:r>
        <w:t>infection</w:t>
      </w:r>
      <w:r w:rsidRPr="00E04E9D">
        <w:t xml:space="preserve"> </w:t>
      </w:r>
      <w:r>
        <w:t xml:space="preserve">begins in the orchard but </w:t>
      </w:r>
      <w:r w:rsidRPr="00E04E9D">
        <w:t>remain</w:t>
      </w:r>
      <w:r>
        <w:t>s</w:t>
      </w:r>
      <w:r w:rsidRPr="00E04E9D">
        <w:t xml:space="preserve"> asymptomatic </w:t>
      </w:r>
      <w:r>
        <w:t xml:space="preserve">at harvest </w:t>
      </w:r>
      <w:r w:rsidRPr="00E04E9D">
        <w:t xml:space="preserve">and fruit rot symptoms develop during storage or </w:t>
      </w:r>
      <w:r>
        <w:t>distribution</w:t>
      </w:r>
      <w:r w:rsidRPr="00E04E9D">
        <w:t xml:space="preserve"> </w:t>
      </w:r>
      <w:r>
        <w:rPr>
          <w:noProof/>
        </w:rPr>
        <w:t>(Sikdar et al. 2014; Wenneker &amp; Thomma 2020; Xiao 2013a)</w:t>
      </w:r>
      <w:r w:rsidRPr="00E04E9D">
        <w:t xml:space="preserve">. </w:t>
      </w:r>
      <w:r>
        <w:t>In Washington, s</w:t>
      </w:r>
      <w:r w:rsidRPr="009329E7">
        <w:t xml:space="preserve">peck rot was observed </w:t>
      </w:r>
      <w:r>
        <w:t>after</w:t>
      </w:r>
      <w:r w:rsidRPr="009329E7">
        <w:t xml:space="preserve"> storage </w:t>
      </w:r>
      <w:r>
        <w:t>durations of up to 6 months</w:t>
      </w:r>
      <w:r w:rsidRPr="009329E7">
        <w:t xml:space="preserve"> at 0</w:t>
      </w:r>
      <w:r w:rsidRPr="00223363">
        <w:t>°</w:t>
      </w:r>
      <w:r w:rsidRPr="000E092A">
        <w:t>C</w:t>
      </w:r>
      <w:r>
        <w:t xml:space="preserve"> </w:t>
      </w:r>
      <w:r>
        <w:rPr>
          <w:noProof/>
        </w:rPr>
        <w:t>(Xiao et al. 2005)</w:t>
      </w:r>
      <w:r w:rsidRPr="00A63DF4">
        <w:t>.</w:t>
      </w:r>
      <w:r>
        <w:t xml:space="preserve"> Symptoms first appear as brown to black specks around the lenticels of the fruit </w:t>
      </w:r>
      <w:r>
        <w:rPr>
          <w:noProof/>
        </w:rPr>
        <w:t>(Xiao 2013a)</w:t>
      </w:r>
      <w:r>
        <w:t xml:space="preserve"> causing de</w:t>
      </w:r>
      <w:r w:rsidRPr="00847F92">
        <w:t>cayed area</w:t>
      </w:r>
      <w:r>
        <w:t>s which are</w:t>
      </w:r>
      <w:r w:rsidRPr="00847F92">
        <w:t xml:space="preserve"> spongy and </w:t>
      </w:r>
      <w:r>
        <w:t xml:space="preserve">appear water-soaked </w:t>
      </w:r>
      <w:r>
        <w:rPr>
          <w:noProof/>
        </w:rPr>
        <w:t>(Ali et al. 2018; Xiao 2013a)</w:t>
      </w:r>
      <w:r>
        <w:t xml:space="preserve">. As the disease progresses, the decayed area turns brown and then black </w:t>
      </w:r>
      <w:r>
        <w:rPr>
          <w:noProof/>
        </w:rPr>
        <w:t>(Kim &amp; Xiao 2008)</w:t>
      </w:r>
      <w:r>
        <w:t xml:space="preserve">, and the margins of decayed areas commonly continue to show a water-soaked appearance. </w:t>
      </w:r>
      <w:r w:rsidRPr="00E04E9D">
        <w:t>Under high relative humidit</w:t>
      </w:r>
      <w:r>
        <w:t>ies</w:t>
      </w:r>
      <w:r w:rsidRPr="00E04E9D">
        <w:t xml:space="preserve"> the fungus forms white myceli</w:t>
      </w:r>
      <w:r>
        <w:t>a</w:t>
      </w:r>
      <w:r w:rsidRPr="00E04E9D">
        <w:t>. Pycnidia (fruiting bodies</w:t>
      </w:r>
      <w:r>
        <w:t xml:space="preserve"> of the asexual morph</w:t>
      </w:r>
      <w:r w:rsidRPr="00E04E9D">
        <w:t>) of the fungus often form on the decayed area at advanced stages</w:t>
      </w:r>
      <w:r>
        <w:t xml:space="preserve"> </w:t>
      </w:r>
      <w:r w:rsidRPr="00E64620">
        <w:t>of infection</w:t>
      </w:r>
      <w:r>
        <w:t xml:space="preserve"> and provide inoculum by releasing conidia</w:t>
      </w:r>
      <w:r w:rsidRPr="00E64620">
        <w:t xml:space="preserve"> </w:t>
      </w:r>
      <w:r w:rsidRPr="00E64620">
        <w:rPr>
          <w:noProof/>
        </w:rPr>
        <w:t>(Kim &amp; Xiao 2006)</w:t>
      </w:r>
      <w:r w:rsidRPr="00E64620">
        <w:t>.</w:t>
      </w:r>
    </w:p>
    <w:p w14:paraId="6AEE4348" w14:textId="77777777" w:rsidR="003438A2" w:rsidRDefault="003438A2" w:rsidP="00862DBA">
      <w:r w:rsidRPr="00E64620">
        <w:t xml:space="preserve">Speck rot decay caused by </w:t>
      </w:r>
      <w:r w:rsidRPr="00E64620">
        <w:rPr>
          <w:i/>
        </w:rPr>
        <w:t>P. washingtonensis</w:t>
      </w:r>
      <w:r w:rsidRPr="00E64620">
        <w:t xml:space="preserve"> occurs only sporadically on apples </w:t>
      </w:r>
      <w:r>
        <w:rPr>
          <w:noProof/>
        </w:rPr>
        <w:t>(Pscheidt &amp; Ocamb 2021c)</w:t>
      </w:r>
      <w:r>
        <w:t>.</w:t>
      </w:r>
      <w:r w:rsidRPr="00E64620">
        <w:t xml:space="preserve"> </w:t>
      </w:r>
      <w:r w:rsidRPr="00E64620">
        <w:rPr>
          <w:i/>
        </w:rPr>
        <w:t xml:space="preserve">Phacidiopycnis washingtonensis </w:t>
      </w:r>
      <w:r w:rsidRPr="00E64620">
        <w:t xml:space="preserve">contributed to only 6.4% of apple </w:t>
      </w:r>
      <w:r>
        <w:t>rots</w:t>
      </w:r>
      <w:r w:rsidRPr="00E64620">
        <w:t xml:space="preserve"> in central Washington during a survey in 2017 </w:t>
      </w:r>
      <w:r w:rsidRPr="00E64620">
        <w:rPr>
          <w:noProof/>
        </w:rPr>
        <w:t>(Ali et al. 2018)</w:t>
      </w:r>
      <w:r>
        <w:t xml:space="preserve">, and 2.5% of apple rots from </w:t>
      </w:r>
      <w:r w:rsidRPr="00E64620">
        <w:t xml:space="preserve">a survey in Washington </w:t>
      </w:r>
      <w:r>
        <w:t xml:space="preserve">in </w:t>
      </w:r>
      <w:r w:rsidRPr="00E64620">
        <w:t>2016 on fruit harvested in 2015</w:t>
      </w:r>
      <w:r>
        <w:t xml:space="preserve"> </w:t>
      </w:r>
      <w:r>
        <w:rPr>
          <w:noProof/>
          <w:lang w:eastAsia="en-AU"/>
        </w:rPr>
        <w:t>(Amiri &amp; Ali 2016)</w:t>
      </w:r>
      <w:r w:rsidRPr="00E64620">
        <w:rPr>
          <w:iCs/>
        </w:rPr>
        <w:t>.</w:t>
      </w:r>
      <w:r w:rsidRPr="00E64620">
        <w:t xml:space="preserve"> </w:t>
      </w:r>
    </w:p>
    <w:p w14:paraId="519805DC" w14:textId="77777777" w:rsidR="003438A2" w:rsidRDefault="003438A2" w:rsidP="00862DBA">
      <w:r w:rsidRPr="00E64620">
        <w:rPr>
          <w:i/>
        </w:rPr>
        <w:t xml:space="preserve">Phacidiopycnis washingtonensis </w:t>
      </w:r>
      <w:r w:rsidRPr="00E64620">
        <w:t xml:space="preserve">is a weak canker pathogen </w:t>
      </w:r>
      <w:r>
        <w:t xml:space="preserve">on apple trees </w:t>
      </w:r>
      <w:r>
        <w:rPr>
          <w:noProof/>
        </w:rPr>
        <w:t>(Xiao 2013a)</w:t>
      </w:r>
      <w:r>
        <w:rPr>
          <w:i/>
        </w:rPr>
        <w:t xml:space="preserve"> </w:t>
      </w:r>
      <w:r w:rsidRPr="00696309">
        <w:rPr>
          <w:iCs/>
        </w:rPr>
        <w:t>and</w:t>
      </w:r>
      <w:r w:rsidRPr="00B812BD">
        <w:t xml:space="preserve"> is also associated with canker and twig dieback d</w:t>
      </w:r>
      <w:r>
        <w:t xml:space="preserve">isease of crabapple </w:t>
      </w:r>
      <w:r>
        <w:rPr>
          <w:noProof/>
        </w:rPr>
        <w:t>(Xiao et al. 2005; Xiao 2013a)</w:t>
      </w:r>
      <w:r>
        <w:t>. C</w:t>
      </w:r>
      <w:r w:rsidRPr="00847F92">
        <w:t>anker</w:t>
      </w:r>
      <w:r>
        <w:t>-i</w:t>
      </w:r>
      <w:r w:rsidRPr="00847F92">
        <w:t xml:space="preserve">nfected </w:t>
      </w:r>
      <w:r>
        <w:rPr>
          <w:lang w:eastAsia="en-AU"/>
        </w:rPr>
        <w:t>Manchurian crabapple trees used as pollinisers in apple orchards</w:t>
      </w:r>
      <w:r w:rsidRPr="00847F92">
        <w:t xml:space="preserve"> </w:t>
      </w:r>
      <w:r>
        <w:t>are</w:t>
      </w:r>
      <w:r w:rsidRPr="00847F92">
        <w:t xml:space="preserve"> the primary source</w:t>
      </w:r>
      <w:r>
        <w:t>s</w:t>
      </w:r>
      <w:r w:rsidRPr="00847F92">
        <w:t xml:space="preserve"> of inoculum </w:t>
      </w:r>
      <w:r>
        <w:rPr>
          <w:noProof/>
          <w:lang w:eastAsia="en-AU"/>
        </w:rPr>
        <w:t>(PNW Handbooks 2020b; Xiao et al. 2005)</w:t>
      </w:r>
      <w:r w:rsidRPr="00B812BD">
        <w:t>.</w:t>
      </w:r>
      <w:r>
        <w:t xml:space="preserve"> Crabapple fruits infected with </w:t>
      </w:r>
      <w:r w:rsidRPr="004455E1">
        <w:rPr>
          <w:i/>
        </w:rPr>
        <w:t>P</w:t>
      </w:r>
      <w:r>
        <w:rPr>
          <w:i/>
        </w:rPr>
        <w:t>. </w:t>
      </w:r>
      <w:r w:rsidRPr="004455E1">
        <w:rPr>
          <w:i/>
        </w:rPr>
        <w:t>washingtonensis</w:t>
      </w:r>
      <w:r>
        <w:rPr>
          <w:i/>
        </w:rPr>
        <w:t xml:space="preserve"> </w:t>
      </w:r>
      <w:r>
        <w:t xml:space="preserve">become mummified and covered in black pycnidia, providing </w:t>
      </w:r>
      <w:r>
        <w:lastRenderedPageBreak/>
        <w:t xml:space="preserve">inoculum by releasing conidia throughout the following season </w:t>
      </w:r>
      <w:r>
        <w:rPr>
          <w:noProof/>
        </w:rPr>
        <w:t>(PNW Handbooks 2020b; Sikdar, Willett &amp; Mazzola 2018)</w:t>
      </w:r>
      <w:r w:rsidRPr="000C0B0F">
        <w:t xml:space="preserve">. </w:t>
      </w:r>
      <w:r w:rsidRPr="000C0B0F">
        <w:rPr>
          <w:lang w:eastAsia="en-AU"/>
        </w:rPr>
        <w:t>Removal</w:t>
      </w:r>
      <w:r>
        <w:rPr>
          <w:lang w:eastAsia="en-AU"/>
        </w:rPr>
        <w:t xml:space="preserve"> of cankers and mummified fruit helps reduce levels of fungal inoculum in the orchard. </w:t>
      </w:r>
      <w:r w:rsidRPr="00391C24">
        <w:t>The fungal spores are spread by rain</w:t>
      </w:r>
      <w:r>
        <w:t xml:space="preserve"> splash</w:t>
      </w:r>
      <w:r w:rsidRPr="00391C24">
        <w:t>,</w:t>
      </w:r>
      <w:r>
        <w:t xml:space="preserve"> sprinkler</w:t>
      </w:r>
      <w:r w:rsidRPr="00391C24">
        <w:t xml:space="preserve"> irrigation or over</w:t>
      </w:r>
      <w:r>
        <w:t>-</w:t>
      </w:r>
      <w:r w:rsidRPr="00391C24">
        <w:t xml:space="preserve">tree cooling </w:t>
      </w:r>
      <w:r>
        <w:t xml:space="preserve">systems </w:t>
      </w:r>
      <w:r>
        <w:rPr>
          <w:noProof/>
        </w:rPr>
        <w:t>(PNW Handbooks 2020b; Xiao 2013a)</w:t>
      </w:r>
      <w:r w:rsidRPr="00391C24">
        <w:t>.</w:t>
      </w:r>
    </w:p>
    <w:p w14:paraId="5025A78E" w14:textId="77777777" w:rsidR="003438A2" w:rsidRPr="008C483F" w:rsidRDefault="003438A2" w:rsidP="00862DBA">
      <w:r w:rsidRPr="00B812BD">
        <w:t xml:space="preserve">The risk </w:t>
      </w:r>
      <w:r>
        <w:t xml:space="preserve">scenario of biosecurity concern for </w:t>
      </w:r>
      <w:r w:rsidRPr="00B812BD">
        <w:rPr>
          <w:i/>
        </w:rPr>
        <w:t>P</w:t>
      </w:r>
      <w:r w:rsidRPr="00B812BD">
        <w:t xml:space="preserve">. </w:t>
      </w:r>
      <w:r w:rsidRPr="00B812BD">
        <w:rPr>
          <w:i/>
        </w:rPr>
        <w:t>washingtonensis</w:t>
      </w:r>
      <w:r>
        <w:t xml:space="preserve"> is that </w:t>
      </w:r>
      <w:r w:rsidRPr="00B812BD">
        <w:t xml:space="preserve">symptomless infected fruit </w:t>
      </w:r>
      <w:r>
        <w:t xml:space="preserve">carrying viable spores </w:t>
      </w:r>
      <w:r w:rsidRPr="00B812BD">
        <w:t xml:space="preserve">may be </w:t>
      </w:r>
      <w:r>
        <w:t xml:space="preserve">imported </w:t>
      </w:r>
      <w:r w:rsidRPr="00B812BD">
        <w:t xml:space="preserve">and result in the establishment </w:t>
      </w:r>
      <w:r>
        <w:t xml:space="preserve">and spread </w:t>
      </w:r>
      <w:r w:rsidRPr="00B812BD">
        <w:t xml:space="preserve">of this </w:t>
      </w:r>
      <w:r w:rsidRPr="008C483F">
        <w:t>pathogen in Australia.</w:t>
      </w:r>
    </w:p>
    <w:p w14:paraId="4F99DC3C" w14:textId="77777777" w:rsidR="003438A2" w:rsidRPr="008C483F" w:rsidRDefault="003438A2" w:rsidP="00F843A1">
      <w:pPr>
        <w:pStyle w:val="Heading4"/>
        <w:numPr>
          <w:ilvl w:val="2"/>
          <w:numId w:val="35"/>
        </w:numPr>
        <w:tabs>
          <w:tab w:val="num" w:pos="1929"/>
        </w:tabs>
        <w:ind w:left="1929"/>
      </w:pPr>
      <w:r w:rsidRPr="008C483F">
        <w:t>Likelihood of entry</w:t>
      </w:r>
    </w:p>
    <w:p w14:paraId="5CA2C7FB" w14:textId="77777777" w:rsidR="003438A2" w:rsidRPr="008C483F" w:rsidRDefault="003438A2" w:rsidP="00862DBA">
      <w:r w:rsidRPr="008C483F">
        <w:t>The likelihood of entry is considered in 2 parts, the likelihood of importation and the likelihood of distribution, which consider pre-border and post-border issues, respectively.</w:t>
      </w:r>
    </w:p>
    <w:p w14:paraId="6BDECE62" w14:textId="77777777" w:rsidR="003438A2" w:rsidRPr="008C483F" w:rsidRDefault="003438A2" w:rsidP="00862DBA">
      <w:pPr>
        <w:pStyle w:val="Heading5"/>
      </w:pPr>
      <w:r w:rsidRPr="008C483F">
        <w:t>Likelihood of Importation</w:t>
      </w:r>
    </w:p>
    <w:p w14:paraId="5DA07C83" w14:textId="77777777" w:rsidR="003438A2" w:rsidRPr="008C483F" w:rsidRDefault="003438A2" w:rsidP="00862DBA">
      <w:pPr>
        <w:rPr>
          <w:rFonts w:ascii="Calibri" w:eastAsia="Times New Roman" w:hAnsi="Calibri" w:cs="Times New Roman"/>
          <w:i/>
          <w:iCs/>
          <w:lang w:eastAsia="en-AU"/>
        </w:rPr>
      </w:pPr>
      <w:r w:rsidRPr="008C483F">
        <w:rPr>
          <w:rFonts w:eastAsia="Calibri" w:cs="Times New Roman"/>
        </w:rPr>
        <w:t xml:space="preserve">The likelihood that </w:t>
      </w:r>
      <w:r w:rsidRPr="008C483F">
        <w:rPr>
          <w:i/>
        </w:rPr>
        <w:t>P. washingtonensis</w:t>
      </w:r>
      <w:r w:rsidRPr="008C483F">
        <w:t xml:space="preserve"> </w:t>
      </w:r>
      <w:r w:rsidRPr="008C483F">
        <w:rPr>
          <w:rFonts w:eastAsia="Calibri" w:cs="Times New Roman"/>
        </w:rPr>
        <w:t>will arrive in Australia with the importation of apples from the PNW-USA is assessed as High.</w:t>
      </w:r>
    </w:p>
    <w:p w14:paraId="70D5919E" w14:textId="77777777" w:rsidR="003438A2" w:rsidRPr="008C483F" w:rsidRDefault="003438A2" w:rsidP="00862DBA">
      <w:r w:rsidRPr="008C483F">
        <w:t>The following information provides supporting evidence for this assessment.</w:t>
      </w:r>
    </w:p>
    <w:p w14:paraId="4C40470B" w14:textId="77777777" w:rsidR="003438A2" w:rsidRPr="008C483F" w:rsidRDefault="003438A2" w:rsidP="00862DBA">
      <w:r w:rsidRPr="008C483F">
        <w:rPr>
          <w:i/>
        </w:rPr>
        <w:t>Phacidiopycnis washingtonensis</w:t>
      </w:r>
      <w:r w:rsidRPr="008C483F">
        <w:t xml:space="preserve"> is widely distributed in Washington and Oregon and is associated with apple fruit from the PNW-USA.</w:t>
      </w:r>
    </w:p>
    <w:p w14:paraId="58F25985" w14:textId="75E55FFB" w:rsidR="003438A2" w:rsidRDefault="003438A2" w:rsidP="003438A2">
      <w:pPr>
        <w:pStyle w:val="ListBullet"/>
        <w:numPr>
          <w:ilvl w:val="0"/>
          <w:numId w:val="15"/>
        </w:numPr>
      </w:pPr>
      <w:r w:rsidRPr="004D18F2">
        <w:rPr>
          <w:i/>
        </w:rPr>
        <w:t>Phacidiopycnis washingtonensis</w:t>
      </w:r>
      <w:r w:rsidRPr="008C483F">
        <w:t xml:space="preserve"> causes speck rot, which is a post-harvest disease of apple in Washington</w:t>
      </w:r>
      <w:r>
        <w:t xml:space="preserve"> </w:t>
      </w:r>
      <w:r>
        <w:rPr>
          <w:noProof/>
          <w:lang w:eastAsia="en-AU"/>
        </w:rPr>
        <w:t>(Amiri &amp; Ali 2016; Kim &amp; Xiao 2006; Sikdar, Willett &amp; Mazzola 2018; Xiao &amp; Kim 2008).</w:t>
      </w:r>
      <w:r w:rsidRPr="008C483F">
        <w:t xml:space="preserve"> It is also present in Oregon </w:t>
      </w:r>
      <w:r>
        <w:rPr>
          <w:noProof/>
        </w:rPr>
        <w:t>(Elliott et al. 2014)</w:t>
      </w:r>
      <w:r w:rsidRPr="008C483F">
        <w:t>.</w:t>
      </w:r>
    </w:p>
    <w:p w14:paraId="64612C10" w14:textId="77777777" w:rsidR="003438A2" w:rsidRPr="00DA41DB" w:rsidRDefault="003438A2" w:rsidP="003438A2">
      <w:pPr>
        <w:pStyle w:val="ListBullet"/>
        <w:numPr>
          <w:ilvl w:val="0"/>
          <w:numId w:val="15"/>
        </w:numPr>
        <w:rPr>
          <w:iCs/>
          <w:strike/>
        </w:rPr>
      </w:pPr>
      <w:r w:rsidRPr="00DA41DB">
        <w:rPr>
          <w:iCs/>
        </w:rPr>
        <w:t>Recent surveys have confirmed that speck rot is an emerging disease issue in PNW-USA</w:t>
      </w:r>
      <w:r>
        <w:rPr>
          <w:iCs/>
        </w:rPr>
        <w:t xml:space="preserve"> </w:t>
      </w:r>
      <w:r>
        <w:rPr>
          <w:noProof/>
        </w:rPr>
        <w:t>(Amiri &amp; Ali 2016)</w:t>
      </w:r>
      <w:r>
        <w:rPr>
          <w:noProof/>
          <w:lang w:eastAsia="en-AU"/>
        </w:rPr>
        <w:t>.</w:t>
      </w:r>
      <w:r w:rsidRPr="00DA41DB">
        <w:rPr>
          <w:iCs/>
        </w:rPr>
        <w:t xml:space="preserve"> </w:t>
      </w:r>
    </w:p>
    <w:p w14:paraId="7EE45F77" w14:textId="77777777" w:rsidR="003438A2" w:rsidRPr="00916B41" w:rsidRDefault="003438A2" w:rsidP="003438A2">
      <w:pPr>
        <w:pStyle w:val="ListBullet"/>
        <w:numPr>
          <w:ilvl w:val="0"/>
          <w:numId w:val="15"/>
        </w:numPr>
        <w:rPr>
          <w:strike/>
        </w:rPr>
      </w:pPr>
      <w:r w:rsidRPr="00E64620">
        <w:rPr>
          <w:i/>
        </w:rPr>
        <w:t xml:space="preserve">Phacidiopycnis washingtonensis </w:t>
      </w:r>
      <w:r w:rsidRPr="00E64620">
        <w:t xml:space="preserve">contributed to 6.4% of apple </w:t>
      </w:r>
      <w:r>
        <w:t>rots</w:t>
      </w:r>
      <w:r w:rsidRPr="00E64620">
        <w:t xml:space="preserve"> in central Washington during a survey in 2017 </w:t>
      </w:r>
      <w:r w:rsidRPr="00E64620">
        <w:rPr>
          <w:noProof/>
        </w:rPr>
        <w:t>(Ali et al. 2018)</w:t>
      </w:r>
      <w:r>
        <w:t xml:space="preserve">, and 2.5% of apple rots from </w:t>
      </w:r>
      <w:r w:rsidRPr="00E64620">
        <w:t xml:space="preserve">a survey in Washington </w:t>
      </w:r>
      <w:r>
        <w:t xml:space="preserve">in </w:t>
      </w:r>
      <w:r w:rsidRPr="00E64620">
        <w:t>2016 on fruit harvested in 2015</w:t>
      </w:r>
      <w:r>
        <w:t xml:space="preserve"> </w:t>
      </w:r>
      <w:r>
        <w:rPr>
          <w:noProof/>
          <w:lang w:eastAsia="en-AU"/>
        </w:rPr>
        <w:t>(Amiri &amp; Ali 2016)</w:t>
      </w:r>
      <w:r w:rsidRPr="00E64620">
        <w:rPr>
          <w:iCs/>
        </w:rPr>
        <w:t>.</w:t>
      </w:r>
      <w:r w:rsidRPr="00E64620">
        <w:t xml:space="preserve"> </w:t>
      </w:r>
    </w:p>
    <w:p w14:paraId="1A2F4986" w14:textId="77777777" w:rsidR="003438A2" w:rsidRPr="00726454" w:rsidRDefault="003438A2" w:rsidP="003438A2">
      <w:pPr>
        <w:pStyle w:val="ListBullet"/>
        <w:numPr>
          <w:ilvl w:val="0"/>
          <w:numId w:val="15"/>
        </w:numPr>
      </w:pPr>
      <w:r>
        <w:t>A study of</w:t>
      </w:r>
      <w:r w:rsidRPr="00726454">
        <w:t xml:space="preserve"> fruit in Washington </w:t>
      </w:r>
      <w:r>
        <w:t>packing houses from</w:t>
      </w:r>
      <w:r w:rsidRPr="00726454">
        <w:t xml:space="preserve"> 2003</w:t>
      </w:r>
      <w:r>
        <w:t xml:space="preserve"> to </w:t>
      </w:r>
      <w:r w:rsidRPr="00726454">
        <w:t xml:space="preserve">2005 found speck rot was detected in 6 of 26 </w:t>
      </w:r>
      <w:r>
        <w:t>grower lots</w:t>
      </w:r>
      <w:r w:rsidRPr="00726454">
        <w:t xml:space="preserve"> (23</w:t>
      </w:r>
      <w:r>
        <w:t>%</w:t>
      </w:r>
      <w:r w:rsidRPr="00726454">
        <w:t>), accounting for 1</w:t>
      </w:r>
      <w:r>
        <w:t>%</w:t>
      </w:r>
      <w:r w:rsidRPr="00726454">
        <w:t xml:space="preserve"> of the total decayed fruit in 2003</w:t>
      </w:r>
      <w:r>
        <w:t>, in</w:t>
      </w:r>
      <w:r w:rsidRPr="00726454">
        <w:t xml:space="preserve"> 19 of 72 </w:t>
      </w:r>
      <w:r>
        <w:t>grower lots</w:t>
      </w:r>
      <w:r w:rsidRPr="00726454">
        <w:t xml:space="preserve"> (26</w:t>
      </w:r>
      <w:r>
        <w:t>%</w:t>
      </w:r>
      <w:r w:rsidRPr="00726454">
        <w:t>), accounting for 4</w:t>
      </w:r>
      <w:r>
        <w:t>%</w:t>
      </w:r>
      <w:r w:rsidRPr="00726454">
        <w:t xml:space="preserve"> of total decayed fruit in 2004</w:t>
      </w:r>
      <w:r>
        <w:t>,</w:t>
      </w:r>
      <w:r w:rsidRPr="00726454">
        <w:t xml:space="preserve"> and </w:t>
      </w:r>
      <w:r>
        <w:t xml:space="preserve">in </w:t>
      </w:r>
      <w:r w:rsidRPr="00726454">
        <w:t xml:space="preserve">14 of 81 </w:t>
      </w:r>
      <w:r>
        <w:t>grower lots</w:t>
      </w:r>
      <w:r w:rsidRPr="00726454">
        <w:t xml:space="preserve"> (17</w:t>
      </w:r>
      <w:r>
        <w:t>%</w:t>
      </w:r>
      <w:r w:rsidRPr="00726454">
        <w:t>), accounting for 3</w:t>
      </w:r>
      <w:r>
        <w:t>%</w:t>
      </w:r>
      <w:r w:rsidRPr="00726454">
        <w:t xml:space="preserve"> of the total decayed fruit in 2005 </w:t>
      </w:r>
      <w:r>
        <w:rPr>
          <w:noProof/>
        </w:rPr>
        <w:t>(Kim &amp; Xiao 2006)</w:t>
      </w:r>
      <w:r w:rsidRPr="00726454">
        <w:t>.</w:t>
      </w:r>
    </w:p>
    <w:p w14:paraId="232465BC" w14:textId="77777777" w:rsidR="003438A2" w:rsidRPr="003A0D46" w:rsidRDefault="003438A2" w:rsidP="00862DBA">
      <w:r w:rsidRPr="00E72551">
        <w:t xml:space="preserve">Crabapple trees in </w:t>
      </w:r>
      <w:r>
        <w:t xml:space="preserve">the </w:t>
      </w:r>
      <w:r w:rsidRPr="00E72551">
        <w:t xml:space="preserve">PNW-USA provide </w:t>
      </w:r>
      <w:r>
        <w:t>a continuing</w:t>
      </w:r>
      <w:r w:rsidRPr="00E72551">
        <w:t xml:space="preserve"> source of inoculum for apple fruit infection.</w:t>
      </w:r>
    </w:p>
    <w:p w14:paraId="465F9EC9" w14:textId="77777777" w:rsidR="003438A2" w:rsidRPr="008C483F" w:rsidRDefault="003438A2" w:rsidP="003438A2">
      <w:pPr>
        <w:pStyle w:val="ListBullet"/>
        <w:numPr>
          <w:ilvl w:val="0"/>
          <w:numId w:val="15"/>
        </w:numPr>
      </w:pPr>
      <w:r w:rsidRPr="00B812BD">
        <w:rPr>
          <w:i/>
        </w:rPr>
        <w:t>Phacidiopycnis</w:t>
      </w:r>
      <w:r w:rsidRPr="00B812BD">
        <w:t xml:space="preserve"> </w:t>
      </w:r>
      <w:r w:rsidRPr="00B812BD">
        <w:rPr>
          <w:i/>
        </w:rPr>
        <w:t>washingtonensis</w:t>
      </w:r>
      <w:r w:rsidRPr="00B812BD">
        <w:t xml:space="preserve"> is </w:t>
      </w:r>
      <w:r>
        <w:t xml:space="preserve">commonly </w:t>
      </w:r>
      <w:r w:rsidRPr="00B812BD">
        <w:t xml:space="preserve">associated with a canker and twig dieback </w:t>
      </w:r>
      <w:r w:rsidRPr="008C483F">
        <w:t xml:space="preserve">disease of </w:t>
      </w:r>
      <w:r w:rsidRPr="008C483F">
        <w:rPr>
          <w:lang w:eastAsia="en-AU"/>
        </w:rPr>
        <w:t>Manchurian crabapple trees used as pollinisers in apple orchards</w:t>
      </w:r>
      <w:r w:rsidRPr="008C483F">
        <w:t xml:space="preserve"> </w:t>
      </w:r>
      <w:r w:rsidRPr="008C483F">
        <w:rPr>
          <w:noProof/>
        </w:rPr>
        <w:t>(Xiao et al. 2005; Xiao 2013a)</w:t>
      </w:r>
      <w:r w:rsidRPr="008C483F">
        <w:t>.</w:t>
      </w:r>
    </w:p>
    <w:p w14:paraId="5D5B556B" w14:textId="77777777" w:rsidR="003438A2" w:rsidRPr="008C483F" w:rsidRDefault="003438A2" w:rsidP="003438A2">
      <w:pPr>
        <w:pStyle w:val="ListBullet"/>
        <w:numPr>
          <w:ilvl w:val="0"/>
          <w:numId w:val="15"/>
        </w:numPr>
      </w:pPr>
      <w:r w:rsidRPr="008C483F">
        <w:t xml:space="preserve">Crabapple fruit infected with </w:t>
      </w:r>
      <w:r w:rsidRPr="008C483F">
        <w:rPr>
          <w:i/>
        </w:rPr>
        <w:t xml:space="preserve">P. washingtonensis </w:t>
      </w:r>
      <w:r w:rsidRPr="008C483F">
        <w:t>become mummified and covered in black pycnidia</w:t>
      </w:r>
      <w:r>
        <w:t>,</w:t>
      </w:r>
      <w:r w:rsidRPr="008C483F">
        <w:t xml:space="preserve"> which provide inoculum by releasing conidia throughout the following season </w:t>
      </w:r>
      <w:r w:rsidRPr="008C483F">
        <w:rPr>
          <w:noProof/>
        </w:rPr>
        <w:t>(PNW Handbooks 2020b)</w:t>
      </w:r>
      <w:r w:rsidRPr="008C483F">
        <w:t>.</w:t>
      </w:r>
    </w:p>
    <w:p w14:paraId="13E8BFE4" w14:textId="77777777" w:rsidR="003438A2" w:rsidRPr="008C483F" w:rsidRDefault="003438A2" w:rsidP="00862DBA">
      <w:r w:rsidRPr="008C483F">
        <w:rPr>
          <w:iCs/>
        </w:rPr>
        <w:t xml:space="preserve">Infections of </w:t>
      </w:r>
      <w:r w:rsidRPr="008C483F">
        <w:rPr>
          <w:i/>
        </w:rPr>
        <w:t>P. washingtonensis</w:t>
      </w:r>
      <w:r w:rsidRPr="008C483F">
        <w:t xml:space="preserve"> can remain asymptomatic during harvest, grading and packing processes.</w:t>
      </w:r>
    </w:p>
    <w:p w14:paraId="63165562" w14:textId="77777777" w:rsidR="003438A2" w:rsidRPr="00EE6D32" w:rsidRDefault="003438A2" w:rsidP="003438A2">
      <w:pPr>
        <w:pStyle w:val="ListBullet"/>
        <w:numPr>
          <w:ilvl w:val="0"/>
          <w:numId w:val="15"/>
        </w:numPr>
      </w:pPr>
      <w:r w:rsidRPr="00023000">
        <w:rPr>
          <w:i/>
        </w:rPr>
        <w:t>Phacidiopycnis washingtonensi</w:t>
      </w:r>
      <w:r>
        <w:rPr>
          <w:i/>
        </w:rPr>
        <w:t>s</w:t>
      </w:r>
      <w:r w:rsidRPr="002E3A8B">
        <w:t xml:space="preserve"> </w:t>
      </w:r>
      <w:r w:rsidRPr="00023000">
        <w:t xml:space="preserve">is primarily a post-harvest disease, </w:t>
      </w:r>
      <w:r>
        <w:t>and infected fruit</w:t>
      </w:r>
      <w:r w:rsidRPr="00023000">
        <w:t xml:space="preserve"> </w:t>
      </w:r>
      <w:r>
        <w:t xml:space="preserve">commonly remain asymptomatic during harvest and post-harvest processing </w:t>
      </w:r>
      <w:r>
        <w:rPr>
          <w:noProof/>
        </w:rPr>
        <w:t xml:space="preserve">(Sikdar et al. </w:t>
      </w:r>
      <w:r>
        <w:rPr>
          <w:noProof/>
        </w:rPr>
        <w:lastRenderedPageBreak/>
        <w:t>2014; Wenneker &amp; Thomma 2020)</w:t>
      </w:r>
      <w:r>
        <w:t xml:space="preserve">. </w:t>
      </w:r>
      <w:r w:rsidRPr="00EE6D32">
        <w:t xml:space="preserve">Decay is typically observed after </w:t>
      </w:r>
      <w:r>
        <w:t>2</w:t>
      </w:r>
      <w:r w:rsidRPr="00EE6D32">
        <w:t xml:space="preserve"> to </w:t>
      </w:r>
      <w:r>
        <w:t>3</w:t>
      </w:r>
      <w:r w:rsidRPr="00EE6D32">
        <w:t xml:space="preserve"> months in storage and incidence increases with time in storage </w:t>
      </w:r>
      <w:r w:rsidRPr="00EE6D32">
        <w:rPr>
          <w:noProof/>
        </w:rPr>
        <w:t>(Kim &amp; Xiao 2006)</w:t>
      </w:r>
      <w:r w:rsidRPr="00EE6D32">
        <w:t>.</w:t>
      </w:r>
    </w:p>
    <w:p w14:paraId="6AD67C59" w14:textId="77777777" w:rsidR="003438A2" w:rsidRDefault="003438A2" w:rsidP="003438A2">
      <w:pPr>
        <w:pStyle w:val="ListBullet"/>
        <w:numPr>
          <w:ilvl w:val="0"/>
          <w:numId w:val="15"/>
        </w:numPr>
      </w:pPr>
      <w:r w:rsidRPr="00EE6D32">
        <w:t xml:space="preserve">Infected fruit may </w:t>
      </w:r>
      <w:r>
        <w:t xml:space="preserve">start to </w:t>
      </w:r>
      <w:r w:rsidRPr="00EE6D32">
        <w:t xml:space="preserve">develop symptoms from about 45 days </w:t>
      </w:r>
      <w:r w:rsidRPr="00EE6D32">
        <w:rPr>
          <w:noProof/>
        </w:rPr>
        <w:t>(Sikdar, Willett &amp; Mazzola 2018)</w:t>
      </w:r>
      <w:r w:rsidRPr="00EE6D32">
        <w:t xml:space="preserve"> to 6 months after cold storage </w:t>
      </w:r>
      <w:r w:rsidRPr="00EE6D32">
        <w:rPr>
          <w:noProof/>
        </w:rPr>
        <w:t>(Xiao et al. 2005)</w:t>
      </w:r>
      <w:r w:rsidRPr="00EE6D32">
        <w:t>.</w:t>
      </w:r>
    </w:p>
    <w:p w14:paraId="416D43D0" w14:textId="77777777" w:rsidR="003438A2" w:rsidRDefault="003438A2" w:rsidP="003438A2">
      <w:pPr>
        <w:pStyle w:val="ListBullet"/>
        <w:numPr>
          <w:ilvl w:val="0"/>
          <w:numId w:val="15"/>
        </w:numPr>
      </w:pPr>
      <w:r w:rsidRPr="00FF151F">
        <w:t>Most apple fruit are cold</w:t>
      </w:r>
      <w:r>
        <w:t>-</w:t>
      </w:r>
      <w:r w:rsidRPr="00FF151F">
        <w:t>stored prior to being exported. The period of cold storage may range from 1 day to 11 months (</w:t>
      </w:r>
      <w:hyperlink w:anchor="_ENREF_451" w:tooltip="Kupferman, 1996 #4887" w:history="1">
        <w:r w:rsidRPr="00FF151F">
          <w:rPr>
            <w:noProof/>
          </w:rPr>
          <w:t>Kupferman 1996</w:t>
        </w:r>
      </w:hyperlink>
      <w:r w:rsidRPr="00FF151F">
        <w:t>).</w:t>
      </w:r>
      <w:r>
        <w:t xml:space="preserve"> Infected apple fruit that are packed after an extended period of storage are likely to show symptoms and will not be packed for export.</w:t>
      </w:r>
    </w:p>
    <w:p w14:paraId="17CF688B" w14:textId="77777777" w:rsidR="003438A2" w:rsidRPr="00EE6D32" w:rsidRDefault="003438A2" w:rsidP="003438A2">
      <w:pPr>
        <w:pStyle w:val="ListBullet"/>
        <w:numPr>
          <w:ilvl w:val="0"/>
          <w:numId w:val="15"/>
        </w:numPr>
      </w:pPr>
      <w:r>
        <w:t xml:space="preserve">However, infected apple fruit packed shortly after harvest will not show symptoms and may be packed for export. </w:t>
      </w:r>
    </w:p>
    <w:p w14:paraId="0AEA5825" w14:textId="77777777" w:rsidR="003438A2" w:rsidRDefault="003438A2" w:rsidP="00B7643A">
      <w:r w:rsidRPr="00EE6D32">
        <w:rPr>
          <w:i/>
        </w:rPr>
        <w:t>Phacidiopycnis washingtonensis</w:t>
      </w:r>
      <w:r w:rsidRPr="00EE6D32">
        <w:t xml:space="preserve"> is able to survive low temperatures during </w:t>
      </w:r>
      <w:r>
        <w:t>storage and transport.</w:t>
      </w:r>
    </w:p>
    <w:p w14:paraId="5B442708" w14:textId="77777777" w:rsidR="003438A2" w:rsidRPr="009067D8" w:rsidRDefault="003438A2" w:rsidP="003438A2">
      <w:pPr>
        <w:pStyle w:val="ListBullet"/>
        <w:numPr>
          <w:ilvl w:val="0"/>
          <w:numId w:val="15"/>
        </w:numPr>
      </w:pPr>
      <w:r w:rsidRPr="00904A35">
        <w:rPr>
          <w:i/>
          <w:iCs/>
        </w:rPr>
        <w:t>Phacidiopycnis washingtonensis</w:t>
      </w:r>
      <w:r w:rsidRPr="00904A35">
        <w:t xml:space="preserve"> can survive and grow over a temperature range of –3°</w:t>
      </w:r>
      <w:r>
        <w:t>C</w:t>
      </w:r>
      <w:r w:rsidRPr="00904A35">
        <w:t xml:space="preserve"> to </w:t>
      </w:r>
      <w:r w:rsidRPr="009067D8">
        <w:t xml:space="preserve">25°C, with optimum growth from 15°C to 20°C </w:t>
      </w:r>
      <w:r w:rsidRPr="009067D8">
        <w:rPr>
          <w:noProof/>
        </w:rPr>
        <w:t>(Xiao et al. 2005)</w:t>
      </w:r>
      <w:r w:rsidRPr="009067D8">
        <w:t xml:space="preserve">. </w:t>
      </w:r>
    </w:p>
    <w:p w14:paraId="609A4275" w14:textId="77777777" w:rsidR="003438A2" w:rsidRPr="00CB6FC9" w:rsidRDefault="003438A2" w:rsidP="003438A2">
      <w:pPr>
        <w:pStyle w:val="ListBullet"/>
        <w:numPr>
          <w:ilvl w:val="0"/>
          <w:numId w:val="15"/>
        </w:numPr>
      </w:pPr>
      <w:r w:rsidRPr="00782333">
        <w:rPr>
          <w:i/>
          <w:iCs/>
        </w:rPr>
        <w:t>Phacidiopycnis washingtonensis</w:t>
      </w:r>
      <w:r w:rsidRPr="00782333">
        <w:t xml:space="preserve"> can therefore survive cold temperatures during storage and transportation of apples, which are typically at 0°C to 2°C </w:t>
      </w:r>
      <w:r w:rsidRPr="00782333">
        <w:rPr>
          <w:noProof/>
        </w:rPr>
        <w:t>(Good Fruit Grower 2014; Iowa State University Extension and Outreach 2008; Kupferman 1996; University of Maine 2020)</w:t>
      </w:r>
      <w:r w:rsidRPr="00782333">
        <w:t>. Sea freight, which takes about five weeks, is likely to be the preferred method of transport of apples from the PNW-USA to Australia and fruit will be maintained at very low temperatures. Harvested apples are normally cold-stored and transported at 0°C to 2°C (WSU Tree Fruit 2021c).</w:t>
      </w:r>
    </w:p>
    <w:p w14:paraId="18F47991" w14:textId="77777777" w:rsidR="003438A2" w:rsidRDefault="003438A2" w:rsidP="00862DBA">
      <w:r w:rsidRPr="00896384">
        <w:rPr>
          <w:i/>
        </w:rPr>
        <w:t>Phacidiopycnis washingtonensis</w:t>
      </w:r>
      <w:r w:rsidRPr="00896384">
        <w:t xml:space="preserve"> is widely </w:t>
      </w:r>
      <w:r>
        <w:t>distributed</w:t>
      </w:r>
      <w:r w:rsidRPr="00896384">
        <w:t xml:space="preserve"> in the PNW-USA </w:t>
      </w:r>
      <w:r>
        <w:t>(Washington and Oregon), causing</w:t>
      </w:r>
      <w:r w:rsidRPr="00896384">
        <w:t xml:space="preserve"> a post-harvest rot disease in apple fruit</w:t>
      </w:r>
      <w:r>
        <w:t>.</w:t>
      </w:r>
      <w:r w:rsidRPr="00896384">
        <w:t xml:space="preserve"> Infection of fruit occurs in the orchard</w:t>
      </w:r>
      <w:r>
        <w:t>,</w:t>
      </w:r>
      <w:r w:rsidRPr="00896384">
        <w:t xml:space="preserve"> </w:t>
      </w:r>
      <w:r>
        <w:t>but</w:t>
      </w:r>
      <w:r w:rsidRPr="00896384">
        <w:t xml:space="preserve"> remain</w:t>
      </w:r>
      <w:r>
        <w:t>s</w:t>
      </w:r>
      <w:r w:rsidRPr="00896384">
        <w:t xml:space="preserve"> </w:t>
      </w:r>
      <w:r>
        <w:t xml:space="preserve">asymptomatic at </w:t>
      </w:r>
      <w:r w:rsidRPr="00896384">
        <w:t xml:space="preserve">harvest, </w:t>
      </w:r>
      <w:r>
        <w:t>and symptoms start to develop during storage between 45 days to 6 months after harvest. Infected apple fruit packed shortly after harvest are unlikely to be detected during packing processes and may be packed for export.</w:t>
      </w:r>
      <w:r w:rsidRPr="00896384">
        <w:t xml:space="preserve"> The fung</w:t>
      </w:r>
      <w:r>
        <w:t>us</w:t>
      </w:r>
      <w:r w:rsidRPr="00896384">
        <w:t xml:space="preserve"> can survive and grow at low temperature</w:t>
      </w:r>
      <w:r>
        <w:t>s used in</w:t>
      </w:r>
      <w:r w:rsidRPr="00896384">
        <w:t xml:space="preserve"> cold storage and transportation </w:t>
      </w:r>
      <w:r w:rsidRPr="005A48B3">
        <w:rPr>
          <w:iCs/>
        </w:rPr>
        <w:t xml:space="preserve">and </w:t>
      </w:r>
      <w:r>
        <w:t>is likely to survive transport to Australia. T</w:t>
      </w:r>
      <w:r w:rsidRPr="00871B56">
        <w:t xml:space="preserve">he likelihood </w:t>
      </w:r>
      <w:r>
        <w:t>of</w:t>
      </w:r>
      <w:r w:rsidRPr="00871B56">
        <w:t xml:space="preserve"> importation </w:t>
      </w:r>
      <w:r>
        <w:t xml:space="preserve">of </w:t>
      </w:r>
      <w:r w:rsidRPr="00896384">
        <w:rPr>
          <w:i/>
        </w:rPr>
        <w:t xml:space="preserve">P. washingtonensis </w:t>
      </w:r>
      <w:r w:rsidRPr="00896384">
        <w:t xml:space="preserve">on </w:t>
      </w:r>
      <w:r>
        <w:t>the</w:t>
      </w:r>
      <w:r w:rsidRPr="00896384">
        <w:t xml:space="preserve"> PNW-USA </w:t>
      </w:r>
      <w:r>
        <w:t xml:space="preserve">apple pathway </w:t>
      </w:r>
      <w:r w:rsidRPr="00896384">
        <w:t xml:space="preserve">is </w:t>
      </w:r>
      <w:r>
        <w:t>therefore assessed</w:t>
      </w:r>
      <w:r w:rsidRPr="00896384">
        <w:t xml:space="preserve"> as</w:t>
      </w:r>
      <w:r w:rsidRPr="00896384">
        <w:rPr>
          <w:i/>
        </w:rPr>
        <w:t xml:space="preserve"> </w:t>
      </w:r>
      <w:r w:rsidRPr="00896384">
        <w:t>High.</w:t>
      </w:r>
    </w:p>
    <w:p w14:paraId="75E87B33" w14:textId="77777777" w:rsidR="003438A2" w:rsidRPr="00D87697" w:rsidRDefault="003438A2" w:rsidP="00862DBA">
      <w:pPr>
        <w:pStyle w:val="Heading5"/>
      </w:pPr>
      <w:r w:rsidRPr="00D87697">
        <w:t>Likelihood of distribution</w:t>
      </w:r>
    </w:p>
    <w:p w14:paraId="72CB5753" w14:textId="77777777" w:rsidR="003438A2" w:rsidRPr="00CC4D19" w:rsidRDefault="003438A2" w:rsidP="00862DBA">
      <w:r w:rsidRPr="00CC4D19">
        <w:t xml:space="preserve">The likelihood that </w:t>
      </w:r>
      <w:r w:rsidRPr="00B812BD">
        <w:rPr>
          <w:i/>
        </w:rPr>
        <w:t>P</w:t>
      </w:r>
      <w:r>
        <w:rPr>
          <w:i/>
        </w:rPr>
        <w:t>.</w:t>
      </w:r>
      <w:r w:rsidRPr="00B812BD">
        <w:rPr>
          <w:i/>
        </w:rPr>
        <w:t xml:space="preserve"> washingtonensis</w:t>
      </w:r>
      <w:r w:rsidRPr="00B812BD">
        <w:t xml:space="preserve"> </w:t>
      </w:r>
      <w:r w:rsidRPr="00CC4D19">
        <w:t>will be distributed in Australia in a viable state as a result of the processing, sal</w:t>
      </w:r>
      <w:r>
        <w:t>e or disposal of apples from the PNW-USA, and subsequently transfer to a susceptible part of a host, is assessed as Low.</w:t>
      </w:r>
    </w:p>
    <w:p w14:paraId="7DE1F878" w14:textId="77777777" w:rsidR="003438A2" w:rsidRDefault="003438A2" w:rsidP="00862DBA">
      <w:r>
        <w:t>The following information provides supporting evidence for this assessment.</w:t>
      </w:r>
    </w:p>
    <w:p w14:paraId="61061465" w14:textId="77777777" w:rsidR="003438A2" w:rsidRDefault="003438A2" w:rsidP="00862DBA">
      <w:r>
        <w:t xml:space="preserve">Apples from the PNW-USA are expected to be distributed throughout </w:t>
      </w:r>
      <w:r w:rsidRPr="009F1545">
        <w:t>Australia</w:t>
      </w:r>
      <w:r>
        <w:t xml:space="preserve"> for retail sale</w:t>
      </w:r>
      <w:r w:rsidRPr="009F1545">
        <w:t>.</w:t>
      </w:r>
      <w:r>
        <w:t xml:space="preserve"> Infected fruit showing </w:t>
      </w:r>
      <w:r w:rsidRPr="003A0988">
        <w:t xml:space="preserve">symptoms of </w:t>
      </w:r>
      <w:r w:rsidRPr="00B812BD">
        <w:rPr>
          <w:i/>
        </w:rPr>
        <w:t>P</w:t>
      </w:r>
      <w:r>
        <w:rPr>
          <w:i/>
        </w:rPr>
        <w:t>.</w:t>
      </w:r>
      <w:r w:rsidRPr="00B812BD">
        <w:rPr>
          <w:i/>
        </w:rPr>
        <w:t xml:space="preserve"> washingtonensis</w:t>
      </w:r>
      <w:r w:rsidRPr="00B812BD">
        <w:t xml:space="preserve"> </w:t>
      </w:r>
      <w:r w:rsidRPr="003A0988">
        <w:t>infection are likely to be removed from distribution, but some asymptomatic fruit, and fruit with mild symptoms, may be distributed and sold.</w:t>
      </w:r>
    </w:p>
    <w:p w14:paraId="414949D2" w14:textId="77777777" w:rsidR="003438A2" w:rsidRDefault="003438A2" w:rsidP="003438A2">
      <w:pPr>
        <w:pStyle w:val="ListBullet"/>
        <w:numPr>
          <w:ilvl w:val="0"/>
          <w:numId w:val="15"/>
        </w:numPr>
      </w:pPr>
      <w:r w:rsidRPr="00390801">
        <w:t>Infection</w:t>
      </w:r>
      <w:r>
        <w:t>s</w:t>
      </w:r>
      <w:r w:rsidRPr="00390801">
        <w:t xml:space="preserve"> of apple fruit remain</w:t>
      </w:r>
      <w:r>
        <w:t xml:space="preserve"> </w:t>
      </w:r>
      <w:r w:rsidRPr="00390801">
        <w:t xml:space="preserve">asymptomatic </w:t>
      </w:r>
      <w:r>
        <w:t xml:space="preserve">for some time </w:t>
      </w:r>
      <w:r>
        <w:rPr>
          <w:noProof/>
        </w:rPr>
        <w:t>(Wenneker &amp; Thomma 2020)</w:t>
      </w:r>
      <w:r>
        <w:t xml:space="preserve">, </w:t>
      </w:r>
      <w:r w:rsidRPr="00390801">
        <w:t xml:space="preserve">and fruit rot symptoms </w:t>
      </w:r>
      <w:r>
        <w:t xml:space="preserve">may </w:t>
      </w:r>
      <w:r w:rsidRPr="00390801">
        <w:t xml:space="preserve">develop during storage or </w:t>
      </w:r>
      <w:r>
        <w:t>sale</w:t>
      </w:r>
      <w:r w:rsidRPr="00390801">
        <w:t xml:space="preserve"> </w:t>
      </w:r>
      <w:r>
        <w:rPr>
          <w:noProof/>
        </w:rPr>
        <w:t>(Xiao 2013a)</w:t>
      </w:r>
      <w:r w:rsidRPr="00390801">
        <w:t>.</w:t>
      </w:r>
    </w:p>
    <w:p w14:paraId="33A1E30B" w14:textId="77777777" w:rsidR="003438A2" w:rsidRDefault="003438A2" w:rsidP="003438A2">
      <w:pPr>
        <w:pStyle w:val="ListBullet"/>
        <w:numPr>
          <w:ilvl w:val="0"/>
          <w:numId w:val="15"/>
        </w:numPr>
      </w:pPr>
      <w:r w:rsidRPr="000732AD">
        <w:t xml:space="preserve">Imported apple fruit </w:t>
      </w:r>
      <w:r>
        <w:t>are</w:t>
      </w:r>
      <w:r w:rsidRPr="000732AD">
        <w:t xml:space="preserve"> intended for human consumption in Australia. It is expected that </w:t>
      </w:r>
      <w:r>
        <w:t xml:space="preserve">fruit </w:t>
      </w:r>
      <w:r w:rsidRPr="000732AD">
        <w:t xml:space="preserve">will be distributed </w:t>
      </w:r>
      <w:r>
        <w:t xml:space="preserve">to </w:t>
      </w:r>
      <w:r w:rsidRPr="002B30F4">
        <w:t>urban and rural regions</w:t>
      </w:r>
      <w:r w:rsidRPr="000732AD">
        <w:t xml:space="preserve"> throughout Australia for wholesale or retail sale.</w:t>
      </w:r>
    </w:p>
    <w:p w14:paraId="648FEA18" w14:textId="77777777" w:rsidR="003438A2" w:rsidRPr="00390801" w:rsidRDefault="003438A2" w:rsidP="003438A2">
      <w:pPr>
        <w:pStyle w:val="ListBullet"/>
        <w:numPr>
          <w:ilvl w:val="0"/>
          <w:numId w:val="15"/>
        </w:numPr>
      </w:pPr>
      <w:r>
        <w:lastRenderedPageBreak/>
        <w:t>F</w:t>
      </w:r>
      <w:r w:rsidRPr="00390801">
        <w:t xml:space="preserve">ruit with obvious signs of rot are likely to be </w:t>
      </w:r>
      <w:r>
        <w:t>discarded</w:t>
      </w:r>
      <w:r w:rsidRPr="00390801">
        <w:t xml:space="preserve"> rather than distributed further. </w:t>
      </w:r>
      <w:r>
        <w:t xml:space="preserve">However, infected fruit that remain asymptomatic or exhibit only mild symptoms are likely to be distributed further. </w:t>
      </w:r>
      <w:r w:rsidRPr="00390801">
        <w:t xml:space="preserve">Disposal of infected fruit is likely to be via commercial or domestic rubbish </w:t>
      </w:r>
      <w:r>
        <w:t>routes into managed waste systems</w:t>
      </w:r>
      <w:r w:rsidRPr="00390801">
        <w:t>.</w:t>
      </w:r>
    </w:p>
    <w:p w14:paraId="00149767" w14:textId="77777777" w:rsidR="003438A2" w:rsidRDefault="003438A2" w:rsidP="00862DBA">
      <w:pPr>
        <w:rPr>
          <w:rFonts w:eastAsia="Times New Roman"/>
          <w:color w:val="000000"/>
          <w:szCs w:val="24"/>
        </w:rPr>
      </w:pPr>
      <w:r w:rsidRPr="00896384">
        <w:rPr>
          <w:i/>
        </w:rPr>
        <w:t>Phacidiopycnis washingtonensis</w:t>
      </w:r>
      <w:r w:rsidRPr="00896384">
        <w:t xml:space="preserve"> </w:t>
      </w:r>
      <w:r>
        <w:t>is likely to</w:t>
      </w:r>
      <w:r w:rsidRPr="002364E2">
        <w:t xml:space="preserve"> </w:t>
      </w:r>
      <w:r>
        <w:t xml:space="preserve">remain </w:t>
      </w:r>
      <w:r w:rsidRPr="002364E2">
        <w:t xml:space="preserve">viable </w:t>
      </w:r>
      <w:r>
        <w:t xml:space="preserve">at </w:t>
      </w:r>
      <w:r w:rsidRPr="002364E2">
        <w:t xml:space="preserve">temperatures commonly used </w:t>
      </w:r>
      <w:r>
        <w:t>during</w:t>
      </w:r>
      <w:r w:rsidRPr="002364E2">
        <w:t xml:space="preserve"> storage and transportation of apples</w:t>
      </w:r>
      <w:r>
        <w:t xml:space="preserve"> within Australia</w:t>
      </w:r>
      <w:r w:rsidRPr="002364E2">
        <w:rPr>
          <w:rFonts w:eastAsia="Times New Roman"/>
          <w:color w:val="000000"/>
          <w:szCs w:val="24"/>
        </w:rPr>
        <w:t>.</w:t>
      </w:r>
    </w:p>
    <w:p w14:paraId="3101077C" w14:textId="77777777" w:rsidR="003438A2" w:rsidRDefault="003438A2" w:rsidP="003438A2">
      <w:pPr>
        <w:pStyle w:val="ListBullet"/>
        <w:numPr>
          <w:ilvl w:val="0"/>
          <w:numId w:val="15"/>
        </w:numPr>
      </w:pPr>
      <w:r w:rsidRPr="00B812BD">
        <w:rPr>
          <w:i/>
        </w:rPr>
        <w:t>Phacidiopycnis washingtonensis</w:t>
      </w:r>
      <w:r w:rsidRPr="00B812BD">
        <w:t xml:space="preserve"> can survive and gro</w:t>
      </w:r>
      <w:r>
        <w:t xml:space="preserve">w over a temperature range of </w:t>
      </w:r>
      <w:r w:rsidRPr="00B812BD">
        <w:t>–3</w:t>
      </w:r>
      <w:r w:rsidRPr="00223363">
        <w:t>°</w:t>
      </w:r>
      <w:r>
        <w:t xml:space="preserve">C to </w:t>
      </w:r>
      <w:r w:rsidRPr="00B812BD">
        <w:t>25</w:t>
      </w:r>
      <w:r w:rsidRPr="00223363">
        <w:t>°</w:t>
      </w:r>
      <w:r w:rsidRPr="000E092A">
        <w:t>C</w:t>
      </w:r>
      <w:r>
        <w:t xml:space="preserve"> </w:t>
      </w:r>
      <w:r>
        <w:rPr>
          <w:noProof/>
        </w:rPr>
        <w:t>(Xiao et al. 2005)</w:t>
      </w:r>
      <w:r w:rsidRPr="00B812BD">
        <w:t>.</w:t>
      </w:r>
    </w:p>
    <w:p w14:paraId="0F88FB50" w14:textId="77777777" w:rsidR="003438A2" w:rsidRDefault="003438A2" w:rsidP="003438A2">
      <w:pPr>
        <w:pStyle w:val="ListBullet"/>
        <w:numPr>
          <w:ilvl w:val="0"/>
          <w:numId w:val="15"/>
        </w:numPr>
      </w:pPr>
      <w:r>
        <w:t>In Australia, imported apples will likely be stored and transported under similar cold temperatures</w:t>
      </w:r>
      <w:r w:rsidRPr="00563BF3">
        <w:t xml:space="preserve"> </w:t>
      </w:r>
      <w:r>
        <w:t>(</w:t>
      </w:r>
      <w:r w:rsidRPr="00563BF3">
        <w:t>0</w:t>
      </w:r>
      <w:r w:rsidRPr="00223363">
        <w:t>°</w:t>
      </w:r>
      <w:r>
        <w:t>C</w:t>
      </w:r>
      <w:r w:rsidRPr="00563BF3">
        <w:t xml:space="preserve"> to 2</w:t>
      </w:r>
      <w:r w:rsidRPr="00223363">
        <w:t>°</w:t>
      </w:r>
      <w:r w:rsidRPr="000E092A">
        <w:t>C</w:t>
      </w:r>
      <w:r>
        <w:t xml:space="preserve">). In retail stores, apples are likely to be stored at both ambient and cold temperatures. </w:t>
      </w:r>
      <w:r w:rsidRPr="0020218B">
        <w:t>When the pathogen is exposed to ambient temperatures, its growth rate will be optimal. However, at temperatures above 20°C</w:t>
      </w:r>
      <w:r>
        <w:t>,</w:t>
      </w:r>
      <w:r w:rsidRPr="0020218B">
        <w:t xml:space="preserve"> growth of the fungus will be limited </w:t>
      </w:r>
      <w:r w:rsidRPr="008C3DBB">
        <w:t xml:space="preserve">with mycelial </w:t>
      </w:r>
      <w:r w:rsidRPr="00E33208">
        <w:t xml:space="preserve">growth arrested at 30°C </w:t>
      </w:r>
      <w:r>
        <w:rPr>
          <w:noProof/>
        </w:rPr>
        <w:t>(Xiao et al. 2005)</w:t>
      </w:r>
      <w:r w:rsidRPr="00E33208">
        <w:t>.</w:t>
      </w:r>
    </w:p>
    <w:p w14:paraId="151DF652" w14:textId="77777777" w:rsidR="003438A2" w:rsidRPr="00CB6B8D" w:rsidRDefault="003438A2" w:rsidP="003438A2">
      <w:pPr>
        <w:pStyle w:val="ListBullet"/>
        <w:numPr>
          <w:ilvl w:val="0"/>
          <w:numId w:val="15"/>
        </w:numPr>
      </w:pPr>
      <w:r w:rsidRPr="00CB6B8D">
        <w:t>Conidia may germinate under unfavourable conditions by budding, however, under adverse conditions the germ tubes may not lead to mycelial formation and multiplication of inoculum for subsequent infections.</w:t>
      </w:r>
    </w:p>
    <w:p w14:paraId="397F5B7E" w14:textId="77777777" w:rsidR="003438A2" w:rsidRDefault="003438A2" w:rsidP="00862DBA">
      <w:r>
        <w:t>S</w:t>
      </w:r>
      <w:r w:rsidRPr="005678BC">
        <w:t xml:space="preserve">uitable hosts </w:t>
      </w:r>
      <w:r>
        <w:t xml:space="preserve">for </w:t>
      </w:r>
      <w:r>
        <w:rPr>
          <w:i/>
          <w:iCs/>
        </w:rPr>
        <w:t xml:space="preserve">P. washingtonensis </w:t>
      </w:r>
      <w:r>
        <w:t xml:space="preserve">are present in </w:t>
      </w:r>
      <w:r w:rsidRPr="005678BC">
        <w:t>Australia</w:t>
      </w:r>
      <w:r>
        <w:t xml:space="preserve"> and some infected apple waste may be discarded into the environment near hosts</w:t>
      </w:r>
      <w:r w:rsidRPr="005678BC">
        <w:t>.</w:t>
      </w:r>
    </w:p>
    <w:p w14:paraId="65E5B0FC" w14:textId="6ABB15C4" w:rsidR="003438A2" w:rsidRPr="00F14664" w:rsidRDefault="003438A2" w:rsidP="003438A2">
      <w:pPr>
        <w:pStyle w:val="ListBullet"/>
        <w:numPr>
          <w:ilvl w:val="0"/>
          <w:numId w:val="15"/>
        </w:numPr>
      </w:pPr>
      <w:r w:rsidRPr="00F14664">
        <w:t xml:space="preserve">Known hosts of </w:t>
      </w:r>
      <w:r w:rsidRPr="00F14664">
        <w:rPr>
          <w:i/>
        </w:rPr>
        <w:t>P. washingtonensis</w:t>
      </w:r>
      <w:r w:rsidRPr="00F14664">
        <w:t xml:space="preserve"> are </w:t>
      </w:r>
      <w:r w:rsidRPr="00F14664">
        <w:rPr>
          <w:i/>
        </w:rPr>
        <w:t>Malus</w:t>
      </w:r>
      <w:r w:rsidRPr="00F14664">
        <w:t xml:space="preserve"> spp. (apple and crabapple), </w:t>
      </w:r>
      <w:r w:rsidRPr="00F14664">
        <w:rPr>
          <w:i/>
        </w:rPr>
        <w:t>Pyrus communis</w:t>
      </w:r>
      <w:r w:rsidRPr="00F14664">
        <w:t xml:space="preserve"> (pear), </w:t>
      </w:r>
      <w:r w:rsidRPr="00F14664">
        <w:rPr>
          <w:i/>
        </w:rPr>
        <w:t>Diospyros kaki</w:t>
      </w:r>
      <w:r w:rsidRPr="00F14664">
        <w:t xml:space="preserve"> (persimmon) and </w:t>
      </w:r>
      <w:r w:rsidRPr="00F14664">
        <w:rPr>
          <w:i/>
        </w:rPr>
        <w:t>Arbutus menzi</w:t>
      </w:r>
      <w:r w:rsidRPr="00242CB7">
        <w:rPr>
          <w:i/>
          <w:iCs/>
        </w:rPr>
        <w:t xml:space="preserve">esii </w:t>
      </w:r>
      <w:r w:rsidRPr="00F14664">
        <w:t>(Pacific madrone)</w:t>
      </w:r>
      <w:r w:rsidRPr="000B1517">
        <w:t xml:space="preserve"> </w:t>
      </w:r>
      <w:r>
        <w:rPr>
          <w:noProof/>
        </w:rPr>
        <w:t>(Elliott et al. 2014; Garibaldi et al. 2010; Sikdar et al. 2016; Xiao et al. 2005)</w:t>
      </w:r>
      <w:r w:rsidRPr="00F14664">
        <w:t>.</w:t>
      </w:r>
    </w:p>
    <w:p w14:paraId="37C3A6F0" w14:textId="77777777" w:rsidR="003438A2" w:rsidRDefault="003438A2" w:rsidP="003438A2">
      <w:pPr>
        <w:pStyle w:val="ListBullet"/>
        <w:numPr>
          <w:ilvl w:val="0"/>
          <w:numId w:val="15"/>
        </w:numPr>
      </w:pPr>
      <w:r>
        <w:t xml:space="preserve">These hosts, with the exception of </w:t>
      </w:r>
      <w:r w:rsidRPr="001E1AB1">
        <w:rPr>
          <w:i/>
          <w:iCs/>
        </w:rPr>
        <w:t>A. menziesii</w:t>
      </w:r>
      <w:r>
        <w:t>, are widespread with</w:t>
      </w:r>
      <w:r w:rsidRPr="00AF5D81">
        <w:t>in Australia in commercial orchard districts, as well as</w:t>
      </w:r>
      <w:r>
        <w:t xml:space="preserve"> in</w:t>
      </w:r>
      <w:r w:rsidRPr="00AF5D81">
        <w:t xml:space="preserve"> suburban and rural areas.</w:t>
      </w:r>
    </w:p>
    <w:p w14:paraId="67E81489" w14:textId="77777777" w:rsidR="003438A2" w:rsidRPr="00B812BD" w:rsidRDefault="003438A2" w:rsidP="003438A2">
      <w:pPr>
        <w:pStyle w:val="ListBullet"/>
        <w:numPr>
          <w:ilvl w:val="0"/>
          <w:numId w:val="15"/>
        </w:numPr>
      </w:pPr>
      <w:r>
        <w:t>Although most apple waste will be discarded into managed waste systems, some infected a</w:t>
      </w:r>
      <w:r w:rsidRPr="004F2455">
        <w:t>pple</w:t>
      </w:r>
      <w:r>
        <w:t xml:space="preserve"> fruit </w:t>
      </w:r>
      <w:r w:rsidRPr="004F2455">
        <w:t xml:space="preserve">may be </w:t>
      </w:r>
      <w:r>
        <w:t>discarded</w:t>
      </w:r>
      <w:r w:rsidRPr="004F2455">
        <w:t xml:space="preserve"> </w:t>
      </w:r>
      <w:r>
        <w:t>as litter in</w:t>
      </w:r>
      <w:r w:rsidRPr="00D97F03">
        <w:t xml:space="preserve"> urban, rural or natural environments</w:t>
      </w:r>
      <w:r>
        <w:t xml:space="preserve">, including </w:t>
      </w:r>
      <w:r w:rsidRPr="00854FEB">
        <w:t>near suitable host plants.</w:t>
      </w:r>
    </w:p>
    <w:p w14:paraId="4D68B352" w14:textId="77777777" w:rsidR="003438A2" w:rsidRDefault="003438A2" w:rsidP="00862DBA">
      <w:r w:rsidRPr="005678BC">
        <w:rPr>
          <w:i/>
        </w:rPr>
        <w:t>Phacidiopycnis washingtonensis</w:t>
      </w:r>
      <w:r w:rsidRPr="005678BC">
        <w:t xml:space="preserve"> </w:t>
      </w:r>
      <w:r w:rsidRPr="0023434B">
        <w:t xml:space="preserve">is likely to </w:t>
      </w:r>
      <w:r>
        <w:t>produce</w:t>
      </w:r>
      <w:r w:rsidRPr="0023434B">
        <w:t xml:space="preserve"> only</w:t>
      </w:r>
      <w:r>
        <w:t xml:space="preserve"> </w:t>
      </w:r>
      <w:r w:rsidRPr="0023434B">
        <w:t>limited amount</w:t>
      </w:r>
      <w:r>
        <w:t>s</w:t>
      </w:r>
      <w:r w:rsidRPr="0023434B">
        <w:t xml:space="preserve"> of inoculum during distribution</w:t>
      </w:r>
      <w:r>
        <w:t xml:space="preserve"> processes</w:t>
      </w:r>
      <w:r w:rsidRPr="0023434B">
        <w:t>.</w:t>
      </w:r>
    </w:p>
    <w:p w14:paraId="44B42BAD" w14:textId="77777777" w:rsidR="003438A2" w:rsidRDefault="003438A2" w:rsidP="003438A2">
      <w:pPr>
        <w:pStyle w:val="ListBullet"/>
        <w:numPr>
          <w:ilvl w:val="0"/>
          <w:numId w:val="15"/>
        </w:numPr>
      </w:pPr>
      <w:r w:rsidRPr="00E478A1">
        <w:rPr>
          <w:i/>
        </w:rPr>
        <w:t>Phacidiopycnis washingtonensis</w:t>
      </w:r>
      <w:r w:rsidRPr="00E478A1">
        <w:t xml:space="preserve"> can survive on decaying tissues and overwinter as pycnidia for a long period of time.</w:t>
      </w:r>
    </w:p>
    <w:p w14:paraId="4EFC7259" w14:textId="77777777" w:rsidR="003438A2" w:rsidRDefault="003438A2" w:rsidP="003438A2">
      <w:pPr>
        <w:pStyle w:val="ListBullet"/>
        <w:numPr>
          <w:ilvl w:val="0"/>
          <w:numId w:val="15"/>
        </w:numPr>
      </w:pPr>
      <w:r>
        <w:t>Conidia</w:t>
      </w:r>
      <w:r w:rsidRPr="00944D69">
        <w:t xml:space="preserve"> of </w:t>
      </w:r>
      <w:r w:rsidRPr="00B812BD">
        <w:rPr>
          <w:i/>
        </w:rPr>
        <w:t>P</w:t>
      </w:r>
      <w:r w:rsidRPr="00B812BD">
        <w:t>.</w:t>
      </w:r>
      <w:r w:rsidRPr="00B812BD">
        <w:rPr>
          <w:i/>
        </w:rPr>
        <w:t> washingtonensis</w:t>
      </w:r>
      <w:r>
        <w:t xml:space="preserve"> formed in pycnidia </w:t>
      </w:r>
      <w:r w:rsidRPr="00944D69">
        <w:t>on discarded fruit/fruit cores are likely to further multiply to develop inoculum</w:t>
      </w:r>
      <w:r>
        <w:t xml:space="preserve"> for fresh infections when conditions are favourable.</w:t>
      </w:r>
    </w:p>
    <w:p w14:paraId="45BBACC1" w14:textId="77777777" w:rsidR="003438A2" w:rsidRDefault="003438A2" w:rsidP="003438A2">
      <w:pPr>
        <w:pStyle w:val="ListBullet"/>
        <w:numPr>
          <w:ilvl w:val="0"/>
          <w:numId w:val="15"/>
        </w:numPr>
      </w:pPr>
      <w:r w:rsidRPr="00702A9D">
        <w:rPr>
          <w:i/>
        </w:rPr>
        <w:t>Phacidiopycnis washingtonensis</w:t>
      </w:r>
      <w:r w:rsidRPr="00D76E14">
        <w:t xml:space="preserve"> can grow </w:t>
      </w:r>
      <w:r>
        <w:t>over</w:t>
      </w:r>
      <w:r w:rsidRPr="00D76E14">
        <w:t xml:space="preserve"> a wide temperature range</w:t>
      </w:r>
      <w:r>
        <w:t xml:space="preserve"> </w:t>
      </w:r>
      <w:r w:rsidRPr="00D76E14">
        <w:t>with optim</w:t>
      </w:r>
      <w:r>
        <w:t>al</w:t>
      </w:r>
      <w:r w:rsidRPr="00D76E14">
        <w:t xml:space="preserve"> growth occurring</w:t>
      </w:r>
      <w:r>
        <w:t xml:space="preserve"> at 15</w:t>
      </w:r>
      <w:r w:rsidRPr="00223363">
        <w:t>°</w:t>
      </w:r>
      <w:r>
        <w:t>C</w:t>
      </w:r>
      <w:r w:rsidRPr="00DD4906">
        <w:t xml:space="preserve"> to 2</w:t>
      </w:r>
      <w:r>
        <w:t>5</w:t>
      </w:r>
      <w:r w:rsidRPr="00223363">
        <w:t>°</w:t>
      </w:r>
      <w:r w:rsidRPr="000E092A">
        <w:t>C</w:t>
      </w:r>
      <w:r w:rsidRPr="00DD4906">
        <w:t xml:space="preserve"> </w:t>
      </w:r>
      <w:r>
        <w:rPr>
          <w:noProof/>
        </w:rPr>
        <w:t>(Xiao et al. 2005)</w:t>
      </w:r>
      <w:r>
        <w:t xml:space="preserve">, and this temperature range exists in parts of Australia during parts of the year. Many regions in Australia have hot and dry summer conditions with regular maximum temperatures above </w:t>
      </w:r>
      <w:r w:rsidRPr="00276DE5">
        <w:t>30</w:t>
      </w:r>
      <w:r w:rsidRPr="00223363">
        <w:t>°</w:t>
      </w:r>
      <w:r w:rsidRPr="00276DE5">
        <w:t>C</w:t>
      </w:r>
      <w:r>
        <w:t xml:space="preserve"> </w:t>
      </w:r>
      <w:r>
        <w:rPr>
          <w:noProof/>
        </w:rPr>
        <w:t>(Bureau of Meteorology 2018)</w:t>
      </w:r>
      <w:r>
        <w:t xml:space="preserve">. Inoculum production of </w:t>
      </w:r>
      <w:r w:rsidRPr="00702A9D">
        <w:rPr>
          <w:i/>
        </w:rPr>
        <w:t>P</w:t>
      </w:r>
      <w:r>
        <w:rPr>
          <w:i/>
        </w:rPr>
        <w:t>.</w:t>
      </w:r>
      <w:r w:rsidRPr="00702A9D">
        <w:rPr>
          <w:i/>
        </w:rPr>
        <w:t xml:space="preserve"> washingtonensis</w:t>
      </w:r>
      <w:r w:rsidRPr="00D76E14">
        <w:t xml:space="preserve"> </w:t>
      </w:r>
      <w:r>
        <w:t>is likely to be restricted on fruit waste discarded during hot and dry conditions.</w:t>
      </w:r>
    </w:p>
    <w:p w14:paraId="4BDF3B95" w14:textId="77777777" w:rsidR="003438A2" w:rsidRDefault="003438A2" w:rsidP="003438A2">
      <w:pPr>
        <w:pStyle w:val="ListBullet"/>
        <w:numPr>
          <w:ilvl w:val="0"/>
          <w:numId w:val="15"/>
        </w:numPr>
      </w:pPr>
      <w:r>
        <w:t xml:space="preserve">Inoculum production by </w:t>
      </w:r>
      <w:r w:rsidRPr="00B812BD">
        <w:rPr>
          <w:i/>
        </w:rPr>
        <w:t>P</w:t>
      </w:r>
      <w:r w:rsidRPr="00B812BD">
        <w:t>.</w:t>
      </w:r>
      <w:r w:rsidRPr="00B812BD">
        <w:rPr>
          <w:i/>
        </w:rPr>
        <w:t> washingtonensis</w:t>
      </w:r>
      <w:r>
        <w:t xml:space="preserve"> may also be restricted due to</w:t>
      </w:r>
      <w:r w:rsidRPr="004A2E85">
        <w:t xml:space="preserve"> colonisation of </w:t>
      </w:r>
      <w:r>
        <w:t xml:space="preserve">discarded </w:t>
      </w:r>
      <w:r w:rsidRPr="004A2E85">
        <w:t xml:space="preserve">fruit </w:t>
      </w:r>
      <w:r>
        <w:t xml:space="preserve">or fruit cores </w:t>
      </w:r>
      <w:r w:rsidRPr="004A2E85">
        <w:t>by saprophytic fungi or bacteria</w:t>
      </w:r>
      <w:r>
        <w:t xml:space="preserve"> and competitive interactions with them.</w:t>
      </w:r>
    </w:p>
    <w:p w14:paraId="4DFDAA4E" w14:textId="77777777" w:rsidR="003438A2" w:rsidRDefault="003438A2">
      <w:pPr>
        <w:spacing w:after="0" w:line="240" w:lineRule="auto"/>
      </w:pPr>
      <w:r>
        <w:br w:type="page"/>
      </w:r>
    </w:p>
    <w:p w14:paraId="177B50C0" w14:textId="77777777" w:rsidR="003438A2" w:rsidRPr="00944D69" w:rsidRDefault="003438A2" w:rsidP="00862DBA">
      <w:r>
        <w:lastRenderedPageBreak/>
        <w:t xml:space="preserve">The dispersal of pycnidia and conidia of </w:t>
      </w:r>
      <w:r w:rsidRPr="00B812BD">
        <w:rPr>
          <w:i/>
        </w:rPr>
        <w:t>P</w:t>
      </w:r>
      <w:r w:rsidRPr="00B812BD">
        <w:t>.</w:t>
      </w:r>
      <w:r w:rsidRPr="00B812BD">
        <w:rPr>
          <w:i/>
        </w:rPr>
        <w:t> washingtonensis</w:t>
      </w:r>
      <w:r>
        <w:t xml:space="preserve"> </w:t>
      </w:r>
      <w:r w:rsidRPr="00944D69">
        <w:t>to a host</w:t>
      </w:r>
      <w:r>
        <w:t xml:space="preserve"> is possible under </w:t>
      </w:r>
      <w:r w:rsidRPr="00944D69">
        <w:t>favourable Australian conditions.</w:t>
      </w:r>
    </w:p>
    <w:p w14:paraId="70D58421" w14:textId="77777777" w:rsidR="003438A2" w:rsidRPr="002C52F3" w:rsidRDefault="003438A2" w:rsidP="003438A2">
      <w:pPr>
        <w:pStyle w:val="ListBullet"/>
        <w:numPr>
          <w:ilvl w:val="0"/>
          <w:numId w:val="15"/>
        </w:numPr>
      </w:pPr>
      <w:r w:rsidRPr="002C52F3">
        <w:t xml:space="preserve">Conidia of </w:t>
      </w:r>
      <w:r w:rsidRPr="002C52F3">
        <w:rPr>
          <w:i/>
        </w:rPr>
        <w:t>P. washingtonensis</w:t>
      </w:r>
      <w:r w:rsidRPr="002C52F3">
        <w:t xml:space="preserve"> require moisture to be splash- or water-dispersed </w:t>
      </w:r>
      <w:r w:rsidRPr="002C52F3">
        <w:rPr>
          <w:noProof/>
        </w:rPr>
        <w:t>(Xiao 2013a)</w:t>
      </w:r>
      <w:r w:rsidRPr="002C52F3">
        <w:t xml:space="preserve"> to a new host, which is a passive mechanism </w:t>
      </w:r>
      <w:r>
        <w:t>for conidial dispersal over short distances.</w:t>
      </w:r>
      <w:r w:rsidRPr="002C52F3">
        <w:t xml:space="preserve"> </w:t>
      </w:r>
    </w:p>
    <w:p w14:paraId="4A3AD089" w14:textId="77777777" w:rsidR="003438A2" w:rsidRPr="00276DE5" w:rsidRDefault="003438A2" w:rsidP="003438A2">
      <w:pPr>
        <w:pStyle w:val="ListBullet"/>
      </w:pPr>
      <w:r w:rsidRPr="002C52F3">
        <w:t xml:space="preserve">Many regions of Australia have hot, dry summer conditions with regular temperature maxima above 30°C for several consecutive weeks or months </w:t>
      </w:r>
      <w:r w:rsidRPr="002C52F3">
        <w:rPr>
          <w:noProof/>
        </w:rPr>
        <w:t>(Bureau of Meteorology 2018)</w:t>
      </w:r>
      <w:r w:rsidRPr="00276DE5">
        <w:t xml:space="preserve">. </w:t>
      </w:r>
      <w:r>
        <w:t xml:space="preserve">Dispersal of conidia of </w:t>
      </w:r>
      <w:r w:rsidRPr="00702A9D">
        <w:rPr>
          <w:i/>
        </w:rPr>
        <w:t>P. washingtonensis</w:t>
      </w:r>
      <w:r w:rsidRPr="00FF1564">
        <w:t xml:space="preserve"> </w:t>
      </w:r>
      <w:r>
        <w:t xml:space="preserve">from fruit waste discarded during hot and dry conditions to a nearby host is likely to be restricted. </w:t>
      </w:r>
    </w:p>
    <w:p w14:paraId="4D5EFCFF" w14:textId="77777777" w:rsidR="003438A2" w:rsidRPr="00276DE5" w:rsidRDefault="003438A2" w:rsidP="003438A2">
      <w:pPr>
        <w:pStyle w:val="ListBullet"/>
      </w:pPr>
      <w:r>
        <w:t>T</w:t>
      </w:r>
      <w:r w:rsidRPr="00276DE5">
        <w:t xml:space="preserve">hroughout the </w:t>
      </w:r>
      <w:r>
        <w:t xml:space="preserve">remainder of the </w:t>
      </w:r>
      <w:r w:rsidRPr="00276DE5">
        <w:t xml:space="preserve">year the climate in </w:t>
      </w:r>
      <w:r>
        <w:t>some Australian</w:t>
      </w:r>
      <w:r w:rsidRPr="00276DE5">
        <w:t xml:space="preserve"> regions</w:t>
      </w:r>
      <w:r>
        <w:t xml:space="preserve"> could support</w:t>
      </w:r>
      <w:r w:rsidRPr="00276DE5">
        <w:t xml:space="preserve"> conidial</w:t>
      </w:r>
      <w:r>
        <w:t xml:space="preserve"> dispersal</w:t>
      </w:r>
      <w:r w:rsidRPr="00276DE5">
        <w:t>.</w:t>
      </w:r>
    </w:p>
    <w:p w14:paraId="501CABAF" w14:textId="77777777" w:rsidR="003438A2" w:rsidRDefault="003438A2" w:rsidP="00862DBA">
      <w:r w:rsidRPr="00E478A1">
        <w:rPr>
          <w:i/>
        </w:rPr>
        <w:t>Phacidiopycnis washingtonensis</w:t>
      </w:r>
      <w:r w:rsidRPr="00E478A1">
        <w:t xml:space="preserve"> </w:t>
      </w:r>
      <w:r>
        <w:t xml:space="preserve">can be present as asymptomatic infections on fruit and </w:t>
      </w:r>
      <w:r w:rsidRPr="00B812BD">
        <w:t xml:space="preserve">survive </w:t>
      </w:r>
      <w:r>
        <w:t>low temperatures during</w:t>
      </w:r>
      <w:r w:rsidRPr="00B812BD">
        <w:t xml:space="preserve"> storage </w:t>
      </w:r>
      <w:r>
        <w:t xml:space="preserve">and transportation in Australia. Some infected fruit waste may be discarded into the Australian environment. Hosts of </w:t>
      </w:r>
      <w:r w:rsidRPr="00E478A1">
        <w:rPr>
          <w:i/>
        </w:rPr>
        <w:t>P</w:t>
      </w:r>
      <w:r>
        <w:rPr>
          <w:i/>
        </w:rPr>
        <w:t>.</w:t>
      </w:r>
      <w:r w:rsidRPr="00E478A1">
        <w:rPr>
          <w:i/>
        </w:rPr>
        <w:t xml:space="preserve"> washingtonensis</w:t>
      </w:r>
      <w:r w:rsidRPr="00E478A1">
        <w:t xml:space="preserve"> </w:t>
      </w:r>
      <w:r>
        <w:t>are widely present in various parts of Australia.</w:t>
      </w:r>
      <w:r w:rsidRPr="00541359">
        <w:t xml:space="preserve"> </w:t>
      </w:r>
      <w:r>
        <w:t>Inoculum production on fruit waste discarded during hot and dry conditions is likely to be restricted. Inoculum production may also be restricted due to</w:t>
      </w:r>
      <w:r w:rsidRPr="004A2E85">
        <w:t xml:space="preserve"> colonisation of </w:t>
      </w:r>
      <w:r>
        <w:t xml:space="preserve">discarded </w:t>
      </w:r>
      <w:r w:rsidRPr="004A2E85">
        <w:t xml:space="preserve">fruit </w:t>
      </w:r>
      <w:r>
        <w:t xml:space="preserve">waste </w:t>
      </w:r>
      <w:r w:rsidRPr="004A2E85">
        <w:t>by saprophytic fungi or bacteria</w:t>
      </w:r>
      <w:r>
        <w:t>. Conidia dispersal is also likely to be restricted if infected fruit waste are discarded into the Australian environment during hot and dry conditions.</w:t>
      </w:r>
    </w:p>
    <w:p w14:paraId="76F34BBC" w14:textId="77777777" w:rsidR="003438A2" w:rsidRPr="00B812BD" w:rsidRDefault="003438A2" w:rsidP="00862DBA">
      <w:r>
        <w:t xml:space="preserve">For the reasons outlined, the likelihood estimate for distribution of </w:t>
      </w:r>
      <w:r>
        <w:rPr>
          <w:i/>
        </w:rPr>
        <w:t xml:space="preserve">P. washingtonensis </w:t>
      </w:r>
      <w:r>
        <w:t>on apples from the PNW-USA is assessed</w:t>
      </w:r>
      <w:r w:rsidRPr="00B073D0">
        <w:t xml:space="preserve"> </w:t>
      </w:r>
      <w:r>
        <w:t>as Low.</w:t>
      </w:r>
    </w:p>
    <w:p w14:paraId="6EAD7277" w14:textId="77777777" w:rsidR="003438A2" w:rsidRPr="00D87697" w:rsidRDefault="003438A2" w:rsidP="00862DBA">
      <w:pPr>
        <w:pStyle w:val="Heading5"/>
      </w:pPr>
      <w:r w:rsidRPr="00D87697">
        <w:t>Overall likelihood of entry</w:t>
      </w:r>
    </w:p>
    <w:p w14:paraId="0F0D3326" w14:textId="77777777" w:rsidR="003438A2" w:rsidRPr="00194CE2" w:rsidRDefault="003438A2" w:rsidP="00862DBA">
      <w:r w:rsidRPr="00194CE2">
        <w:t>The overall likelihood of entry is determined by combining the likelihood of importation with the likelihood of distribution using the matrix of rule</w:t>
      </w:r>
      <w:r>
        <w:t xml:space="preserve">s shown in </w:t>
      </w:r>
      <w:r>
        <w:fldChar w:fldCharType="begin" w:fldLock="1"/>
      </w:r>
      <w:r>
        <w:instrText xml:space="preserve"> REF _Ref457826328 \h </w:instrText>
      </w:r>
      <w:r>
        <w:fldChar w:fldCharType="separate"/>
      </w:r>
      <w:r w:rsidRPr="00DB5F8D">
        <w:t xml:space="preserve">Table </w:t>
      </w:r>
      <w:r>
        <w:rPr>
          <w:noProof/>
        </w:rPr>
        <w:t>2</w:t>
      </w:r>
      <w:r>
        <w:t>.</w:t>
      </w:r>
      <w:r>
        <w:rPr>
          <w:noProof/>
        </w:rPr>
        <w:t>2</w:t>
      </w:r>
      <w:r>
        <w:fldChar w:fldCharType="end"/>
      </w:r>
      <w:r>
        <w:t>.</w:t>
      </w:r>
    </w:p>
    <w:p w14:paraId="086FEC49" w14:textId="77777777" w:rsidR="003438A2" w:rsidRPr="00194CE2" w:rsidRDefault="003438A2" w:rsidP="00862DBA">
      <w:r>
        <w:t xml:space="preserve">The overall likelihood that </w:t>
      </w:r>
      <w:r>
        <w:rPr>
          <w:i/>
        </w:rPr>
        <w:t xml:space="preserve">P. washingtonensis </w:t>
      </w:r>
      <w:r w:rsidRPr="00194CE2">
        <w:t xml:space="preserve">will enter Australia as a result of trade in the commodity and be distributed in a viable state to a </w:t>
      </w:r>
      <w:r>
        <w:t>susceptible</w:t>
      </w:r>
      <w:r w:rsidRPr="00194CE2">
        <w:t xml:space="preserve"> </w:t>
      </w:r>
      <w:r>
        <w:t xml:space="preserve">part of a </w:t>
      </w:r>
      <w:r w:rsidRPr="00194CE2">
        <w:t>host</w:t>
      </w:r>
      <w:r>
        <w:t xml:space="preserve"> is assessed as Low</w:t>
      </w:r>
      <w:r w:rsidRPr="00B262C4">
        <w:t>.</w:t>
      </w:r>
    </w:p>
    <w:p w14:paraId="48C857D4" w14:textId="77777777" w:rsidR="003438A2" w:rsidRPr="00D87697" w:rsidRDefault="003438A2" w:rsidP="00F843A1">
      <w:pPr>
        <w:pStyle w:val="Heading4"/>
        <w:numPr>
          <w:ilvl w:val="2"/>
          <w:numId w:val="35"/>
        </w:numPr>
        <w:tabs>
          <w:tab w:val="num" w:pos="1929"/>
        </w:tabs>
        <w:ind w:left="1929"/>
      </w:pPr>
      <w:r w:rsidRPr="00D87697">
        <w:t>Likelihood of establishment</w:t>
      </w:r>
    </w:p>
    <w:p w14:paraId="48DE3968" w14:textId="77777777" w:rsidR="003438A2" w:rsidRDefault="003438A2" w:rsidP="00862DBA">
      <w:r>
        <w:t xml:space="preserve">The likelihood that </w:t>
      </w:r>
      <w:r w:rsidRPr="00EC789E">
        <w:rPr>
          <w:i/>
        </w:rPr>
        <w:t>P</w:t>
      </w:r>
      <w:r>
        <w:rPr>
          <w:i/>
        </w:rPr>
        <w:t>.</w:t>
      </w:r>
      <w:r w:rsidRPr="00EC789E">
        <w:rPr>
          <w:i/>
        </w:rPr>
        <w:t xml:space="preserve"> washingtonensis</w:t>
      </w:r>
      <w:r w:rsidRPr="00EC789E">
        <w:t xml:space="preserve"> </w:t>
      </w:r>
      <w:r>
        <w:t xml:space="preserve">will establish within Australia, </w:t>
      </w:r>
      <w:r w:rsidRPr="00902C73">
        <w:t>based on a comparison of factors in the source and destination areas that affect pest survival and reproduction</w:t>
      </w:r>
      <w:r>
        <w:t>,</w:t>
      </w:r>
      <w:r w:rsidRPr="00902C73">
        <w:t xml:space="preserve"> is</w:t>
      </w:r>
      <w:r>
        <w:t xml:space="preserve"> assessed as Moderate.</w:t>
      </w:r>
    </w:p>
    <w:p w14:paraId="104D1902" w14:textId="77777777" w:rsidR="003438A2" w:rsidRDefault="003438A2" w:rsidP="00862DBA">
      <w:r>
        <w:t>The following information provides supporting evidence for this assessment.</w:t>
      </w:r>
    </w:p>
    <w:p w14:paraId="78C52D7A" w14:textId="77777777" w:rsidR="003438A2" w:rsidRPr="0039230B" w:rsidRDefault="003438A2" w:rsidP="00862DBA">
      <w:r>
        <w:t xml:space="preserve">Known hosts of </w:t>
      </w:r>
      <w:r>
        <w:rPr>
          <w:i/>
        </w:rPr>
        <w:t xml:space="preserve">P. washingtonensis </w:t>
      </w:r>
      <w:r>
        <w:t>are present within Australia.</w:t>
      </w:r>
    </w:p>
    <w:p w14:paraId="3F6E93A9" w14:textId="263EF5D8" w:rsidR="003438A2" w:rsidRPr="004B1503" w:rsidRDefault="003438A2" w:rsidP="003438A2">
      <w:pPr>
        <w:pStyle w:val="ListBullet"/>
      </w:pPr>
      <w:r>
        <w:t>Known</w:t>
      </w:r>
      <w:r w:rsidRPr="004B1503">
        <w:t xml:space="preserve"> host</w:t>
      </w:r>
      <w:r>
        <w:t>s</w:t>
      </w:r>
      <w:r w:rsidRPr="004B1503">
        <w:t xml:space="preserve"> </w:t>
      </w:r>
      <w:r>
        <w:t>of</w:t>
      </w:r>
      <w:r w:rsidRPr="004B1503">
        <w:t xml:space="preserve"> </w:t>
      </w:r>
      <w:r w:rsidRPr="000F6858">
        <w:rPr>
          <w:i/>
        </w:rPr>
        <w:t>P. washingtonensis</w:t>
      </w:r>
      <w:r w:rsidRPr="000F6858">
        <w:rPr>
          <w:iCs/>
        </w:rPr>
        <w:t>, including</w:t>
      </w:r>
      <w:r w:rsidRPr="004B1503">
        <w:t xml:space="preserve"> </w:t>
      </w:r>
      <w:r w:rsidRPr="000F6858">
        <w:rPr>
          <w:i/>
        </w:rPr>
        <w:t>Malus</w:t>
      </w:r>
      <w:r w:rsidRPr="004B1503">
        <w:t xml:space="preserve"> spp</w:t>
      </w:r>
      <w:r>
        <w:t>.</w:t>
      </w:r>
      <w:r w:rsidRPr="004B1503">
        <w:t xml:space="preserve">, </w:t>
      </w:r>
      <w:r w:rsidRPr="000F6858">
        <w:rPr>
          <w:i/>
        </w:rPr>
        <w:t>Pyrus communis</w:t>
      </w:r>
      <w:r>
        <w:t xml:space="preserve"> and</w:t>
      </w:r>
      <w:r w:rsidRPr="004B1503">
        <w:t xml:space="preserve"> </w:t>
      </w:r>
      <w:r w:rsidRPr="000F6858">
        <w:rPr>
          <w:i/>
        </w:rPr>
        <w:t>Diospyros kaki</w:t>
      </w:r>
      <w:r w:rsidRPr="004B1503">
        <w:t xml:space="preserve"> </w:t>
      </w:r>
      <w:bookmarkStart w:id="423" w:name="_Hlk111846995"/>
      <w:r>
        <w:rPr>
          <w:noProof/>
        </w:rPr>
        <w:t>(Elliott et al. 2014; Garibaldi et al. 2010; Sikdar et al. 2016; Xiao et al. 2005)</w:t>
      </w:r>
      <w:bookmarkEnd w:id="423"/>
      <w:r>
        <w:t xml:space="preserve"> </w:t>
      </w:r>
      <w:r w:rsidRPr="004B1503">
        <w:t>are present and reasonably widely distributed within Australia.</w:t>
      </w:r>
    </w:p>
    <w:p w14:paraId="10239B6E" w14:textId="77777777" w:rsidR="003438A2" w:rsidRDefault="003438A2" w:rsidP="003438A2">
      <w:pPr>
        <w:pStyle w:val="ListBullet"/>
        <w:numPr>
          <w:ilvl w:val="0"/>
          <w:numId w:val="15"/>
        </w:numPr>
      </w:pPr>
      <w:r w:rsidRPr="004B1503">
        <w:t xml:space="preserve">The commercial apple cultivars Fuji, Golden Delicious and Red Delicious are known to be susceptible to </w:t>
      </w:r>
      <w:r w:rsidRPr="004B1503">
        <w:rPr>
          <w:i/>
        </w:rPr>
        <w:t>P. washingtonensis</w:t>
      </w:r>
      <w:r w:rsidRPr="004B1503">
        <w:t xml:space="preserve"> </w:t>
      </w:r>
      <w:r>
        <w:rPr>
          <w:noProof/>
        </w:rPr>
        <w:t>(Kim &amp; Xiao 2006)</w:t>
      </w:r>
      <w:r w:rsidRPr="004B1503">
        <w:t>.</w:t>
      </w:r>
      <w:r>
        <w:t xml:space="preserve"> These cultivars are grown in Australia.</w:t>
      </w:r>
    </w:p>
    <w:p w14:paraId="410E870E" w14:textId="77777777" w:rsidR="003438A2" w:rsidRDefault="003438A2" w:rsidP="003438A2">
      <w:pPr>
        <w:pStyle w:val="ListBullet"/>
        <w:numPr>
          <w:ilvl w:val="0"/>
          <w:numId w:val="15"/>
        </w:numPr>
      </w:pPr>
      <w:bookmarkStart w:id="424" w:name="_Hlk41911052"/>
      <w:r w:rsidRPr="00EC789E">
        <w:rPr>
          <w:i/>
        </w:rPr>
        <w:t>Phacidiopycnis washingtonensis</w:t>
      </w:r>
      <w:r w:rsidRPr="00EC789E">
        <w:t xml:space="preserve"> has the ability to survive on both live and dead tissues of its hosts </w:t>
      </w:r>
      <w:r>
        <w:rPr>
          <w:noProof/>
        </w:rPr>
        <w:t>(Kim &amp; Xiao 2006; Xiao et al. 2005)</w:t>
      </w:r>
      <w:r w:rsidRPr="00EC789E">
        <w:t>.</w:t>
      </w:r>
    </w:p>
    <w:bookmarkEnd w:id="424"/>
    <w:p w14:paraId="655FF17C" w14:textId="77777777" w:rsidR="003438A2" w:rsidRPr="001869FD" w:rsidRDefault="003438A2" w:rsidP="00862DBA">
      <w:r>
        <w:lastRenderedPageBreak/>
        <w:t xml:space="preserve">Climatic conditions suitable for the establishment of </w:t>
      </w:r>
      <w:r w:rsidRPr="00DA4944">
        <w:rPr>
          <w:i/>
        </w:rPr>
        <w:t>P. washingtonensis</w:t>
      </w:r>
      <w:r w:rsidRPr="004B1503">
        <w:t xml:space="preserve"> </w:t>
      </w:r>
      <w:r>
        <w:t>are available in various parts within Australia during parts of the year.</w:t>
      </w:r>
    </w:p>
    <w:p w14:paraId="2CC0143D" w14:textId="77777777" w:rsidR="003438A2" w:rsidRPr="00D12C19" w:rsidRDefault="003438A2" w:rsidP="003438A2">
      <w:pPr>
        <w:pStyle w:val="ListBullet"/>
        <w:numPr>
          <w:ilvl w:val="0"/>
          <w:numId w:val="15"/>
        </w:numPr>
      </w:pPr>
      <w:r w:rsidRPr="00D12C19">
        <w:rPr>
          <w:i/>
        </w:rPr>
        <w:t>Phacidiopycnis washingtonensis</w:t>
      </w:r>
      <w:r w:rsidRPr="00D12C19">
        <w:t xml:space="preserve"> can grow </w:t>
      </w:r>
      <w:r>
        <w:t>over</w:t>
      </w:r>
      <w:r w:rsidRPr="00D12C19">
        <w:t xml:space="preserve"> a wide temperature range with optim</w:t>
      </w:r>
      <w:r>
        <w:t>al</w:t>
      </w:r>
      <w:r w:rsidRPr="00D12C19">
        <w:t xml:space="preserve"> growth occurring at 15</w:t>
      </w:r>
      <w:r w:rsidRPr="00223363">
        <w:t>°</w:t>
      </w:r>
      <w:r>
        <w:t>C</w:t>
      </w:r>
      <w:r w:rsidRPr="00D12C19">
        <w:t xml:space="preserve"> to 20</w:t>
      </w:r>
      <w:r w:rsidRPr="00223363">
        <w:t>°</w:t>
      </w:r>
      <w:r w:rsidRPr="000E092A">
        <w:t>C</w:t>
      </w:r>
      <w:r w:rsidRPr="00D12C19">
        <w:t xml:space="preserve"> </w:t>
      </w:r>
      <w:r>
        <w:rPr>
          <w:noProof/>
        </w:rPr>
        <w:t>(Xiao et al. 2005)</w:t>
      </w:r>
      <w:r w:rsidRPr="00D12C19">
        <w:t xml:space="preserve">, indicating </w:t>
      </w:r>
      <w:r>
        <w:t>suitable</w:t>
      </w:r>
      <w:r w:rsidRPr="00D12C19">
        <w:t xml:space="preserve"> conditions </w:t>
      </w:r>
      <w:r>
        <w:t xml:space="preserve">are likely to be present </w:t>
      </w:r>
      <w:r w:rsidRPr="00D12C19">
        <w:t xml:space="preserve">in </w:t>
      </w:r>
      <w:r>
        <w:t>many</w:t>
      </w:r>
      <w:r w:rsidRPr="00D12C19">
        <w:t xml:space="preserve"> parts of Australia.</w:t>
      </w:r>
    </w:p>
    <w:p w14:paraId="5FD53B1B" w14:textId="77777777" w:rsidR="003438A2" w:rsidRPr="00160529" w:rsidRDefault="003438A2" w:rsidP="003438A2">
      <w:pPr>
        <w:pStyle w:val="ListBullet"/>
        <w:numPr>
          <w:ilvl w:val="0"/>
          <w:numId w:val="15"/>
        </w:numPr>
      </w:pPr>
      <w:r>
        <w:t>Al</w:t>
      </w:r>
      <w:r w:rsidRPr="00160529">
        <w:t xml:space="preserve">though most apple and pear growing regions within Australia would </w:t>
      </w:r>
      <w:r>
        <w:t>have</w:t>
      </w:r>
      <w:r w:rsidRPr="00160529">
        <w:t xml:space="preserve"> optimal conditions for </w:t>
      </w:r>
      <w:r>
        <w:t>development</w:t>
      </w:r>
      <w:r w:rsidRPr="00160529">
        <w:t xml:space="preserve"> of </w:t>
      </w:r>
      <w:r w:rsidRPr="00160529">
        <w:rPr>
          <w:i/>
        </w:rPr>
        <w:t>P. washingtonensis</w:t>
      </w:r>
      <w:r w:rsidRPr="00160529">
        <w:t xml:space="preserve"> during autumn and spring, </w:t>
      </w:r>
      <w:r>
        <w:t xml:space="preserve">the fungus </w:t>
      </w:r>
      <w:r w:rsidRPr="00160529">
        <w:t xml:space="preserve">is unlikely to survive </w:t>
      </w:r>
      <w:r>
        <w:t>hot and dry</w:t>
      </w:r>
      <w:r w:rsidRPr="00160529">
        <w:t xml:space="preserve"> summer conditions</w:t>
      </w:r>
      <w:r>
        <w:t xml:space="preserve">. Further, the fungus will require conducive conditions such as rain and moisture for conidial germination </w:t>
      </w:r>
      <w:r w:rsidRPr="00580062">
        <w:rPr>
          <w:lang w:eastAsia="en-AU"/>
        </w:rPr>
        <w:t xml:space="preserve">for fruit infection </w:t>
      </w:r>
      <w:r>
        <w:rPr>
          <w:noProof/>
          <w:lang w:eastAsia="en-AU"/>
        </w:rPr>
        <w:t>(PNW Handbooks 2020b)</w:t>
      </w:r>
      <w:r>
        <w:t xml:space="preserve"> for possible establishment in these areas. </w:t>
      </w:r>
    </w:p>
    <w:p w14:paraId="12495793" w14:textId="77777777" w:rsidR="003438A2" w:rsidRDefault="003438A2" w:rsidP="003438A2">
      <w:pPr>
        <w:pStyle w:val="ListBullet"/>
        <w:tabs>
          <w:tab w:val="clear" w:pos="567"/>
        </w:tabs>
      </w:pPr>
      <w:r>
        <w:t>T</w:t>
      </w:r>
      <w:r w:rsidRPr="00890C07">
        <w:t xml:space="preserve">he overwintering and survival properties of </w:t>
      </w:r>
      <w:r w:rsidRPr="00890C07">
        <w:rPr>
          <w:i/>
        </w:rPr>
        <w:t>P. washingtonensis</w:t>
      </w:r>
      <w:r w:rsidRPr="00890C07">
        <w:t xml:space="preserve"> on dead and living</w:t>
      </w:r>
      <w:r>
        <w:t xml:space="preserve"> host</w:t>
      </w:r>
      <w:r w:rsidRPr="00890C07">
        <w:t xml:space="preserve"> tissues</w:t>
      </w:r>
      <w:r>
        <w:t xml:space="preserve"> indicate that</w:t>
      </w:r>
      <w:r w:rsidRPr="00890C07">
        <w:t xml:space="preserve"> there is a chance that the pathogen may </w:t>
      </w:r>
      <w:r>
        <w:t xml:space="preserve">be able to </w:t>
      </w:r>
      <w:r w:rsidRPr="00890C07">
        <w:t>overwinter and re-grow when favourable conditions are available</w:t>
      </w:r>
      <w:r>
        <w:t>.</w:t>
      </w:r>
    </w:p>
    <w:p w14:paraId="22B150EF" w14:textId="77777777" w:rsidR="003438A2" w:rsidRDefault="003438A2" w:rsidP="00862DBA">
      <w:r>
        <w:t>Hosts of</w:t>
      </w:r>
      <w:r w:rsidRPr="00EC789E">
        <w:t xml:space="preserve"> </w:t>
      </w:r>
      <w:r w:rsidRPr="00EC789E">
        <w:rPr>
          <w:i/>
        </w:rPr>
        <w:t>P</w:t>
      </w:r>
      <w:r>
        <w:rPr>
          <w:i/>
        </w:rPr>
        <w:t>.</w:t>
      </w:r>
      <w:r w:rsidRPr="00EC789E">
        <w:rPr>
          <w:i/>
        </w:rPr>
        <w:t xml:space="preserve"> washingtonensis</w:t>
      </w:r>
      <w:r w:rsidRPr="00EC789E">
        <w:t xml:space="preserve"> </w:t>
      </w:r>
      <w:r>
        <w:t>(apples, pears, crabapples and persimmons) are widely present in various parts of Australia. Optimal climatic conditions exist in m</w:t>
      </w:r>
      <w:r w:rsidRPr="00096AD4">
        <w:t xml:space="preserve">any regions of Australia </w:t>
      </w:r>
      <w:r>
        <w:t xml:space="preserve">and could support successful establishment of the fungus during most of the year it was distributed to susceptible hosts in a viable state. Successful establishment is likely to be limited during the hot, dry Australian summer. The ability of the pathogen to overwinter and </w:t>
      </w:r>
      <w:r w:rsidRPr="00194CE2">
        <w:t xml:space="preserve">survive </w:t>
      </w:r>
      <w:r>
        <w:t xml:space="preserve">for several months </w:t>
      </w:r>
      <w:r w:rsidRPr="00194CE2">
        <w:t>on both live and dead tissues of its hosts</w:t>
      </w:r>
      <w:r>
        <w:t xml:space="preserve"> could allow the pathogen to establish and re-emerge when favourable conditions are available.</w:t>
      </w:r>
    </w:p>
    <w:p w14:paraId="077AB2F3" w14:textId="77777777" w:rsidR="003438A2" w:rsidRPr="00EC789E" w:rsidRDefault="003438A2" w:rsidP="00862DBA">
      <w:r>
        <w:t xml:space="preserve">For the reasons outlined, the likelihood estimate for establishment of </w:t>
      </w:r>
      <w:r w:rsidRPr="00EC789E">
        <w:rPr>
          <w:i/>
        </w:rPr>
        <w:t>P</w:t>
      </w:r>
      <w:r>
        <w:rPr>
          <w:i/>
        </w:rPr>
        <w:t>.</w:t>
      </w:r>
      <w:r w:rsidRPr="00EC789E">
        <w:rPr>
          <w:i/>
        </w:rPr>
        <w:t xml:space="preserve"> washingtonensis</w:t>
      </w:r>
      <w:r w:rsidRPr="00EC789E">
        <w:t xml:space="preserve"> </w:t>
      </w:r>
      <w:r>
        <w:t>within Australia from imported apples from the PNW-USA is assessed as Moderate</w:t>
      </w:r>
      <w:r w:rsidRPr="00EC789E">
        <w:t>.</w:t>
      </w:r>
    </w:p>
    <w:p w14:paraId="092FCAC1" w14:textId="77777777" w:rsidR="003438A2" w:rsidRPr="00D87697" w:rsidRDefault="003438A2" w:rsidP="00F843A1">
      <w:pPr>
        <w:pStyle w:val="Heading4"/>
        <w:numPr>
          <w:ilvl w:val="2"/>
          <w:numId w:val="35"/>
        </w:numPr>
        <w:tabs>
          <w:tab w:val="num" w:pos="1929"/>
        </w:tabs>
        <w:ind w:left="1929"/>
      </w:pPr>
      <w:r w:rsidRPr="00D87697">
        <w:t>Likelihood of spread</w:t>
      </w:r>
    </w:p>
    <w:p w14:paraId="0982039E" w14:textId="77777777" w:rsidR="003438A2" w:rsidRDefault="003438A2" w:rsidP="00862DBA">
      <w:r>
        <w:t xml:space="preserve">The likelihood that </w:t>
      </w:r>
      <w:r w:rsidRPr="007A090D">
        <w:rPr>
          <w:i/>
        </w:rPr>
        <w:t>P</w:t>
      </w:r>
      <w:r>
        <w:rPr>
          <w:i/>
        </w:rPr>
        <w:t>.</w:t>
      </w:r>
      <w:r w:rsidRPr="007A090D">
        <w:rPr>
          <w:i/>
        </w:rPr>
        <w:t xml:space="preserve"> washingtonensis</w:t>
      </w:r>
      <w:r w:rsidRPr="007A090D">
        <w:t xml:space="preserve"> </w:t>
      </w:r>
      <w:r>
        <w:t>will spread within Australia, based on a comparison of factors in the source and destination areas that affect the expansion of the geographic distribution of the pest, is assessed as Moderate.</w:t>
      </w:r>
    </w:p>
    <w:p w14:paraId="5BD16C09" w14:textId="77777777" w:rsidR="003438A2" w:rsidRDefault="003438A2" w:rsidP="00862DBA">
      <w:r>
        <w:t>The following information provides supporting evidence for this assessment.</w:t>
      </w:r>
    </w:p>
    <w:p w14:paraId="0C2A727C" w14:textId="77777777" w:rsidR="003438A2" w:rsidRPr="00726EF7" w:rsidRDefault="003438A2" w:rsidP="00862DBA">
      <w:r>
        <w:t xml:space="preserve">Widely distributed host plants in various parts of Australia could support the spread of </w:t>
      </w:r>
      <w:r w:rsidRPr="007A090D">
        <w:rPr>
          <w:i/>
        </w:rPr>
        <w:t>P</w:t>
      </w:r>
      <w:r>
        <w:rPr>
          <w:i/>
        </w:rPr>
        <w:t>.</w:t>
      </w:r>
      <w:r w:rsidRPr="007A090D">
        <w:rPr>
          <w:i/>
        </w:rPr>
        <w:t xml:space="preserve"> washingtonensis</w:t>
      </w:r>
      <w:r>
        <w:t xml:space="preserve"> within Australia.</w:t>
      </w:r>
    </w:p>
    <w:p w14:paraId="5376B106" w14:textId="77777777" w:rsidR="003438A2" w:rsidRPr="004B1503" w:rsidRDefault="003438A2" w:rsidP="003438A2">
      <w:pPr>
        <w:pStyle w:val="ListBullet"/>
        <w:numPr>
          <w:ilvl w:val="0"/>
          <w:numId w:val="15"/>
        </w:numPr>
      </w:pPr>
      <w:r>
        <w:t>K</w:t>
      </w:r>
      <w:r w:rsidRPr="004B1503">
        <w:t>nown host species</w:t>
      </w:r>
      <w:r>
        <w:t>, including apples, crabapples, pears and persimmons,</w:t>
      </w:r>
      <w:r w:rsidRPr="004B1503">
        <w:t xml:space="preserve"> are present and widely distributed within Australia in commercial orchard districts, as well as </w:t>
      </w:r>
      <w:r>
        <w:t xml:space="preserve">in </w:t>
      </w:r>
      <w:r w:rsidRPr="004B1503">
        <w:t>suburban and rural areas.</w:t>
      </w:r>
    </w:p>
    <w:p w14:paraId="0B7212F1" w14:textId="77777777" w:rsidR="003438A2" w:rsidRDefault="003438A2" w:rsidP="003438A2">
      <w:pPr>
        <w:pStyle w:val="ListBullet"/>
        <w:numPr>
          <w:ilvl w:val="0"/>
          <w:numId w:val="15"/>
        </w:numPr>
      </w:pPr>
      <w:r w:rsidRPr="00EC789E">
        <w:rPr>
          <w:i/>
        </w:rPr>
        <w:t>Phacidiopycnis washingtonensis</w:t>
      </w:r>
      <w:r w:rsidRPr="00EC789E">
        <w:t xml:space="preserve"> has the ability to </w:t>
      </w:r>
      <w:r>
        <w:t xml:space="preserve">maintain infections on hosts throughout the growing season, and is able to overwinter </w:t>
      </w:r>
      <w:r w:rsidRPr="00EC789E">
        <w:t xml:space="preserve">on both live and dead tissues of its hosts </w:t>
      </w:r>
      <w:r>
        <w:rPr>
          <w:noProof/>
        </w:rPr>
        <w:t>(Kim &amp; Xiao 2006; Xiao et al. 2005)</w:t>
      </w:r>
      <w:r w:rsidRPr="00EC789E">
        <w:t>.</w:t>
      </w:r>
    </w:p>
    <w:p w14:paraId="324D6046" w14:textId="77777777" w:rsidR="003438A2" w:rsidRPr="00D57895" w:rsidRDefault="003438A2" w:rsidP="00862DBA">
      <w:pPr>
        <w:rPr>
          <w:color w:val="000000"/>
        </w:rPr>
      </w:pPr>
      <w:r>
        <w:t xml:space="preserve">Suitable environments for the spread </w:t>
      </w:r>
      <w:r w:rsidRPr="0039230B">
        <w:t>of</w:t>
      </w:r>
      <w:r w:rsidRPr="00D57895">
        <w:rPr>
          <w:i/>
        </w:rPr>
        <w:t xml:space="preserve"> P. washingtonensis</w:t>
      </w:r>
      <w:r>
        <w:rPr>
          <w:i/>
        </w:rPr>
        <w:t xml:space="preserve"> </w:t>
      </w:r>
      <w:r>
        <w:t>exist in Australia.</w:t>
      </w:r>
    </w:p>
    <w:p w14:paraId="5D732429" w14:textId="77777777" w:rsidR="003438A2" w:rsidRPr="003A02D3" w:rsidRDefault="003438A2" w:rsidP="003438A2">
      <w:pPr>
        <w:pStyle w:val="ListBullet"/>
        <w:numPr>
          <w:ilvl w:val="0"/>
          <w:numId w:val="15"/>
        </w:numPr>
      </w:pPr>
      <w:r w:rsidRPr="003A02D3">
        <w:rPr>
          <w:i/>
        </w:rPr>
        <w:t>Phacidiopycnis washingtonensis</w:t>
      </w:r>
      <w:r w:rsidRPr="003A02D3">
        <w:t xml:space="preserve"> can survive and grow </w:t>
      </w:r>
      <w:r>
        <w:t>over</w:t>
      </w:r>
      <w:r w:rsidRPr="003A02D3">
        <w:t xml:space="preserve"> a wide temperature range of –</w:t>
      </w:r>
      <w:r>
        <w:t> </w:t>
      </w:r>
      <w:r w:rsidRPr="003A02D3">
        <w:t>3</w:t>
      </w:r>
      <w:r w:rsidRPr="00223363">
        <w:t>°</w:t>
      </w:r>
      <w:r>
        <w:t>C to 25</w:t>
      </w:r>
      <w:r w:rsidRPr="00223363">
        <w:t>°</w:t>
      </w:r>
      <w:r w:rsidRPr="000E092A">
        <w:t>C</w:t>
      </w:r>
      <w:r w:rsidRPr="003A02D3">
        <w:t xml:space="preserve"> </w:t>
      </w:r>
      <w:r>
        <w:rPr>
          <w:noProof/>
        </w:rPr>
        <w:t>(Xiao et al. 2005)</w:t>
      </w:r>
      <w:r w:rsidRPr="003A02D3">
        <w:t>.</w:t>
      </w:r>
    </w:p>
    <w:p w14:paraId="253F24B8" w14:textId="77777777" w:rsidR="003438A2" w:rsidRPr="003A02D3" w:rsidRDefault="003438A2" w:rsidP="003438A2">
      <w:pPr>
        <w:pStyle w:val="ListBullet"/>
        <w:numPr>
          <w:ilvl w:val="0"/>
          <w:numId w:val="15"/>
        </w:numPr>
      </w:pPr>
      <w:r>
        <w:t>C</w:t>
      </w:r>
      <w:r w:rsidRPr="003A02D3">
        <w:t xml:space="preserve">limates similar to </w:t>
      </w:r>
      <w:r>
        <w:t xml:space="preserve">those in </w:t>
      </w:r>
      <w:r w:rsidRPr="003A02D3">
        <w:t xml:space="preserve">the </w:t>
      </w:r>
      <w:r>
        <w:t xml:space="preserve">geographic </w:t>
      </w:r>
      <w:r w:rsidRPr="003A02D3">
        <w:t xml:space="preserve">range of </w:t>
      </w:r>
      <w:r w:rsidRPr="003A02D3">
        <w:rPr>
          <w:i/>
        </w:rPr>
        <w:t>P. washingtonensis</w:t>
      </w:r>
      <w:r w:rsidRPr="003A02D3">
        <w:t xml:space="preserve"> </w:t>
      </w:r>
      <w:r>
        <w:t xml:space="preserve">in PNW-USA </w:t>
      </w:r>
      <w:r w:rsidRPr="003A02D3">
        <w:t xml:space="preserve">exist in parts of temperate southeastern and southwestern Australia, suggesting that these parts of Australia </w:t>
      </w:r>
      <w:r>
        <w:t>are</w:t>
      </w:r>
      <w:r w:rsidRPr="003A02D3">
        <w:t xml:space="preserve"> likely to be suitable for </w:t>
      </w:r>
      <w:r>
        <w:t xml:space="preserve">spread </w:t>
      </w:r>
      <w:r w:rsidRPr="003A02D3">
        <w:t xml:space="preserve">of </w:t>
      </w:r>
      <w:r w:rsidRPr="003A02D3">
        <w:rPr>
          <w:i/>
        </w:rPr>
        <w:t>P. washingtonensis</w:t>
      </w:r>
      <w:r w:rsidRPr="003A02D3">
        <w:t>.</w:t>
      </w:r>
    </w:p>
    <w:p w14:paraId="027068EF" w14:textId="77777777" w:rsidR="003438A2" w:rsidRDefault="003438A2" w:rsidP="003438A2">
      <w:pPr>
        <w:pStyle w:val="ListBullet"/>
        <w:numPr>
          <w:ilvl w:val="0"/>
          <w:numId w:val="15"/>
        </w:numPr>
      </w:pPr>
      <w:r>
        <w:lastRenderedPageBreak/>
        <w:t>Hot, dry climatic conditions in some parts</w:t>
      </w:r>
      <w:r w:rsidRPr="00876E68">
        <w:t xml:space="preserve"> of Australia </w:t>
      </w:r>
      <w:r>
        <w:t>during summer may not be conducive for the spread of the pathogen during this period.</w:t>
      </w:r>
    </w:p>
    <w:p w14:paraId="2D76543E" w14:textId="77777777" w:rsidR="003438A2" w:rsidRPr="00580062" w:rsidRDefault="003438A2" w:rsidP="00862DBA">
      <w:r w:rsidRPr="00580062">
        <w:t xml:space="preserve">Natural dispersal by spores </w:t>
      </w:r>
      <w:r>
        <w:t>may</w:t>
      </w:r>
      <w:r w:rsidRPr="00580062">
        <w:t xml:space="preserve"> spread the pathogen</w:t>
      </w:r>
      <w:r>
        <w:t xml:space="preserve"> over short distances</w:t>
      </w:r>
      <w:r w:rsidRPr="00580062">
        <w:t>.</w:t>
      </w:r>
    </w:p>
    <w:p w14:paraId="2F8AA9F1" w14:textId="77777777" w:rsidR="003438A2" w:rsidRDefault="003438A2" w:rsidP="003438A2">
      <w:pPr>
        <w:pStyle w:val="ListBullet"/>
        <w:tabs>
          <w:tab w:val="left" w:pos="9070"/>
        </w:tabs>
        <w:rPr>
          <w:lang w:eastAsia="en-AU"/>
        </w:rPr>
      </w:pPr>
      <w:r w:rsidRPr="00580062">
        <w:rPr>
          <w:lang w:eastAsia="en-AU"/>
        </w:rPr>
        <w:t xml:space="preserve">Pycnidia, which are the fruiting bodies of </w:t>
      </w:r>
      <w:r w:rsidRPr="00580062">
        <w:rPr>
          <w:i/>
        </w:rPr>
        <w:t>P. washingtonensis</w:t>
      </w:r>
      <w:r>
        <w:rPr>
          <w:iCs/>
        </w:rPr>
        <w:t>,</w:t>
      </w:r>
      <w:r w:rsidRPr="00580062">
        <w:t xml:space="preserve"> </w:t>
      </w:r>
      <w:r w:rsidRPr="00580062">
        <w:rPr>
          <w:lang w:eastAsia="en-AU"/>
        </w:rPr>
        <w:t xml:space="preserve">contain millions of spores, </w:t>
      </w:r>
      <w:r>
        <w:rPr>
          <w:lang w:eastAsia="en-AU"/>
        </w:rPr>
        <w:t>from which</w:t>
      </w:r>
      <w:r w:rsidRPr="00580062">
        <w:rPr>
          <w:lang w:eastAsia="en-AU"/>
        </w:rPr>
        <w:t xml:space="preserve"> infection of hosts </w:t>
      </w:r>
      <w:r>
        <w:rPr>
          <w:lang w:eastAsia="en-AU"/>
        </w:rPr>
        <w:t xml:space="preserve">can be initiated </w:t>
      </w:r>
      <w:r>
        <w:rPr>
          <w:noProof/>
          <w:lang w:eastAsia="en-AU"/>
        </w:rPr>
        <w:t>(PNW Handbooks 2020b; Washington State University Extension 2020; Xiao &amp; Kim 2013)</w:t>
      </w:r>
      <w:r w:rsidRPr="00580062">
        <w:rPr>
          <w:lang w:eastAsia="en-AU"/>
        </w:rPr>
        <w:t>.</w:t>
      </w:r>
    </w:p>
    <w:p w14:paraId="75A63DBE" w14:textId="77777777" w:rsidR="003438A2" w:rsidRDefault="003438A2" w:rsidP="003438A2">
      <w:pPr>
        <w:pStyle w:val="ListBullet"/>
      </w:pPr>
      <w:r w:rsidRPr="00580062">
        <w:rPr>
          <w:lang w:eastAsia="en-AU"/>
        </w:rPr>
        <w:t xml:space="preserve">Natural dispersal of </w:t>
      </w:r>
      <w:r w:rsidRPr="00580062">
        <w:rPr>
          <w:i/>
        </w:rPr>
        <w:t>P. washingtonensis</w:t>
      </w:r>
      <w:r w:rsidRPr="00580062">
        <w:t xml:space="preserve"> </w:t>
      </w:r>
      <w:r w:rsidRPr="00580062">
        <w:rPr>
          <w:lang w:eastAsia="en-AU"/>
        </w:rPr>
        <w:t xml:space="preserve">is through spores spread from one host to </w:t>
      </w:r>
      <w:r>
        <w:rPr>
          <w:lang w:eastAsia="en-AU"/>
        </w:rPr>
        <w:t>an</w:t>
      </w:r>
      <w:r w:rsidRPr="00580062">
        <w:rPr>
          <w:lang w:eastAsia="en-AU"/>
        </w:rPr>
        <w:t>other by water splash</w:t>
      </w:r>
      <w:r>
        <w:rPr>
          <w:lang w:eastAsia="en-AU"/>
        </w:rPr>
        <w:t xml:space="preserve"> or rain.</w:t>
      </w:r>
      <w:r w:rsidRPr="00580062">
        <w:rPr>
          <w:lang w:eastAsia="en-AU"/>
        </w:rPr>
        <w:t xml:space="preserve"> </w:t>
      </w:r>
      <w:r>
        <w:rPr>
          <w:lang w:eastAsia="en-AU"/>
        </w:rPr>
        <w:t>Presence of moisture</w:t>
      </w:r>
      <w:r w:rsidRPr="00580062">
        <w:rPr>
          <w:lang w:eastAsia="en-AU"/>
        </w:rPr>
        <w:t xml:space="preserve"> also creates conditions conducive for fruit infection </w:t>
      </w:r>
      <w:r>
        <w:rPr>
          <w:noProof/>
          <w:lang w:eastAsia="en-AU"/>
        </w:rPr>
        <w:t>(PNW Handbooks 2020b; Sikdar et al. 2016)</w:t>
      </w:r>
      <w:r w:rsidRPr="00580062">
        <w:t>.</w:t>
      </w:r>
    </w:p>
    <w:p w14:paraId="059B8EE6" w14:textId="77777777" w:rsidR="003438A2" w:rsidRDefault="003438A2" w:rsidP="00862DBA">
      <w:r>
        <w:rPr>
          <w:iCs/>
        </w:rPr>
        <w:t xml:space="preserve">Long distance spread of </w:t>
      </w:r>
      <w:r w:rsidRPr="003A02D3">
        <w:rPr>
          <w:i/>
        </w:rPr>
        <w:t>P</w:t>
      </w:r>
      <w:r>
        <w:rPr>
          <w:i/>
        </w:rPr>
        <w:t>.</w:t>
      </w:r>
      <w:r w:rsidRPr="003A02D3">
        <w:rPr>
          <w:i/>
        </w:rPr>
        <w:t xml:space="preserve"> washingtonensis</w:t>
      </w:r>
      <w:r w:rsidRPr="003A02D3">
        <w:t xml:space="preserve"> </w:t>
      </w:r>
      <w:r>
        <w:t>may occur through human-assisted activities.</w:t>
      </w:r>
    </w:p>
    <w:p w14:paraId="3BC5BE2F" w14:textId="77777777" w:rsidR="003438A2" w:rsidRPr="00315800" w:rsidRDefault="003438A2" w:rsidP="003438A2">
      <w:pPr>
        <w:pStyle w:val="ListBullet"/>
        <w:numPr>
          <w:ilvl w:val="0"/>
          <w:numId w:val="15"/>
        </w:numPr>
      </w:pPr>
      <w:r>
        <w:t xml:space="preserve">Domestic trade of infected asymptomatic apple fruit and planting materials may aid the spread of </w:t>
      </w:r>
      <w:r w:rsidRPr="0063122D">
        <w:rPr>
          <w:i/>
          <w:iCs/>
        </w:rPr>
        <w:t>P. washingtonensis</w:t>
      </w:r>
      <w:r w:rsidRPr="00315800">
        <w:t xml:space="preserve"> within </w:t>
      </w:r>
      <w:r>
        <w:t>Australia</w:t>
      </w:r>
      <w:r w:rsidRPr="00315800">
        <w:t>.</w:t>
      </w:r>
    </w:p>
    <w:p w14:paraId="2C1DE67E" w14:textId="77777777" w:rsidR="003438A2" w:rsidRPr="00315800" w:rsidRDefault="003438A2" w:rsidP="003438A2">
      <w:pPr>
        <w:pStyle w:val="ListBullet"/>
        <w:numPr>
          <w:ilvl w:val="0"/>
          <w:numId w:val="15"/>
        </w:numPr>
      </w:pPr>
      <w:r w:rsidRPr="00315800">
        <w:t xml:space="preserve">Disposal of infected fruit/fruit cores directly </w:t>
      </w:r>
      <w:r>
        <w:t>in</w:t>
      </w:r>
      <w:r w:rsidRPr="00315800">
        <w:t xml:space="preserve">to the environment may </w:t>
      </w:r>
      <w:r>
        <w:t xml:space="preserve">also </w:t>
      </w:r>
      <w:r w:rsidRPr="00315800">
        <w:t>aid the spread of the pathogen.</w:t>
      </w:r>
    </w:p>
    <w:p w14:paraId="12204C50" w14:textId="77777777" w:rsidR="003438A2" w:rsidRDefault="003438A2" w:rsidP="00862DBA">
      <w:r>
        <w:t>Hosts of</w:t>
      </w:r>
      <w:r w:rsidRPr="00EC789E">
        <w:t xml:space="preserve"> </w:t>
      </w:r>
      <w:r w:rsidRPr="00EC789E">
        <w:rPr>
          <w:i/>
        </w:rPr>
        <w:t>P</w:t>
      </w:r>
      <w:r w:rsidRPr="00EC789E">
        <w:t>.</w:t>
      </w:r>
      <w:r w:rsidRPr="00EC789E">
        <w:rPr>
          <w:i/>
        </w:rPr>
        <w:t xml:space="preserve"> washingtonensis</w:t>
      </w:r>
      <w:r>
        <w:t xml:space="preserve"> are available in various parts of Australia</w:t>
      </w:r>
      <w:r>
        <w:rPr>
          <w:i/>
        </w:rPr>
        <w:t xml:space="preserve">. </w:t>
      </w:r>
      <w:r w:rsidRPr="00BF1EE1">
        <w:t>The fungus is</w:t>
      </w:r>
      <w:r>
        <w:rPr>
          <w:i/>
        </w:rPr>
        <w:t xml:space="preserve"> </w:t>
      </w:r>
      <w:r>
        <w:t xml:space="preserve">able </w:t>
      </w:r>
      <w:r w:rsidRPr="00EC789E">
        <w:t xml:space="preserve">to survive and grow </w:t>
      </w:r>
      <w:r>
        <w:t>over</w:t>
      </w:r>
      <w:r w:rsidRPr="00EC789E">
        <w:t xml:space="preserve"> a wide temperature range</w:t>
      </w:r>
      <w:r>
        <w:t xml:space="preserve"> and develop adequate levels of inoculum to maintain infection. Most temperate horticultural production regions within Australia experience suitable conditions for growth and spread of this fungus for most of the year. Spread of the pathogen may also be assisted by human-mediated activities. Survival of </w:t>
      </w:r>
      <w:r w:rsidRPr="00EC789E">
        <w:rPr>
          <w:i/>
        </w:rPr>
        <w:t>P</w:t>
      </w:r>
      <w:r w:rsidRPr="00EC789E">
        <w:t>.</w:t>
      </w:r>
      <w:r>
        <w:t xml:space="preserve"> </w:t>
      </w:r>
      <w:r w:rsidRPr="00EC789E">
        <w:rPr>
          <w:i/>
        </w:rPr>
        <w:t>washingtonensis</w:t>
      </w:r>
      <w:r>
        <w:t xml:space="preserve"> is expected to be reduced during the hot, dry Australian summer.</w:t>
      </w:r>
    </w:p>
    <w:p w14:paraId="7C1C590C" w14:textId="77777777" w:rsidR="003438A2" w:rsidRDefault="003438A2" w:rsidP="00862DBA">
      <w:r>
        <w:t xml:space="preserve">For the reasons outlined, the likelihood estimate for spread of </w:t>
      </w:r>
      <w:r w:rsidRPr="00EC789E">
        <w:rPr>
          <w:i/>
        </w:rPr>
        <w:t>P</w:t>
      </w:r>
      <w:r w:rsidRPr="00EC789E">
        <w:t>.</w:t>
      </w:r>
      <w:r w:rsidRPr="00EC789E">
        <w:rPr>
          <w:i/>
        </w:rPr>
        <w:t xml:space="preserve"> washingtonensis</w:t>
      </w:r>
      <w:r w:rsidRPr="00EC789E">
        <w:t xml:space="preserve"> </w:t>
      </w:r>
      <w:r>
        <w:t>within Australia from apples from the PNW-USA is assessed as M</w:t>
      </w:r>
      <w:r w:rsidRPr="00EC789E">
        <w:t>oderate.</w:t>
      </w:r>
    </w:p>
    <w:p w14:paraId="66912635" w14:textId="77777777" w:rsidR="003438A2" w:rsidRPr="00D87697" w:rsidRDefault="003438A2" w:rsidP="00F843A1">
      <w:pPr>
        <w:pStyle w:val="Heading4"/>
        <w:numPr>
          <w:ilvl w:val="2"/>
          <w:numId w:val="35"/>
        </w:numPr>
        <w:tabs>
          <w:tab w:val="num" w:pos="1929"/>
        </w:tabs>
        <w:ind w:left="1929"/>
      </w:pPr>
      <w:r w:rsidRPr="00D87697">
        <w:t>Overall likelihood of entry, establishment and spread</w:t>
      </w:r>
    </w:p>
    <w:p w14:paraId="69739B0A" w14:textId="77777777" w:rsidR="003438A2" w:rsidRPr="00124FE4" w:rsidRDefault="003438A2" w:rsidP="00862DBA">
      <w:r>
        <w:t xml:space="preserve">The overall likelihood of entry, establishment and spread is determined by combining the </w:t>
      </w:r>
      <w:r w:rsidRPr="00124FE4">
        <w:t xml:space="preserve">likelihoods of entry, </w:t>
      </w:r>
      <w:r>
        <w:t xml:space="preserve">of </w:t>
      </w:r>
      <w:r w:rsidRPr="00124FE4">
        <w:t xml:space="preserve">establishment and </w:t>
      </w:r>
      <w:r>
        <w:t xml:space="preserve">of </w:t>
      </w:r>
      <w:r w:rsidRPr="00124FE4">
        <w:t>spread using the matrix of rules shown i</w:t>
      </w:r>
      <w:r>
        <w:t xml:space="preserve">n </w:t>
      </w:r>
      <w:r>
        <w:fldChar w:fldCharType="begin" w:fldLock="1"/>
      </w:r>
      <w:r>
        <w:instrText xml:space="preserve"> REF _Ref457826328 \h </w:instrText>
      </w:r>
      <w:r>
        <w:fldChar w:fldCharType="separate"/>
      </w:r>
      <w:r w:rsidRPr="00DB5F8D">
        <w:t xml:space="preserve">Table </w:t>
      </w:r>
      <w:r>
        <w:rPr>
          <w:noProof/>
        </w:rPr>
        <w:t>2</w:t>
      </w:r>
      <w:r>
        <w:t>.</w:t>
      </w:r>
      <w:r>
        <w:rPr>
          <w:noProof/>
        </w:rPr>
        <w:t>2</w:t>
      </w:r>
      <w:r>
        <w:fldChar w:fldCharType="end"/>
      </w:r>
      <w:r>
        <w:t>.</w:t>
      </w:r>
    </w:p>
    <w:p w14:paraId="130FBC08" w14:textId="77777777" w:rsidR="003438A2" w:rsidRPr="00124FE4" w:rsidRDefault="003438A2" w:rsidP="00862DBA">
      <w:r w:rsidRPr="00124FE4">
        <w:t xml:space="preserve">The overall likelihood that </w:t>
      </w:r>
      <w:r w:rsidRPr="00EC789E">
        <w:rPr>
          <w:i/>
        </w:rPr>
        <w:t>P</w:t>
      </w:r>
      <w:r>
        <w:rPr>
          <w:i/>
        </w:rPr>
        <w:t>.</w:t>
      </w:r>
      <w:r w:rsidRPr="00EC789E">
        <w:rPr>
          <w:i/>
        </w:rPr>
        <w:t xml:space="preserve"> washingtonensis</w:t>
      </w:r>
      <w:r w:rsidRPr="00EC789E">
        <w:t xml:space="preserve"> </w:t>
      </w:r>
      <w:r w:rsidRPr="00124FE4">
        <w:t xml:space="preserve">will enter Australia as a result of trade </w:t>
      </w:r>
      <w:r>
        <w:t>i</w:t>
      </w:r>
      <w:r w:rsidRPr="00124FE4">
        <w:t xml:space="preserve">n apples from </w:t>
      </w:r>
      <w:r>
        <w:t>PNW-USA</w:t>
      </w:r>
      <w:r w:rsidRPr="00124FE4">
        <w:t>, be distributed in a viable state to susceptible host</w:t>
      </w:r>
      <w:r>
        <w:t>s</w:t>
      </w:r>
      <w:r w:rsidRPr="00124FE4">
        <w:t xml:space="preserve">, establish in </w:t>
      </w:r>
      <w:r>
        <w:t>that area</w:t>
      </w:r>
      <w:r w:rsidRPr="00124FE4">
        <w:t xml:space="preserve"> and subseque</w:t>
      </w:r>
      <w:r>
        <w:t>ntly spread within Australia is assessed as</w:t>
      </w:r>
      <w:r w:rsidRPr="00124FE4">
        <w:t xml:space="preserve"> </w:t>
      </w:r>
      <w:r>
        <w:t>Low</w:t>
      </w:r>
      <w:r w:rsidRPr="00124FE4">
        <w:t>.</w:t>
      </w:r>
    </w:p>
    <w:p w14:paraId="5DAD39E0" w14:textId="77777777" w:rsidR="003438A2" w:rsidRPr="00D87697" w:rsidRDefault="003438A2" w:rsidP="00F843A1">
      <w:pPr>
        <w:pStyle w:val="Heading4"/>
        <w:numPr>
          <w:ilvl w:val="2"/>
          <w:numId w:val="35"/>
        </w:numPr>
        <w:tabs>
          <w:tab w:val="num" w:pos="1929"/>
        </w:tabs>
        <w:ind w:left="1929"/>
      </w:pPr>
      <w:r w:rsidRPr="00D87697">
        <w:t>Consequences</w:t>
      </w:r>
    </w:p>
    <w:p w14:paraId="59921E57" w14:textId="77777777" w:rsidR="003438A2" w:rsidRDefault="003438A2" w:rsidP="00862DBA">
      <w:r>
        <w:t xml:space="preserve">The consequences of the establishment of </w:t>
      </w:r>
      <w:r w:rsidRPr="00EC789E">
        <w:rPr>
          <w:i/>
        </w:rPr>
        <w:t>P</w:t>
      </w:r>
      <w:r>
        <w:rPr>
          <w:i/>
        </w:rPr>
        <w:t>.</w:t>
      </w:r>
      <w:r w:rsidRPr="00EC789E">
        <w:rPr>
          <w:i/>
        </w:rPr>
        <w:t xml:space="preserve"> washingtonensis</w:t>
      </w:r>
      <w:r w:rsidRPr="00EC789E">
        <w:t xml:space="preserve"> </w:t>
      </w:r>
      <w:r>
        <w:t xml:space="preserve">in Australia have been estimated according to the methods described in </w:t>
      </w:r>
      <w:r>
        <w:fldChar w:fldCharType="begin" w:fldLock="1"/>
      </w:r>
      <w:r>
        <w:instrText xml:space="preserve"> REF _Ref457826350 \h </w:instrText>
      </w:r>
      <w:r>
        <w:fldChar w:fldCharType="separate"/>
      </w:r>
      <w:r>
        <w:t xml:space="preserve">Table </w:t>
      </w:r>
      <w:r>
        <w:rPr>
          <w:noProof/>
        </w:rPr>
        <w:t>2</w:t>
      </w:r>
      <w:r>
        <w:t>.</w:t>
      </w:r>
      <w:r>
        <w:rPr>
          <w:noProof/>
        </w:rPr>
        <w:t>3</w:t>
      </w:r>
      <w:r>
        <w:fldChar w:fldCharType="end"/>
      </w:r>
      <w:r>
        <w:t>.</w:t>
      </w:r>
    </w:p>
    <w:p w14:paraId="55A2D2E2" w14:textId="77777777" w:rsidR="003438A2" w:rsidRPr="00CC4D19" w:rsidRDefault="003438A2" w:rsidP="00862DBA">
      <w:pPr>
        <w:rPr>
          <w:rFonts w:eastAsia="Calibri" w:cs="Times New Roman"/>
        </w:rPr>
      </w:pPr>
      <w:r w:rsidRPr="00CC4D19">
        <w:rPr>
          <w:rFonts w:eastAsia="Calibri" w:cs="Times New Roman"/>
        </w:rPr>
        <w:t>Based on the decision d</w:t>
      </w:r>
      <w:r>
        <w:rPr>
          <w:rFonts w:eastAsia="Calibri" w:cs="Times New Roman"/>
        </w:rPr>
        <w:t xml:space="preserve">escribed in </w:t>
      </w:r>
      <w:r>
        <w:rPr>
          <w:rFonts w:eastAsia="Calibri" w:cs="Times New Roman"/>
        </w:rPr>
        <w:fldChar w:fldCharType="begin" w:fldLock="1"/>
      </w:r>
      <w:r>
        <w:rPr>
          <w:rFonts w:eastAsia="Calibri" w:cs="Times New Roman"/>
        </w:rPr>
        <w:instrText xml:space="preserve"> REF _Ref457826361 \h </w:instrText>
      </w:r>
      <w:r>
        <w:rPr>
          <w:rFonts w:eastAsia="Calibri" w:cs="Times New Roman"/>
        </w:rPr>
      </w:r>
      <w:r>
        <w:rPr>
          <w:rFonts w:eastAsia="Calibri" w:cs="Times New Roman"/>
        </w:rPr>
        <w:fldChar w:fldCharType="separate"/>
      </w:r>
      <w:r>
        <w:t xml:space="preserve">Table </w:t>
      </w:r>
      <w:r>
        <w:rPr>
          <w:noProof/>
        </w:rPr>
        <w:t>2</w:t>
      </w:r>
      <w:r>
        <w:t>.</w:t>
      </w:r>
      <w:r>
        <w:rPr>
          <w:noProof/>
        </w:rPr>
        <w:t>4</w:t>
      </w:r>
      <w:r>
        <w:rPr>
          <w:rFonts w:eastAsia="Calibri" w:cs="Times New Roman"/>
        </w:rPr>
        <w:fldChar w:fldCharType="end"/>
      </w:r>
      <w:r w:rsidRPr="00CC4D19">
        <w:rPr>
          <w:rFonts w:eastAsia="Calibri" w:cs="Times New Roman"/>
        </w:rPr>
        <w:t>, that is, where the consequences of a pest with respect to one or more criteria are ‘</w:t>
      </w:r>
      <w:r>
        <w:rPr>
          <w:rFonts w:eastAsia="Calibri" w:cs="Times New Roman"/>
          <w:b/>
        </w:rPr>
        <w:t>E</w:t>
      </w:r>
      <w:r w:rsidRPr="00CC4D19">
        <w:rPr>
          <w:rFonts w:eastAsia="Calibri" w:cs="Times New Roman"/>
        </w:rPr>
        <w:t>’, the overall c</w:t>
      </w:r>
      <w:r>
        <w:rPr>
          <w:rFonts w:eastAsia="Calibri" w:cs="Times New Roman"/>
        </w:rPr>
        <w:t>onsequences are estimated to be Moderate.</w:t>
      </w:r>
    </w:p>
    <w:p w14:paraId="62811BCA" w14:textId="77777777" w:rsidR="003438A2" w:rsidRDefault="003438A2" w:rsidP="00862DBA">
      <w:r>
        <w:t>The r</w:t>
      </w:r>
      <w:r w:rsidRPr="00EC789E">
        <w:t>easoning for these ratings is provided below</w:t>
      </w:r>
      <w:r>
        <w:t>.</w:t>
      </w:r>
    </w:p>
    <w:tbl>
      <w:tblPr>
        <w:tblW w:w="4864" w:type="pct"/>
        <w:tblBorders>
          <w:top w:val="single" w:sz="4" w:space="0" w:color="auto"/>
          <w:bottom w:val="single" w:sz="4" w:space="0" w:color="auto"/>
        </w:tblBorders>
        <w:tblLook w:val="04A0" w:firstRow="1" w:lastRow="0" w:firstColumn="1" w:lastColumn="0" w:noHBand="0" w:noVBand="1"/>
      </w:tblPr>
      <w:tblGrid>
        <w:gridCol w:w="3566"/>
        <w:gridCol w:w="5257"/>
      </w:tblGrid>
      <w:tr w:rsidR="003438A2" w14:paraId="63B1A342" w14:textId="77777777" w:rsidTr="001A4104">
        <w:tc>
          <w:tcPr>
            <w:tcW w:w="2021" w:type="pct"/>
            <w:tcBorders>
              <w:top w:val="single" w:sz="4" w:space="0" w:color="auto"/>
              <w:bottom w:val="single" w:sz="4" w:space="0" w:color="D9D9D9" w:themeColor="background1" w:themeShade="D9"/>
            </w:tcBorders>
          </w:tcPr>
          <w:p w14:paraId="0E13FF9C" w14:textId="77777777" w:rsidR="003438A2" w:rsidRDefault="003438A2" w:rsidP="001A4104">
            <w:pPr>
              <w:pStyle w:val="TableHeading"/>
              <w:spacing w:line="276" w:lineRule="auto"/>
            </w:pPr>
            <w:r>
              <w:t>Criterion</w:t>
            </w:r>
          </w:p>
        </w:tc>
        <w:tc>
          <w:tcPr>
            <w:tcW w:w="2979" w:type="pct"/>
            <w:tcBorders>
              <w:top w:val="single" w:sz="4" w:space="0" w:color="auto"/>
              <w:bottom w:val="single" w:sz="4" w:space="0" w:color="D9D9D9" w:themeColor="background1" w:themeShade="D9"/>
            </w:tcBorders>
          </w:tcPr>
          <w:p w14:paraId="3041B460" w14:textId="77777777" w:rsidR="003438A2" w:rsidRDefault="003438A2" w:rsidP="001A4104">
            <w:pPr>
              <w:pStyle w:val="TableHeading"/>
              <w:spacing w:line="276" w:lineRule="auto"/>
            </w:pPr>
            <w:r>
              <w:t>Estimate and rationale</w:t>
            </w:r>
          </w:p>
        </w:tc>
      </w:tr>
      <w:tr w:rsidR="003438A2" w14:paraId="60D5E7D7" w14:textId="77777777" w:rsidTr="001A4104">
        <w:tc>
          <w:tcPr>
            <w:tcW w:w="5000" w:type="pct"/>
            <w:gridSpan w:val="2"/>
            <w:tcBorders>
              <w:top w:val="single" w:sz="4" w:space="0" w:color="D9D9D9" w:themeColor="background1" w:themeShade="D9"/>
              <w:bottom w:val="single" w:sz="4" w:space="0" w:color="D9D9D9" w:themeColor="background1" w:themeShade="D9"/>
            </w:tcBorders>
          </w:tcPr>
          <w:p w14:paraId="30D119C2" w14:textId="77777777" w:rsidR="003438A2" w:rsidRPr="00E3289F" w:rsidRDefault="003438A2" w:rsidP="001A4104">
            <w:pPr>
              <w:pStyle w:val="TableText"/>
              <w:spacing w:line="276" w:lineRule="auto"/>
              <w:rPr>
                <w:b/>
                <w:bCs/>
              </w:rPr>
            </w:pPr>
            <w:r w:rsidRPr="00E3289F">
              <w:rPr>
                <w:b/>
                <w:bCs/>
              </w:rPr>
              <w:t>Direct</w:t>
            </w:r>
          </w:p>
        </w:tc>
      </w:tr>
      <w:tr w:rsidR="003438A2" w:rsidRPr="00414AF3" w14:paraId="4553A483" w14:textId="77777777" w:rsidTr="001A4104">
        <w:tc>
          <w:tcPr>
            <w:tcW w:w="2021" w:type="pct"/>
            <w:tcBorders>
              <w:top w:val="single" w:sz="4" w:space="0" w:color="D9D9D9" w:themeColor="background1" w:themeShade="D9"/>
              <w:bottom w:val="single" w:sz="4" w:space="0" w:color="D9D9D9" w:themeColor="background1" w:themeShade="D9"/>
            </w:tcBorders>
          </w:tcPr>
          <w:p w14:paraId="092BFE12" w14:textId="77777777" w:rsidR="003438A2" w:rsidRDefault="003438A2" w:rsidP="001A4104">
            <w:pPr>
              <w:pStyle w:val="TableText"/>
            </w:pPr>
            <w:r>
              <w:t>Plant life or health</w:t>
            </w:r>
          </w:p>
        </w:tc>
        <w:tc>
          <w:tcPr>
            <w:tcW w:w="2979" w:type="pct"/>
            <w:tcBorders>
              <w:top w:val="single" w:sz="4" w:space="0" w:color="D9D9D9" w:themeColor="background1" w:themeShade="D9"/>
              <w:bottom w:val="single" w:sz="4" w:space="0" w:color="D9D9D9" w:themeColor="background1" w:themeShade="D9"/>
            </w:tcBorders>
          </w:tcPr>
          <w:p w14:paraId="77BEBFA5" w14:textId="77777777" w:rsidR="003438A2" w:rsidRPr="00EC789E" w:rsidRDefault="003438A2" w:rsidP="001A4104">
            <w:pPr>
              <w:pStyle w:val="TableText"/>
            </w:pPr>
            <w:r w:rsidRPr="00EC789E">
              <w:t>E - Significant at regional level:</w:t>
            </w:r>
          </w:p>
          <w:p w14:paraId="6BCB053D" w14:textId="796853F2" w:rsidR="003438A2" w:rsidRPr="005B38F2" w:rsidRDefault="003438A2" w:rsidP="001A4104">
            <w:pPr>
              <w:pStyle w:val="TableText"/>
            </w:pPr>
            <w:r w:rsidRPr="00EC789E">
              <w:rPr>
                <w:i/>
              </w:rPr>
              <w:t>Phacidiopycnis washingtonensis</w:t>
            </w:r>
            <w:r w:rsidRPr="00EC789E">
              <w:t xml:space="preserve"> is associated with both </w:t>
            </w:r>
            <w:r>
              <w:t>infected and decaying</w:t>
            </w:r>
            <w:r w:rsidRPr="00EC789E">
              <w:t xml:space="preserve"> tissues of </w:t>
            </w:r>
            <w:r>
              <w:t>apple fruit</w:t>
            </w:r>
            <w:r w:rsidRPr="00EC789E">
              <w:t xml:space="preserve"> </w:t>
            </w:r>
            <w:r>
              <w:rPr>
                <w:noProof/>
              </w:rPr>
              <w:t>(Xiao et al. 2005)</w:t>
            </w:r>
            <w:r w:rsidRPr="005B38F2">
              <w:t xml:space="preserve">. The fungus </w:t>
            </w:r>
            <w:r>
              <w:lastRenderedPageBreak/>
              <w:t>causes post-harvest rot on apples, crabapple and pears, and infect</w:t>
            </w:r>
            <w:r w:rsidRPr="005B38F2">
              <w:t xml:space="preserve">s </w:t>
            </w:r>
            <w:r>
              <w:t xml:space="preserve">other parts of the crabapple tree in the states of Washington and Oregon </w:t>
            </w:r>
            <w:r>
              <w:rPr>
                <w:noProof/>
              </w:rPr>
              <w:t>(Xiao et al. 2005)</w:t>
            </w:r>
            <w:r w:rsidRPr="005B38F2">
              <w:t>.</w:t>
            </w:r>
            <w:r>
              <w:t xml:space="preserve"> It also has other hosts such as </w:t>
            </w:r>
            <w:r w:rsidRPr="00970C32">
              <w:rPr>
                <w:i/>
              </w:rPr>
              <w:t>Diospyros kaki</w:t>
            </w:r>
            <w:r w:rsidRPr="00970C32">
              <w:t xml:space="preserve"> (persimmon)</w:t>
            </w:r>
            <w:r>
              <w:t xml:space="preserve"> </w:t>
            </w:r>
            <w:r w:rsidRPr="00970C32">
              <w:t xml:space="preserve">in the states of Washington and Oregon </w:t>
            </w:r>
            <w:r>
              <w:rPr>
                <w:noProof/>
              </w:rPr>
              <w:t>(Elliott et al. 2014)</w:t>
            </w:r>
            <w:r>
              <w:t xml:space="preserve"> and in Italy </w:t>
            </w:r>
            <w:r>
              <w:rPr>
                <w:noProof/>
              </w:rPr>
              <w:t>(Garibaldi et al. 2010)</w:t>
            </w:r>
            <w:r>
              <w:t xml:space="preserve">, and </w:t>
            </w:r>
            <w:r w:rsidRPr="00970C32">
              <w:rPr>
                <w:i/>
              </w:rPr>
              <w:t>Arbutus menziesii</w:t>
            </w:r>
            <w:r>
              <w:t xml:space="preserve"> (Pacific madrone) in western Washington and Oregon </w:t>
            </w:r>
            <w:r>
              <w:rPr>
                <w:noProof/>
              </w:rPr>
              <w:t>(Elliott et al. 2014)</w:t>
            </w:r>
            <w:r>
              <w:t>.</w:t>
            </w:r>
          </w:p>
          <w:p w14:paraId="6694EF5E" w14:textId="77777777" w:rsidR="003438A2" w:rsidRDefault="003438A2" w:rsidP="001A4104">
            <w:pPr>
              <w:pStyle w:val="TableText"/>
            </w:pPr>
            <w:r w:rsidRPr="005B38F2">
              <w:t xml:space="preserve">In Washington, </w:t>
            </w:r>
            <w:r w:rsidRPr="005B38F2">
              <w:rPr>
                <w:i/>
              </w:rPr>
              <w:t>P. washingtonensis</w:t>
            </w:r>
            <w:r w:rsidRPr="005B38F2">
              <w:t xml:space="preserve"> occurred in </w:t>
            </w:r>
            <w:r>
              <w:t xml:space="preserve">up to </w:t>
            </w:r>
            <w:r w:rsidRPr="005B38F2">
              <w:t>23, 26 and 27</w:t>
            </w:r>
            <w:r>
              <w:t>%</w:t>
            </w:r>
            <w:r w:rsidRPr="005B38F2">
              <w:t xml:space="preserve"> of total apple lots surveyed, accounting for 1</w:t>
            </w:r>
            <w:r>
              <w:t>%</w:t>
            </w:r>
            <w:r w:rsidRPr="005B38F2">
              <w:t>, 4</w:t>
            </w:r>
            <w:r>
              <w:t>%</w:t>
            </w:r>
            <w:r w:rsidRPr="005B38F2">
              <w:t xml:space="preserve"> and 3</w:t>
            </w:r>
            <w:r>
              <w:t>%</w:t>
            </w:r>
            <w:r w:rsidRPr="005B38F2">
              <w:t xml:space="preserve"> of the total decay in 2003, 2004 and 2005, respectively </w:t>
            </w:r>
            <w:r>
              <w:rPr>
                <w:noProof/>
              </w:rPr>
              <w:t>(Kim &amp; Xiao 2006)</w:t>
            </w:r>
            <w:r w:rsidRPr="005B38F2">
              <w:t>. In 2004 and 2005, Red Delicious fruit losses observed were as high as 24</w:t>
            </w:r>
            <w:r>
              <w:t>%</w:t>
            </w:r>
            <w:r w:rsidRPr="005B38F2">
              <w:t xml:space="preserve"> in </w:t>
            </w:r>
            <w:r>
              <w:t xml:space="preserve">three </w:t>
            </w:r>
            <w:r w:rsidRPr="005B38F2">
              <w:t xml:space="preserve">grower lots in Washington </w:t>
            </w:r>
            <w:r>
              <w:rPr>
                <w:noProof/>
              </w:rPr>
              <w:t>(Kim &amp; Xiao 2006)</w:t>
            </w:r>
            <w:r w:rsidRPr="005B38F2">
              <w:t xml:space="preserve">. </w:t>
            </w:r>
            <w:r>
              <w:t xml:space="preserve">In a recent survey in 2017, speck rot accounted for 6.4% of the apple decays in central Washington </w:t>
            </w:r>
            <w:r>
              <w:rPr>
                <w:noProof/>
              </w:rPr>
              <w:t>(Ali et al. 2018)</w:t>
            </w:r>
            <w:r>
              <w:t>.</w:t>
            </w:r>
            <w:r w:rsidRPr="005B38F2">
              <w:t xml:space="preserve"> It is not known if the assessed fung</w:t>
            </w:r>
            <w:r>
              <w:t>us</w:t>
            </w:r>
            <w:r w:rsidRPr="005B38F2">
              <w:t xml:space="preserve"> would have any effects on </w:t>
            </w:r>
            <w:r>
              <w:t xml:space="preserve">Australian </w:t>
            </w:r>
            <w:r w:rsidRPr="005B38F2">
              <w:t>native plants.</w:t>
            </w:r>
          </w:p>
          <w:p w14:paraId="7AAFCCE0" w14:textId="77777777" w:rsidR="003438A2" w:rsidRPr="00414AF3" w:rsidRDefault="003438A2" w:rsidP="001A4104">
            <w:pPr>
              <w:pStyle w:val="TableText"/>
              <w:rPr>
                <w:rFonts w:eastAsia="Calibri" w:cs="Times New Roman"/>
              </w:rPr>
            </w:pPr>
            <w:r>
              <w:t>O</w:t>
            </w:r>
            <w:r w:rsidRPr="0004495E">
              <w:t>rchard hygiene and chemical application practices already applied in Australia in apple production areas</w:t>
            </w:r>
            <w:r>
              <w:t xml:space="preserve"> may mitigate the consequences of establishment of the pest</w:t>
            </w:r>
            <w:r w:rsidRPr="0004495E">
              <w:t xml:space="preserve">. </w:t>
            </w:r>
          </w:p>
        </w:tc>
      </w:tr>
      <w:tr w:rsidR="003438A2" w14:paraId="258E6549" w14:textId="77777777" w:rsidTr="001A4104">
        <w:tc>
          <w:tcPr>
            <w:tcW w:w="2021" w:type="pct"/>
            <w:tcBorders>
              <w:top w:val="single" w:sz="4" w:space="0" w:color="D9D9D9" w:themeColor="background1" w:themeShade="D9"/>
              <w:bottom w:val="single" w:sz="4" w:space="0" w:color="D9D9D9" w:themeColor="background1" w:themeShade="D9"/>
            </w:tcBorders>
          </w:tcPr>
          <w:p w14:paraId="34DB083D" w14:textId="77777777" w:rsidR="003438A2" w:rsidRDefault="003438A2" w:rsidP="001A4104">
            <w:pPr>
              <w:pStyle w:val="TableText"/>
            </w:pPr>
            <w:r>
              <w:lastRenderedPageBreak/>
              <w:t>Other aspects of the environment</w:t>
            </w:r>
          </w:p>
        </w:tc>
        <w:tc>
          <w:tcPr>
            <w:tcW w:w="2979" w:type="pct"/>
            <w:tcBorders>
              <w:top w:val="single" w:sz="4" w:space="0" w:color="D9D9D9" w:themeColor="background1" w:themeShade="D9"/>
              <w:bottom w:val="single" w:sz="4" w:space="0" w:color="D9D9D9" w:themeColor="background1" w:themeShade="D9"/>
            </w:tcBorders>
          </w:tcPr>
          <w:p w14:paraId="51D7CD0C" w14:textId="77777777" w:rsidR="003438A2" w:rsidRPr="005C528D" w:rsidRDefault="003438A2" w:rsidP="001A4104">
            <w:pPr>
              <w:pStyle w:val="TableText"/>
            </w:pPr>
            <w:r w:rsidRPr="005C528D">
              <w:t>A - Indiscernible at the local level:</w:t>
            </w:r>
          </w:p>
          <w:p w14:paraId="5EE22ABC" w14:textId="3269510B" w:rsidR="003438A2" w:rsidRPr="001A4104" w:rsidRDefault="003438A2" w:rsidP="001A4104">
            <w:pPr>
              <w:pStyle w:val="TableText"/>
            </w:pPr>
            <w:r w:rsidRPr="00963FC8">
              <w:t xml:space="preserve">In 2009 and 2011, severe leaf necrosis, blotching and spot caused by </w:t>
            </w:r>
            <w:r w:rsidRPr="005C528D">
              <w:rPr>
                <w:i/>
              </w:rPr>
              <w:t>P. washingtonensis</w:t>
            </w:r>
            <w:r w:rsidRPr="005C528D">
              <w:t xml:space="preserve"> was observed on Pacific madrone in western Washington and Oregon </w:t>
            </w:r>
            <w:r>
              <w:rPr>
                <w:noProof/>
              </w:rPr>
              <w:t>(Elliott et al. 2014)</w:t>
            </w:r>
            <w:r w:rsidRPr="005C528D">
              <w:t xml:space="preserve">. </w:t>
            </w:r>
            <w:r w:rsidRPr="00963FC8">
              <w:t xml:space="preserve">It is not known if other plant species </w:t>
            </w:r>
            <w:r w:rsidRPr="005C528D">
              <w:t>could be hosts for the pathogen and there are no known direct consequences of this pathogen on other aspects of the environment.</w:t>
            </w:r>
          </w:p>
        </w:tc>
      </w:tr>
      <w:tr w:rsidR="003438A2" w14:paraId="6FE8EED2" w14:textId="77777777" w:rsidTr="001A4104">
        <w:tc>
          <w:tcPr>
            <w:tcW w:w="5000" w:type="pct"/>
            <w:gridSpan w:val="2"/>
            <w:tcBorders>
              <w:top w:val="single" w:sz="4" w:space="0" w:color="D9D9D9" w:themeColor="background1" w:themeShade="D9"/>
              <w:bottom w:val="single" w:sz="4" w:space="0" w:color="D9D9D9" w:themeColor="background1" w:themeShade="D9"/>
            </w:tcBorders>
          </w:tcPr>
          <w:p w14:paraId="62D06614" w14:textId="77777777" w:rsidR="003438A2" w:rsidRPr="00205A0B" w:rsidRDefault="003438A2" w:rsidP="001A4104">
            <w:pPr>
              <w:pStyle w:val="TableText"/>
              <w:rPr>
                <w:b/>
                <w:bCs/>
              </w:rPr>
            </w:pPr>
            <w:r w:rsidRPr="00205A0B">
              <w:rPr>
                <w:b/>
                <w:bCs/>
              </w:rPr>
              <w:t>Indirect</w:t>
            </w:r>
          </w:p>
        </w:tc>
      </w:tr>
      <w:tr w:rsidR="003438A2" w:rsidRPr="00335F49" w14:paraId="157CF892" w14:textId="77777777" w:rsidTr="001A4104">
        <w:tc>
          <w:tcPr>
            <w:tcW w:w="2021" w:type="pct"/>
            <w:tcBorders>
              <w:top w:val="single" w:sz="4" w:space="0" w:color="D9D9D9" w:themeColor="background1" w:themeShade="D9"/>
              <w:bottom w:val="single" w:sz="4" w:space="0" w:color="D9D9D9" w:themeColor="background1" w:themeShade="D9"/>
            </w:tcBorders>
          </w:tcPr>
          <w:p w14:paraId="561EDB29" w14:textId="77777777" w:rsidR="003438A2" w:rsidRDefault="003438A2" w:rsidP="001A4104">
            <w:pPr>
              <w:pStyle w:val="TableText"/>
            </w:pPr>
            <w:r>
              <w:t>Eradication, control</w:t>
            </w:r>
          </w:p>
        </w:tc>
        <w:tc>
          <w:tcPr>
            <w:tcW w:w="2979" w:type="pct"/>
            <w:tcBorders>
              <w:top w:val="single" w:sz="4" w:space="0" w:color="D9D9D9" w:themeColor="background1" w:themeShade="D9"/>
              <w:bottom w:val="single" w:sz="4" w:space="0" w:color="D9D9D9" w:themeColor="background1" w:themeShade="D9"/>
            </w:tcBorders>
          </w:tcPr>
          <w:p w14:paraId="78CA8AE2" w14:textId="77777777" w:rsidR="003438A2" w:rsidRPr="00802039" w:rsidRDefault="003438A2" w:rsidP="001A4104">
            <w:pPr>
              <w:pStyle w:val="TableText"/>
            </w:pPr>
            <w:r w:rsidRPr="00802039">
              <w:t>E - Significant at the regional level:</w:t>
            </w:r>
          </w:p>
          <w:p w14:paraId="0D3EFBE3" w14:textId="77777777" w:rsidR="003438A2" w:rsidRDefault="003438A2" w:rsidP="001A4104">
            <w:pPr>
              <w:pStyle w:val="TableText"/>
            </w:pPr>
            <w:r w:rsidRPr="00EC789E">
              <w:t xml:space="preserve">Speck rot caused by </w:t>
            </w:r>
            <w:r w:rsidRPr="00EC789E">
              <w:rPr>
                <w:i/>
              </w:rPr>
              <w:t>P. washingtonensis</w:t>
            </w:r>
            <w:r w:rsidRPr="00EC789E">
              <w:t xml:space="preserve"> </w:t>
            </w:r>
            <w:r>
              <w:t xml:space="preserve">can be controlled by orchard sanitation, removal of dead or diseased twigs and branches and removal of cankers of crabapple pollinisers, and application of pre-harvest fungicides </w:t>
            </w:r>
            <w:r>
              <w:rPr>
                <w:noProof/>
              </w:rPr>
              <w:t>(Ali et al. 2018)</w:t>
            </w:r>
            <w:r>
              <w:t>.</w:t>
            </w:r>
          </w:p>
          <w:p w14:paraId="4451E9A3" w14:textId="77777777" w:rsidR="003438A2" w:rsidRPr="00335F49" w:rsidRDefault="003438A2" w:rsidP="001A4104">
            <w:pPr>
              <w:pStyle w:val="TableText"/>
              <w:rPr>
                <w:highlight w:val="yellow"/>
              </w:rPr>
            </w:pPr>
            <w:r w:rsidRPr="00EC789E">
              <w:t>Existing integrated pest management programs may be disrupted due to possible increases in the use of fungicides. Costs for crop monitoring, orchard sanitation, pruning and fungicides may be incurred by the producer.</w:t>
            </w:r>
          </w:p>
        </w:tc>
      </w:tr>
      <w:tr w:rsidR="003438A2" w:rsidRPr="00CC4D19" w14:paraId="19F726C1" w14:textId="77777777" w:rsidTr="001A4104">
        <w:tc>
          <w:tcPr>
            <w:tcW w:w="2021" w:type="pct"/>
            <w:tcBorders>
              <w:top w:val="single" w:sz="4" w:space="0" w:color="D9D9D9" w:themeColor="background1" w:themeShade="D9"/>
              <w:bottom w:val="single" w:sz="4" w:space="0" w:color="D9D9D9" w:themeColor="background1" w:themeShade="D9"/>
            </w:tcBorders>
          </w:tcPr>
          <w:p w14:paraId="7658B128" w14:textId="77777777" w:rsidR="003438A2" w:rsidRDefault="003438A2" w:rsidP="001A4104">
            <w:pPr>
              <w:pStyle w:val="TableText"/>
            </w:pPr>
            <w:r>
              <w:t>Domestic trade</w:t>
            </w:r>
          </w:p>
        </w:tc>
        <w:tc>
          <w:tcPr>
            <w:tcW w:w="2979" w:type="pct"/>
            <w:tcBorders>
              <w:top w:val="single" w:sz="4" w:space="0" w:color="D9D9D9" w:themeColor="background1" w:themeShade="D9"/>
              <w:bottom w:val="single" w:sz="4" w:space="0" w:color="D9D9D9" w:themeColor="background1" w:themeShade="D9"/>
            </w:tcBorders>
          </w:tcPr>
          <w:p w14:paraId="43914D9B" w14:textId="77777777" w:rsidR="003438A2" w:rsidRPr="00EC789E" w:rsidRDefault="003438A2" w:rsidP="001A4104">
            <w:pPr>
              <w:pStyle w:val="TableText"/>
            </w:pPr>
            <w:r>
              <w:t>E</w:t>
            </w:r>
            <w:r w:rsidRPr="00EC789E">
              <w:t xml:space="preserve"> - Significant at </w:t>
            </w:r>
            <w:r>
              <w:t xml:space="preserve">the </w:t>
            </w:r>
            <w:r w:rsidRPr="00EC789E">
              <w:t>regional level:</w:t>
            </w:r>
          </w:p>
          <w:p w14:paraId="385B19BD" w14:textId="77777777" w:rsidR="003438A2" w:rsidRPr="00CC4D19" w:rsidRDefault="003438A2" w:rsidP="001A4104">
            <w:pPr>
              <w:pStyle w:val="TableText"/>
              <w:rPr>
                <w:rFonts w:eastAsia="Calibri" w:cs="Times New Roman"/>
              </w:rPr>
            </w:pPr>
            <w:r w:rsidRPr="00EC789E">
              <w:t xml:space="preserve">The presence of </w:t>
            </w:r>
            <w:r w:rsidRPr="00EC789E">
              <w:rPr>
                <w:i/>
              </w:rPr>
              <w:t>P. washingtonensis</w:t>
            </w:r>
            <w:r w:rsidRPr="00EC789E">
              <w:t xml:space="preserve"> in commercial apple and pear production areas could result in the implementation of interstate quarantine measures, causing loss of market and subsequent industry adjustment.</w:t>
            </w:r>
          </w:p>
        </w:tc>
      </w:tr>
      <w:tr w:rsidR="003438A2" w:rsidRPr="00707A8D" w14:paraId="003EF178" w14:textId="77777777" w:rsidTr="001A4104">
        <w:tc>
          <w:tcPr>
            <w:tcW w:w="2021" w:type="pct"/>
            <w:tcBorders>
              <w:top w:val="single" w:sz="4" w:space="0" w:color="D9D9D9" w:themeColor="background1" w:themeShade="D9"/>
              <w:bottom w:val="single" w:sz="4" w:space="0" w:color="D9D9D9" w:themeColor="background1" w:themeShade="D9"/>
            </w:tcBorders>
          </w:tcPr>
          <w:p w14:paraId="39966B58" w14:textId="77777777" w:rsidR="003438A2" w:rsidRDefault="003438A2" w:rsidP="001A4104">
            <w:pPr>
              <w:pStyle w:val="TableText"/>
            </w:pPr>
            <w:r>
              <w:t>International trade</w:t>
            </w:r>
          </w:p>
        </w:tc>
        <w:tc>
          <w:tcPr>
            <w:tcW w:w="2979" w:type="pct"/>
            <w:tcBorders>
              <w:top w:val="single" w:sz="4" w:space="0" w:color="D9D9D9" w:themeColor="background1" w:themeShade="D9"/>
              <w:bottom w:val="single" w:sz="4" w:space="0" w:color="D9D9D9" w:themeColor="background1" w:themeShade="D9"/>
            </w:tcBorders>
          </w:tcPr>
          <w:p w14:paraId="5AA0CF68" w14:textId="77777777" w:rsidR="003438A2" w:rsidRPr="00194CE2" w:rsidRDefault="003438A2" w:rsidP="001A4104">
            <w:pPr>
              <w:pStyle w:val="TableText"/>
            </w:pPr>
            <w:r w:rsidRPr="00194CE2">
              <w:t>E - Significant at the regional level:</w:t>
            </w:r>
          </w:p>
          <w:p w14:paraId="6641AAB6" w14:textId="77777777" w:rsidR="003438A2" w:rsidRPr="00707A8D" w:rsidRDefault="003438A2" w:rsidP="001A4104">
            <w:pPr>
              <w:pStyle w:val="TableText"/>
              <w:rPr>
                <w:rFonts w:eastAsia="Calibri" w:cs="Times New Roman"/>
              </w:rPr>
            </w:pPr>
            <w:r w:rsidRPr="004A2E85">
              <w:t>Australia exports around 5</w:t>
            </w:r>
            <w:r>
              <w:t>,</w:t>
            </w:r>
            <w:r w:rsidRPr="004A2E85">
              <w:t>000 tonnes of apple</w:t>
            </w:r>
            <w:r>
              <w:t xml:space="preserve">s </w:t>
            </w:r>
            <w:r w:rsidRPr="004A2E85">
              <w:t>per year and import</w:t>
            </w:r>
            <w:r>
              <w:t>s</w:t>
            </w:r>
            <w:r w:rsidRPr="004A2E85">
              <w:t xml:space="preserve"> over 1</w:t>
            </w:r>
            <w:r>
              <w:t>,</w:t>
            </w:r>
            <w:r w:rsidRPr="004A2E85">
              <w:t>000 tonnes.</w:t>
            </w:r>
            <w:r>
              <w:t xml:space="preserve"> </w:t>
            </w:r>
            <w:r w:rsidRPr="00194CE2">
              <w:t xml:space="preserve">The presence of </w:t>
            </w:r>
            <w:r w:rsidRPr="00EC789E">
              <w:rPr>
                <w:i/>
              </w:rPr>
              <w:t>P. washingtonensis</w:t>
            </w:r>
            <w:r w:rsidRPr="00EC789E">
              <w:t xml:space="preserve"> </w:t>
            </w:r>
            <w:r w:rsidRPr="00194CE2">
              <w:t xml:space="preserve">in commercial production areas of apple and pear would have a significant effect at the regional level due to potential limitations of accessing international markets where this pathogen is </w:t>
            </w:r>
            <w:r>
              <w:t>not present</w:t>
            </w:r>
            <w:r w:rsidRPr="00194CE2">
              <w:t xml:space="preserve">. </w:t>
            </w:r>
          </w:p>
        </w:tc>
      </w:tr>
      <w:tr w:rsidR="003438A2" w:rsidRPr="00CC4D19" w14:paraId="2FEA0B55" w14:textId="77777777" w:rsidTr="001A4104">
        <w:tc>
          <w:tcPr>
            <w:tcW w:w="2021" w:type="pct"/>
            <w:tcBorders>
              <w:top w:val="single" w:sz="4" w:space="0" w:color="D9D9D9" w:themeColor="background1" w:themeShade="D9"/>
            </w:tcBorders>
          </w:tcPr>
          <w:p w14:paraId="09C24AE9" w14:textId="77777777" w:rsidR="003438A2" w:rsidRDefault="003438A2" w:rsidP="001A4104">
            <w:pPr>
              <w:pStyle w:val="TableText"/>
            </w:pPr>
            <w:r>
              <w:t>Non-commercial and environmental</w:t>
            </w:r>
          </w:p>
        </w:tc>
        <w:tc>
          <w:tcPr>
            <w:tcW w:w="2979" w:type="pct"/>
            <w:tcBorders>
              <w:top w:val="single" w:sz="4" w:space="0" w:color="D9D9D9" w:themeColor="background1" w:themeShade="D9"/>
            </w:tcBorders>
          </w:tcPr>
          <w:p w14:paraId="7DC0769A" w14:textId="77777777" w:rsidR="003438A2" w:rsidRPr="00EC789E" w:rsidRDefault="003438A2" w:rsidP="001A4104">
            <w:pPr>
              <w:pStyle w:val="TableText"/>
            </w:pPr>
            <w:r w:rsidRPr="00EC789E">
              <w:t>B - Minor significan</w:t>
            </w:r>
            <w:r>
              <w:t>ce</w:t>
            </w:r>
            <w:r w:rsidRPr="00EC789E">
              <w:t xml:space="preserve"> at the local level:</w:t>
            </w:r>
          </w:p>
          <w:p w14:paraId="5B92F5BC" w14:textId="77777777" w:rsidR="003438A2" w:rsidRPr="00CC4D19" w:rsidRDefault="003438A2" w:rsidP="001A4104">
            <w:pPr>
              <w:pStyle w:val="TableText"/>
              <w:rPr>
                <w:rFonts w:eastAsia="Calibri" w:cs="Times New Roman"/>
              </w:rPr>
            </w:pPr>
            <w:r w:rsidRPr="00EC789E">
              <w:t xml:space="preserve">Additional fungicide applications or other control activities </w:t>
            </w:r>
            <w:r>
              <w:t>may</w:t>
            </w:r>
            <w:r w:rsidRPr="00EC789E">
              <w:t xml:space="preserve"> be required to control </w:t>
            </w:r>
            <w:r>
              <w:t>this pathogen</w:t>
            </w:r>
            <w:r w:rsidRPr="00EC789E">
              <w:t xml:space="preserve"> on susceptible crops. Any additional fungicide usage may affect the environment.</w:t>
            </w:r>
          </w:p>
        </w:tc>
      </w:tr>
    </w:tbl>
    <w:p w14:paraId="40C19425" w14:textId="77777777" w:rsidR="003438A2" w:rsidRDefault="003438A2" w:rsidP="00862DBA"/>
    <w:p w14:paraId="5D5D283B" w14:textId="77777777" w:rsidR="003438A2" w:rsidRPr="00D87697" w:rsidRDefault="003438A2" w:rsidP="00F843A1">
      <w:pPr>
        <w:pStyle w:val="Heading4"/>
        <w:numPr>
          <w:ilvl w:val="2"/>
          <w:numId w:val="35"/>
        </w:numPr>
        <w:tabs>
          <w:tab w:val="num" w:pos="1929"/>
        </w:tabs>
        <w:ind w:left="1929"/>
      </w:pPr>
      <w:r w:rsidRPr="00D87697">
        <w:lastRenderedPageBreak/>
        <w:t>Unrestricted risk estimate</w:t>
      </w:r>
    </w:p>
    <w:p w14:paraId="59DD42A3" w14:textId="77777777" w:rsidR="003438A2" w:rsidRDefault="003438A2" w:rsidP="00862DBA">
      <w:r>
        <w:t xml:space="preserve">Unrestricted risk is the result of combining the overall </w:t>
      </w:r>
      <w:r w:rsidRPr="001A4104">
        <w:t>likelihood</w:t>
      </w:r>
      <w:r>
        <w:t xml:space="preserve"> of entry, establishment and spread with the outcome of overall consequences. The overall likelihood and consequences are combined using the risk estimation matrix shown in </w:t>
      </w:r>
      <w:r>
        <w:fldChar w:fldCharType="begin" w:fldLock="1"/>
      </w:r>
      <w:r>
        <w:instrText xml:space="preserve"> REF _Ref457826369 \h </w:instrText>
      </w:r>
      <w:r>
        <w:fldChar w:fldCharType="separate"/>
      </w:r>
      <w:r>
        <w:t xml:space="preserve">Table </w:t>
      </w:r>
      <w:r>
        <w:rPr>
          <w:noProof/>
        </w:rPr>
        <w:t>2</w:t>
      </w:r>
      <w:r>
        <w:t>.</w:t>
      </w:r>
      <w:r>
        <w:rPr>
          <w:noProof/>
        </w:rPr>
        <w:t>5</w:t>
      </w:r>
      <w:r>
        <w:fldChar w:fldCharType="end"/>
      </w:r>
      <w:r>
        <w:t>.</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3438A2" w:rsidRPr="00F131B2" w14:paraId="296AE72B" w14:textId="77777777" w:rsidTr="001A4104">
        <w:tc>
          <w:tcPr>
            <w:tcW w:w="5000" w:type="pct"/>
            <w:gridSpan w:val="2"/>
          </w:tcPr>
          <w:p w14:paraId="185253F0" w14:textId="77777777" w:rsidR="003438A2" w:rsidRPr="00245752" w:rsidRDefault="003438A2" w:rsidP="001A4104">
            <w:pPr>
              <w:pStyle w:val="TableHeading"/>
              <w:spacing w:line="276" w:lineRule="auto"/>
            </w:pPr>
            <w:r w:rsidRPr="00245752">
              <w:t xml:space="preserve">Unrestricted risk estimate for </w:t>
            </w:r>
            <w:r w:rsidRPr="00EC789E">
              <w:rPr>
                <w:i/>
              </w:rPr>
              <w:t>Phacidiopycnis washingtonensis</w:t>
            </w:r>
          </w:p>
        </w:tc>
      </w:tr>
      <w:tr w:rsidR="003438A2" w:rsidRPr="00F131B2" w14:paraId="12BC0E1E" w14:textId="77777777" w:rsidTr="001A4104">
        <w:tc>
          <w:tcPr>
            <w:tcW w:w="3428" w:type="pct"/>
          </w:tcPr>
          <w:p w14:paraId="05333351" w14:textId="77777777" w:rsidR="003438A2" w:rsidRPr="00245752" w:rsidRDefault="003438A2" w:rsidP="001A4104">
            <w:pPr>
              <w:pStyle w:val="TableText"/>
              <w:spacing w:line="276" w:lineRule="auto"/>
            </w:pPr>
            <w:r w:rsidRPr="00245752">
              <w:t>Overall likelihood of entry, establishment and spread</w:t>
            </w:r>
          </w:p>
        </w:tc>
        <w:tc>
          <w:tcPr>
            <w:tcW w:w="1572" w:type="pct"/>
          </w:tcPr>
          <w:p w14:paraId="184463F9" w14:textId="77777777" w:rsidR="003438A2" w:rsidRPr="00245752" w:rsidRDefault="003438A2" w:rsidP="001A4104">
            <w:pPr>
              <w:pStyle w:val="TableText"/>
              <w:spacing w:line="276" w:lineRule="auto"/>
            </w:pPr>
            <w:r>
              <w:t>Low</w:t>
            </w:r>
          </w:p>
        </w:tc>
      </w:tr>
      <w:tr w:rsidR="003438A2" w:rsidRPr="00F131B2" w14:paraId="63310E2D" w14:textId="77777777" w:rsidTr="001A4104">
        <w:tc>
          <w:tcPr>
            <w:tcW w:w="3428" w:type="pct"/>
          </w:tcPr>
          <w:p w14:paraId="53765363" w14:textId="77777777" w:rsidR="003438A2" w:rsidRPr="00245752" w:rsidRDefault="003438A2" w:rsidP="001A4104">
            <w:pPr>
              <w:pStyle w:val="TableText"/>
              <w:spacing w:line="276" w:lineRule="auto"/>
            </w:pPr>
            <w:r w:rsidRPr="00245752">
              <w:t>Consequences</w:t>
            </w:r>
          </w:p>
        </w:tc>
        <w:tc>
          <w:tcPr>
            <w:tcW w:w="1572" w:type="pct"/>
          </w:tcPr>
          <w:p w14:paraId="7D69E988" w14:textId="77777777" w:rsidR="003438A2" w:rsidRPr="00245752" w:rsidRDefault="003438A2" w:rsidP="001A4104">
            <w:pPr>
              <w:pStyle w:val="TableText"/>
              <w:spacing w:line="276" w:lineRule="auto"/>
            </w:pPr>
            <w:r>
              <w:t>Moderate</w:t>
            </w:r>
          </w:p>
        </w:tc>
      </w:tr>
      <w:tr w:rsidR="003438A2" w:rsidRPr="00F131B2" w14:paraId="22FBE147" w14:textId="77777777" w:rsidTr="001A4104">
        <w:tc>
          <w:tcPr>
            <w:tcW w:w="3428" w:type="pct"/>
          </w:tcPr>
          <w:p w14:paraId="6BF9B348" w14:textId="77777777" w:rsidR="003438A2" w:rsidRPr="00245752" w:rsidRDefault="003438A2" w:rsidP="001A4104">
            <w:pPr>
              <w:pStyle w:val="TableText"/>
              <w:spacing w:line="276" w:lineRule="auto"/>
            </w:pPr>
            <w:r w:rsidRPr="00245752">
              <w:t>Unrestricted risk</w:t>
            </w:r>
          </w:p>
        </w:tc>
        <w:tc>
          <w:tcPr>
            <w:tcW w:w="1572" w:type="pct"/>
          </w:tcPr>
          <w:p w14:paraId="655FB050" w14:textId="77777777" w:rsidR="003438A2" w:rsidRPr="00245752" w:rsidRDefault="003438A2" w:rsidP="001A4104">
            <w:pPr>
              <w:pStyle w:val="TableText"/>
              <w:spacing w:line="276" w:lineRule="auto"/>
            </w:pPr>
            <w:r>
              <w:t>Low</w:t>
            </w:r>
          </w:p>
        </w:tc>
      </w:tr>
    </w:tbl>
    <w:p w14:paraId="33FE3011" w14:textId="77777777" w:rsidR="003438A2" w:rsidRDefault="003438A2" w:rsidP="00862DBA">
      <w:pPr>
        <w:spacing w:before="120"/>
        <w:sectPr w:rsidR="003438A2" w:rsidSect="00E310DC">
          <w:pgSz w:w="11906" w:h="16838"/>
          <w:pgMar w:top="1418" w:right="1418" w:bottom="1418" w:left="1418" w:header="567" w:footer="283" w:gutter="0"/>
          <w:cols w:space="708"/>
          <w:docGrid w:linePitch="360"/>
        </w:sectPr>
      </w:pPr>
      <w:r w:rsidRPr="00F131B2">
        <w:t xml:space="preserve">As indicated, </w:t>
      </w:r>
      <w:r>
        <w:t>t</w:t>
      </w:r>
      <w:r w:rsidRPr="00EC789E">
        <w:t xml:space="preserve">he unrestricted risk for </w:t>
      </w:r>
      <w:r w:rsidRPr="00EC789E">
        <w:rPr>
          <w:i/>
        </w:rPr>
        <w:t>P</w:t>
      </w:r>
      <w:r>
        <w:rPr>
          <w:i/>
        </w:rPr>
        <w:t>.</w:t>
      </w:r>
      <w:r w:rsidRPr="00EC789E">
        <w:rPr>
          <w:i/>
        </w:rPr>
        <w:t xml:space="preserve"> washingtonensis</w:t>
      </w:r>
      <w:r>
        <w:t xml:space="preserve"> on apples from the PNW-USA pathway is assessed as Low</w:t>
      </w:r>
      <w:r w:rsidRPr="00EC789E">
        <w:t xml:space="preserve">, which </w:t>
      </w:r>
      <w:r>
        <w:t>does not achieve</w:t>
      </w:r>
      <w:r w:rsidRPr="00EC789E">
        <w:t xml:space="preserve"> </w:t>
      </w:r>
      <w:r>
        <w:t xml:space="preserve">the ALOP for </w:t>
      </w:r>
      <w:r w:rsidRPr="00EC789E">
        <w:t xml:space="preserve">Australia. Therefore, specific risk management </w:t>
      </w:r>
      <w:r w:rsidRPr="007A090D">
        <w:t>measu</w:t>
      </w:r>
      <w:r>
        <w:t xml:space="preserve">res are required for this pest on the PNW-USA apple pathway. </w:t>
      </w:r>
    </w:p>
    <w:p w14:paraId="3986DCC2" w14:textId="4739A2F2" w:rsidR="003438A2" w:rsidRPr="00AB1BD9" w:rsidRDefault="003438A2" w:rsidP="00F843A1">
      <w:pPr>
        <w:pStyle w:val="Heading3"/>
        <w:numPr>
          <w:ilvl w:val="1"/>
          <w:numId w:val="35"/>
        </w:numPr>
      </w:pPr>
      <w:bookmarkStart w:id="425" w:name="_Toc112769022"/>
      <w:bookmarkStart w:id="426" w:name="_Toc257729664"/>
      <w:bookmarkStart w:id="427" w:name="_Toc256600550"/>
      <w:bookmarkStart w:id="428" w:name="_Toc232831068"/>
      <w:bookmarkStart w:id="429" w:name="_Hlk83653353"/>
      <w:bookmarkStart w:id="430" w:name="_Hlk109592220"/>
      <w:bookmarkEnd w:id="421"/>
      <w:r w:rsidRPr="00AB1BD9">
        <w:lastRenderedPageBreak/>
        <w:t>Apple Blotch</w:t>
      </w:r>
      <w:bookmarkEnd w:id="425"/>
    </w:p>
    <w:p w14:paraId="05CFDD7D" w14:textId="77777777" w:rsidR="003438A2" w:rsidRPr="000F3063" w:rsidRDefault="003438A2" w:rsidP="00862DBA">
      <w:pPr>
        <w:pStyle w:val="Heading4"/>
        <w:numPr>
          <w:ilvl w:val="0"/>
          <w:numId w:val="0"/>
        </w:numPr>
      </w:pPr>
      <w:r w:rsidRPr="00AD2B98">
        <w:rPr>
          <w:i/>
        </w:rPr>
        <w:t>Phyllosticta arbutifolia</w:t>
      </w:r>
      <w:r>
        <w:t xml:space="preserve"> (EP)</w:t>
      </w:r>
    </w:p>
    <w:p w14:paraId="1270C42D" w14:textId="77777777" w:rsidR="003438A2" w:rsidRPr="002072AA" w:rsidRDefault="003438A2" w:rsidP="00862DBA">
      <w:r w:rsidRPr="00FD24F5">
        <w:rPr>
          <w:i/>
        </w:rPr>
        <w:t>Phyllosticta arbutifolia</w:t>
      </w:r>
      <w:r w:rsidRPr="00FD24F5">
        <w:t xml:space="preserve"> (syn</w:t>
      </w:r>
      <w:r>
        <w:t>onym:</w:t>
      </w:r>
      <w:r w:rsidRPr="00FD24F5">
        <w:t xml:space="preserve"> </w:t>
      </w:r>
      <w:r w:rsidRPr="00FD24F5">
        <w:rPr>
          <w:i/>
        </w:rPr>
        <w:t>Phyllosticta</w:t>
      </w:r>
      <w:r w:rsidRPr="00FD24F5">
        <w:t xml:space="preserve"> </w:t>
      </w:r>
      <w:r w:rsidRPr="00FD24F5">
        <w:rPr>
          <w:i/>
        </w:rPr>
        <w:t>solitaria</w:t>
      </w:r>
      <w:r>
        <w:t xml:space="preserve">) is an ascomycete fungal pathogen </w:t>
      </w:r>
      <w:r w:rsidRPr="00BE6C60">
        <w:t xml:space="preserve">belonging to the family </w:t>
      </w:r>
      <w:r w:rsidRPr="002072AA">
        <w:t>Botryosphaeriaceae.</w:t>
      </w:r>
    </w:p>
    <w:p w14:paraId="0B22BBEE" w14:textId="77777777" w:rsidR="003438A2" w:rsidRDefault="003438A2" w:rsidP="00862DBA">
      <w:r w:rsidRPr="00BE6C60">
        <w:rPr>
          <w:i/>
        </w:rPr>
        <w:t>Phyllosticta arbutifolia</w:t>
      </w:r>
      <w:r w:rsidRPr="00BE6C60">
        <w:t xml:space="preserve"> is native to North America. It is present in Greece, USA, Brazil, India, China, Zimbabwe and South Africa </w:t>
      </w:r>
      <w:r w:rsidRPr="00BE6C60">
        <w:rPr>
          <w:noProof/>
        </w:rPr>
        <w:t>(Farr &amp; Rossman 2020)</w:t>
      </w:r>
      <w:r w:rsidRPr="00BE6C60">
        <w:t xml:space="preserve">. Apple blotch caused by </w:t>
      </w:r>
      <w:r w:rsidRPr="00BE6C60">
        <w:rPr>
          <w:i/>
        </w:rPr>
        <w:t>P. arbutifolia</w:t>
      </w:r>
      <w:r w:rsidRPr="00BE6C60">
        <w:t xml:space="preserve"> was a major apple disease in the eastern United States in the early 1900s, but is </w:t>
      </w:r>
      <w:r>
        <w:t xml:space="preserve">now </w:t>
      </w:r>
      <w:r w:rsidRPr="00BE6C60">
        <w:t>considered a minor apple disease in these areas</w:t>
      </w:r>
      <w:r>
        <w:t xml:space="preserve"> </w:t>
      </w:r>
      <w:r>
        <w:rPr>
          <w:noProof/>
        </w:rPr>
        <w:t xml:space="preserve">(Sutton et al. 2014; Yoder 1990). </w:t>
      </w:r>
      <w:r w:rsidRPr="00FD24F5">
        <w:rPr>
          <w:i/>
        </w:rPr>
        <w:t>Phyllosticta arbutifolia</w:t>
      </w:r>
      <w:r w:rsidRPr="00FD24F5">
        <w:t xml:space="preserve"> has been recorded </w:t>
      </w:r>
      <w:r>
        <w:t xml:space="preserve">in </w:t>
      </w:r>
      <w:r w:rsidRPr="00FD24F5">
        <w:t>Washington</w:t>
      </w:r>
      <w:r>
        <w:t xml:space="preserve"> </w:t>
      </w:r>
      <w:r>
        <w:rPr>
          <w:noProof/>
        </w:rPr>
        <w:t>(Farr &amp; Rossman 2018)</w:t>
      </w:r>
      <w:r>
        <w:t xml:space="preserve">, but there are no records of the pathogen in Oregon or Idaho. </w:t>
      </w:r>
      <w:r w:rsidRPr="00BE6C60">
        <w:rPr>
          <w:noProof/>
        </w:rPr>
        <w:t>The pathogen</w:t>
      </w:r>
      <w:r w:rsidRPr="00BE6C60">
        <w:t xml:space="preserve"> is considered rare in the PNW-USA as state-wide surveys of apple diseases in Washington</w:t>
      </w:r>
      <w:r>
        <w:t xml:space="preserve"> </w:t>
      </w:r>
      <w:r>
        <w:rPr>
          <w:noProof/>
          <w:lang w:eastAsia="en-AU"/>
        </w:rPr>
        <w:t xml:space="preserve">(Amiri &amp; Ali 2016; Kim &amp; Xiao 2008; Xiao &amp; Kim 2008) </w:t>
      </w:r>
      <w:r w:rsidRPr="00BE6C60">
        <w:t>did not detect this pathogen.</w:t>
      </w:r>
      <w:r>
        <w:t xml:space="preserve"> </w:t>
      </w:r>
      <w:r w:rsidRPr="00DA3737">
        <w:t>This is</w:t>
      </w:r>
      <w:r w:rsidRPr="00826DA5">
        <w:t xml:space="preserve"> </w:t>
      </w:r>
      <w:r w:rsidRPr="00FD24F5">
        <w:t xml:space="preserve">possibly due to </w:t>
      </w:r>
      <w:r>
        <w:t xml:space="preserve">planting of </w:t>
      </w:r>
      <w:r w:rsidRPr="00FD24F5">
        <w:t xml:space="preserve">resistant </w:t>
      </w:r>
      <w:r>
        <w:t xml:space="preserve">apple </w:t>
      </w:r>
      <w:r w:rsidRPr="00FD24F5">
        <w:t>cultivars</w:t>
      </w:r>
      <w:r>
        <w:t xml:space="preserve"> </w:t>
      </w:r>
      <w:r>
        <w:rPr>
          <w:noProof/>
        </w:rPr>
        <w:t>(Yoder 1990)</w:t>
      </w:r>
      <w:r>
        <w:t>.</w:t>
      </w:r>
    </w:p>
    <w:p w14:paraId="4E905B2C" w14:textId="77777777" w:rsidR="003438A2" w:rsidRDefault="003438A2" w:rsidP="00862DBA">
      <w:r>
        <w:t xml:space="preserve">Known hosts of </w:t>
      </w:r>
      <w:r w:rsidRPr="00565B7A">
        <w:rPr>
          <w:i/>
        </w:rPr>
        <w:t>P.</w:t>
      </w:r>
      <w:r>
        <w:rPr>
          <w:i/>
        </w:rPr>
        <w:t> </w:t>
      </w:r>
      <w:r w:rsidRPr="00FD24F5">
        <w:rPr>
          <w:i/>
        </w:rPr>
        <w:t>arbutifolia</w:t>
      </w:r>
      <w:r>
        <w:t xml:space="preserve"> include </w:t>
      </w:r>
      <w:r w:rsidRPr="003B0AE3">
        <w:rPr>
          <w:i/>
        </w:rPr>
        <w:t>Pyrus</w:t>
      </w:r>
      <w:r>
        <w:t xml:space="preserve"> spp., </w:t>
      </w:r>
      <w:r w:rsidRPr="003B0AE3">
        <w:rPr>
          <w:i/>
        </w:rPr>
        <w:t>Malus</w:t>
      </w:r>
      <w:r>
        <w:t xml:space="preserve"> spp. and </w:t>
      </w:r>
      <w:r w:rsidRPr="003B0AE3">
        <w:rPr>
          <w:i/>
        </w:rPr>
        <w:t xml:space="preserve">Crataegus </w:t>
      </w:r>
      <w:r w:rsidRPr="00B13F36">
        <w:t>spp</w:t>
      </w:r>
      <w:r>
        <w:t>. (hawthorn)</w:t>
      </w:r>
      <w:r w:rsidRPr="00B13F36">
        <w:t xml:space="preserve"> </w:t>
      </w:r>
      <w:r>
        <w:rPr>
          <w:noProof/>
        </w:rPr>
        <w:t>(Farr &amp; Rossman 2020)</w:t>
      </w:r>
      <w:r w:rsidRPr="00B13F36">
        <w:t>.</w:t>
      </w:r>
      <w:r>
        <w:t xml:space="preserve"> </w:t>
      </w:r>
      <w:r w:rsidRPr="00FD24F5">
        <w:t>Apple blotch can cause damage to fruit, leaves, buds and stems</w:t>
      </w:r>
      <w:r>
        <w:t xml:space="preserve"> of its host plants </w:t>
      </w:r>
      <w:r>
        <w:rPr>
          <w:noProof/>
        </w:rPr>
        <w:t>(Gardner 1923; McClintock 1930; Yoder 1990)</w:t>
      </w:r>
      <w:r>
        <w:t>.</w:t>
      </w:r>
    </w:p>
    <w:p w14:paraId="13068C4A" w14:textId="77777777" w:rsidR="003438A2" w:rsidRDefault="003438A2" w:rsidP="00862DBA">
      <w:r w:rsidRPr="00FD24F5">
        <w:rPr>
          <w:i/>
        </w:rPr>
        <w:t>Phyllosticta</w:t>
      </w:r>
      <w:r w:rsidRPr="00FD24F5">
        <w:t xml:space="preserve"> </w:t>
      </w:r>
      <w:r w:rsidRPr="00FD24F5">
        <w:rPr>
          <w:i/>
        </w:rPr>
        <w:t>arbutifolia</w:t>
      </w:r>
      <w:r w:rsidRPr="00FD24F5">
        <w:t xml:space="preserve"> overwinter</w:t>
      </w:r>
      <w:r>
        <w:t>s</w:t>
      </w:r>
      <w:r w:rsidRPr="00FD24F5">
        <w:t xml:space="preserve"> as dormant myceli</w:t>
      </w:r>
      <w:r>
        <w:t>a</w:t>
      </w:r>
      <w:r w:rsidRPr="00FD24F5">
        <w:t xml:space="preserve"> in stem cankers or infected dormant buds</w:t>
      </w:r>
      <w:r>
        <w:t>, and</w:t>
      </w:r>
      <w:r w:rsidRPr="00FD24F5">
        <w:t xml:space="preserve"> as pycnosclerotia in cankers</w:t>
      </w:r>
      <w:r>
        <w:t xml:space="preserve"> </w:t>
      </w:r>
      <w:r>
        <w:rPr>
          <w:noProof/>
        </w:rPr>
        <w:t>(Yoder 1990)</w:t>
      </w:r>
      <w:r w:rsidRPr="00FD24F5">
        <w:t>. Overwinter</w:t>
      </w:r>
      <w:r>
        <w:t>ed</w:t>
      </w:r>
      <w:r w:rsidRPr="00FD24F5">
        <w:t xml:space="preserve"> cankers are the likely m</w:t>
      </w:r>
      <w:r>
        <w:t xml:space="preserve">ain source of primary inoculum in spring. </w:t>
      </w:r>
      <w:r w:rsidRPr="00436F32">
        <w:t xml:space="preserve">Primary infection occurs about </w:t>
      </w:r>
      <w:r>
        <w:t xml:space="preserve">two to </w:t>
      </w:r>
      <w:r w:rsidRPr="00612359">
        <w:t>three weeks after petal fall. Rain splash-dispersed conidia infect the current year’s growth, and new infections appear in August; lesions also occur on leaves and fruit. Conidia (pycnidiospores) are produced in pycnidia (asexual spore-forming structures) each spring from cankers, leaves</w:t>
      </w:r>
      <w:r w:rsidRPr="00436F32">
        <w:t xml:space="preserve"> and fruit </w:t>
      </w:r>
      <w:r>
        <w:rPr>
          <w:noProof/>
        </w:rPr>
        <w:t>(Gardner 1923; Yoder 1990)</w:t>
      </w:r>
      <w:r w:rsidRPr="00D620C5">
        <w:t xml:space="preserve">. </w:t>
      </w:r>
      <w:r w:rsidRPr="00436F32">
        <w:t xml:space="preserve">Primary lesions on fruit and foliage are </w:t>
      </w:r>
      <w:r>
        <w:t xml:space="preserve">subsequently </w:t>
      </w:r>
      <w:r w:rsidRPr="00436F32">
        <w:t xml:space="preserve">important inoculum sources for summer infections. </w:t>
      </w:r>
      <w:r>
        <w:t>S</w:t>
      </w:r>
      <w:r w:rsidRPr="00D620C5">
        <w:t xml:space="preserve">pores </w:t>
      </w:r>
      <w:r>
        <w:t>can</w:t>
      </w:r>
      <w:r w:rsidRPr="00D620C5">
        <w:t xml:space="preserve"> germinate at temperatures </w:t>
      </w:r>
      <w:r>
        <w:t>between</w:t>
      </w:r>
      <w:r w:rsidRPr="00D620C5">
        <w:t xml:space="preserve"> 5</w:t>
      </w:r>
      <w:r w:rsidRPr="00223363">
        <w:t>°</w:t>
      </w:r>
      <w:r>
        <w:t>C</w:t>
      </w:r>
      <w:r w:rsidRPr="00D620C5">
        <w:t xml:space="preserve"> </w:t>
      </w:r>
      <w:r>
        <w:t>and</w:t>
      </w:r>
      <w:r w:rsidRPr="00D620C5">
        <w:t xml:space="preserve"> 39</w:t>
      </w:r>
      <w:r w:rsidRPr="00223363">
        <w:t>°</w:t>
      </w:r>
      <w:r w:rsidRPr="00D620C5">
        <w:t>C</w:t>
      </w:r>
      <w:r>
        <w:t xml:space="preserve"> </w:t>
      </w:r>
      <w:r>
        <w:rPr>
          <w:noProof/>
        </w:rPr>
        <w:t>(Gardner 1923)</w:t>
      </w:r>
      <w:r>
        <w:t xml:space="preserve">. The sexual morph of the fungus (ascigerous stage producing ascocarps) has not been found but possibly occurs in spring within the overwintering mature pycnidia (pycnosclerotia), along with the asexual conidia </w:t>
      </w:r>
      <w:r>
        <w:rPr>
          <w:noProof/>
        </w:rPr>
        <w:t>(Yoder 1990)</w:t>
      </w:r>
      <w:r>
        <w:t xml:space="preserve">. Apple blotch incidence and severity increase following heavy rains and extended wet periods, which promote the dissemination and germination of conidia </w:t>
      </w:r>
      <w:r>
        <w:rPr>
          <w:noProof/>
        </w:rPr>
        <w:t>(Yoder 1990)</w:t>
      </w:r>
      <w:r>
        <w:t>.</w:t>
      </w:r>
    </w:p>
    <w:p w14:paraId="7D40BC89" w14:textId="77777777" w:rsidR="003438A2" w:rsidRDefault="003438A2" w:rsidP="00862DBA">
      <w:r w:rsidRPr="00FD24F5">
        <w:t xml:space="preserve">In warm and wet weather, infection can occur throughout the growing season </w:t>
      </w:r>
      <w:r>
        <w:rPr>
          <w:noProof/>
        </w:rPr>
        <w:t>(Pierson, Ceponis &amp; McColloch 1971)</w:t>
      </w:r>
      <w:r>
        <w:t xml:space="preserve">. </w:t>
      </w:r>
      <w:r w:rsidRPr="00B80BD7">
        <w:rPr>
          <w:i/>
        </w:rPr>
        <w:t>Phyllosticta</w:t>
      </w:r>
      <w:r w:rsidRPr="00B80BD7">
        <w:t xml:space="preserve"> </w:t>
      </w:r>
      <w:r w:rsidRPr="00B80BD7">
        <w:rPr>
          <w:i/>
        </w:rPr>
        <w:t>arbutifolia</w:t>
      </w:r>
      <w:r w:rsidRPr="00B80BD7">
        <w:t xml:space="preserve"> can survive </w:t>
      </w:r>
      <w:r>
        <w:t xml:space="preserve">low temperature storage </w:t>
      </w:r>
      <w:r>
        <w:rPr>
          <w:noProof/>
        </w:rPr>
        <w:t>(Wikee et al. 2011)</w:t>
      </w:r>
      <w:r>
        <w:t xml:space="preserve"> such as </w:t>
      </w:r>
      <w:r w:rsidRPr="00F04092">
        <w:t>at 1°</w:t>
      </w:r>
      <w:r>
        <w:t>C</w:t>
      </w:r>
      <w:r w:rsidRPr="00F04092">
        <w:t xml:space="preserve"> to 2°C for at least 9 months on apple seedlings </w:t>
      </w:r>
      <w:r>
        <w:rPr>
          <w:noProof/>
        </w:rPr>
        <w:t>(CABI &amp; EPPO 1997a)</w:t>
      </w:r>
      <w:r>
        <w:t>.</w:t>
      </w:r>
    </w:p>
    <w:p w14:paraId="378DC2D0" w14:textId="77777777" w:rsidR="003438A2" w:rsidRPr="008F7F3E" w:rsidRDefault="003438A2" w:rsidP="00862DBA">
      <w:r>
        <w:t xml:space="preserve">The risk scenario of biosecurity concern for </w:t>
      </w:r>
      <w:r w:rsidRPr="00724411">
        <w:rPr>
          <w:i/>
        </w:rPr>
        <w:t>P. arbutifolia</w:t>
      </w:r>
      <w:r w:rsidRPr="00436F32">
        <w:t xml:space="preserve"> </w:t>
      </w:r>
      <w:r>
        <w:t xml:space="preserve">is that </w:t>
      </w:r>
      <w:r w:rsidRPr="00436F32">
        <w:t>infected fruit with viable inoculum</w:t>
      </w:r>
      <w:r>
        <w:t xml:space="preserve"> </w:t>
      </w:r>
      <w:r w:rsidRPr="006148BB">
        <w:t>m</w:t>
      </w:r>
      <w:r>
        <w:t>ay enter Australia and result in the establishment and spread of this pest</w:t>
      </w:r>
      <w:r w:rsidRPr="006148BB">
        <w:t>.</w:t>
      </w:r>
    </w:p>
    <w:p w14:paraId="547786E5" w14:textId="77777777" w:rsidR="003438A2" w:rsidRDefault="003438A2" w:rsidP="00862DBA">
      <w:r>
        <w:rPr>
          <w:i/>
        </w:rPr>
        <w:t xml:space="preserve">Phyllosticta arbutifolia </w:t>
      </w:r>
      <w:r>
        <w:t xml:space="preserve">has been assessed previously in the existing import policy for fresh apple fruit from China </w:t>
      </w:r>
      <w:r>
        <w:rPr>
          <w:noProof/>
        </w:rPr>
        <w:t>(Biosecurity Australia 2010a)</w:t>
      </w:r>
      <w:r>
        <w:t xml:space="preserve">. In that policy the unrestricted risk estimate for </w:t>
      </w:r>
      <w:r>
        <w:rPr>
          <w:i/>
        </w:rPr>
        <w:t xml:space="preserve">P. arbutifolia </w:t>
      </w:r>
      <w:r>
        <w:t xml:space="preserve">was assessed as Low, thus not achieving the ALOP for Australia. Therefore, specific risk management measures are required for </w:t>
      </w:r>
      <w:r>
        <w:rPr>
          <w:i/>
        </w:rPr>
        <w:t xml:space="preserve">P. arbutifolia </w:t>
      </w:r>
      <w:r>
        <w:t>on the apples from China</w:t>
      </w:r>
      <w:r w:rsidRPr="006273CC">
        <w:t xml:space="preserve"> pathway</w:t>
      </w:r>
      <w:r>
        <w:t>.</w:t>
      </w:r>
    </w:p>
    <w:p w14:paraId="087ED729" w14:textId="77777777" w:rsidR="003438A2" w:rsidRDefault="003438A2" w:rsidP="00862DBA">
      <w:r w:rsidRPr="00815A3A">
        <w:t xml:space="preserve">The department assessed the likelihood of </w:t>
      </w:r>
      <w:r w:rsidRPr="00E106BD">
        <w:t xml:space="preserve">importation of </w:t>
      </w:r>
      <w:r>
        <w:rPr>
          <w:i/>
        </w:rPr>
        <w:t>P. arbutifolia</w:t>
      </w:r>
      <w:r>
        <w:t xml:space="preserve"> </w:t>
      </w:r>
      <w:r w:rsidRPr="00E106BD">
        <w:t xml:space="preserve">on fresh apple fruit from </w:t>
      </w:r>
      <w:r>
        <w:t xml:space="preserve">China </w:t>
      </w:r>
      <w:r w:rsidRPr="00E106BD">
        <w:t xml:space="preserve">as </w:t>
      </w:r>
      <w:r>
        <w:t>Moderate</w:t>
      </w:r>
      <w:r w:rsidRPr="00E106BD">
        <w:t xml:space="preserve"> </w:t>
      </w:r>
      <w:r>
        <w:rPr>
          <w:noProof/>
        </w:rPr>
        <w:t>(Biosecurity Australia 2010a)</w:t>
      </w:r>
      <w:r>
        <w:t xml:space="preserve">. </w:t>
      </w:r>
      <w:r w:rsidRPr="00E106BD">
        <w:t>However</w:t>
      </w:r>
      <w:r w:rsidRPr="00815A3A">
        <w:t xml:space="preserve">, </w:t>
      </w:r>
      <w:r>
        <w:t xml:space="preserve">the differences in </w:t>
      </w:r>
      <w:r w:rsidRPr="00815A3A">
        <w:t>pest prevalence</w:t>
      </w:r>
      <w:r>
        <w:t xml:space="preserve">, </w:t>
      </w:r>
      <w:r w:rsidRPr="00815A3A">
        <w:t>climate and horticultur</w:t>
      </w:r>
      <w:r>
        <w:t xml:space="preserve">al </w:t>
      </w:r>
      <w:r w:rsidRPr="00815A3A">
        <w:t xml:space="preserve">practices </w:t>
      </w:r>
      <w:r>
        <w:t>between</w:t>
      </w:r>
      <w:r w:rsidRPr="00815A3A">
        <w:t xml:space="preserve"> export areas </w:t>
      </w:r>
      <w:r>
        <w:t xml:space="preserve">in different countries </w:t>
      </w:r>
      <w:r w:rsidRPr="00815A3A">
        <w:t xml:space="preserve">make it </w:t>
      </w:r>
      <w:r w:rsidRPr="00815A3A">
        <w:lastRenderedPageBreak/>
        <w:t>necessary to re</w:t>
      </w:r>
      <w:r>
        <w:t>-</w:t>
      </w:r>
      <w:r w:rsidRPr="00815A3A">
        <w:t xml:space="preserve">assess the likelihood of importation of </w:t>
      </w:r>
      <w:r>
        <w:rPr>
          <w:i/>
        </w:rPr>
        <w:t>P. arbutifolia</w:t>
      </w:r>
      <w:r>
        <w:t xml:space="preserve"> potentially </w:t>
      </w:r>
      <w:r w:rsidRPr="00815A3A">
        <w:t xml:space="preserve">associated with </w:t>
      </w:r>
      <w:r>
        <w:t xml:space="preserve">the </w:t>
      </w:r>
      <w:r w:rsidRPr="00815A3A">
        <w:t>PNW-USA</w:t>
      </w:r>
      <w:r>
        <w:t xml:space="preserve"> apple pathway</w:t>
      </w:r>
      <w:r w:rsidRPr="00815A3A">
        <w:t>.</w:t>
      </w:r>
    </w:p>
    <w:p w14:paraId="0510FCD1" w14:textId="77777777" w:rsidR="003438A2" w:rsidRPr="00815A3A" w:rsidRDefault="003438A2" w:rsidP="00862DBA">
      <w:r>
        <w:t xml:space="preserve">The previous assessment of </w:t>
      </w:r>
      <w:r>
        <w:rPr>
          <w:i/>
        </w:rPr>
        <w:t>P. arbutifolia</w:t>
      </w:r>
      <w:r>
        <w:t xml:space="preserve"> on fresh apple fruit from China </w:t>
      </w:r>
      <w:r>
        <w:rPr>
          <w:noProof/>
        </w:rPr>
        <w:t>(Biosecurity Australia 2010a)</w:t>
      </w:r>
      <w:r w:rsidRPr="005E6DE2">
        <w:t xml:space="preserve"> rated the likelihood of distribution as </w:t>
      </w:r>
      <w:r>
        <w:t>Moderate</w:t>
      </w:r>
      <w:r w:rsidRPr="005E6DE2">
        <w:t xml:space="preserve">. </w:t>
      </w:r>
      <w:r w:rsidRPr="00815A3A">
        <w:t>Fresh apple</w:t>
      </w:r>
      <w:r>
        <w:t xml:space="preserve"> fruit </w:t>
      </w:r>
      <w:r w:rsidRPr="00815A3A">
        <w:t xml:space="preserve">from the PNW-USA </w:t>
      </w:r>
      <w:r>
        <w:t>are</w:t>
      </w:r>
      <w:r w:rsidRPr="00815A3A">
        <w:t xml:space="preserve"> expected to be distributed in Australia</w:t>
      </w:r>
      <w:r>
        <w:t xml:space="preserve">, </w:t>
      </w:r>
      <w:r w:rsidRPr="00482B02">
        <w:t>as a result of</w:t>
      </w:r>
      <w:r>
        <w:t xml:space="preserve"> </w:t>
      </w:r>
      <w:r w:rsidRPr="00482B02">
        <w:t>processing, sale or disposal,</w:t>
      </w:r>
      <w:r w:rsidRPr="00815A3A">
        <w:t xml:space="preserve"> in </w:t>
      </w:r>
      <w:r>
        <w:t xml:space="preserve">a similar </w:t>
      </w:r>
      <w:r w:rsidRPr="00815A3A">
        <w:t xml:space="preserve">way </w:t>
      </w:r>
      <w:r>
        <w:t xml:space="preserve">to </w:t>
      </w:r>
      <w:r w:rsidRPr="00815A3A">
        <w:t xml:space="preserve">apples </w:t>
      </w:r>
      <w:r>
        <w:t>from China.</w:t>
      </w:r>
      <w:r>
        <w:rPr>
          <w:rFonts w:cs="Arial"/>
        </w:rPr>
        <w:t xml:space="preserve"> </w:t>
      </w:r>
      <w:r>
        <w:t xml:space="preserve">Apples can be imported all year round, therefore, </w:t>
      </w:r>
      <w:r w:rsidRPr="00B81F41">
        <w:t>there would be no seasonal differences between both import pathways to contribute to variation in the risk rating for likelihood of distribution</w:t>
      </w:r>
      <w:r>
        <w:t xml:space="preserve">. </w:t>
      </w:r>
      <w:r w:rsidRPr="00815A3A">
        <w:t xml:space="preserve">Therefore, the </w:t>
      </w:r>
      <w:r>
        <w:t xml:space="preserve">same </w:t>
      </w:r>
      <w:r w:rsidRPr="00815A3A">
        <w:t xml:space="preserve">rating of </w:t>
      </w:r>
      <w:r>
        <w:t>Moderate</w:t>
      </w:r>
      <w:r w:rsidRPr="00815A3A">
        <w:t xml:space="preserve"> for the likelihood of distribution </w:t>
      </w:r>
      <w:r w:rsidRPr="00E81517">
        <w:t xml:space="preserve">for </w:t>
      </w:r>
      <w:r w:rsidRPr="00FD24F5">
        <w:rPr>
          <w:i/>
        </w:rPr>
        <w:t>P</w:t>
      </w:r>
      <w:r>
        <w:rPr>
          <w:i/>
        </w:rPr>
        <w:t>. </w:t>
      </w:r>
      <w:r w:rsidRPr="00FD24F5">
        <w:rPr>
          <w:i/>
        </w:rPr>
        <w:t>arbutifolia</w:t>
      </w:r>
      <w:r w:rsidRPr="00FD24F5">
        <w:t xml:space="preserve"> </w:t>
      </w:r>
      <w:r>
        <w:t xml:space="preserve">on the China apple pathway </w:t>
      </w:r>
      <w:r w:rsidRPr="00815A3A">
        <w:t>is adopted for the PNW-USA</w:t>
      </w:r>
      <w:r>
        <w:t xml:space="preserve"> apple pathway</w:t>
      </w:r>
      <w:r w:rsidRPr="00815A3A">
        <w:t>.</w:t>
      </w:r>
    </w:p>
    <w:p w14:paraId="77BF84E3" w14:textId="77777777" w:rsidR="003438A2" w:rsidRDefault="003438A2" w:rsidP="00862DBA">
      <w:r w:rsidRPr="005E45CC">
        <w:t xml:space="preserve">The likelihoods of establishment and spread </w:t>
      </w:r>
      <w:r>
        <w:t xml:space="preserve">of </w:t>
      </w:r>
      <w:r w:rsidRPr="00FD24F5">
        <w:rPr>
          <w:i/>
        </w:rPr>
        <w:t>P</w:t>
      </w:r>
      <w:r>
        <w:rPr>
          <w:i/>
        </w:rPr>
        <w:t>. </w:t>
      </w:r>
      <w:r w:rsidRPr="00FD24F5">
        <w:rPr>
          <w:i/>
        </w:rPr>
        <w:t>arbutifolia</w:t>
      </w:r>
      <w:r w:rsidRPr="00FD24F5">
        <w:t xml:space="preserve"> </w:t>
      </w:r>
      <w:r w:rsidRPr="005E45CC">
        <w:t>in Australia from the PNW</w:t>
      </w:r>
      <w:r>
        <w:t>-USA apple</w:t>
      </w:r>
      <w:r w:rsidRPr="005E45CC">
        <w:t xml:space="preserve"> pathway </w:t>
      </w:r>
      <w:r>
        <w:t>have also been assessed as</w:t>
      </w:r>
      <w:r w:rsidRPr="005E45CC">
        <w:t xml:space="preserve"> </w:t>
      </w:r>
      <w:r>
        <w:t xml:space="preserve">similar to the previous assessments of Moderate and Moderate, respectively, for apple fruit from China. These likelihoods relate specifically to events that occur in Australia and are principally independent of the import pathway. The consequences </w:t>
      </w:r>
      <w:r w:rsidRPr="00E6647A">
        <w:t xml:space="preserve">of entry, establishment and spread for </w:t>
      </w:r>
      <w:r w:rsidRPr="00FD24F5">
        <w:rPr>
          <w:i/>
        </w:rPr>
        <w:t>P</w:t>
      </w:r>
      <w:r>
        <w:rPr>
          <w:i/>
        </w:rPr>
        <w:t>. </w:t>
      </w:r>
      <w:r w:rsidRPr="00FD24F5">
        <w:rPr>
          <w:i/>
        </w:rPr>
        <w:t>arbutifolia</w:t>
      </w:r>
      <w:r>
        <w:t xml:space="preserve"> are also independent of the import pathway </w:t>
      </w:r>
      <w:r w:rsidRPr="00E6647A">
        <w:t xml:space="preserve">and </w:t>
      </w:r>
      <w:r>
        <w:t>have been assessed as</w:t>
      </w:r>
      <w:r w:rsidRPr="00E837AD">
        <w:t xml:space="preserve"> </w:t>
      </w:r>
      <w:r>
        <w:t xml:space="preserve">similar to the existing assessment of Moderate for the apples from China pathway. Therefore, the existing ratings for the likelihoods of establishment and spread, and the rating for overall consequences for </w:t>
      </w:r>
      <w:r w:rsidRPr="00FD24F5">
        <w:rPr>
          <w:i/>
        </w:rPr>
        <w:t>P</w:t>
      </w:r>
      <w:r>
        <w:rPr>
          <w:i/>
        </w:rPr>
        <w:t>. </w:t>
      </w:r>
      <w:r w:rsidRPr="00FD24F5">
        <w:rPr>
          <w:i/>
        </w:rPr>
        <w:t>arbutifolia</w:t>
      </w:r>
      <w:r>
        <w:t xml:space="preserve"> on the China apple pathway have been adopted for </w:t>
      </w:r>
      <w:r w:rsidRPr="00FD24F5">
        <w:rPr>
          <w:i/>
        </w:rPr>
        <w:t>P</w:t>
      </w:r>
      <w:r>
        <w:rPr>
          <w:i/>
        </w:rPr>
        <w:t>. </w:t>
      </w:r>
      <w:r w:rsidRPr="00FD24F5">
        <w:rPr>
          <w:i/>
        </w:rPr>
        <w:t>arbutifolia</w:t>
      </w:r>
      <w:r>
        <w:t xml:space="preserve"> on the PNW-USA apple pathway.</w:t>
      </w:r>
    </w:p>
    <w:p w14:paraId="0959E3B1" w14:textId="77777777" w:rsidR="003438A2" w:rsidRDefault="003438A2" w:rsidP="00862DBA">
      <w:pPr>
        <w:rPr>
          <w:rFonts w:cs="Arial"/>
        </w:rPr>
      </w:pPr>
      <w:r>
        <w:rPr>
          <w:rFonts w:cs="Arial"/>
        </w:rPr>
        <w:t>T</w:t>
      </w:r>
      <w:r w:rsidRPr="005E45CC">
        <w:rPr>
          <w:rFonts w:cs="Arial"/>
        </w:rPr>
        <w:t>he department has also reviewed the latest literature</w:t>
      </w:r>
      <w:r w:rsidRPr="00C92804">
        <w:rPr>
          <w:rFonts w:cs="Arial"/>
        </w:rPr>
        <w:t xml:space="preserve">—for </w:t>
      </w:r>
      <w:r w:rsidRPr="00F631D3">
        <w:rPr>
          <w:rFonts w:cs="Arial"/>
        </w:rPr>
        <w:t xml:space="preserve">example, </w:t>
      </w:r>
      <w:r>
        <w:rPr>
          <w:rFonts w:cs="Arial"/>
          <w:noProof/>
        </w:rPr>
        <w:t>Bell et al. (2015); EFSA PLH Panel et al. (2018); Farr and Rossman (2020); Pscheidt and Ocamb (2021c) and Wikee et al. (2011)</w:t>
      </w:r>
      <w:r>
        <w:rPr>
          <w:rFonts w:cs="Arial"/>
        </w:rPr>
        <w:t>. N</w:t>
      </w:r>
      <w:r w:rsidRPr="00B35575">
        <w:rPr>
          <w:rFonts w:cs="Arial"/>
        </w:rPr>
        <w:t xml:space="preserve">o new information </w:t>
      </w:r>
      <w:r>
        <w:rPr>
          <w:rFonts w:cs="Arial"/>
        </w:rPr>
        <w:t>has been identified that would</w:t>
      </w:r>
      <w:r w:rsidRPr="00B35575">
        <w:rPr>
          <w:rFonts w:cs="Arial"/>
        </w:rPr>
        <w:t xml:space="preserve"> significantly change the risk ratings for distribution, establishment, spread </w:t>
      </w:r>
      <w:r>
        <w:rPr>
          <w:rFonts w:cs="Arial"/>
        </w:rPr>
        <w:t>and</w:t>
      </w:r>
      <w:r w:rsidRPr="00B35575">
        <w:rPr>
          <w:rFonts w:cs="Arial"/>
        </w:rPr>
        <w:t xml:space="preserve"> conseq</w:t>
      </w:r>
      <w:r>
        <w:rPr>
          <w:rFonts w:cs="Arial"/>
        </w:rPr>
        <w:t xml:space="preserve">uences as set out for </w:t>
      </w:r>
      <w:r w:rsidRPr="00FD24F5">
        <w:rPr>
          <w:i/>
        </w:rPr>
        <w:t>P</w:t>
      </w:r>
      <w:r>
        <w:rPr>
          <w:i/>
        </w:rPr>
        <w:t>. </w:t>
      </w:r>
      <w:r w:rsidRPr="00FD24F5">
        <w:rPr>
          <w:i/>
        </w:rPr>
        <w:t>arbutifolia</w:t>
      </w:r>
      <w:r w:rsidRPr="00B35575">
        <w:rPr>
          <w:rFonts w:cs="Arial"/>
        </w:rPr>
        <w:t xml:space="preserve"> in </w:t>
      </w:r>
      <w:r>
        <w:rPr>
          <w:rFonts w:cs="Arial"/>
        </w:rPr>
        <w:t xml:space="preserve">the </w:t>
      </w:r>
      <w:r w:rsidRPr="00B35575">
        <w:rPr>
          <w:rFonts w:cs="Arial"/>
        </w:rPr>
        <w:t>existing polic</w:t>
      </w:r>
      <w:r>
        <w:rPr>
          <w:rFonts w:cs="Arial"/>
        </w:rPr>
        <w:t>y</w:t>
      </w:r>
      <w:r w:rsidRPr="00B35575">
        <w:rPr>
          <w:rFonts w:cs="Arial"/>
        </w:rPr>
        <w:t>.</w:t>
      </w:r>
    </w:p>
    <w:p w14:paraId="5880AE14" w14:textId="77777777" w:rsidR="003438A2" w:rsidRDefault="003438A2" w:rsidP="00F843A1">
      <w:pPr>
        <w:pStyle w:val="Heading4"/>
        <w:numPr>
          <w:ilvl w:val="2"/>
          <w:numId w:val="35"/>
        </w:numPr>
        <w:tabs>
          <w:tab w:val="num" w:pos="1929"/>
        </w:tabs>
        <w:ind w:left="1929"/>
      </w:pPr>
      <w:r>
        <w:t>Likelihood of entry</w:t>
      </w:r>
    </w:p>
    <w:p w14:paraId="5BA3189F" w14:textId="77777777" w:rsidR="003438A2" w:rsidRPr="00F25AAB" w:rsidRDefault="003438A2" w:rsidP="00862DBA">
      <w:r>
        <w:t>The likelihood of entry is considered in 2 parts, the likelihood of importation and the likelihood of distribution, which consider pre-border and post-border issues, respectively.</w:t>
      </w:r>
    </w:p>
    <w:p w14:paraId="1AF4600F" w14:textId="77777777" w:rsidR="003438A2" w:rsidRDefault="003438A2" w:rsidP="00862DBA">
      <w:pPr>
        <w:pStyle w:val="Heading5"/>
      </w:pPr>
      <w:r w:rsidRPr="00AB1BD9">
        <w:t>Likelihood of importation</w:t>
      </w:r>
    </w:p>
    <w:p w14:paraId="2C15E030" w14:textId="77777777" w:rsidR="003438A2" w:rsidRPr="0094682F" w:rsidRDefault="003438A2" w:rsidP="00862DBA">
      <w:r w:rsidRPr="0094682F">
        <w:t xml:space="preserve">The likelihood that </w:t>
      </w:r>
      <w:r w:rsidRPr="00E15F3D">
        <w:rPr>
          <w:i/>
        </w:rPr>
        <w:t>P</w:t>
      </w:r>
      <w:r>
        <w:rPr>
          <w:i/>
        </w:rPr>
        <w:t>.</w:t>
      </w:r>
      <w:r w:rsidRPr="00D15408">
        <w:rPr>
          <w:i/>
        </w:rPr>
        <w:t xml:space="preserve"> arbutifolia</w:t>
      </w:r>
      <w:r w:rsidRPr="0094682F">
        <w:t xml:space="preserve"> will arrive in Australia with the importation of </w:t>
      </w:r>
      <w:r>
        <w:t>apples from the PNW-USA is assessed as Low.</w:t>
      </w:r>
    </w:p>
    <w:p w14:paraId="5E4668E1" w14:textId="77777777" w:rsidR="003438A2" w:rsidRDefault="003438A2" w:rsidP="00862DBA">
      <w:r>
        <w:t>The following information provides supporting evidence for this assessment.</w:t>
      </w:r>
    </w:p>
    <w:p w14:paraId="4E32589A" w14:textId="77777777" w:rsidR="003438A2" w:rsidRPr="00E15F3D" w:rsidRDefault="003438A2" w:rsidP="00862DBA">
      <w:r w:rsidRPr="00E15F3D">
        <w:rPr>
          <w:i/>
        </w:rPr>
        <w:t>Phyllosticta</w:t>
      </w:r>
      <w:r w:rsidRPr="00D15408">
        <w:rPr>
          <w:i/>
        </w:rPr>
        <w:t xml:space="preserve"> arbutifolia</w:t>
      </w:r>
      <w:r>
        <w:rPr>
          <w:i/>
        </w:rPr>
        <w:t xml:space="preserve"> </w:t>
      </w:r>
      <w:r>
        <w:t>is present in the PNW-USA at a low incidence.</w:t>
      </w:r>
    </w:p>
    <w:p w14:paraId="7C7DF61E" w14:textId="77777777" w:rsidR="003438A2" w:rsidRDefault="003438A2" w:rsidP="003438A2">
      <w:pPr>
        <w:pStyle w:val="ListBullet"/>
        <w:numPr>
          <w:ilvl w:val="0"/>
          <w:numId w:val="15"/>
        </w:numPr>
      </w:pPr>
      <w:r>
        <w:t xml:space="preserve">Apple blotch caused by </w:t>
      </w:r>
      <w:r w:rsidRPr="00C71D27">
        <w:rPr>
          <w:i/>
        </w:rPr>
        <w:t>P. arbutifolia</w:t>
      </w:r>
      <w:r w:rsidRPr="00FD24F5">
        <w:t xml:space="preserve"> </w:t>
      </w:r>
      <w:r>
        <w:t xml:space="preserve">was a major apple disease in the eastern United States in the early to mid-1900s, but has been </w:t>
      </w:r>
      <w:r w:rsidRPr="00FD24F5">
        <w:t>rare in most commercial apple orchards</w:t>
      </w:r>
      <w:r>
        <w:t xml:space="preserve"> since the 1990s, </w:t>
      </w:r>
      <w:r w:rsidRPr="00FD24F5">
        <w:t xml:space="preserve">possibly due to </w:t>
      </w:r>
      <w:r>
        <w:t xml:space="preserve">the planting of </w:t>
      </w:r>
      <w:r w:rsidRPr="00FD24F5">
        <w:t xml:space="preserve">resistant </w:t>
      </w:r>
      <w:r>
        <w:t xml:space="preserve">apple cultivars </w:t>
      </w:r>
      <w:r>
        <w:rPr>
          <w:noProof/>
        </w:rPr>
        <w:t>(Yoder 1990)</w:t>
      </w:r>
      <w:r>
        <w:t xml:space="preserve">. </w:t>
      </w:r>
    </w:p>
    <w:p w14:paraId="0757C581" w14:textId="77777777" w:rsidR="003438A2" w:rsidRPr="00DA21EE" w:rsidRDefault="003438A2" w:rsidP="003438A2">
      <w:pPr>
        <w:pStyle w:val="ListBullet"/>
        <w:numPr>
          <w:ilvl w:val="0"/>
          <w:numId w:val="15"/>
        </w:numPr>
        <w:rPr>
          <w:color w:val="00B050"/>
        </w:rPr>
      </w:pPr>
      <w:r w:rsidRPr="00C64E3A">
        <w:t xml:space="preserve">The pathogen has been recorded in Washington </w:t>
      </w:r>
      <w:r w:rsidRPr="00C64E3A">
        <w:rPr>
          <w:noProof/>
        </w:rPr>
        <w:t>(Farr &amp; Rossman 2018)</w:t>
      </w:r>
      <w:r w:rsidRPr="00C64E3A">
        <w:t xml:space="preserve">, but there are no </w:t>
      </w:r>
      <w:r w:rsidRPr="00DA21EE">
        <w:t>records of the pathogen in Oregon or Idaho.</w:t>
      </w:r>
    </w:p>
    <w:p w14:paraId="4D4088DB" w14:textId="77777777" w:rsidR="003438A2" w:rsidRDefault="003438A2" w:rsidP="003438A2">
      <w:pPr>
        <w:pStyle w:val="ListBullet"/>
        <w:numPr>
          <w:ilvl w:val="0"/>
          <w:numId w:val="15"/>
        </w:numPr>
        <w:rPr>
          <w:noProof/>
        </w:rPr>
      </w:pPr>
      <w:r w:rsidRPr="00DA21EE">
        <w:t xml:space="preserve">Apple blotch caused by </w:t>
      </w:r>
      <w:r w:rsidRPr="00DA21EE">
        <w:rPr>
          <w:i/>
        </w:rPr>
        <w:t>P. arbutifolia</w:t>
      </w:r>
      <w:r w:rsidRPr="00DA21EE">
        <w:t xml:space="preserve"> is now considered a minor apple disease in the USA</w:t>
      </w:r>
      <w:r>
        <w:t xml:space="preserve"> </w:t>
      </w:r>
      <w:r>
        <w:rPr>
          <w:noProof/>
        </w:rPr>
        <w:t>(Sutton et al. 2014; Yoder 1990).</w:t>
      </w:r>
    </w:p>
    <w:p w14:paraId="3FCF0CBB" w14:textId="77777777" w:rsidR="003438A2" w:rsidRPr="00DA21EE" w:rsidRDefault="003438A2" w:rsidP="003438A2">
      <w:pPr>
        <w:pStyle w:val="ListBullet"/>
        <w:numPr>
          <w:ilvl w:val="0"/>
          <w:numId w:val="15"/>
        </w:numPr>
        <w:rPr>
          <w:color w:val="00B050"/>
        </w:rPr>
      </w:pPr>
      <w:r w:rsidRPr="00DA21EE">
        <w:rPr>
          <w:noProof/>
        </w:rPr>
        <w:lastRenderedPageBreak/>
        <w:t>The pathogen</w:t>
      </w:r>
      <w:r w:rsidRPr="00DA21EE">
        <w:t xml:space="preserve"> is </w:t>
      </w:r>
      <w:r>
        <w:t xml:space="preserve">considered </w:t>
      </w:r>
      <w:r w:rsidRPr="00DA21EE">
        <w:t xml:space="preserve">rare in the PNW-USA as surveys </w:t>
      </w:r>
      <w:r>
        <w:t xml:space="preserve">of apple diseases </w:t>
      </w:r>
      <w:r w:rsidRPr="00DA21EE">
        <w:t>in Washington did not detect this pathogen</w:t>
      </w:r>
      <w:r>
        <w:t xml:space="preserve"> </w:t>
      </w:r>
      <w:r>
        <w:rPr>
          <w:noProof/>
        </w:rPr>
        <w:t xml:space="preserve">(Amiri &amp; Ali 2016; Kim &amp; Xiao 2008; Xiao &amp; Kim 2008). </w:t>
      </w:r>
    </w:p>
    <w:p w14:paraId="05282D3E" w14:textId="77777777" w:rsidR="003438A2" w:rsidRDefault="003438A2" w:rsidP="00862DBA">
      <w:r>
        <w:t xml:space="preserve">Fruit infected by </w:t>
      </w:r>
      <w:r w:rsidRPr="00FB2917">
        <w:rPr>
          <w:i/>
        </w:rPr>
        <w:t>P. arbutifolia</w:t>
      </w:r>
      <w:r w:rsidRPr="00FB2917">
        <w:t xml:space="preserve"> </w:t>
      </w:r>
      <w:r>
        <w:t>may</w:t>
      </w:r>
      <w:r w:rsidRPr="005C008F">
        <w:t xml:space="preserve"> be detected during harvest or post-harvest processing.</w:t>
      </w:r>
    </w:p>
    <w:p w14:paraId="715C45B0" w14:textId="77777777" w:rsidR="003438A2" w:rsidRDefault="003438A2" w:rsidP="003438A2">
      <w:pPr>
        <w:pStyle w:val="ListBullet"/>
        <w:numPr>
          <w:ilvl w:val="0"/>
          <w:numId w:val="15"/>
        </w:numPr>
      </w:pPr>
      <w:r w:rsidRPr="00D15408">
        <w:t>Infections on fruit usually occur early in the season and symptoms appear by mid-summer</w:t>
      </w:r>
      <w:r>
        <w:t xml:space="preserve"> </w:t>
      </w:r>
      <w:r>
        <w:rPr>
          <w:noProof/>
        </w:rPr>
        <w:t>(Pierson, Ceponis &amp; McColloch 1971; Yoder 1990)</w:t>
      </w:r>
      <w:r>
        <w:t>.</w:t>
      </w:r>
    </w:p>
    <w:p w14:paraId="7BEA6A8B" w14:textId="77777777" w:rsidR="003438A2" w:rsidRDefault="003438A2" w:rsidP="003438A2">
      <w:pPr>
        <w:pStyle w:val="ListBullet"/>
        <w:numPr>
          <w:ilvl w:val="0"/>
          <w:numId w:val="15"/>
        </w:numPr>
      </w:pPr>
      <w:r>
        <w:t>Lesions on infected fruit gradually enlarge and develop fringed but distinct margins</w:t>
      </w:r>
      <w:r w:rsidRPr="00F77939">
        <w:t xml:space="preserve"> </w:t>
      </w:r>
      <w:r>
        <w:t xml:space="preserve">and lesions often crack as the fruit enlarges </w:t>
      </w:r>
      <w:r>
        <w:rPr>
          <w:noProof/>
        </w:rPr>
        <w:t>(Yoder 1990)</w:t>
      </w:r>
      <w:r>
        <w:t>.</w:t>
      </w:r>
    </w:p>
    <w:p w14:paraId="6B064F34" w14:textId="77777777" w:rsidR="003438A2" w:rsidRDefault="003438A2" w:rsidP="003438A2">
      <w:pPr>
        <w:pStyle w:val="ListBullet"/>
        <w:numPr>
          <w:ilvl w:val="0"/>
          <w:numId w:val="15"/>
        </w:numPr>
      </w:pPr>
      <w:r w:rsidRPr="00D15408">
        <w:t xml:space="preserve">Infected fruit with obvious symptoms </w:t>
      </w:r>
      <w:r>
        <w:t>are</w:t>
      </w:r>
      <w:r w:rsidRPr="00D15408">
        <w:t xml:space="preserve"> likely to be rejected during </w:t>
      </w:r>
      <w:r>
        <w:t xml:space="preserve">the </w:t>
      </w:r>
      <w:r w:rsidRPr="00D15408">
        <w:t>harvesting and packing processes.</w:t>
      </w:r>
    </w:p>
    <w:p w14:paraId="6C196FB4" w14:textId="77777777" w:rsidR="003438A2" w:rsidRPr="00E15F3D" w:rsidRDefault="003438A2" w:rsidP="003438A2">
      <w:pPr>
        <w:pStyle w:val="ListBullet"/>
        <w:numPr>
          <w:ilvl w:val="0"/>
          <w:numId w:val="15"/>
        </w:numPr>
      </w:pPr>
      <w:r>
        <w:t xml:space="preserve">Symptoms are, however, reduced on resistant cultivars such as Red and Golden Delicious and Jonathan </w:t>
      </w:r>
      <w:r>
        <w:rPr>
          <w:noProof/>
        </w:rPr>
        <w:t>(Yoder 1990)</w:t>
      </w:r>
      <w:r>
        <w:t>. Infected fruit without obvious symptoms may be harvested and packed for export.</w:t>
      </w:r>
    </w:p>
    <w:p w14:paraId="26DF494C" w14:textId="77777777" w:rsidR="003438A2" w:rsidRPr="00815A3A" w:rsidRDefault="003438A2" w:rsidP="00862DBA">
      <w:r w:rsidRPr="00E15F3D">
        <w:rPr>
          <w:i/>
        </w:rPr>
        <w:t>Phyllosticta</w:t>
      </w:r>
      <w:r w:rsidRPr="00E15F3D">
        <w:t xml:space="preserve"> </w:t>
      </w:r>
      <w:r w:rsidRPr="00E15F3D">
        <w:rPr>
          <w:i/>
        </w:rPr>
        <w:t>arbutifolia</w:t>
      </w:r>
      <w:r w:rsidRPr="00E15F3D">
        <w:t xml:space="preserve"> </w:t>
      </w:r>
      <w:r>
        <w:t>may survive cold temperatures during storage and transport</w:t>
      </w:r>
      <w:r w:rsidRPr="00815A3A">
        <w:t>.</w:t>
      </w:r>
    </w:p>
    <w:p w14:paraId="5F0BBAA7" w14:textId="77777777" w:rsidR="003438A2" w:rsidRDefault="003438A2" w:rsidP="003438A2">
      <w:pPr>
        <w:pStyle w:val="ListBullet"/>
        <w:numPr>
          <w:ilvl w:val="0"/>
          <w:numId w:val="15"/>
        </w:numPr>
      </w:pPr>
      <w:r>
        <w:t>Harvested apples are normally cold-stored at 0</w:t>
      </w:r>
      <w:r w:rsidRPr="00223363">
        <w:t>°</w:t>
      </w:r>
      <w:r>
        <w:t>C to 2</w:t>
      </w:r>
      <w:r w:rsidRPr="00223363">
        <w:t>°</w:t>
      </w:r>
      <w:r w:rsidRPr="00256DB0">
        <w:t>C</w:t>
      </w:r>
      <w:r>
        <w:t xml:space="preserve"> </w:t>
      </w:r>
      <w:r>
        <w:rPr>
          <w:noProof/>
        </w:rPr>
        <w:t>(Good Fruit Grower 2014; Iowa State University Extension and Outreach 2008; Kupferman 1996; University of Maine 2020)</w:t>
      </w:r>
      <w:r>
        <w:t>.</w:t>
      </w:r>
    </w:p>
    <w:p w14:paraId="600494E6" w14:textId="77777777" w:rsidR="003438A2" w:rsidRPr="008B14A3" w:rsidRDefault="003438A2" w:rsidP="003438A2">
      <w:pPr>
        <w:pStyle w:val="ListBullet"/>
        <w:numPr>
          <w:ilvl w:val="0"/>
          <w:numId w:val="15"/>
        </w:numPr>
      </w:pPr>
      <w:r>
        <w:t>S</w:t>
      </w:r>
      <w:r w:rsidRPr="00256DB0">
        <w:t>ea freight</w:t>
      </w:r>
      <w:r>
        <w:t>,</w:t>
      </w:r>
      <w:r w:rsidRPr="00256DB0">
        <w:t xml:space="preserve"> </w:t>
      </w:r>
      <w:r>
        <w:t xml:space="preserve">which takes about five weeks, is likely to be </w:t>
      </w:r>
      <w:r w:rsidRPr="00256DB0">
        <w:t>the preferred method of transport</w:t>
      </w:r>
      <w:r>
        <w:t xml:space="preserve"> of apples from the PNW-USA to Australia and fruit will be maintained at very low temperatures.</w:t>
      </w:r>
    </w:p>
    <w:p w14:paraId="2AD11B8A" w14:textId="77777777" w:rsidR="003438A2" w:rsidRDefault="003438A2" w:rsidP="003438A2">
      <w:pPr>
        <w:pStyle w:val="ListBullet"/>
        <w:numPr>
          <w:ilvl w:val="0"/>
          <w:numId w:val="15"/>
        </w:numPr>
      </w:pPr>
      <w:r w:rsidRPr="00E15F3D">
        <w:rPr>
          <w:i/>
        </w:rPr>
        <w:t>Phyllosticta</w:t>
      </w:r>
      <w:r w:rsidRPr="00E15F3D">
        <w:t xml:space="preserve"> </w:t>
      </w:r>
      <w:r w:rsidRPr="00E15F3D">
        <w:rPr>
          <w:i/>
        </w:rPr>
        <w:t>arbutifolia</w:t>
      </w:r>
      <w:r w:rsidRPr="00E15F3D">
        <w:t xml:space="preserve"> </w:t>
      </w:r>
      <w:r>
        <w:t xml:space="preserve">naturally </w:t>
      </w:r>
      <w:r w:rsidRPr="00FD24F5">
        <w:t>overwinter</w:t>
      </w:r>
      <w:r>
        <w:t>s</w:t>
      </w:r>
      <w:r w:rsidRPr="00FD24F5">
        <w:t xml:space="preserve"> in stem cankers or infected dormant buds </w:t>
      </w:r>
      <w:r>
        <w:t>in the PNW-USA in sub-zero temperatures.</w:t>
      </w:r>
    </w:p>
    <w:p w14:paraId="331A4AC2" w14:textId="77777777" w:rsidR="003438A2" w:rsidRDefault="003438A2" w:rsidP="003438A2">
      <w:pPr>
        <w:pStyle w:val="ListBullet"/>
        <w:numPr>
          <w:ilvl w:val="0"/>
          <w:numId w:val="15"/>
        </w:numPr>
      </w:pPr>
      <w:r w:rsidRPr="00F04092">
        <w:rPr>
          <w:i/>
        </w:rPr>
        <w:t>Phyllosticta</w:t>
      </w:r>
      <w:r w:rsidRPr="00F04092">
        <w:t xml:space="preserve"> </w:t>
      </w:r>
      <w:r w:rsidRPr="00F04092">
        <w:rPr>
          <w:i/>
        </w:rPr>
        <w:t>arbutifolia</w:t>
      </w:r>
      <w:r w:rsidRPr="00F04092">
        <w:t xml:space="preserve"> can survive for long periods at the low temperatures used in cold storage and transportation </w:t>
      </w:r>
      <w:r>
        <w:rPr>
          <w:noProof/>
        </w:rPr>
        <w:t>(Wikee et al. 2011)</w:t>
      </w:r>
      <w:r w:rsidRPr="00F04092">
        <w:t>. It has been reported to survive at 1</w:t>
      </w:r>
      <w:bookmarkStart w:id="431" w:name="_Hlk42000881"/>
      <w:r w:rsidRPr="00F04092">
        <w:t>°</w:t>
      </w:r>
      <w:bookmarkEnd w:id="431"/>
      <w:r>
        <w:t>C</w:t>
      </w:r>
      <w:r w:rsidRPr="00F04092">
        <w:t xml:space="preserve"> to 2°C for at least 9 months on apple seedlings </w:t>
      </w:r>
      <w:r>
        <w:rPr>
          <w:noProof/>
        </w:rPr>
        <w:t>(CABI &amp; EPPO 1997a)</w:t>
      </w:r>
      <w:r>
        <w:t>.</w:t>
      </w:r>
    </w:p>
    <w:p w14:paraId="12B2D536" w14:textId="77777777" w:rsidR="003438A2" w:rsidRDefault="003438A2" w:rsidP="00862DBA">
      <w:r w:rsidRPr="00FE15FF">
        <w:rPr>
          <w:i/>
        </w:rPr>
        <w:t>Phyllosticta arbutifolia</w:t>
      </w:r>
      <w:r w:rsidRPr="00502D1B">
        <w:t xml:space="preserve"> </w:t>
      </w:r>
      <w:r>
        <w:t xml:space="preserve">is present in the PNW-USA at low levels of incidence. Infection of fruit normally occurs early in the season and visible </w:t>
      </w:r>
      <w:r w:rsidRPr="00D15408">
        <w:t xml:space="preserve">symptoms </w:t>
      </w:r>
      <w:r>
        <w:t xml:space="preserve">generally </w:t>
      </w:r>
      <w:r w:rsidRPr="00D15408">
        <w:t>appear by mid-summer</w:t>
      </w:r>
      <w:r>
        <w:t xml:space="preserve">, well before harvest. Fruit infected by </w:t>
      </w:r>
      <w:r w:rsidRPr="00FB2917">
        <w:rPr>
          <w:i/>
        </w:rPr>
        <w:t>P. arbutifolia</w:t>
      </w:r>
      <w:r w:rsidRPr="00FB2917">
        <w:t xml:space="preserve"> </w:t>
      </w:r>
      <w:r w:rsidRPr="005C008F">
        <w:t>will often be detected during harvest or post-harvest processing.</w:t>
      </w:r>
      <w:r>
        <w:t xml:space="preserve"> However, symptoms may not be obvious on infected fruit of resistant cultivars and may be packed for export. </w:t>
      </w:r>
      <w:r w:rsidRPr="00E15F3D">
        <w:rPr>
          <w:i/>
        </w:rPr>
        <w:t>P</w:t>
      </w:r>
      <w:r>
        <w:rPr>
          <w:i/>
        </w:rPr>
        <w:t>hyllosticta</w:t>
      </w:r>
      <w:r w:rsidRPr="00E15F3D">
        <w:t xml:space="preserve"> </w:t>
      </w:r>
      <w:r w:rsidRPr="00E15F3D">
        <w:rPr>
          <w:i/>
        </w:rPr>
        <w:t>arbutifolia</w:t>
      </w:r>
      <w:r w:rsidRPr="00E15F3D">
        <w:t xml:space="preserve"> </w:t>
      </w:r>
      <w:r>
        <w:t>is likely to survive cold temperatures during storage in the PNW-USA and transport to Australia</w:t>
      </w:r>
      <w:r w:rsidRPr="00815A3A">
        <w:t>.</w:t>
      </w:r>
      <w:r>
        <w:t xml:space="preserve"> For the reasons outlined, the </w:t>
      </w:r>
      <w:r w:rsidRPr="003F1A82">
        <w:t>likelihood</w:t>
      </w:r>
      <w:r>
        <w:t xml:space="preserve"> estimate for </w:t>
      </w:r>
      <w:r w:rsidRPr="003F1A82">
        <w:t xml:space="preserve">importation </w:t>
      </w:r>
      <w:r>
        <w:t xml:space="preserve">of </w:t>
      </w:r>
      <w:r w:rsidRPr="00FE15FF">
        <w:rPr>
          <w:i/>
        </w:rPr>
        <w:t>P</w:t>
      </w:r>
      <w:r>
        <w:rPr>
          <w:i/>
        </w:rPr>
        <w:t>.</w:t>
      </w:r>
      <w:r w:rsidRPr="00FE15FF">
        <w:rPr>
          <w:i/>
        </w:rPr>
        <w:t xml:space="preserve"> arbutifolia</w:t>
      </w:r>
      <w:r w:rsidRPr="00502D1B">
        <w:t xml:space="preserve"> </w:t>
      </w:r>
      <w:r>
        <w:t xml:space="preserve">on the PNW-USA apple pathway is assessed as </w:t>
      </w:r>
      <w:r w:rsidRPr="003F1A82">
        <w:t>Low.</w:t>
      </w:r>
    </w:p>
    <w:p w14:paraId="71AA3F32" w14:textId="77777777" w:rsidR="003438A2" w:rsidRPr="00FF151F" w:rsidRDefault="003438A2" w:rsidP="00862DBA">
      <w:pPr>
        <w:pStyle w:val="Heading5"/>
      </w:pPr>
      <w:r w:rsidRPr="00FF151F">
        <w:t>Likelihood of distribution</w:t>
      </w:r>
    </w:p>
    <w:p w14:paraId="2B47656A" w14:textId="77777777" w:rsidR="003438A2" w:rsidRPr="00FF151F" w:rsidRDefault="003438A2" w:rsidP="00862DBA">
      <w:r w:rsidRPr="00FF151F">
        <w:t xml:space="preserve">The likelihood that </w:t>
      </w:r>
      <w:r w:rsidRPr="00FB2917">
        <w:rPr>
          <w:i/>
        </w:rPr>
        <w:t>P. arbutifolia</w:t>
      </w:r>
      <w:r w:rsidRPr="00FB2917">
        <w:t xml:space="preserve"> </w:t>
      </w:r>
      <w:r w:rsidRPr="00FF151F">
        <w:t>will be distributed within Australia in a viable state</w:t>
      </w:r>
      <w:r>
        <w:t>,</w:t>
      </w:r>
      <w:r w:rsidRPr="00FF151F">
        <w:t xml:space="preserve"> as a result of the processing, sale or disposal of apples from the PNW-USA, and subsequently transfer to </w:t>
      </w:r>
      <w:r>
        <w:t xml:space="preserve">a </w:t>
      </w:r>
      <w:r w:rsidRPr="00FF151F">
        <w:t xml:space="preserve">susceptible </w:t>
      </w:r>
      <w:r>
        <w:t xml:space="preserve">part of a </w:t>
      </w:r>
      <w:r w:rsidRPr="00FF151F">
        <w:t xml:space="preserve">host is considered to be similar to </w:t>
      </w:r>
      <w:r w:rsidRPr="00FB2917">
        <w:rPr>
          <w:i/>
        </w:rPr>
        <w:t>P. arbutifolia</w:t>
      </w:r>
      <w:r w:rsidRPr="00FB2917">
        <w:t xml:space="preserve"> </w:t>
      </w:r>
      <w:r w:rsidRPr="00FF151F">
        <w:rPr>
          <w:iCs/>
        </w:rPr>
        <w:t xml:space="preserve">on apples from </w:t>
      </w:r>
      <w:r>
        <w:rPr>
          <w:iCs/>
        </w:rPr>
        <w:t>China</w:t>
      </w:r>
      <w:r w:rsidRPr="00FF151F">
        <w:t xml:space="preserve">. </w:t>
      </w:r>
    </w:p>
    <w:p w14:paraId="6D0A5DE9" w14:textId="77777777" w:rsidR="003438A2" w:rsidRPr="0010540F" w:rsidRDefault="003438A2" w:rsidP="00862DBA">
      <w:r w:rsidRPr="00FF151F">
        <w:t xml:space="preserve">Therefore, the same rating of </w:t>
      </w:r>
      <w:r>
        <w:t>Moderate</w:t>
      </w:r>
      <w:r w:rsidRPr="00FF151F">
        <w:t xml:space="preserve"> for the likelihood of distribution previously assessed for </w:t>
      </w:r>
      <w:r w:rsidRPr="00FB2917">
        <w:rPr>
          <w:i/>
        </w:rPr>
        <w:t>P. arbutifolia</w:t>
      </w:r>
      <w:r w:rsidRPr="00FB2917">
        <w:t xml:space="preserve"> </w:t>
      </w:r>
      <w:r w:rsidRPr="00FF151F">
        <w:rPr>
          <w:iCs/>
        </w:rPr>
        <w:t xml:space="preserve">on </w:t>
      </w:r>
      <w:r>
        <w:rPr>
          <w:iCs/>
        </w:rPr>
        <w:t xml:space="preserve">the </w:t>
      </w:r>
      <w:r w:rsidRPr="00FF151F">
        <w:rPr>
          <w:iCs/>
        </w:rPr>
        <w:t xml:space="preserve">apples from </w:t>
      </w:r>
      <w:r>
        <w:rPr>
          <w:iCs/>
        </w:rPr>
        <w:t>China</w:t>
      </w:r>
      <w:r w:rsidRPr="00FF151F">
        <w:rPr>
          <w:iCs/>
        </w:rPr>
        <w:t xml:space="preserve"> pathway is adopted for </w:t>
      </w:r>
      <w:r w:rsidRPr="00FB2917">
        <w:rPr>
          <w:i/>
        </w:rPr>
        <w:t>P. arbutifolia</w:t>
      </w:r>
      <w:r w:rsidRPr="00FB2917">
        <w:t xml:space="preserve"> </w:t>
      </w:r>
      <w:r w:rsidRPr="00FF151F">
        <w:rPr>
          <w:iCs/>
        </w:rPr>
        <w:t>on</w:t>
      </w:r>
      <w:r>
        <w:rPr>
          <w:iCs/>
        </w:rPr>
        <w:t xml:space="preserve"> the</w:t>
      </w:r>
      <w:r w:rsidRPr="00FF151F">
        <w:rPr>
          <w:iCs/>
        </w:rPr>
        <w:t xml:space="preserve"> apples from </w:t>
      </w:r>
      <w:r w:rsidRPr="0017005B">
        <w:t xml:space="preserve">PNW-USA pathway. </w:t>
      </w:r>
    </w:p>
    <w:p w14:paraId="41C19BA5" w14:textId="77777777" w:rsidR="003438A2" w:rsidRPr="00FF151F" w:rsidRDefault="003438A2" w:rsidP="00862DBA">
      <w:pPr>
        <w:pStyle w:val="Heading5"/>
      </w:pPr>
      <w:r w:rsidRPr="00FF151F">
        <w:lastRenderedPageBreak/>
        <w:t>Overall likelihood of entry</w:t>
      </w:r>
    </w:p>
    <w:p w14:paraId="3B7CE747" w14:textId="77777777" w:rsidR="003438A2" w:rsidRPr="00FF151F" w:rsidRDefault="003438A2" w:rsidP="00862DBA">
      <w:r w:rsidRPr="00FF151F">
        <w:t xml:space="preserve">The overall likelihood of entry is determined as Low by combining the assessed likelihood of importation of Low with the adopted likelihood of distribution of </w:t>
      </w:r>
      <w:r>
        <w:t>Moderate</w:t>
      </w:r>
      <w:r w:rsidRPr="00FF151F">
        <w:t xml:space="preserve">, </w:t>
      </w:r>
      <w:r w:rsidRPr="00FF151F">
        <w:rPr>
          <w:rFonts w:cstheme="minorHAnsi"/>
        </w:rPr>
        <w:t>using the matrix of rules in</w:t>
      </w:r>
      <w:r>
        <w:rPr>
          <w:rFonts w:cstheme="minorHAnsi"/>
        </w:rPr>
        <w:t xml:space="preserve"> </w:t>
      </w:r>
      <w:r>
        <w:rPr>
          <w:rFonts w:cstheme="minorHAnsi"/>
        </w:rPr>
        <w:fldChar w:fldCharType="begin" w:fldLock="1"/>
      </w:r>
      <w:r>
        <w:rPr>
          <w:rFonts w:cstheme="minorHAnsi"/>
        </w:rPr>
        <w:instrText xml:space="preserve"> REF _Ref457826328 \h </w:instrText>
      </w:r>
      <w:r>
        <w:rPr>
          <w:rFonts w:cstheme="minorHAnsi"/>
        </w:rPr>
      </w:r>
      <w:r>
        <w:rPr>
          <w:rFonts w:cstheme="minorHAnsi"/>
        </w:rPr>
        <w:fldChar w:fldCharType="separate"/>
      </w:r>
      <w:r w:rsidRPr="00DB5F8D">
        <w:t xml:space="preserve">Table </w:t>
      </w:r>
      <w:r>
        <w:rPr>
          <w:noProof/>
        </w:rPr>
        <w:t>2</w:t>
      </w:r>
      <w:r>
        <w:t>.</w:t>
      </w:r>
      <w:r>
        <w:rPr>
          <w:noProof/>
        </w:rPr>
        <w:t>2</w:t>
      </w:r>
      <w:r>
        <w:rPr>
          <w:rFonts w:cstheme="minorHAnsi"/>
        </w:rPr>
        <w:fldChar w:fldCharType="end"/>
      </w:r>
      <w:r>
        <w:rPr>
          <w:rFonts w:cstheme="minorHAnsi"/>
        </w:rPr>
        <w:t>.</w:t>
      </w:r>
    </w:p>
    <w:p w14:paraId="41C15C92" w14:textId="77777777" w:rsidR="003438A2" w:rsidRPr="002E0E5A" w:rsidRDefault="003438A2" w:rsidP="00862DBA">
      <w:pPr>
        <w:pStyle w:val="ListParagraph"/>
        <w:keepNext/>
        <w:keepLines/>
        <w:tabs>
          <w:tab w:val="num" w:pos="2532"/>
        </w:tabs>
        <w:spacing w:before="120" w:after="120" w:line="240" w:lineRule="auto"/>
        <w:ind w:left="794"/>
        <w:outlineLvl w:val="3"/>
        <w:rPr>
          <w:rFonts w:ascii="Calibri" w:hAnsi="Calibri"/>
          <w:b/>
          <w:bCs/>
          <w:iCs/>
          <w:vanish/>
          <w:sz w:val="24"/>
        </w:rPr>
      </w:pPr>
    </w:p>
    <w:p w14:paraId="32091559" w14:textId="77777777" w:rsidR="003438A2" w:rsidRPr="00FF151F" w:rsidRDefault="003438A2" w:rsidP="00F843A1">
      <w:pPr>
        <w:pStyle w:val="Heading4"/>
        <w:numPr>
          <w:ilvl w:val="2"/>
          <w:numId w:val="35"/>
        </w:numPr>
        <w:tabs>
          <w:tab w:val="num" w:pos="1929"/>
        </w:tabs>
        <w:ind w:left="1929"/>
      </w:pPr>
      <w:r w:rsidRPr="00FF151F">
        <w:t>Likelihood</w:t>
      </w:r>
      <w:r>
        <w:t>s</w:t>
      </w:r>
      <w:r w:rsidRPr="00FF151F">
        <w:t xml:space="preserve"> of establishment and spread</w:t>
      </w:r>
    </w:p>
    <w:p w14:paraId="2184B5AD" w14:textId="77777777" w:rsidR="003438A2" w:rsidRPr="00FF151F" w:rsidRDefault="003438A2" w:rsidP="00862DBA">
      <w:pPr>
        <w:autoSpaceDE w:val="0"/>
        <w:autoSpaceDN w:val="0"/>
        <w:adjustRightInd w:val="0"/>
        <w:rPr>
          <w:rFonts w:cstheme="minorHAnsi"/>
        </w:rPr>
      </w:pPr>
      <w:r w:rsidRPr="00FF151F">
        <w:rPr>
          <w:rFonts w:cstheme="minorHAnsi"/>
        </w:rPr>
        <w:t xml:space="preserve">The likelihoods of establishment and spread for </w:t>
      </w:r>
      <w:r w:rsidRPr="00FB2917">
        <w:rPr>
          <w:i/>
        </w:rPr>
        <w:t>P. arbutifolia</w:t>
      </w:r>
      <w:r w:rsidRPr="00FB2917">
        <w:t xml:space="preserve"> </w:t>
      </w:r>
      <w:r w:rsidRPr="00FF151F">
        <w:rPr>
          <w:rFonts w:cstheme="minorHAnsi"/>
        </w:rPr>
        <w:t xml:space="preserve">are independent of the import pathway and are considered similar to those previously assessed for </w:t>
      </w:r>
      <w:r>
        <w:rPr>
          <w:rFonts w:cstheme="minorHAnsi"/>
        </w:rPr>
        <w:t xml:space="preserve">the </w:t>
      </w:r>
      <w:r w:rsidRPr="00FF151F">
        <w:rPr>
          <w:rFonts w:cstheme="minorHAnsi"/>
        </w:rPr>
        <w:t xml:space="preserve">apples from </w:t>
      </w:r>
      <w:r>
        <w:rPr>
          <w:rFonts w:cstheme="minorHAnsi"/>
        </w:rPr>
        <w:t>China</w:t>
      </w:r>
      <w:r w:rsidRPr="00FF151F">
        <w:rPr>
          <w:rFonts w:cstheme="minorHAnsi"/>
        </w:rPr>
        <w:t xml:space="preserve"> pathway.</w:t>
      </w:r>
    </w:p>
    <w:p w14:paraId="7B3A661E" w14:textId="77777777" w:rsidR="003438A2" w:rsidRPr="00FF151F" w:rsidRDefault="003438A2" w:rsidP="00862DBA">
      <w:pPr>
        <w:autoSpaceDE w:val="0"/>
        <w:autoSpaceDN w:val="0"/>
        <w:adjustRightInd w:val="0"/>
      </w:pPr>
      <w:r w:rsidRPr="00FF151F">
        <w:rPr>
          <w:rFonts w:cstheme="minorHAnsi"/>
        </w:rPr>
        <w:t xml:space="preserve">Based on the previous assessment for apples from </w:t>
      </w:r>
      <w:r>
        <w:t xml:space="preserve">China </w:t>
      </w:r>
      <w:r>
        <w:rPr>
          <w:noProof/>
        </w:rPr>
        <w:t>(Biosecurity Australia 2010a)</w:t>
      </w:r>
      <w:r w:rsidRPr="00FF151F">
        <w:rPr>
          <w:rFonts w:cstheme="minorHAnsi"/>
        </w:rPr>
        <w:t xml:space="preserve">, the likelihoods of establishment and spread for </w:t>
      </w:r>
      <w:r w:rsidRPr="00FB2917">
        <w:rPr>
          <w:i/>
        </w:rPr>
        <w:t>P. arbutifolia</w:t>
      </w:r>
      <w:r w:rsidRPr="00FB2917">
        <w:t xml:space="preserve"> </w:t>
      </w:r>
      <w:r w:rsidRPr="00FF151F">
        <w:rPr>
          <w:rFonts w:cstheme="minorHAnsi"/>
        </w:rPr>
        <w:t>are assessed as Moderate and Moderate, respectively.</w:t>
      </w:r>
    </w:p>
    <w:p w14:paraId="0A6C768D" w14:textId="77777777" w:rsidR="003438A2" w:rsidRPr="00BC1B9F" w:rsidRDefault="003438A2" w:rsidP="00F843A1">
      <w:pPr>
        <w:pStyle w:val="Heading4"/>
        <w:numPr>
          <w:ilvl w:val="2"/>
          <w:numId w:val="35"/>
        </w:numPr>
        <w:tabs>
          <w:tab w:val="num" w:pos="1929"/>
        </w:tabs>
        <w:ind w:left="1929"/>
      </w:pPr>
      <w:r w:rsidRPr="00BC1B9F">
        <w:t>Overall likelihood of entry, establishment and spread</w:t>
      </w:r>
    </w:p>
    <w:p w14:paraId="7E0CB731" w14:textId="77777777" w:rsidR="003438A2" w:rsidRPr="00B87803" w:rsidRDefault="003438A2" w:rsidP="00862DBA">
      <w:pPr>
        <w:autoSpaceDE w:val="0"/>
        <w:autoSpaceDN w:val="0"/>
        <w:adjustRightInd w:val="0"/>
      </w:pPr>
      <w:r w:rsidRPr="00BC1B9F">
        <w:t xml:space="preserve">The overall likelihood of entry, establishment and spread is determined by combining the likelihoods of entry, of establishment and of spread using the matrix of rules shown in </w:t>
      </w:r>
      <w:r>
        <w:fldChar w:fldCharType="begin" w:fldLock="1"/>
      </w:r>
      <w:r>
        <w:instrText xml:space="preserve"> REF _Ref457826328 \h </w:instrText>
      </w:r>
      <w:r>
        <w:fldChar w:fldCharType="separate"/>
      </w:r>
      <w:r w:rsidRPr="00DB5F8D">
        <w:t xml:space="preserve">Table </w:t>
      </w:r>
      <w:r>
        <w:rPr>
          <w:noProof/>
        </w:rPr>
        <w:t>2</w:t>
      </w:r>
      <w:r>
        <w:t>.</w:t>
      </w:r>
      <w:r>
        <w:rPr>
          <w:noProof/>
        </w:rPr>
        <w:t>2</w:t>
      </w:r>
      <w:r>
        <w:fldChar w:fldCharType="end"/>
      </w:r>
    </w:p>
    <w:p w14:paraId="48DCC6F0" w14:textId="77777777" w:rsidR="003438A2" w:rsidRPr="00BC1B9F" w:rsidRDefault="003438A2" w:rsidP="00862DBA">
      <w:pPr>
        <w:autoSpaceDE w:val="0"/>
        <w:autoSpaceDN w:val="0"/>
        <w:adjustRightInd w:val="0"/>
        <w:rPr>
          <w:rFonts w:cstheme="minorHAnsi"/>
        </w:rPr>
      </w:pPr>
      <w:r w:rsidRPr="00BC1B9F">
        <w:t xml:space="preserve">The overall likelihood that </w:t>
      </w:r>
      <w:r w:rsidRPr="00FB2917">
        <w:rPr>
          <w:i/>
        </w:rPr>
        <w:t>P. arbutifolia</w:t>
      </w:r>
      <w:r w:rsidRPr="00FB2917">
        <w:t xml:space="preserve"> </w:t>
      </w:r>
      <w:r w:rsidRPr="00BC1B9F">
        <w:t xml:space="preserve">will enter Australia as a result of trade in apples from the PNW-USA, be distributed in a viable state to a susceptible part of a host, establish in Australia and subsequently spread within Australia is assessed as </w:t>
      </w:r>
      <w:r>
        <w:t>L</w:t>
      </w:r>
      <w:r w:rsidRPr="00BC1B9F">
        <w:t>ow</w:t>
      </w:r>
      <w:r w:rsidRPr="00BC1B9F">
        <w:rPr>
          <w:rFonts w:cstheme="minorHAnsi"/>
        </w:rPr>
        <w:t>.</w:t>
      </w:r>
    </w:p>
    <w:p w14:paraId="58C8D401" w14:textId="77777777" w:rsidR="003438A2" w:rsidRPr="00FF151F" w:rsidRDefault="003438A2" w:rsidP="00F843A1">
      <w:pPr>
        <w:pStyle w:val="Heading4"/>
        <w:numPr>
          <w:ilvl w:val="2"/>
          <w:numId w:val="35"/>
        </w:numPr>
        <w:tabs>
          <w:tab w:val="num" w:pos="1929"/>
        </w:tabs>
        <w:ind w:left="1929"/>
      </w:pPr>
      <w:r w:rsidRPr="00FF151F">
        <w:t>Consequences</w:t>
      </w:r>
    </w:p>
    <w:p w14:paraId="2B7A1D01" w14:textId="77777777" w:rsidR="003438A2" w:rsidRPr="0018507C" w:rsidRDefault="003438A2" w:rsidP="00862DBA">
      <w:pPr>
        <w:autoSpaceDE w:val="0"/>
        <w:autoSpaceDN w:val="0"/>
        <w:adjustRightInd w:val="0"/>
        <w:rPr>
          <w:rFonts w:cstheme="minorHAnsi"/>
        </w:rPr>
      </w:pPr>
      <w:r w:rsidRPr="00FF151F">
        <w:t xml:space="preserve">The potential consequences of the entry, establishment and spread of </w:t>
      </w:r>
      <w:r w:rsidRPr="00FB2917">
        <w:rPr>
          <w:i/>
        </w:rPr>
        <w:t>P. arbutifolia</w:t>
      </w:r>
      <w:r w:rsidRPr="00FB2917">
        <w:t xml:space="preserve"> </w:t>
      </w:r>
      <w:r w:rsidRPr="00FF151F">
        <w:t xml:space="preserve">in Australia are similar to those in the previous assessment </w:t>
      </w:r>
      <w:r w:rsidRPr="0018507C">
        <w:t xml:space="preserve">for </w:t>
      </w:r>
      <w:r w:rsidRPr="0018507C">
        <w:rPr>
          <w:i/>
        </w:rPr>
        <w:t>P. arbutifolia</w:t>
      </w:r>
      <w:r w:rsidRPr="0018507C">
        <w:t xml:space="preserve"> on the apples from China pathway, which were assessed as Low </w:t>
      </w:r>
      <w:bookmarkStart w:id="432" w:name="_Hlk112748262"/>
      <w:r w:rsidRPr="0018507C">
        <w:rPr>
          <w:noProof/>
          <w:color w:val="000000" w:themeColor="text1"/>
        </w:rPr>
        <w:t>(Biosecurity Australia 2010a)</w:t>
      </w:r>
      <w:bookmarkEnd w:id="432"/>
      <w:r w:rsidRPr="0018507C">
        <w:rPr>
          <w:color w:val="000000" w:themeColor="text1"/>
        </w:rPr>
        <w:t>.</w:t>
      </w:r>
      <w:r w:rsidRPr="0018507C">
        <w:t xml:space="preserve"> The overall consequences for </w:t>
      </w:r>
      <w:r w:rsidRPr="0018507C">
        <w:rPr>
          <w:i/>
        </w:rPr>
        <w:t>P. arbutifolia</w:t>
      </w:r>
      <w:r w:rsidRPr="0018507C">
        <w:t xml:space="preserve"> on the apples from PNW-USA pathway are also assessed as Moderate.</w:t>
      </w:r>
    </w:p>
    <w:p w14:paraId="06B785C2" w14:textId="77777777" w:rsidR="003438A2" w:rsidRPr="0018507C" w:rsidRDefault="003438A2" w:rsidP="00F843A1">
      <w:pPr>
        <w:pStyle w:val="Heading4"/>
        <w:numPr>
          <w:ilvl w:val="2"/>
          <w:numId w:val="35"/>
        </w:numPr>
        <w:tabs>
          <w:tab w:val="num" w:pos="1929"/>
        </w:tabs>
        <w:ind w:left="1929"/>
      </w:pPr>
      <w:r w:rsidRPr="0018507C">
        <w:t>Unrestricted risk estimate</w:t>
      </w:r>
    </w:p>
    <w:p w14:paraId="49932783" w14:textId="77777777" w:rsidR="003438A2" w:rsidRPr="00FF151F" w:rsidRDefault="003438A2" w:rsidP="00862DBA">
      <w:r w:rsidRPr="00FF151F">
        <w:t xml:space="preserve">Unrestricted risk is the result of combining the </w:t>
      </w:r>
      <w:r>
        <w:t xml:space="preserve">overall </w:t>
      </w:r>
      <w:r w:rsidRPr="001A4104">
        <w:t>likelihood</w:t>
      </w:r>
      <w:r w:rsidRPr="00FF151F">
        <w:t xml:space="preserve"> of entry, establishment and spread with the outcome of overall consequences. </w:t>
      </w:r>
      <w:r>
        <w:t>The overall l</w:t>
      </w:r>
      <w:r w:rsidRPr="00FF151F">
        <w:t xml:space="preserve">ikelihood and consequences are combined using the risk estimation matrix shown in </w:t>
      </w:r>
      <w:r>
        <w:fldChar w:fldCharType="begin" w:fldLock="1"/>
      </w:r>
      <w:r>
        <w:instrText xml:space="preserve"> REF _Ref457826369 \h </w:instrText>
      </w:r>
      <w:r>
        <w:fldChar w:fldCharType="separate"/>
      </w:r>
      <w:r>
        <w:t xml:space="preserve">Table </w:t>
      </w:r>
      <w:r>
        <w:rPr>
          <w:noProof/>
        </w:rPr>
        <w:t>2</w:t>
      </w:r>
      <w:r>
        <w:t>.</w:t>
      </w:r>
      <w:r>
        <w:rPr>
          <w:noProof/>
        </w:rPr>
        <w:t>5</w:t>
      </w:r>
      <w:r>
        <w:fldChar w:fldCharType="end"/>
      </w:r>
      <w:r>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3438A2" w:rsidRPr="00FF151F" w14:paraId="4919204A" w14:textId="77777777" w:rsidTr="001A4104">
        <w:trPr>
          <w:trHeight w:val="423"/>
        </w:trPr>
        <w:tc>
          <w:tcPr>
            <w:tcW w:w="5000" w:type="pct"/>
            <w:gridSpan w:val="2"/>
            <w:tcBorders>
              <w:top w:val="single" w:sz="4" w:space="0" w:color="auto"/>
              <w:bottom w:val="single" w:sz="4" w:space="0" w:color="auto"/>
            </w:tcBorders>
            <w:shd w:val="clear" w:color="auto" w:fill="auto"/>
          </w:tcPr>
          <w:p w14:paraId="2D5FA3BC" w14:textId="77777777" w:rsidR="003438A2" w:rsidRPr="00FF151F" w:rsidRDefault="003438A2" w:rsidP="001A4104">
            <w:pPr>
              <w:pStyle w:val="TableHeading"/>
            </w:pPr>
            <w:r w:rsidRPr="00FF151F">
              <w:t xml:space="preserve">Unrestricted risk estimate for </w:t>
            </w:r>
            <w:r w:rsidRPr="00FB2917">
              <w:rPr>
                <w:i/>
              </w:rPr>
              <w:t>P</w:t>
            </w:r>
            <w:r>
              <w:rPr>
                <w:i/>
              </w:rPr>
              <w:t>hyllosticta</w:t>
            </w:r>
            <w:r w:rsidRPr="00FB2917">
              <w:rPr>
                <w:i/>
              </w:rPr>
              <w:t xml:space="preserve"> arbutifolia</w:t>
            </w:r>
          </w:p>
        </w:tc>
      </w:tr>
      <w:tr w:rsidR="003438A2" w:rsidRPr="00FF151F" w14:paraId="0D832739" w14:textId="77777777" w:rsidTr="001A4104">
        <w:trPr>
          <w:trHeight w:val="273"/>
        </w:trPr>
        <w:tc>
          <w:tcPr>
            <w:tcW w:w="3417" w:type="pct"/>
            <w:tcBorders>
              <w:top w:val="single" w:sz="4" w:space="0" w:color="auto"/>
              <w:bottom w:val="nil"/>
            </w:tcBorders>
            <w:shd w:val="clear" w:color="auto" w:fill="auto"/>
          </w:tcPr>
          <w:p w14:paraId="63F88B2D" w14:textId="77777777" w:rsidR="003438A2" w:rsidRPr="00FF151F" w:rsidRDefault="003438A2" w:rsidP="001A4104">
            <w:pPr>
              <w:pStyle w:val="TableText"/>
            </w:pPr>
            <w:r w:rsidRPr="00FF151F">
              <w:t>Overall likelihood of entry, establishment and spread</w:t>
            </w:r>
          </w:p>
        </w:tc>
        <w:tc>
          <w:tcPr>
            <w:tcW w:w="1583" w:type="pct"/>
            <w:tcBorders>
              <w:top w:val="single" w:sz="4" w:space="0" w:color="auto"/>
              <w:bottom w:val="nil"/>
            </w:tcBorders>
            <w:shd w:val="clear" w:color="auto" w:fill="auto"/>
          </w:tcPr>
          <w:p w14:paraId="51002473" w14:textId="77777777" w:rsidR="003438A2" w:rsidRPr="00FF151F" w:rsidRDefault="003438A2" w:rsidP="001A4104">
            <w:pPr>
              <w:pStyle w:val="TableText"/>
            </w:pPr>
            <w:r>
              <w:t>L</w:t>
            </w:r>
            <w:r w:rsidRPr="00FF151F">
              <w:t>ow</w:t>
            </w:r>
          </w:p>
        </w:tc>
      </w:tr>
      <w:tr w:rsidR="003438A2" w:rsidRPr="00FF151F" w14:paraId="5DF07545" w14:textId="77777777" w:rsidTr="001A4104">
        <w:trPr>
          <w:trHeight w:val="284"/>
        </w:trPr>
        <w:tc>
          <w:tcPr>
            <w:tcW w:w="3417" w:type="pct"/>
            <w:tcBorders>
              <w:top w:val="nil"/>
              <w:bottom w:val="nil"/>
            </w:tcBorders>
            <w:shd w:val="clear" w:color="auto" w:fill="auto"/>
          </w:tcPr>
          <w:p w14:paraId="7B846835" w14:textId="77777777" w:rsidR="003438A2" w:rsidRPr="00FF151F" w:rsidRDefault="003438A2" w:rsidP="001A4104">
            <w:pPr>
              <w:pStyle w:val="TableText"/>
            </w:pPr>
            <w:r w:rsidRPr="00FF151F">
              <w:t>Consequences</w:t>
            </w:r>
          </w:p>
        </w:tc>
        <w:tc>
          <w:tcPr>
            <w:tcW w:w="1583" w:type="pct"/>
            <w:tcBorders>
              <w:top w:val="nil"/>
              <w:bottom w:val="nil"/>
            </w:tcBorders>
            <w:shd w:val="clear" w:color="auto" w:fill="auto"/>
          </w:tcPr>
          <w:p w14:paraId="219EA36E" w14:textId="77777777" w:rsidR="003438A2" w:rsidRPr="00FF151F" w:rsidRDefault="003438A2" w:rsidP="001A4104">
            <w:pPr>
              <w:pStyle w:val="TableText"/>
            </w:pPr>
            <w:r>
              <w:t>Moderate</w:t>
            </w:r>
          </w:p>
        </w:tc>
      </w:tr>
      <w:tr w:rsidR="003438A2" w:rsidRPr="00FF151F" w14:paraId="373CC403" w14:textId="77777777" w:rsidTr="001A4104">
        <w:trPr>
          <w:trHeight w:val="284"/>
        </w:trPr>
        <w:tc>
          <w:tcPr>
            <w:tcW w:w="3417" w:type="pct"/>
            <w:tcBorders>
              <w:top w:val="nil"/>
              <w:bottom w:val="single" w:sz="4" w:space="0" w:color="auto"/>
            </w:tcBorders>
            <w:shd w:val="clear" w:color="auto" w:fill="auto"/>
          </w:tcPr>
          <w:p w14:paraId="6CCFCEC0" w14:textId="77777777" w:rsidR="003438A2" w:rsidRPr="00FF151F" w:rsidRDefault="003438A2" w:rsidP="001A4104">
            <w:pPr>
              <w:pStyle w:val="TableText"/>
            </w:pPr>
            <w:r w:rsidRPr="00FF151F">
              <w:t>Unrestricted risk</w:t>
            </w:r>
          </w:p>
        </w:tc>
        <w:tc>
          <w:tcPr>
            <w:tcW w:w="1583" w:type="pct"/>
            <w:tcBorders>
              <w:top w:val="nil"/>
              <w:bottom w:val="single" w:sz="4" w:space="0" w:color="auto"/>
            </w:tcBorders>
            <w:shd w:val="clear" w:color="auto" w:fill="auto"/>
          </w:tcPr>
          <w:p w14:paraId="7B3B9129" w14:textId="77777777" w:rsidR="003438A2" w:rsidRPr="00FF151F" w:rsidRDefault="003438A2" w:rsidP="001A4104">
            <w:pPr>
              <w:pStyle w:val="TableText"/>
            </w:pPr>
            <w:r>
              <w:t>Low</w:t>
            </w:r>
          </w:p>
        </w:tc>
      </w:tr>
    </w:tbl>
    <w:p w14:paraId="31387325" w14:textId="77777777" w:rsidR="003438A2" w:rsidRDefault="003438A2" w:rsidP="00862DBA">
      <w:pPr>
        <w:spacing w:before="120"/>
      </w:pPr>
      <w:r>
        <w:t>T</w:t>
      </w:r>
      <w:r w:rsidRPr="0094682F">
        <w:t xml:space="preserve">he unrestricted risk estimate for </w:t>
      </w:r>
      <w:r w:rsidRPr="00FE15FF">
        <w:rPr>
          <w:i/>
        </w:rPr>
        <w:t>P</w:t>
      </w:r>
      <w:r>
        <w:rPr>
          <w:i/>
        </w:rPr>
        <w:t>.</w:t>
      </w:r>
      <w:r w:rsidRPr="00FE15FF">
        <w:rPr>
          <w:i/>
        </w:rPr>
        <w:t xml:space="preserve"> arbutifolia</w:t>
      </w:r>
      <w:r w:rsidRPr="0094682F">
        <w:t xml:space="preserve"> </w:t>
      </w:r>
      <w:r>
        <w:t xml:space="preserve">on apples from the PNW-USA has been assessed </w:t>
      </w:r>
      <w:r w:rsidRPr="0094682F">
        <w:t xml:space="preserve">as </w:t>
      </w:r>
      <w:r>
        <w:t>L</w:t>
      </w:r>
      <w:r w:rsidRPr="0094682F">
        <w:t xml:space="preserve">ow, which </w:t>
      </w:r>
      <w:r>
        <w:t xml:space="preserve">does not achieve the ALOP for </w:t>
      </w:r>
      <w:r w:rsidRPr="0094682F">
        <w:t xml:space="preserve">Australia. Therefore, specific risk management measures are required for </w:t>
      </w:r>
      <w:r w:rsidRPr="00FE15FF">
        <w:rPr>
          <w:i/>
        </w:rPr>
        <w:t>P</w:t>
      </w:r>
      <w:r>
        <w:rPr>
          <w:i/>
        </w:rPr>
        <w:t>.</w:t>
      </w:r>
      <w:r w:rsidRPr="00FE15FF">
        <w:rPr>
          <w:i/>
        </w:rPr>
        <w:t xml:space="preserve"> arbutifolia</w:t>
      </w:r>
      <w:r>
        <w:t xml:space="preserve"> on the PNW-USA apple pathway</w:t>
      </w:r>
      <w:r w:rsidRPr="0094682F">
        <w:t>.</w:t>
      </w:r>
    </w:p>
    <w:p w14:paraId="5DA613ED" w14:textId="77777777" w:rsidR="003438A2" w:rsidRDefault="003438A2" w:rsidP="00862DBA">
      <w:pPr>
        <w:spacing w:before="120"/>
      </w:pPr>
    </w:p>
    <w:p w14:paraId="475761DC" w14:textId="77777777" w:rsidR="003438A2" w:rsidRDefault="003438A2" w:rsidP="00862DBA">
      <w:pPr>
        <w:spacing w:after="0" w:line="240" w:lineRule="auto"/>
        <w:rPr>
          <w:rFonts w:ascii="Calibri" w:hAnsi="Calibri"/>
          <w:b/>
          <w:bCs/>
          <w:color w:val="773141"/>
          <w:sz w:val="28"/>
        </w:rPr>
      </w:pPr>
      <w:bookmarkStart w:id="433" w:name="_Toc10009737"/>
      <w:bookmarkStart w:id="434" w:name="_Toc256600564"/>
      <w:bookmarkStart w:id="435" w:name="_Toc257729678"/>
      <w:bookmarkEnd w:id="426"/>
      <w:bookmarkEnd w:id="427"/>
      <w:bookmarkEnd w:id="428"/>
      <w:r>
        <w:br w:type="page"/>
      </w:r>
    </w:p>
    <w:p w14:paraId="7E520AF0" w14:textId="77777777" w:rsidR="003438A2" w:rsidRPr="00AB1BD9" w:rsidRDefault="003438A2" w:rsidP="00F843A1">
      <w:pPr>
        <w:pStyle w:val="Heading3"/>
        <w:numPr>
          <w:ilvl w:val="1"/>
          <w:numId w:val="35"/>
        </w:numPr>
      </w:pPr>
      <w:bookmarkStart w:id="436" w:name="_Toc112769023"/>
      <w:bookmarkStart w:id="437" w:name="_Hlk83655932"/>
      <w:bookmarkEnd w:id="429"/>
      <w:r w:rsidRPr="00AB1BD9">
        <w:lastRenderedPageBreak/>
        <w:t>Sphaeropsis rot</w:t>
      </w:r>
      <w:bookmarkEnd w:id="433"/>
      <w:bookmarkEnd w:id="436"/>
    </w:p>
    <w:p w14:paraId="2C7A871C" w14:textId="77777777" w:rsidR="003438A2" w:rsidRPr="00637FCE" w:rsidRDefault="003438A2" w:rsidP="00862DBA">
      <w:pPr>
        <w:pStyle w:val="Heading4"/>
        <w:numPr>
          <w:ilvl w:val="0"/>
          <w:numId w:val="0"/>
        </w:numPr>
        <w:rPr>
          <w:i/>
          <w:color w:val="000000"/>
        </w:rPr>
      </w:pPr>
      <w:r w:rsidRPr="00637FCE">
        <w:rPr>
          <w:i/>
        </w:rPr>
        <w:t>Sphaeropsis pyriputrescens</w:t>
      </w:r>
    </w:p>
    <w:p w14:paraId="739E02A1" w14:textId="77777777" w:rsidR="003438A2" w:rsidRDefault="003438A2" w:rsidP="00862DBA">
      <w:r w:rsidRPr="00194CE2">
        <w:rPr>
          <w:i/>
        </w:rPr>
        <w:t>Sphaeropsis</w:t>
      </w:r>
      <w:r w:rsidRPr="00194CE2">
        <w:t xml:space="preserve"> </w:t>
      </w:r>
      <w:r w:rsidRPr="00194CE2">
        <w:rPr>
          <w:i/>
        </w:rPr>
        <w:t>pyriputrescens</w:t>
      </w:r>
      <w:r>
        <w:rPr>
          <w:i/>
        </w:rPr>
        <w:t>,</w:t>
      </w:r>
      <w:r>
        <w:t xml:space="preserve"> an ascomycete fungal pathogen belonging to the family </w:t>
      </w:r>
      <w:r w:rsidRPr="00637FCE">
        <w:rPr>
          <w:rStyle w:val="Hyperlink"/>
          <w:rFonts w:eastAsia="Calibri" w:cs="Times New Roman"/>
        </w:rPr>
        <w:t>Botryosphaeriaceae</w:t>
      </w:r>
      <w:r>
        <w:t xml:space="preserve">, causes </w:t>
      </w:r>
      <w:r w:rsidRPr="00A12104">
        <w:t>a</w:t>
      </w:r>
      <w:r>
        <w:t xml:space="preserve"> </w:t>
      </w:r>
      <w:r w:rsidRPr="00A12104">
        <w:t xml:space="preserve">post-harvest </w:t>
      </w:r>
      <w:r>
        <w:t xml:space="preserve">rot </w:t>
      </w:r>
      <w:r w:rsidRPr="00A12104">
        <w:t xml:space="preserve">disease </w:t>
      </w:r>
      <w:r>
        <w:t xml:space="preserve">named Sphaeropsis rot in apple </w:t>
      </w:r>
      <w:r>
        <w:rPr>
          <w:noProof/>
          <w:lang w:eastAsia="en-AU"/>
        </w:rPr>
        <w:t>(Kim, Curry &amp; Xiao 2014; Kim &amp; Xiao 2008; PNW Handbooks 2020b; Sikdar et al. 2016; Sikdar et al. 2014; Xiao &amp; Rogers 2004; Xiao 2006; Xiao 2015; Xiao &amp; Kim 2013)</w:t>
      </w:r>
      <w:r>
        <w:t xml:space="preserve"> and pear fr</w:t>
      </w:r>
      <w:r w:rsidRPr="00A12104">
        <w:t>uit in the</w:t>
      </w:r>
      <w:r>
        <w:t xml:space="preserve"> PNW-USA </w:t>
      </w:r>
      <w:r w:rsidRPr="00A64FC3">
        <w:rPr>
          <w:noProof/>
        </w:rPr>
        <w:t>(WSU 2005)</w:t>
      </w:r>
      <w:r>
        <w:t xml:space="preserve">. The genus </w:t>
      </w:r>
      <w:r w:rsidRPr="00833D6A">
        <w:rPr>
          <w:i/>
          <w:iCs/>
        </w:rPr>
        <w:t>Sphaeropsis</w:t>
      </w:r>
      <w:r w:rsidRPr="00BB510C">
        <w:t xml:space="preserve"> was </w:t>
      </w:r>
      <w:r>
        <w:t xml:space="preserve">identified as </w:t>
      </w:r>
      <w:r w:rsidRPr="00BB510C">
        <w:t xml:space="preserve">the anamorph of </w:t>
      </w:r>
      <w:r>
        <w:t xml:space="preserve">the genus </w:t>
      </w:r>
      <w:r w:rsidRPr="00BB510C">
        <w:rPr>
          <w:i/>
        </w:rPr>
        <w:t>Phaeobotryosphaeria</w:t>
      </w:r>
      <w:r>
        <w:t xml:space="preserve"> </w:t>
      </w:r>
      <w:r>
        <w:rPr>
          <w:noProof/>
        </w:rPr>
        <w:t>(Phillips et al. 2008)</w:t>
      </w:r>
      <w:r w:rsidRPr="00194CE2">
        <w:t>.</w:t>
      </w:r>
      <w:r>
        <w:t xml:space="preserve"> </w:t>
      </w:r>
      <w:r w:rsidRPr="00DC555B">
        <w:rPr>
          <w:i/>
        </w:rPr>
        <w:t>Sphaeropsis pyriputrescens</w:t>
      </w:r>
      <w:r w:rsidRPr="00BB510C">
        <w:t xml:space="preserve"> is a pycnidia</w:t>
      </w:r>
      <w:r>
        <w:t>-forming</w:t>
      </w:r>
      <w:r w:rsidRPr="00BB510C">
        <w:t xml:space="preserve"> </w:t>
      </w:r>
      <w:r>
        <w:t>asexual morph (</w:t>
      </w:r>
      <w:r w:rsidRPr="00BB510C">
        <w:t>anamorph</w:t>
      </w:r>
      <w:r>
        <w:t>); a</w:t>
      </w:r>
      <w:r w:rsidRPr="00BB510C">
        <w:t xml:space="preserve"> </w:t>
      </w:r>
      <w:r>
        <w:t>sexual morph (</w:t>
      </w:r>
      <w:r w:rsidRPr="00BB510C">
        <w:t>teleomorph</w:t>
      </w:r>
      <w:r>
        <w:t xml:space="preserve">ic stage) </w:t>
      </w:r>
      <w:r w:rsidRPr="00BB510C">
        <w:t>of the</w:t>
      </w:r>
      <w:r>
        <w:t xml:space="preserve"> species has not been reported </w:t>
      </w:r>
      <w:r>
        <w:rPr>
          <w:noProof/>
        </w:rPr>
        <w:t>(Xiao &amp; Rogers 2004)</w:t>
      </w:r>
      <w:r>
        <w:t>.</w:t>
      </w:r>
    </w:p>
    <w:p w14:paraId="0FD7C2F1" w14:textId="77777777" w:rsidR="003438A2" w:rsidRPr="00506696" w:rsidRDefault="003438A2" w:rsidP="00862DBA">
      <w:r w:rsidRPr="00095EE9">
        <w:rPr>
          <w:i/>
        </w:rPr>
        <w:t>Sphaeropsis pyriputrescens</w:t>
      </w:r>
      <w:r w:rsidRPr="00095EE9">
        <w:t xml:space="preserve"> is native to North America and was first described in 2004 </w:t>
      </w:r>
      <w:r w:rsidRPr="00095EE9">
        <w:rPr>
          <w:rFonts w:eastAsia="Calibri"/>
          <w:noProof/>
        </w:rPr>
        <w:t>(Xiao &amp; Rogers 2004)</w:t>
      </w:r>
      <w:r w:rsidRPr="00095EE9">
        <w:t xml:space="preserve">. The species has only been recorded from the USA and Canada </w:t>
      </w:r>
      <w:r w:rsidRPr="00095EE9">
        <w:rPr>
          <w:noProof/>
        </w:rPr>
        <w:t>(Stokes, Sholberg &amp; O'Gorman 2007; Xiao &amp; Rogers 2004; Xiao, Rogers &amp; Boal 2004)</w:t>
      </w:r>
      <w:r>
        <w:t xml:space="preserve">, but is </w:t>
      </w:r>
      <w:r w:rsidRPr="00194CE2">
        <w:t xml:space="preserve">widely distributed in Washington </w:t>
      </w:r>
      <w:r>
        <w:t xml:space="preserve">where it attacks apples </w:t>
      </w:r>
      <w:r>
        <w:rPr>
          <w:noProof/>
        </w:rPr>
        <w:t>(Xiao &amp; Kim 2008)</w:t>
      </w:r>
      <w:r>
        <w:t xml:space="preserve">, crabapples </w:t>
      </w:r>
      <w:bookmarkStart w:id="438" w:name="_Hlk106624135"/>
      <w:r>
        <w:rPr>
          <w:rFonts w:asciiTheme="majorHAnsi" w:hAnsiTheme="majorHAnsi"/>
          <w:noProof/>
        </w:rPr>
        <w:t>(Xiao &amp; Boal 2005b)</w:t>
      </w:r>
      <w:bookmarkEnd w:id="438"/>
      <w:r>
        <w:rPr>
          <w:rFonts w:asciiTheme="majorHAnsi" w:hAnsiTheme="majorHAnsi"/>
        </w:rPr>
        <w:t xml:space="preserve"> and pears </w:t>
      </w:r>
      <w:r>
        <w:rPr>
          <w:noProof/>
        </w:rPr>
        <w:t>(WSU 2005; Xiao &amp; Kim 2008)</w:t>
      </w:r>
      <w:r w:rsidRPr="00194CE2">
        <w:t xml:space="preserve">. The </w:t>
      </w:r>
      <w:r w:rsidRPr="00506696">
        <w:t xml:space="preserve">disease was detected in apple fruit from all 7 counties of central Washington State surveyed over a three-year period from 2003 to 2005 </w:t>
      </w:r>
      <w:r>
        <w:rPr>
          <w:noProof/>
        </w:rPr>
        <w:t>(Xiao 2007)</w:t>
      </w:r>
      <w:r w:rsidRPr="00506696">
        <w:t xml:space="preserve">. No instances of </w:t>
      </w:r>
      <w:r w:rsidRPr="00506696">
        <w:rPr>
          <w:i/>
          <w:iCs/>
        </w:rPr>
        <w:t>S.</w:t>
      </w:r>
      <w:r w:rsidRPr="00506696">
        <w:t> </w:t>
      </w:r>
      <w:r w:rsidRPr="00506696">
        <w:rPr>
          <w:i/>
        </w:rPr>
        <w:t>pyriputrescens</w:t>
      </w:r>
      <w:r w:rsidRPr="00506696">
        <w:t xml:space="preserve"> have been reported from the states of Oregon or Idaho.</w:t>
      </w:r>
    </w:p>
    <w:p w14:paraId="635E531E" w14:textId="77777777" w:rsidR="003438A2" w:rsidRDefault="003438A2" w:rsidP="00862DBA">
      <w:pPr>
        <w:rPr>
          <w:lang w:eastAsia="en-AU"/>
        </w:rPr>
      </w:pPr>
      <w:r w:rsidRPr="00506696">
        <w:rPr>
          <w:i/>
        </w:rPr>
        <w:t>Sphaeropsis</w:t>
      </w:r>
      <w:r w:rsidRPr="00506696">
        <w:t xml:space="preserve"> </w:t>
      </w:r>
      <w:r w:rsidRPr="00506696">
        <w:rPr>
          <w:i/>
        </w:rPr>
        <w:t>pyriputrescens</w:t>
      </w:r>
      <w:r w:rsidRPr="00506696">
        <w:t xml:space="preserve"> can infect twigs, branches and fruit of apples and crabapples </w:t>
      </w:r>
      <w:bookmarkStart w:id="439" w:name="_Hlk106624365"/>
      <w:r w:rsidRPr="00506696">
        <w:rPr>
          <w:noProof/>
          <w:lang w:eastAsia="en-AU"/>
        </w:rPr>
        <w:t>(Xiao, Kim &amp; Boal 2014)</w:t>
      </w:r>
      <w:bookmarkEnd w:id="439"/>
      <w:r w:rsidRPr="00506696">
        <w:t>. On apple fruit the fungus primarily infects the stem and calyx and causes stem-end rot and calyx-end rot, respectively</w:t>
      </w:r>
      <w:r>
        <w:t>, and</w:t>
      </w:r>
      <w:r w:rsidRPr="00506696">
        <w:t xml:space="preserve"> in both instances infected fruit develop decayed brown rot areas in post-harvest situations </w:t>
      </w:r>
      <w:r w:rsidRPr="00506696">
        <w:rPr>
          <w:noProof/>
        </w:rPr>
        <w:t>(WSU 2005)</w:t>
      </w:r>
      <w:r w:rsidRPr="00506696">
        <w:rPr>
          <w:lang w:eastAsia="en-AU"/>
        </w:rPr>
        <w:t>.</w:t>
      </w:r>
      <w:r w:rsidRPr="00506696">
        <w:t xml:space="preserve"> </w:t>
      </w:r>
      <w:r w:rsidRPr="00506696">
        <w:rPr>
          <w:lang w:eastAsia="en-AU"/>
        </w:rPr>
        <w:t>Fruit decay caused by Sphaeropsis rot has a distinct unpleasant odour, particularly</w:t>
      </w:r>
      <w:r>
        <w:rPr>
          <w:lang w:eastAsia="en-AU"/>
        </w:rPr>
        <w:t xml:space="preserve"> when the decayed flesh of the fruit is cut </w:t>
      </w:r>
      <w:r>
        <w:rPr>
          <w:noProof/>
        </w:rPr>
        <w:t>(WSU 2005; Xiao 2013b; Xiao &amp; Kim 2013)</w:t>
      </w:r>
      <w:r>
        <w:rPr>
          <w:lang w:eastAsia="en-AU"/>
        </w:rPr>
        <w:t>.</w:t>
      </w:r>
    </w:p>
    <w:p w14:paraId="34A78F40" w14:textId="77777777" w:rsidR="003438A2" w:rsidRDefault="003438A2" w:rsidP="00862DBA">
      <w:pPr>
        <w:rPr>
          <w:lang w:eastAsia="en-AU"/>
        </w:rPr>
      </w:pPr>
      <w:r w:rsidRPr="004C68C6">
        <w:rPr>
          <w:i/>
        </w:rPr>
        <w:t>Sphaeropsis</w:t>
      </w:r>
      <w:r w:rsidRPr="004C68C6">
        <w:t xml:space="preserve"> </w:t>
      </w:r>
      <w:r w:rsidRPr="004C68C6">
        <w:rPr>
          <w:i/>
        </w:rPr>
        <w:t>pyriputrescens</w:t>
      </w:r>
      <w:r w:rsidRPr="004C68C6">
        <w:t xml:space="preserve"> has become </w:t>
      </w:r>
      <w:r w:rsidRPr="003D1102">
        <w:t xml:space="preserve">a </w:t>
      </w:r>
      <w:r>
        <w:t xml:space="preserve">significant </w:t>
      </w:r>
      <w:r w:rsidRPr="003D1102">
        <w:t>problem in apple orchards w</w:t>
      </w:r>
      <w:r>
        <w:t>here</w:t>
      </w:r>
      <w:r w:rsidRPr="003D1102">
        <w:t xml:space="preserve"> Manchurian crabapple pol</w:t>
      </w:r>
      <w:r>
        <w:t>l</w:t>
      </w:r>
      <w:r w:rsidRPr="003D1102">
        <w:t xml:space="preserve">inisers </w:t>
      </w:r>
      <w:r>
        <w:t xml:space="preserve">are planted. Manchurian crabapple is </w:t>
      </w:r>
      <w:r w:rsidRPr="003D1102">
        <w:t>very susceptible to infection</w:t>
      </w:r>
      <w:r>
        <w:t>,</w:t>
      </w:r>
      <w:r w:rsidRPr="003D1102">
        <w:t xml:space="preserve"> and </w:t>
      </w:r>
      <w:r>
        <w:t xml:space="preserve">conidia (pycnidiospores) released from </w:t>
      </w:r>
      <w:r w:rsidRPr="003D1102">
        <w:t xml:space="preserve">pycnidia are </w:t>
      </w:r>
      <w:r>
        <w:t xml:space="preserve">a </w:t>
      </w:r>
      <w:r w:rsidRPr="003D1102">
        <w:t xml:space="preserve">significant source of inoculum for apple </w:t>
      </w:r>
      <w:r>
        <w:t>fruit</w:t>
      </w:r>
      <w:r w:rsidRPr="003D1102">
        <w:t xml:space="preserve"> </w:t>
      </w:r>
      <w:r>
        <w:rPr>
          <w:noProof/>
          <w:lang w:eastAsia="en-AU"/>
        </w:rPr>
        <w:t>(PNW Handbooks 2020b)</w:t>
      </w:r>
      <w:r w:rsidRPr="003D1102">
        <w:rPr>
          <w:lang w:eastAsia="en-AU"/>
        </w:rPr>
        <w:t xml:space="preserve">. </w:t>
      </w:r>
      <w:r w:rsidRPr="003D1102">
        <w:rPr>
          <w:i/>
        </w:rPr>
        <w:t>Sp</w:t>
      </w:r>
      <w:r w:rsidRPr="003D1102">
        <w:rPr>
          <w:i/>
          <w:lang w:eastAsia="en-AU"/>
        </w:rPr>
        <w:t xml:space="preserve">haeropsis pyriputrescens </w:t>
      </w:r>
      <w:r w:rsidRPr="003D1102">
        <w:rPr>
          <w:lang w:eastAsia="en-AU"/>
        </w:rPr>
        <w:t xml:space="preserve">infections </w:t>
      </w:r>
      <w:r w:rsidRPr="003D1102">
        <w:rPr>
          <w:rFonts w:asciiTheme="majorHAnsi" w:hAnsiTheme="majorHAnsi" w:cs="Times New Roman"/>
        </w:rPr>
        <w:t xml:space="preserve">result in mummified crabapple fruitlets hanging from trees </w:t>
      </w:r>
      <w:r>
        <w:rPr>
          <w:noProof/>
          <w:lang w:eastAsia="en-AU"/>
        </w:rPr>
        <w:t>(Xiao 2013b)</w:t>
      </w:r>
      <w:r>
        <w:rPr>
          <w:lang w:eastAsia="en-AU"/>
        </w:rPr>
        <w:t>,</w:t>
      </w:r>
      <w:r w:rsidRPr="003D1102">
        <w:rPr>
          <w:lang w:eastAsia="en-AU"/>
        </w:rPr>
        <w:t xml:space="preserve"> </w:t>
      </w:r>
      <w:r>
        <w:rPr>
          <w:lang w:eastAsia="en-AU"/>
        </w:rPr>
        <w:t xml:space="preserve">each </w:t>
      </w:r>
      <w:r w:rsidRPr="003D1102">
        <w:rPr>
          <w:lang w:eastAsia="en-AU"/>
        </w:rPr>
        <w:t>with fruiting bodies containing millions of</w:t>
      </w:r>
      <w:r>
        <w:rPr>
          <w:lang w:eastAsia="en-AU"/>
        </w:rPr>
        <w:t xml:space="preserve"> spores</w:t>
      </w:r>
      <w:r w:rsidRPr="003D1102">
        <w:rPr>
          <w:lang w:eastAsia="en-AU"/>
        </w:rPr>
        <w:t xml:space="preserve"> </w:t>
      </w:r>
      <w:r>
        <w:rPr>
          <w:noProof/>
          <w:lang w:eastAsia="en-AU"/>
        </w:rPr>
        <w:t>(PNW Handbooks 2020b; WSU 2005; Xiao &amp; Kim 2013)</w:t>
      </w:r>
      <w:r w:rsidRPr="003D5F63">
        <w:rPr>
          <w:lang w:eastAsia="en-AU"/>
        </w:rPr>
        <w:t xml:space="preserve">. </w:t>
      </w:r>
      <w:bookmarkStart w:id="440" w:name="_Hlk106618667"/>
      <w:r w:rsidRPr="003D5F63">
        <w:t xml:space="preserve">A survey </w:t>
      </w:r>
      <w:r>
        <w:t xml:space="preserve">of apples </w:t>
      </w:r>
      <w:r w:rsidRPr="003D5F63">
        <w:t>in commercial fruit packing</w:t>
      </w:r>
      <w:r>
        <w:t xml:space="preserve"> </w:t>
      </w:r>
      <w:r w:rsidRPr="003D5F63">
        <w:t xml:space="preserve">houses </w:t>
      </w:r>
      <w:r w:rsidRPr="003D5F63">
        <w:rPr>
          <w:lang w:eastAsia="en-AU"/>
        </w:rPr>
        <w:t>in Washington State</w:t>
      </w:r>
      <w:r>
        <w:rPr>
          <w:lang w:eastAsia="en-AU"/>
        </w:rPr>
        <w:t xml:space="preserve"> </w:t>
      </w:r>
      <w:r w:rsidRPr="003D5F63">
        <w:t>in 2003, 2004 and 2005, found that</w:t>
      </w:r>
      <w:r w:rsidRPr="003D5F63">
        <w:rPr>
          <w:lang w:eastAsia="en-AU"/>
        </w:rPr>
        <w:t xml:space="preserve"> Sphaeropsis rot </w:t>
      </w:r>
      <w:r w:rsidRPr="00326CF1">
        <w:t xml:space="preserve">accounted for 18.4% of the total </w:t>
      </w:r>
      <w:r>
        <w:t xml:space="preserve">post-harvest </w:t>
      </w:r>
      <w:r w:rsidRPr="00326CF1">
        <w:t>decay</w:t>
      </w:r>
      <w:r w:rsidRPr="003D5F63">
        <w:rPr>
          <w:lang w:eastAsia="en-AU"/>
        </w:rPr>
        <w:t xml:space="preserve"> </w:t>
      </w:r>
      <w:r>
        <w:rPr>
          <w:lang w:eastAsia="en-AU"/>
        </w:rPr>
        <w:t xml:space="preserve">recorded </w:t>
      </w:r>
      <w:r w:rsidRPr="003D5F63">
        <w:rPr>
          <w:lang w:eastAsia="en-AU"/>
        </w:rPr>
        <w:t xml:space="preserve">on </w:t>
      </w:r>
      <w:r>
        <w:rPr>
          <w:lang w:eastAsia="en-AU"/>
        </w:rPr>
        <w:t xml:space="preserve">the </w:t>
      </w:r>
      <w:r w:rsidRPr="003D5F63">
        <w:rPr>
          <w:lang w:eastAsia="en-AU"/>
        </w:rPr>
        <w:t xml:space="preserve">cultivars Red Delicious, Fuji and Golden Delicious </w:t>
      </w:r>
      <w:r>
        <w:rPr>
          <w:noProof/>
        </w:rPr>
        <w:t>(Xiao 2007)</w:t>
      </w:r>
      <w:r w:rsidRPr="00194CE2">
        <w:t>.</w:t>
      </w:r>
    </w:p>
    <w:bookmarkEnd w:id="440"/>
    <w:p w14:paraId="1B2F4C90" w14:textId="77777777" w:rsidR="003438A2" w:rsidRDefault="003438A2" w:rsidP="00862DBA">
      <w:r w:rsidRPr="00947D25">
        <w:rPr>
          <w:lang w:eastAsia="en-AU"/>
        </w:rPr>
        <w:t xml:space="preserve">Infection of apple fruit by </w:t>
      </w:r>
      <w:r w:rsidRPr="00947D25">
        <w:rPr>
          <w:i/>
        </w:rPr>
        <w:t>S. pyriputrescens</w:t>
      </w:r>
      <w:r w:rsidRPr="00947D25">
        <w:rPr>
          <w:vertAlign w:val="superscript"/>
        </w:rPr>
        <w:t xml:space="preserve"> </w:t>
      </w:r>
      <w:r w:rsidRPr="00947D25">
        <w:rPr>
          <w:lang w:eastAsia="en-AU"/>
        </w:rPr>
        <w:t xml:space="preserve">occurs in the orchard </w:t>
      </w:r>
      <w:r>
        <w:rPr>
          <w:noProof/>
        </w:rPr>
        <w:t>(WSU 2005)</w:t>
      </w:r>
      <w:r>
        <w:rPr>
          <w:lang w:eastAsia="en-AU"/>
        </w:rPr>
        <w:t>,</w:t>
      </w:r>
      <w:r w:rsidRPr="00947D25">
        <w:rPr>
          <w:lang w:eastAsia="en-AU"/>
        </w:rPr>
        <w:t xml:space="preserve"> but remains </w:t>
      </w:r>
      <w:r>
        <w:rPr>
          <w:lang w:eastAsia="en-AU"/>
        </w:rPr>
        <w:t>asymptomatic</w:t>
      </w:r>
      <w:r w:rsidRPr="00947D25">
        <w:rPr>
          <w:lang w:eastAsia="en-AU"/>
        </w:rPr>
        <w:t xml:space="preserve"> </w:t>
      </w:r>
      <w:r>
        <w:rPr>
          <w:lang w:eastAsia="en-AU"/>
        </w:rPr>
        <w:t>prior to</w:t>
      </w:r>
      <w:r w:rsidRPr="00947D25">
        <w:rPr>
          <w:lang w:eastAsia="en-AU"/>
        </w:rPr>
        <w:t xml:space="preserve"> </w:t>
      </w:r>
      <w:r>
        <w:rPr>
          <w:lang w:eastAsia="en-AU"/>
        </w:rPr>
        <w:t xml:space="preserve">and at </w:t>
      </w:r>
      <w:r w:rsidRPr="00947D25">
        <w:rPr>
          <w:lang w:eastAsia="en-AU"/>
        </w:rPr>
        <w:t>harvest</w:t>
      </w:r>
      <w:r>
        <w:rPr>
          <w:lang w:eastAsia="en-AU"/>
        </w:rPr>
        <w:t>,</w:t>
      </w:r>
      <w:r w:rsidRPr="00947D25">
        <w:rPr>
          <w:lang w:eastAsia="en-AU"/>
        </w:rPr>
        <w:t xml:space="preserve"> </w:t>
      </w:r>
      <w:r>
        <w:rPr>
          <w:lang w:eastAsia="en-AU"/>
        </w:rPr>
        <w:t>with subsequent</w:t>
      </w:r>
      <w:r w:rsidRPr="00947D25">
        <w:rPr>
          <w:lang w:eastAsia="en-AU"/>
        </w:rPr>
        <w:t xml:space="preserve"> develop</w:t>
      </w:r>
      <w:r>
        <w:rPr>
          <w:lang w:eastAsia="en-AU"/>
        </w:rPr>
        <w:t>ment of</w:t>
      </w:r>
      <w:r w:rsidRPr="00947D25">
        <w:rPr>
          <w:lang w:eastAsia="en-AU"/>
        </w:rPr>
        <w:t xml:space="preserve"> fruit rot symptoms </w:t>
      </w:r>
      <w:r>
        <w:rPr>
          <w:lang w:eastAsia="en-AU"/>
        </w:rPr>
        <w:t>post-</w:t>
      </w:r>
      <w:r w:rsidRPr="00947D25">
        <w:rPr>
          <w:lang w:eastAsia="en-AU"/>
        </w:rPr>
        <w:t xml:space="preserve">harvest </w:t>
      </w:r>
      <w:r>
        <w:rPr>
          <w:noProof/>
        </w:rPr>
        <w:t>(Sikdar et al. 2016; Sikdar et al. 2014; Wenneker &amp; Thomma 2020)</w:t>
      </w:r>
      <w:r w:rsidRPr="00947D25">
        <w:t xml:space="preserve">. </w:t>
      </w:r>
      <w:r w:rsidRPr="00947D25">
        <w:rPr>
          <w:lang w:eastAsia="en-AU"/>
        </w:rPr>
        <w:t xml:space="preserve">Fruit </w:t>
      </w:r>
      <w:r>
        <w:rPr>
          <w:lang w:eastAsia="en-AU"/>
        </w:rPr>
        <w:t>rot</w:t>
      </w:r>
      <w:r w:rsidRPr="00947D25">
        <w:rPr>
          <w:lang w:eastAsia="en-AU"/>
        </w:rPr>
        <w:t xml:space="preserve"> symptoms </w:t>
      </w:r>
      <w:r>
        <w:rPr>
          <w:lang w:eastAsia="en-AU"/>
        </w:rPr>
        <w:t xml:space="preserve">are commonly </w:t>
      </w:r>
      <w:r w:rsidRPr="00947D25">
        <w:rPr>
          <w:lang w:eastAsia="en-AU"/>
        </w:rPr>
        <w:t xml:space="preserve">first observed </w:t>
      </w:r>
      <w:r>
        <w:rPr>
          <w:lang w:eastAsia="en-AU"/>
        </w:rPr>
        <w:t>one</w:t>
      </w:r>
      <w:r w:rsidRPr="0066764C">
        <w:rPr>
          <w:lang w:eastAsia="en-AU"/>
        </w:rPr>
        <w:t xml:space="preserve"> to </w:t>
      </w:r>
      <w:r>
        <w:rPr>
          <w:lang w:eastAsia="en-AU"/>
        </w:rPr>
        <w:t>two</w:t>
      </w:r>
      <w:r w:rsidRPr="0066764C">
        <w:rPr>
          <w:lang w:eastAsia="en-AU"/>
        </w:rPr>
        <w:t xml:space="preserve"> months after harvest, and incidence of Sphaeropsis rot </w:t>
      </w:r>
      <w:r>
        <w:rPr>
          <w:lang w:eastAsia="en-AU"/>
        </w:rPr>
        <w:t xml:space="preserve">can </w:t>
      </w:r>
      <w:r w:rsidRPr="0066764C">
        <w:rPr>
          <w:lang w:eastAsia="en-AU"/>
        </w:rPr>
        <w:t xml:space="preserve">increase as the storage period </w:t>
      </w:r>
      <w:r>
        <w:rPr>
          <w:lang w:eastAsia="en-AU"/>
        </w:rPr>
        <w:t xml:space="preserve">is </w:t>
      </w:r>
      <w:r w:rsidRPr="0066764C">
        <w:rPr>
          <w:lang w:eastAsia="en-AU"/>
        </w:rPr>
        <w:t xml:space="preserve">extended </w:t>
      </w:r>
      <w:r>
        <w:rPr>
          <w:noProof/>
          <w:lang w:eastAsia="en-AU"/>
        </w:rPr>
        <w:t>(Xiao, Kim &amp; Boal 2014)</w:t>
      </w:r>
      <w:r w:rsidRPr="0066764C">
        <w:rPr>
          <w:lang w:eastAsia="en-AU"/>
        </w:rPr>
        <w:t xml:space="preserve">. </w:t>
      </w:r>
      <w:r w:rsidRPr="0066764C">
        <w:t xml:space="preserve">Fruit-to-fruit spread </w:t>
      </w:r>
      <w:r>
        <w:t xml:space="preserve">of the rot </w:t>
      </w:r>
      <w:r w:rsidRPr="0066764C">
        <w:t xml:space="preserve">under cold storage </w:t>
      </w:r>
      <w:r>
        <w:t xml:space="preserve">conditions </w:t>
      </w:r>
      <w:r w:rsidRPr="0066764C">
        <w:t>at 1</w:t>
      </w:r>
      <w:r w:rsidRPr="00223363">
        <w:t>°</w:t>
      </w:r>
      <w:r>
        <w:t>C</w:t>
      </w:r>
      <w:r w:rsidRPr="0066764C">
        <w:t xml:space="preserve"> to 2</w:t>
      </w:r>
      <w:r w:rsidRPr="00223363">
        <w:t>°</w:t>
      </w:r>
      <w:r w:rsidRPr="000E092A">
        <w:t>C</w:t>
      </w:r>
      <w:r w:rsidRPr="0066764C">
        <w:t xml:space="preserve"> has been observed </w:t>
      </w:r>
      <w:r>
        <w:rPr>
          <w:noProof/>
        </w:rPr>
        <w:t>(Kim &amp; Xiao 2008)</w:t>
      </w:r>
      <w:r w:rsidRPr="0066764C">
        <w:t xml:space="preserve">. </w:t>
      </w:r>
      <w:r w:rsidRPr="0066764C">
        <w:rPr>
          <w:i/>
        </w:rPr>
        <w:t>Sphaeropsis</w:t>
      </w:r>
      <w:r w:rsidRPr="0066764C">
        <w:t xml:space="preserve"> </w:t>
      </w:r>
      <w:r w:rsidRPr="0066764C">
        <w:rPr>
          <w:i/>
        </w:rPr>
        <w:t>pyriputrescens</w:t>
      </w:r>
      <w:r w:rsidRPr="0066764C">
        <w:t xml:space="preserve"> </w:t>
      </w:r>
      <w:r w:rsidRPr="0066764C">
        <w:rPr>
          <w:rFonts w:asciiTheme="majorHAnsi" w:hAnsiTheme="majorHAnsi"/>
          <w:lang w:eastAsia="en-AU"/>
        </w:rPr>
        <w:t>can survive and overwinter</w:t>
      </w:r>
      <w:r>
        <w:rPr>
          <w:rFonts w:asciiTheme="majorHAnsi" w:hAnsiTheme="majorHAnsi"/>
          <w:lang w:eastAsia="en-AU"/>
        </w:rPr>
        <w:t xml:space="preserve">, often as pycnidia, </w:t>
      </w:r>
      <w:r w:rsidRPr="0066764C">
        <w:rPr>
          <w:rFonts w:asciiTheme="majorHAnsi" w:hAnsiTheme="majorHAnsi"/>
          <w:lang w:eastAsia="en-AU"/>
        </w:rPr>
        <w:t xml:space="preserve">on </w:t>
      </w:r>
      <w:r>
        <w:rPr>
          <w:rFonts w:asciiTheme="majorHAnsi" w:hAnsiTheme="majorHAnsi"/>
          <w:lang w:eastAsia="en-AU"/>
        </w:rPr>
        <w:t xml:space="preserve">infected </w:t>
      </w:r>
      <w:r w:rsidRPr="0066764C">
        <w:rPr>
          <w:rFonts w:asciiTheme="majorHAnsi" w:hAnsiTheme="majorHAnsi"/>
          <w:lang w:eastAsia="en-AU"/>
        </w:rPr>
        <w:t>dead tissues o</w:t>
      </w:r>
      <w:r>
        <w:rPr>
          <w:rFonts w:asciiTheme="majorHAnsi" w:hAnsiTheme="majorHAnsi"/>
          <w:lang w:eastAsia="en-AU"/>
        </w:rPr>
        <w:t>f</w:t>
      </w:r>
      <w:r w:rsidRPr="0066764C">
        <w:rPr>
          <w:rFonts w:asciiTheme="majorHAnsi" w:hAnsiTheme="majorHAnsi"/>
          <w:lang w:eastAsia="en-AU"/>
        </w:rPr>
        <w:t xml:space="preserve"> apple and crabapple trees </w:t>
      </w:r>
      <w:r>
        <w:rPr>
          <w:noProof/>
        </w:rPr>
        <w:t>(WSU 2005; Xiao, Kim &amp; Boal 2014)</w:t>
      </w:r>
      <w:r w:rsidRPr="0066764C">
        <w:rPr>
          <w:lang w:eastAsia="en-AU"/>
        </w:rPr>
        <w:t>.</w:t>
      </w:r>
      <w:r>
        <w:rPr>
          <w:lang w:eastAsia="en-AU"/>
        </w:rPr>
        <w:t xml:space="preserve"> The fungus spreads through conidial dispersal by</w:t>
      </w:r>
      <w:r w:rsidRPr="00AA08FD">
        <w:rPr>
          <w:lang w:eastAsia="en-AU"/>
        </w:rPr>
        <w:t xml:space="preserve"> water (rain/irrigation) </w:t>
      </w:r>
      <w:r>
        <w:rPr>
          <w:noProof/>
          <w:lang w:eastAsia="en-AU"/>
        </w:rPr>
        <w:t>(PNW Handbooks 2020b; Sikdar et al. 2016; Xiao 2013b)</w:t>
      </w:r>
      <w:r w:rsidRPr="00870CA8">
        <w:t>.</w:t>
      </w:r>
    </w:p>
    <w:p w14:paraId="009900A4" w14:textId="77777777" w:rsidR="003438A2" w:rsidRPr="00194CE2" w:rsidRDefault="003438A2" w:rsidP="00862DBA">
      <w:r w:rsidRPr="00194CE2">
        <w:lastRenderedPageBreak/>
        <w:t xml:space="preserve">The risk </w:t>
      </w:r>
      <w:r>
        <w:t xml:space="preserve">scenario of biosecurity concern for </w:t>
      </w:r>
      <w:r w:rsidRPr="00194CE2">
        <w:rPr>
          <w:i/>
        </w:rPr>
        <w:t>S</w:t>
      </w:r>
      <w:r>
        <w:rPr>
          <w:i/>
        </w:rPr>
        <w:t>.</w:t>
      </w:r>
      <w:r w:rsidRPr="00194CE2">
        <w:t xml:space="preserve"> </w:t>
      </w:r>
      <w:r w:rsidRPr="00194CE2">
        <w:rPr>
          <w:i/>
        </w:rPr>
        <w:t>pyriputrescens</w:t>
      </w:r>
      <w:r w:rsidRPr="00194CE2">
        <w:t xml:space="preserve"> </w:t>
      </w:r>
      <w:r>
        <w:t xml:space="preserve">is that </w:t>
      </w:r>
      <w:r w:rsidRPr="00194CE2">
        <w:t xml:space="preserve">symptomless infected </w:t>
      </w:r>
      <w:r>
        <w:t xml:space="preserve">apple </w:t>
      </w:r>
      <w:r w:rsidRPr="00194CE2">
        <w:t xml:space="preserve">fruit </w:t>
      </w:r>
      <w:r>
        <w:t>carrying viable c</w:t>
      </w:r>
      <w:r w:rsidRPr="00194CE2">
        <w:t>onidia in pycnidia</w:t>
      </w:r>
      <w:r>
        <w:t xml:space="preserve"> may enter Australia, resulting in the establishment and spread of this pest</w:t>
      </w:r>
      <w:r w:rsidRPr="006148BB">
        <w:t>.</w:t>
      </w:r>
    </w:p>
    <w:p w14:paraId="08BA3C45" w14:textId="77777777" w:rsidR="003438A2" w:rsidRPr="00AB1BD9" w:rsidRDefault="003438A2" w:rsidP="00F843A1">
      <w:pPr>
        <w:pStyle w:val="Heading4"/>
        <w:numPr>
          <w:ilvl w:val="2"/>
          <w:numId w:val="35"/>
        </w:numPr>
        <w:tabs>
          <w:tab w:val="num" w:pos="1929"/>
        </w:tabs>
        <w:ind w:left="1929"/>
      </w:pPr>
      <w:r w:rsidRPr="00AB1BD9">
        <w:t>Likelihood of entry</w:t>
      </w:r>
    </w:p>
    <w:p w14:paraId="6BA6C861" w14:textId="77777777" w:rsidR="003438A2" w:rsidRDefault="003438A2" w:rsidP="00862DBA">
      <w:r>
        <w:t>The likelihood of entry is considered in 2 parts, the likelihood of importation and the likelihood of distribution, which consider pre-border and post-border issues, respectively.</w:t>
      </w:r>
    </w:p>
    <w:p w14:paraId="7862281C" w14:textId="77777777" w:rsidR="003438A2" w:rsidRPr="00464D2F" w:rsidRDefault="003438A2" w:rsidP="00862DBA">
      <w:pPr>
        <w:pStyle w:val="Heading5"/>
      </w:pPr>
      <w:r w:rsidRPr="00464D2F">
        <w:t>Likelihood of importation</w:t>
      </w:r>
    </w:p>
    <w:p w14:paraId="68A9ADEF" w14:textId="77777777" w:rsidR="003438A2" w:rsidRPr="003731C6" w:rsidRDefault="003438A2" w:rsidP="00862DBA">
      <w:r w:rsidRPr="00194CE2">
        <w:t xml:space="preserve">The likelihood that </w:t>
      </w:r>
      <w:r w:rsidRPr="00194CE2">
        <w:rPr>
          <w:i/>
        </w:rPr>
        <w:t>S</w:t>
      </w:r>
      <w:r>
        <w:rPr>
          <w:i/>
        </w:rPr>
        <w:t>.</w:t>
      </w:r>
      <w:r w:rsidRPr="00194CE2">
        <w:rPr>
          <w:i/>
        </w:rPr>
        <w:t xml:space="preserve"> pyriputrescens</w:t>
      </w:r>
      <w:r w:rsidRPr="00194CE2">
        <w:t xml:space="preserve"> will arrive in Australia with the importation of </w:t>
      </w:r>
      <w:r>
        <w:t xml:space="preserve">apples from the PNW-USA is assessed as </w:t>
      </w:r>
      <w:r w:rsidRPr="003731C6">
        <w:t>High.</w:t>
      </w:r>
    </w:p>
    <w:p w14:paraId="50829C17" w14:textId="77777777" w:rsidR="003438A2" w:rsidRDefault="003438A2" w:rsidP="00862DBA">
      <w:r>
        <w:t>The following information provides supporting evidence for this assessment.</w:t>
      </w:r>
    </w:p>
    <w:p w14:paraId="3DAAF845" w14:textId="77777777" w:rsidR="003438A2" w:rsidRPr="00BD112F" w:rsidRDefault="003438A2" w:rsidP="00862DBA">
      <w:r w:rsidRPr="00BD112F">
        <w:rPr>
          <w:i/>
        </w:rPr>
        <w:t>Sphaeropsis</w:t>
      </w:r>
      <w:r w:rsidRPr="00BD112F">
        <w:t xml:space="preserve"> </w:t>
      </w:r>
      <w:r w:rsidRPr="00BD112F">
        <w:rPr>
          <w:i/>
        </w:rPr>
        <w:t>pyriputrescens</w:t>
      </w:r>
      <w:r>
        <w:t xml:space="preserve"> is</w:t>
      </w:r>
      <w:r w:rsidRPr="00BD112F">
        <w:t xml:space="preserve"> widely distributed in </w:t>
      </w:r>
      <w:r>
        <w:t xml:space="preserve">the state of </w:t>
      </w:r>
      <w:r w:rsidRPr="00BD112F">
        <w:t xml:space="preserve">Washington </w:t>
      </w:r>
      <w:r>
        <w:t>and is associated with apple fruit</w:t>
      </w:r>
      <w:r w:rsidRPr="00BD112F">
        <w:t>.</w:t>
      </w:r>
    </w:p>
    <w:p w14:paraId="630347B4" w14:textId="77777777" w:rsidR="003438A2" w:rsidRDefault="003438A2" w:rsidP="003438A2">
      <w:pPr>
        <w:pStyle w:val="ListBullet"/>
      </w:pPr>
      <w:r w:rsidRPr="003731C6">
        <w:rPr>
          <w:i/>
        </w:rPr>
        <w:t>Sphaeropsis pyriputrescens</w:t>
      </w:r>
      <w:r w:rsidRPr="003731C6">
        <w:t xml:space="preserve"> is widely distributed in Washington </w:t>
      </w:r>
      <w:bookmarkStart w:id="441" w:name="_Hlk106621704"/>
      <w:r>
        <w:rPr>
          <w:noProof/>
        </w:rPr>
        <w:t>(Kim &amp; Xiao 2008; Xiao 2015; Xiao &amp; Kim 2008)</w:t>
      </w:r>
      <w:bookmarkEnd w:id="441"/>
      <w:r>
        <w:t>, which is the major apple producing state in the PNW-USA</w:t>
      </w:r>
      <w:r w:rsidRPr="003731C6">
        <w:t xml:space="preserve">. </w:t>
      </w:r>
      <w:r>
        <w:t xml:space="preserve">There have been no records of </w:t>
      </w:r>
      <w:r>
        <w:rPr>
          <w:i/>
        </w:rPr>
        <w:t>S.</w:t>
      </w:r>
      <w:r>
        <w:t> </w:t>
      </w:r>
      <w:r w:rsidRPr="00194CE2">
        <w:rPr>
          <w:i/>
        </w:rPr>
        <w:t>pyriputrescens</w:t>
      </w:r>
      <w:r>
        <w:t xml:space="preserve"> reported in the states of Oregon and Idaho.</w:t>
      </w:r>
    </w:p>
    <w:p w14:paraId="0FE2C007" w14:textId="77777777" w:rsidR="003438A2" w:rsidRDefault="003438A2" w:rsidP="003438A2">
      <w:pPr>
        <w:pStyle w:val="ListBullet"/>
      </w:pPr>
      <w:r>
        <w:t xml:space="preserve">Apple packing house surveys in Washington over a period of three years (2003-2005) showed </w:t>
      </w:r>
      <w:r w:rsidRPr="00194CE2">
        <w:t>Sphaeropsis</w:t>
      </w:r>
      <w:r>
        <w:t xml:space="preserve"> </w:t>
      </w:r>
      <w:r w:rsidRPr="00194CE2">
        <w:t>infect</w:t>
      </w:r>
      <w:r>
        <w:t>ion</w:t>
      </w:r>
      <w:r w:rsidRPr="00194CE2">
        <w:t xml:space="preserve"> </w:t>
      </w:r>
      <w:r>
        <w:t xml:space="preserve">on </w:t>
      </w:r>
      <w:r w:rsidRPr="00194CE2">
        <w:t>fruit</w:t>
      </w:r>
      <w:r>
        <w:t xml:space="preserve"> from 73% of the grower lots sampled </w:t>
      </w:r>
      <w:r>
        <w:rPr>
          <w:noProof/>
        </w:rPr>
        <w:t>(Xiao 2007)</w:t>
      </w:r>
      <w:r w:rsidRPr="00194CE2">
        <w:t>.</w:t>
      </w:r>
      <w:r w:rsidRPr="00B6168D">
        <w:rPr>
          <w:i/>
        </w:rPr>
        <w:t xml:space="preserve"> Sphaeropsis</w:t>
      </w:r>
      <w:r w:rsidRPr="003F0CB1">
        <w:t xml:space="preserve"> </w:t>
      </w:r>
      <w:r w:rsidRPr="00B6168D">
        <w:rPr>
          <w:i/>
        </w:rPr>
        <w:t>pyriputrescens</w:t>
      </w:r>
      <w:r w:rsidRPr="003F0CB1">
        <w:t xml:space="preserve"> accounted for 16.9% of decayed </w:t>
      </w:r>
      <w:r>
        <w:t xml:space="preserve">apple </w:t>
      </w:r>
      <w:r w:rsidRPr="003F0CB1">
        <w:t xml:space="preserve">fruit </w:t>
      </w:r>
      <w:r>
        <w:t>during the surveys</w:t>
      </w:r>
      <w:r w:rsidRPr="002721EA">
        <w:t>.</w:t>
      </w:r>
    </w:p>
    <w:p w14:paraId="08ED74C8" w14:textId="77777777" w:rsidR="003438A2" w:rsidRDefault="003438A2" w:rsidP="003438A2">
      <w:pPr>
        <w:pStyle w:val="ListBullet"/>
        <w:numPr>
          <w:ilvl w:val="0"/>
          <w:numId w:val="15"/>
        </w:numPr>
      </w:pPr>
      <w:r w:rsidRPr="008856E6">
        <w:rPr>
          <w:i/>
        </w:rPr>
        <w:t>Sphaeropsis pyriputrescens</w:t>
      </w:r>
      <w:r w:rsidRPr="003731C6">
        <w:t xml:space="preserve"> </w:t>
      </w:r>
      <w:r>
        <w:t>may</w:t>
      </w:r>
      <w:r w:rsidRPr="003731C6">
        <w:t xml:space="preserve"> infect apple fruit during the growing season </w:t>
      </w:r>
      <w:r>
        <w:rPr>
          <w:noProof/>
          <w:lang w:eastAsia="en-AU"/>
        </w:rPr>
        <w:t>(Xiao, Kim &amp; Boal 2014)</w:t>
      </w:r>
      <w:r w:rsidRPr="00AA08FD">
        <w:rPr>
          <w:lang w:eastAsia="en-AU"/>
        </w:rPr>
        <w:t xml:space="preserve"> </w:t>
      </w:r>
      <w:r w:rsidRPr="003731C6">
        <w:t xml:space="preserve">and remain </w:t>
      </w:r>
      <w:r>
        <w:t>asymptomatic</w:t>
      </w:r>
      <w:r w:rsidRPr="003731C6">
        <w:t xml:space="preserve"> in the fruit</w:t>
      </w:r>
      <w:r>
        <w:t xml:space="preserve"> </w:t>
      </w:r>
      <w:bookmarkStart w:id="442" w:name="_Hlk106624859"/>
      <w:r>
        <w:rPr>
          <w:noProof/>
        </w:rPr>
        <w:t xml:space="preserve">(Wenneker &amp; Thomma 2020; </w:t>
      </w:r>
      <w:bookmarkEnd w:id="442"/>
      <w:r>
        <w:rPr>
          <w:noProof/>
        </w:rPr>
        <w:t>Xiao, Kim &amp; Boal 2011)</w:t>
      </w:r>
      <w:r>
        <w:t>.</w:t>
      </w:r>
    </w:p>
    <w:p w14:paraId="18A5E4E4" w14:textId="77777777" w:rsidR="003438A2" w:rsidRDefault="003438A2" w:rsidP="003438A2">
      <w:pPr>
        <w:pStyle w:val="ListBullet"/>
        <w:numPr>
          <w:ilvl w:val="0"/>
          <w:numId w:val="15"/>
        </w:numPr>
      </w:pPr>
      <w:r w:rsidRPr="005A5692">
        <w:t>Fruit of some common varieties, such as Red Delicious</w:t>
      </w:r>
      <w:r>
        <w:t xml:space="preserve"> and Fuji apple</w:t>
      </w:r>
      <w:r w:rsidRPr="005A5692">
        <w:t xml:space="preserve"> seem to be </w:t>
      </w:r>
      <w:r>
        <w:t>particularly</w:t>
      </w:r>
      <w:r w:rsidRPr="005A5692">
        <w:t xml:space="preserve"> susceptible to the disease </w:t>
      </w:r>
      <w:r>
        <w:rPr>
          <w:noProof/>
        </w:rPr>
        <w:t>(Kim &amp; Xiao 2008; Xiao 2007)</w:t>
      </w:r>
      <w:r w:rsidRPr="005A5692">
        <w:t>.</w:t>
      </w:r>
    </w:p>
    <w:p w14:paraId="2F4AB634" w14:textId="77777777" w:rsidR="003438A2" w:rsidRDefault="003438A2" w:rsidP="003438A2">
      <w:pPr>
        <w:pStyle w:val="ListBullet"/>
        <w:numPr>
          <w:ilvl w:val="0"/>
          <w:numId w:val="15"/>
        </w:numPr>
      </w:pPr>
      <w:r w:rsidRPr="00E06C74">
        <w:t xml:space="preserve">Examination of naturally infected and inoculated twigs over </w:t>
      </w:r>
      <w:r>
        <w:t>a three-year period (2003- 2005)</w:t>
      </w:r>
      <w:r w:rsidRPr="00E06C74">
        <w:t xml:space="preserve"> showed viable pycnidia throughout the sampling periods</w:t>
      </w:r>
      <w:r>
        <w:t>,</w:t>
      </w:r>
      <w:r w:rsidRPr="00E06C74">
        <w:t xml:space="preserve"> suggest</w:t>
      </w:r>
      <w:r>
        <w:t>ing</w:t>
      </w:r>
      <w:r w:rsidRPr="00E06C74">
        <w:t xml:space="preserve"> that pycnidia can survive for a long period of time under orchard conditions in north-central Washington State </w:t>
      </w:r>
      <w:r>
        <w:rPr>
          <w:noProof/>
        </w:rPr>
        <w:t>(Xiao, Kim &amp; Boal 2014)</w:t>
      </w:r>
      <w:r w:rsidRPr="00E06C74">
        <w:t>.</w:t>
      </w:r>
    </w:p>
    <w:p w14:paraId="603CA548" w14:textId="77777777" w:rsidR="003438A2" w:rsidRDefault="003438A2" w:rsidP="00862DBA">
      <w:pPr>
        <w:spacing w:after="0" w:line="240" w:lineRule="auto"/>
        <w:rPr>
          <w:lang w:eastAsia="en-AU"/>
        </w:rPr>
      </w:pPr>
      <w:r w:rsidRPr="003A0D46">
        <w:t xml:space="preserve">Crabapple trees in PNW-USA provide </w:t>
      </w:r>
      <w:r>
        <w:t>a</w:t>
      </w:r>
      <w:r w:rsidRPr="003A0D46">
        <w:t xml:space="preserve"> source of inoculum</w:t>
      </w:r>
      <w:r>
        <w:t xml:space="preserve"> for apple fruit infection</w:t>
      </w:r>
      <w:r w:rsidRPr="003A0D46">
        <w:t>.</w:t>
      </w:r>
      <w:r>
        <w:t xml:space="preserve"> </w:t>
      </w:r>
    </w:p>
    <w:p w14:paraId="119DA46F" w14:textId="77777777" w:rsidR="003438A2" w:rsidRDefault="003438A2" w:rsidP="003438A2">
      <w:pPr>
        <w:pStyle w:val="ListBullet"/>
        <w:rPr>
          <w:rFonts w:asciiTheme="majorHAnsi" w:hAnsiTheme="majorHAnsi" w:cs="Times New Roman"/>
        </w:rPr>
      </w:pPr>
      <w:r w:rsidRPr="007B4790">
        <w:t>Crabapple trees, and particularly t</w:t>
      </w:r>
      <w:r w:rsidRPr="007B4790">
        <w:rPr>
          <w:lang w:eastAsia="en-AU"/>
        </w:rPr>
        <w:t xml:space="preserve">he Manchurian crabapple </w:t>
      </w:r>
      <w:r w:rsidRPr="007B4790">
        <w:t>(</w:t>
      </w:r>
      <w:r w:rsidRPr="007B4790">
        <w:rPr>
          <w:i/>
        </w:rPr>
        <w:t>Malus baccata</w:t>
      </w:r>
      <w:r w:rsidRPr="007B4790">
        <w:t xml:space="preserve">), </w:t>
      </w:r>
      <w:r w:rsidRPr="007B4790">
        <w:rPr>
          <w:lang w:eastAsia="en-AU"/>
        </w:rPr>
        <w:t>used</w:t>
      </w:r>
      <w:r w:rsidRPr="003A0D46">
        <w:rPr>
          <w:lang w:eastAsia="en-AU"/>
        </w:rPr>
        <w:t xml:space="preserve"> as pollin</w:t>
      </w:r>
      <w:r>
        <w:rPr>
          <w:lang w:eastAsia="en-AU"/>
        </w:rPr>
        <w:t>isers</w:t>
      </w:r>
      <w:r w:rsidRPr="003A0D46">
        <w:rPr>
          <w:lang w:eastAsia="en-AU"/>
        </w:rPr>
        <w:t xml:space="preserve"> in apple orchards</w:t>
      </w:r>
      <w:r>
        <w:rPr>
          <w:lang w:eastAsia="en-AU"/>
        </w:rPr>
        <w:t>,</w:t>
      </w:r>
      <w:r w:rsidRPr="003A0D46">
        <w:rPr>
          <w:lang w:eastAsia="en-AU"/>
        </w:rPr>
        <w:t xml:space="preserve"> </w:t>
      </w:r>
      <w:r>
        <w:rPr>
          <w:lang w:eastAsia="en-AU"/>
        </w:rPr>
        <w:t>are</w:t>
      </w:r>
      <w:r w:rsidRPr="003A0D46">
        <w:rPr>
          <w:lang w:eastAsia="en-AU"/>
        </w:rPr>
        <w:t xml:space="preserve"> highly susceptible to </w:t>
      </w:r>
      <w:r>
        <w:rPr>
          <w:lang w:eastAsia="en-AU"/>
        </w:rPr>
        <w:t xml:space="preserve">infection with </w:t>
      </w:r>
      <w:r w:rsidRPr="003A0D46">
        <w:rPr>
          <w:i/>
          <w:lang w:eastAsia="en-AU"/>
        </w:rPr>
        <w:t>S. pyriputrescens</w:t>
      </w:r>
      <w:r w:rsidRPr="003A0D46">
        <w:rPr>
          <w:lang w:eastAsia="en-AU"/>
        </w:rPr>
        <w:t xml:space="preserve"> </w:t>
      </w:r>
      <w:r>
        <w:rPr>
          <w:noProof/>
        </w:rPr>
        <w:t>(WSU 2005; Xiao 2013b)</w:t>
      </w:r>
      <w:r w:rsidRPr="003A0D46">
        <w:rPr>
          <w:rFonts w:asciiTheme="majorHAnsi" w:hAnsiTheme="majorHAnsi" w:cs="Times New Roman"/>
        </w:rPr>
        <w:t>.</w:t>
      </w:r>
    </w:p>
    <w:p w14:paraId="67B9F1AA" w14:textId="77777777" w:rsidR="003438A2" w:rsidRDefault="003438A2" w:rsidP="003438A2">
      <w:pPr>
        <w:pStyle w:val="ListBullet"/>
      </w:pPr>
      <w:r w:rsidRPr="00194CE2">
        <w:t>In 2006, over 90</w:t>
      </w:r>
      <w:r>
        <w:t>%</w:t>
      </w:r>
      <w:r w:rsidRPr="00194CE2">
        <w:t xml:space="preserve"> of sampled crabapple trees were infected by </w:t>
      </w:r>
      <w:r w:rsidRPr="00BB4994">
        <w:rPr>
          <w:i/>
        </w:rPr>
        <w:t>S. pyriputrescens</w:t>
      </w:r>
      <w:r w:rsidRPr="00194CE2">
        <w:t xml:space="preserve"> in a commercial Fuji </w:t>
      </w:r>
      <w:r>
        <w:t xml:space="preserve">apple </w:t>
      </w:r>
      <w:r w:rsidRPr="00194CE2">
        <w:t xml:space="preserve">orchard in </w:t>
      </w:r>
      <w:r w:rsidRPr="009F2A07">
        <w:t>Washington State</w:t>
      </w:r>
      <w:r w:rsidRPr="00194CE2">
        <w:t xml:space="preserve"> </w:t>
      </w:r>
      <w:r>
        <w:rPr>
          <w:noProof/>
        </w:rPr>
        <w:t>(Xiao 2007)</w:t>
      </w:r>
      <w:r>
        <w:t>.</w:t>
      </w:r>
    </w:p>
    <w:p w14:paraId="63790190" w14:textId="77777777" w:rsidR="003438A2" w:rsidRDefault="003438A2" w:rsidP="003438A2">
      <w:pPr>
        <w:pStyle w:val="ListBullet"/>
        <w:rPr>
          <w:lang w:eastAsia="en-AU"/>
        </w:rPr>
      </w:pPr>
      <w:r w:rsidRPr="00AA08FD">
        <w:rPr>
          <w:lang w:eastAsia="en-AU"/>
        </w:rPr>
        <w:t xml:space="preserve">Crabapple trees infected with </w:t>
      </w:r>
      <w:r w:rsidRPr="00AA08FD">
        <w:rPr>
          <w:i/>
        </w:rPr>
        <w:t>S.</w:t>
      </w:r>
      <w:r w:rsidRPr="00AA08FD">
        <w:t xml:space="preserve"> </w:t>
      </w:r>
      <w:r w:rsidRPr="00AA08FD">
        <w:rPr>
          <w:i/>
        </w:rPr>
        <w:t>pyriputrescens</w:t>
      </w:r>
      <w:r w:rsidRPr="00AA08FD">
        <w:t xml:space="preserve"> </w:t>
      </w:r>
      <w:r>
        <w:t>also develop</w:t>
      </w:r>
      <w:r w:rsidRPr="00AA08FD">
        <w:rPr>
          <w:lang w:eastAsia="en-AU"/>
        </w:rPr>
        <w:t xml:space="preserve"> pycnidia on </w:t>
      </w:r>
      <w:r>
        <w:rPr>
          <w:lang w:eastAsia="en-AU"/>
        </w:rPr>
        <w:t xml:space="preserve">cankers and </w:t>
      </w:r>
      <w:r w:rsidRPr="00AA08FD">
        <w:rPr>
          <w:lang w:eastAsia="en-AU"/>
        </w:rPr>
        <w:t xml:space="preserve">mummified fruitlets hanging on the trees </w:t>
      </w:r>
      <w:r>
        <w:rPr>
          <w:noProof/>
          <w:lang w:eastAsia="en-AU"/>
        </w:rPr>
        <w:t>(Xiao 2013b)</w:t>
      </w:r>
      <w:r w:rsidRPr="00AA08FD">
        <w:rPr>
          <w:lang w:eastAsia="en-AU"/>
        </w:rPr>
        <w:t xml:space="preserve">. Pycnidia </w:t>
      </w:r>
      <w:r>
        <w:rPr>
          <w:lang w:eastAsia="en-AU"/>
        </w:rPr>
        <w:t>o</w:t>
      </w:r>
      <w:r w:rsidRPr="00AA08FD">
        <w:rPr>
          <w:lang w:eastAsia="en-AU"/>
        </w:rPr>
        <w:t>n crabapple</w:t>
      </w:r>
      <w:r>
        <w:rPr>
          <w:lang w:eastAsia="en-AU"/>
        </w:rPr>
        <w:t>s</w:t>
      </w:r>
      <w:r w:rsidRPr="00AA08FD">
        <w:rPr>
          <w:lang w:eastAsia="en-AU"/>
        </w:rPr>
        <w:t xml:space="preserve"> contain millions of </w:t>
      </w:r>
      <w:r>
        <w:rPr>
          <w:lang w:eastAsia="en-AU"/>
        </w:rPr>
        <w:t xml:space="preserve">conidia that </w:t>
      </w:r>
      <w:r w:rsidRPr="00AA08FD">
        <w:rPr>
          <w:lang w:eastAsia="en-AU"/>
        </w:rPr>
        <w:t xml:space="preserve">serve as inoculum for infection of apple fruit </w:t>
      </w:r>
      <w:r>
        <w:rPr>
          <w:noProof/>
          <w:lang w:eastAsia="en-AU"/>
        </w:rPr>
        <w:t>(PNW Handbooks 2020b; Xiao 2013b; Xiao &amp; Kim 2013)</w:t>
      </w:r>
      <w:r w:rsidRPr="00AA08FD">
        <w:rPr>
          <w:lang w:eastAsia="en-AU"/>
        </w:rPr>
        <w:t>.</w:t>
      </w:r>
    </w:p>
    <w:p w14:paraId="343DE65A" w14:textId="77777777" w:rsidR="003438A2" w:rsidRDefault="003438A2" w:rsidP="00862DBA">
      <w:r w:rsidRPr="00EE3839">
        <w:rPr>
          <w:i/>
        </w:rPr>
        <w:t>Sphaeropsis</w:t>
      </w:r>
      <w:r w:rsidRPr="00EE3839">
        <w:t xml:space="preserve"> </w:t>
      </w:r>
      <w:r w:rsidRPr="00EE3839">
        <w:rPr>
          <w:i/>
        </w:rPr>
        <w:t>pyriputrescens</w:t>
      </w:r>
      <w:r w:rsidRPr="00EE3839">
        <w:t xml:space="preserve"> infections are generally asymptomatic on mature apple fruit and are likely to go undetected during harvest. Fruit are normally washed, brushed and waxed and cold-stored in bins prior to being packed for export. Infected fruit develops rot during storage.</w:t>
      </w:r>
    </w:p>
    <w:p w14:paraId="45BAD9E5" w14:textId="77777777" w:rsidR="003438A2" w:rsidRDefault="003438A2" w:rsidP="003438A2">
      <w:pPr>
        <w:pStyle w:val="ListBullet"/>
      </w:pPr>
      <w:r>
        <w:t>Infected fruit are likely to be asymptomatic at the time of</w:t>
      </w:r>
      <w:r w:rsidRPr="00194242">
        <w:t xml:space="preserve"> harvest</w:t>
      </w:r>
      <w:r>
        <w:t xml:space="preserve"> and packing.</w:t>
      </w:r>
    </w:p>
    <w:p w14:paraId="2C45FFCF" w14:textId="77777777" w:rsidR="003438A2" w:rsidRPr="00810904" w:rsidRDefault="003438A2" w:rsidP="003438A2">
      <w:pPr>
        <w:pStyle w:val="ListBullet"/>
        <w:rPr>
          <w:color w:val="000000"/>
        </w:rPr>
      </w:pPr>
      <w:r>
        <w:rPr>
          <w:color w:val="000000"/>
        </w:rPr>
        <w:lastRenderedPageBreak/>
        <w:t>Infected</w:t>
      </w:r>
      <w:r w:rsidRPr="00810904">
        <w:rPr>
          <w:color w:val="000000"/>
        </w:rPr>
        <w:t xml:space="preserve"> apples </w:t>
      </w:r>
      <w:r>
        <w:rPr>
          <w:color w:val="000000"/>
        </w:rPr>
        <w:t>are processed and packed</w:t>
      </w:r>
      <w:r w:rsidRPr="00810904">
        <w:rPr>
          <w:color w:val="000000"/>
        </w:rPr>
        <w:t xml:space="preserve"> shortly after harvest</w:t>
      </w:r>
      <w:r>
        <w:rPr>
          <w:color w:val="000000"/>
        </w:rPr>
        <w:t xml:space="preserve"> prior to being cold-stored</w:t>
      </w:r>
      <w:r w:rsidRPr="00810904">
        <w:rPr>
          <w:color w:val="000000"/>
        </w:rPr>
        <w:t>.</w:t>
      </w:r>
    </w:p>
    <w:p w14:paraId="147364F8" w14:textId="77777777" w:rsidR="003438A2" w:rsidRDefault="003438A2" w:rsidP="003438A2">
      <w:pPr>
        <w:pStyle w:val="ListBullet"/>
      </w:pPr>
      <w:r>
        <w:t>H</w:t>
      </w:r>
      <w:r w:rsidRPr="00C34976">
        <w:t>arvested apples are normally cold-stored at 0°</w:t>
      </w:r>
      <w:r>
        <w:t>C</w:t>
      </w:r>
      <w:r w:rsidRPr="00C34976">
        <w:t xml:space="preserve"> to 2°C </w:t>
      </w:r>
      <w:r>
        <w:rPr>
          <w:noProof/>
        </w:rPr>
        <w:t>(Good Fruit Grower 2014; Iowa State University Extension and Outreach 2008; Kupferman 1996; University of Maine 2020; Washington Apple Commission 2020)</w:t>
      </w:r>
      <w:r w:rsidRPr="007507FB">
        <w:rPr>
          <w:color w:val="000000"/>
        </w:rPr>
        <w:t xml:space="preserve"> up to 11 months prior to export </w:t>
      </w:r>
      <w:r>
        <w:rPr>
          <w:noProof/>
        </w:rPr>
        <w:t>(Kupferman 1996)</w:t>
      </w:r>
      <w:r>
        <w:t xml:space="preserve">. </w:t>
      </w:r>
    </w:p>
    <w:p w14:paraId="29F53D7C" w14:textId="77777777" w:rsidR="003438A2" w:rsidRDefault="003438A2" w:rsidP="003438A2">
      <w:pPr>
        <w:pStyle w:val="ListBullet"/>
        <w:rPr>
          <w:lang w:eastAsia="en-AU"/>
        </w:rPr>
      </w:pPr>
      <w:r>
        <w:rPr>
          <w:lang w:eastAsia="en-AU"/>
        </w:rPr>
        <w:t>S</w:t>
      </w:r>
      <w:r w:rsidRPr="006F66CB">
        <w:rPr>
          <w:lang w:eastAsia="en-AU"/>
        </w:rPr>
        <w:t xml:space="preserve">ymptoms </w:t>
      </w:r>
      <w:r>
        <w:rPr>
          <w:lang w:eastAsia="en-AU"/>
        </w:rPr>
        <w:t>become apparent</w:t>
      </w:r>
      <w:r w:rsidRPr="006F66CB">
        <w:rPr>
          <w:lang w:eastAsia="en-AU"/>
        </w:rPr>
        <w:t xml:space="preserve"> </w:t>
      </w:r>
      <w:r>
        <w:rPr>
          <w:lang w:eastAsia="en-AU"/>
        </w:rPr>
        <w:t>after 1</w:t>
      </w:r>
      <w:r w:rsidRPr="006F66CB">
        <w:rPr>
          <w:lang w:eastAsia="en-AU"/>
        </w:rPr>
        <w:t xml:space="preserve"> to </w:t>
      </w:r>
      <w:r>
        <w:rPr>
          <w:lang w:eastAsia="en-AU"/>
        </w:rPr>
        <w:t>2</w:t>
      </w:r>
      <w:r w:rsidRPr="006F66CB">
        <w:rPr>
          <w:lang w:eastAsia="en-AU"/>
        </w:rPr>
        <w:t xml:space="preserve"> months </w:t>
      </w:r>
      <w:r>
        <w:rPr>
          <w:lang w:eastAsia="en-AU"/>
        </w:rPr>
        <w:t>of cold storage</w:t>
      </w:r>
      <w:r w:rsidRPr="006F66CB">
        <w:rPr>
          <w:lang w:eastAsia="en-AU"/>
        </w:rPr>
        <w:t xml:space="preserve"> </w:t>
      </w:r>
      <w:r w:rsidRPr="006F66CB">
        <w:rPr>
          <w:noProof/>
          <w:lang w:eastAsia="en-AU"/>
        </w:rPr>
        <w:t>(Sikdar, Willett &amp; Mazzola 2018)</w:t>
      </w:r>
      <w:r w:rsidRPr="006F66CB">
        <w:rPr>
          <w:lang w:eastAsia="en-AU"/>
        </w:rPr>
        <w:t xml:space="preserve"> and </w:t>
      </w:r>
      <w:r>
        <w:rPr>
          <w:lang w:eastAsia="en-AU"/>
        </w:rPr>
        <w:t xml:space="preserve">disease </w:t>
      </w:r>
      <w:r w:rsidRPr="001D2A86">
        <w:rPr>
          <w:lang w:eastAsia="en-AU"/>
        </w:rPr>
        <w:t xml:space="preserve">incidence </w:t>
      </w:r>
      <w:r>
        <w:rPr>
          <w:lang w:eastAsia="en-AU"/>
        </w:rPr>
        <w:t>commonly</w:t>
      </w:r>
      <w:r w:rsidRPr="001D2A86">
        <w:rPr>
          <w:lang w:eastAsia="en-AU"/>
        </w:rPr>
        <w:t xml:space="preserve"> increase</w:t>
      </w:r>
      <w:r>
        <w:rPr>
          <w:lang w:eastAsia="en-AU"/>
        </w:rPr>
        <w:t>s</w:t>
      </w:r>
      <w:r w:rsidRPr="001D2A86">
        <w:rPr>
          <w:lang w:eastAsia="en-AU"/>
        </w:rPr>
        <w:t xml:space="preserve"> as the storage period extend</w:t>
      </w:r>
      <w:r>
        <w:rPr>
          <w:lang w:eastAsia="en-AU"/>
        </w:rPr>
        <w:t>s</w:t>
      </w:r>
      <w:r w:rsidRPr="001D2A86">
        <w:rPr>
          <w:lang w:eastAsia="en-AU"/>
        </w:rPr>
        <w:t xml:space="preserve"> up to about </w:t>
      </w:r>
      <w:r>
        <w:rPr>
          <w:lang w:eastAsia="en-AU"/>
        </w:rPr>
        <w:t>5</w:t>
      </w:r>
      <w:r w:rsidRPr="001D2A86">
        <w:rPr>
          <w:lang w:eastAsia="en-AU"/>
        </w:rPr>
        <w:t xml:space="preserve"> to </w:t>
      </w:r>
      <w:r>
        <w:rPr>
          <w:lang w:eastAsia="en-AU"/>
        </w:rPr>
        <w:t>6</w:t>
      </w:r>
      <w:r w:rsidRPr="001D2A86">
        <w:rPr>
          <w:lang w:eastAsia="en-AU"/>
        </w:rPr>
        <w:t xml:space="preserve"> months </w:t>
      </w:r>
      <w:r>
        <w:rPr>
          <w:noProof/>
          <w:lang w:eastAsia="en-AU"/>
        </w:rPr>
        <w:t>(Xiao, Kim &amp; Boal 2014)</w:t>
      </w:r>
      <w:r w:rsidRPr="001D2A86">
        <w:rPr>
          <w:lang w:eastAsia="en-AU"/>
        </w:rPr>
        <w:t xml:space="preserve">. </w:t>
      </w:r>
    </w:p>
    <w:p w14:paraId="40448B26" w14:textId="77777777" w:rsidR="003438A2" w:rsidRDefault="003438A2" w:rsidP="003438A2">
      <w:pPr>
        <w:pStyle w:val="ListBullet"/>
      </w:pPr>
      <w:r>
        <w:t>Infected fruit that are cold-stored for a period of time before being packed are more likely to express visible symptoms and be removed during regulatory inspection prior to export.</w:t>
      </w:r>
    </w:p>
    <w:p w14:paraId="209B0720" w14:textId="77777777" w:rsidR="003438A2" w:rsidRDefault="003438A2" w:rsidP="003438A2">
      <w:pPr>
        <w:pStyle w:val="ListBullet"/>
      </w:pPr>
      <w:r>
        <w:t>However, some asymptomatic infected fruit may be packed for export to Australia.</w:t>
      </w:r>
    </w:p>
    <w:p w14:paraId="766D13B0" w14:textId="77777777" w:rsidR="003438A2" w:rsidRPr="00815A3A" w:rsidRDefault="003438A2" w:rsidP="00862DBA">
      <w:r w:rsidRPr="00194CE2">
        <w:rPr>
          <w:i/>
        </w:rPr>
        <w:t>Sphaeropsis</w:t>
      </w:r>
      <w:r w:rsidRPr="00194CE2">
        <w:t xml:space="preserve"> </w:t>
      </w:r>
      <w:r w:rsidRPr="00194CE2">
        <w:rPr>
          <w:i/>
        </w:rPr>
        <w:t>pyriputrescens</w:t>
      </w:r>
      <w:r w:rsidRPr="00194CE2">
        <w:t xml:space="preserve"> </w:t>
      </w:r>
      <w:r>
        <w:t>may survive cold temperatures during storage in the PNW-USA and transport to Australia</w:t>
      </w:r>
      <w:r w:rsidRPr="00815A3A">
        <w:t>.</w:t>
      </w:r>
    </w:p>
    <w:p w14:paraId="51994890" w14:textId="77777777" w:rsidR="003438A2" w:rsidRDefault="003438A2" w:rsidP="003438A2">
      <w:pPr>
        <w:pStyle w:val="ListBullet"/>
      </w:pPr>
      <w:r w:rsidRPr="00194CE2">
        <w:rPr>
          <w:i/>
        </w:rPr>
        <w:t>Sphaeropsis</w:t>
      </w:r>
      <w:r w:rsidRPr="00194CE2">
        <w:t xml:space="preserve"> </w:t>
      </w:r>
      <w:r w:rsidRPr="00194CE2">
        <w:rPr>
          <w:i/>
        </w:rPr>
        <w:t>pyriputrescens</w:t>
      </w:r>
      <w:r w:rsidRPr="00194CE2">
        <w:t xml:space="preserve"> </w:t>
      </w:r>
      <w:r w:rsidRPr="003C69C9">
        <w:t xml:space="preserve">may survive storage and transport to Australia as it </w:t>
      </w:r>
      <w:r>
        <w:t xml:space="preserve">survives </w:t>
      </w:r>
      <w:r w:rsidRPr="003C69C9">
        <w:t>at</w:t>
      </w:r>
      <w:r>
        <w:t xml:space="preserve"> cold storage temperatures and spreads from f</w:t>
      </w:r>
      <w:r w:rsidRPr="0066764C">
        <w:t xml:space="preserve">ruit-to-fruit under cold storage </w:t>
      </w:r>
      <w:r>
        <w:t xml:space="preserve">conditions </w:t>
      </w:r>
      <w:r w:rsidRPr="0066764C">
        <w:t>at 1</w:t>
      </w:r>
      <w:r w:rsidRPr="00223363">
        <w:t>°</w:t>
      </w:r>
      <w:r>
        <w:t>C</w:t>
      </w:r>
      <w:r w:rsidRPr="0066764C">
        <w:t xml:space="preserve"> to 2</w:t>
      </w:r>
      <w:r w:rsidRPr="00223363">
        <w:t>°</w:t>
      </w:r>
      <w:r w:rsidRPr="000E092A">
        <w:t>C</w:t>
      </w:r>
      <w:r>
        <w:t xml:space="preserve"> temperatures </w:t>
      </w:r>
      <w:r>
        <w:rPr>
          <w:noProof/>
        </w:rPr>
        <w:t>(Kim &amp; Xiao 2008)</w:t>
      </w:r>
      <w:r w:rsidRPr="0066764C">
        <w:t>.</w:t>
      </w:r>
    </w:p>
    <w:p w14:paraId="00819F72" w14:textId="77777777" w:rsidR="003438A2" w:rsidDel="00952108" w:rsidRDefault="003438A2" w:rsidP="003438A2">
      <w:pPr>
        <w:pStyle w:val="ListBullet"/>
      </w:pPr>
      <w:r>
        <w:t>S</w:t>
      </w:r>
      <w:r w:rsidRPr="00256DB0">
        <w:t>ea freight</w:t>
      </w:r>
      <w:r>
        <w:t>,</w:t>
      </w:r>
      <w:r w:rsidRPr="00256DB0">
        <w:t xml:space="preserve"> </w:t>
      </w:r>
      <w:r>
        <w:t xml:space="preserve">which takes about five weeks, is likely to be </w:t>
      </w:r>
      <w:r w:rsidRPr="00256DB0">
        <w:t>the preferred method of transport</w:t>
      </w:r>
      <w:r>
        <w:t xml:space="preserve"> of apples from the PNW-USA to Australia and</w:t>
      </w:r>
      <w:r w:rsidRPr="003C69C9">
        <w:t xml:space="preserve"> the fruit will be maintained at low temperatures to maintain fruit quality </w:t>
      </w:r>
      <w:r>
        <w:rPr>
          <w:noProof/>
        </w:rPr>
        <w:t>(Iowa State University Extension and Outreach 2008; University of Maine 2020; WSU Tree Fruit 2021c)</w:t>
      </w:r>
      <w:r>
        <w:t>.</w:t>
      </w:r>
    </w:p>
    <w:p w14:paraId="07CE97CF" w14:textId="77777777" w:rsidR="003438A2" w:rsidRPr="0067424A" w:rsidRDefault="003438A2" w:rsidP="00862DBA">
      <w:r w:rsidRPr="00194CE2">
        <w:rPr>
          <w:i/>
        </w:rPr>
        <w:t>Sphaeropsis</w:t>
      </w:r>
      <w:r w:rsidRPr="00194CE2">
        <w:t xml:space="preserve"> </w:t>
      </w:r>
      <w:r w:rsidRPr="00194CE2">
        <w:rPr>
          <w:i/>
        </w:rPr>
        <w:t>pyriputrescens</w:t>
      </w:r>
      <w:r w:rsidRPr="00194CE2">
        <w:t xml:space="preserve"> is widely distributed in Washington </w:t>
      </w:r>
      <w:r>
        <w:t xml:space="preserve">apple orchards where it causes </w:t>
      </w:r>
      <w:r w:rsidRPr="00A12104">
        <w:t>a</w:t>
      </w:r>
      <w:r>
        <w:t xml:space="preserve"> </w:t>
      </w:r>
      <w:r w:rsidRPr="00A12104">
        <w:t xml:space="preserve">post-harvest </w:t>
      </w:r>
      <w:r>
        <w:t xml:space="preserve">rot </w:t>
      </w:r>
      <w:r w:rsidRPr="00A12104">
        <w:t xml:space="preserve">disease </w:t>
      </w:r>
      <w:r>
        <w:t xml:space="preserve">in apple fruit. </w:t>
      </w:r>
      <w:r w:rsidRPr="00194CE2">
        <w:t>Infect</w:t>
      </w:r>
      <w:r>
        <w:t>ed</w:t>
      </w:r>
      <w:r w:rsidRPr="00194CE2">
        <w:t xml:space="preserve"> fruit</w:t>
      </w:r>
      <w:r>
        <w:t xml:space="preserve"> are asymptomatic at harvest but symptoms begin to express after 1 to 2 months of cold storage</w:t>
      </w:r>
      <w:bookmarkStart w:id="443" w:name="_Hlk38887899"/>
      <w:r>
        <w:t>. For cold-stored fruit some, but not all, infected fruit would be removed during packing house processes prior to export.</w:t>
      </w:r>
      <w:r w:rsidRPr="00194CE2">
        <w:rPr>
          <w:i/>
        </w:rPr>
        <w:t xml:space="preserve"> Sphaeropsis</w:t>
      </w:r>
      <w:r w:rsidRPr="00194CE2">
        <w:t xml:space="preserve"> </w:t>
      </w:r>
      <w:r w:rsidRPr="00194CE2">
        <w:rPr>
          <w:i/>
        </w:rPr>
        <w:t>pyriputrescens</w:t>
      </w:r>
      <w:r>
        <w:t xml:space="preserve"> is likely to survive and grow at cold temperatures of 0</w:t>
      </w:r>
      <w:r w:rsidRPr="00223363">
        <w:t>°</w:t>
      </w:r>
      <w:r>
        <w:t>C</w:t>
      </w:r>
      <w:r w:rsidRPr="00194CE2">
        <w:t xml:space="preserve"> </w:t>
      </w:r>
      <w:r>
        <w:t>to 2</w:t>
      </w:r>
      <w:r w:rsidRPr="00223363">
        <w:t>°</w:t>
      </w:r>
      <w:r w:rsidRPr="000E092A">
        <w:t>C</w:t>
      </w:r>
      <w:r w:rsidRPr="00194CE2">
        <w:t xml:space="preserve"> </w:t>
      </w:r>
      <w:r>
        <w:t xml:space="preserve">during storage and transport and carry inoculum on infected fruit to Australia. </w:t>
      </w:r>
      <w:bookmarkStart w:id="444" w:name="_Hlk38887962"/>
      <w:bookmarkEnd w:id="443"/>
      <w:r>
        <w:t xml:space="preserve">On the basis of these factors, </w:t>
      </w:r>
      <w:r w:rsidRPr="00871B56">
        <w:t xml:space="preserve">the likelihood </w:t>
      </w:r>
      <w:r>
        <w:t>of</w:t>
      </w:r>
      <w:r w:rsidRPr="00871B56">
        <w:t xml:space="preserve"> importation</w:t>
      </w:r>
      <w:r>
        <w:t xml:space="preserve"> of</w:t>
      </w:r>
      <w:r w:rsidRPr="00871B56">
        <w:t xml:space="preserve"> </w:t>
      </w:r>
      <w:bookmarkEnd w:id="444"/>
      <w:r w:rsidRPr="00871B56">
        <w:rPr>
          <w:i/>
        </w:rPr>
        <w:t>S. pyriputrescens</w:t>
      </w:r>
      <w:r w:rsidRPr="00871B56">
        <w:t xml:space="preserve"> on </w:t>
      </w:r>
      <w:r>
        <w:t>the</w:t>
      </w:r>
      <w:r w:rsidRPr="00871B56">
        <w:t xml:space="preserve"> PNW-USA</w:t>
      </w:r>
      <w:r>
        <w:t xml:space="preserve"> apple pathway</w:t>
      </w:r>
      <w:r w:rsidRPr="00871B56">
        <w:t xml:space="preserve"> is</w:t>
      </w:r>
      <w:r>
        <w:t xml:space="preserve"> assessed</w:t>
      </w:r>
      <w:r w:rsidRPr="00871B56">
        <w:t xml:space="preserve"> as </w:t>
      </w:r>
      <w:r w:rsidRPr="0067424A">
        <w:t>High.</w:t>
      </w:r>
    </w:p>
    <w:p w14:paraId="1BA286F1" w14:textId="77777777" w:rsidR="003438A2" w:rsidRPr="00464D2F" w:rsidRDefault="003438A2" w:rsidP="00862DBA">
      <w:pPr>
        <w:pStyle w:val="Heading5"/>
      </w:pPr>
      <w:r w:rsidRPr="00464D2F">
        <w:t>Likelihood of distribution</w:t>
      </w:r>
    </w:p>
    <w:p w14:paraId="451F8702" w14:textId="77777777" w:rsidR="003438A2" w:rsidRPr="00C27497" w:rsidRDefault="003438A2" w:rsidP="00862DBA">
      <w:r w:rsidRPr="00194CE2">
        <w:t xml:space="preserve">The likelihood that </w:t>
      </w:r>
      <w:r w:rsidRPr="00CE6987">
        <w:rPr>
          <w:i/>
        </w:rPr>
        <w:t>S. pyriputrescens</w:t>
      </w:r>
      <w:r w:rsidRPr="00194CE2">
        <w:t xml:space="preserve"> will be distributed in Australia in a viable state, as a result of the processing, sale or disposal of </w:t>
      </w:r>
      <w:r>
        <w:t>apples from the PNW-USA, and subsequently transfer to a susceptible part of a host, is assessed as Low</w:t>
      </w:r>
      <w:r w:rsidRPr="00C27497">
        <w:t>.</w:t>
      </w:r>
    </w:p>
    <w:p w14:paraId="658B2371" w14:textId="77777777" w:rsidR="003438A2" w:rsidRDefault="003438A2" w:rsidP="00862DBA">
      <w:r w:rsidRPr="008B299A">
        <w:t>The following information provides supporting evidence for this assessment</w:t>
      </w:r>
      <w:r>
        <w:t>.</w:t>
      </w:r>
    </w:p>
    <w:p w14:paraId="25DB81C4" w14:textId="77777777" w:rsidR="003438A2" w:rsidRDefault="003438A2" w:rsidP="00862DBA">
      <w:r>
        <w:t>It is likely that</w:t>
      </w:r>
      <w:r w:rsidRPr="00EB2D7C">
        <w:rPr>
          <w:i/>
        </w:rPr>
        <w:t xml:space="preserve"> </w:t>
      </w:r>
      <w:r>
        <w:rPr>
          <w:iCs/>
        </w:rPr>
        <w:t xml:space="preserve">some </w:t>
      </w:r>
      <w:r>
        <w:t xml:space="preserve">apples from the PNW-USA infected with </w:t>
      </w:r>
      <w:r w:rsidRPr="00CE6987">
        <w:rPr>
          <w:i/>
        </w:rPr>
        <w:t>S. pyriputrescens</w:t>
      </w:r>
      <w:r>
        <w:rPr>
          <w:i/>
        </w:rPr>
        <w:t xml:space="preserve"> </w:t>
      </w:r>
      <w:r>
        <w:rPr>
          <w:iCs/>
        </w:rPr>
        <w:t xml:space="preserve">will </w:t>
      </w:r>
      <w:r>
        <w:t xml:space="preserve">be distributed within </w:t>
      </w:r>
      <w:r w:rsidRPr="009F1545">
        <w:t>Australia.</w:t>
      </w:r>
    </w:p>
    <w:p w14:paraId="710DFC44" w14:textId="77777777" w:rsidR="003438A2" w:rsidRDefault="003438A2" w:rsidP="003438A2">
      <w:pPr>
        <w:pStyle w:val="ListBullet"/>
        <w:numPr>
          <w:ilvl w:val="0"/>
          <w:numId w:val="15"/>
        </w:numPr>
      </w:pPr>
      <w:r w:rsidRPr="009E6DB5">
        <w:t xml:space="preserve">Imported apple fruit </w:t>
      </w:r>
      <w:r>
        <w:t>are</w:t>
      </w:r>
      <w:r w:rsidRPr="009E6DB5">
        <w:t xml:space="preserve"> intended for human consumption in Australia. It is expected that </w:t>
      </w:r>
      <w:r>
        <w:t>when</w:t>
      </w:r>
      <w:r w:rsidRPr="009E6DB5">
        <w:t xml:space="preserve"> apple fruit arrive</w:t>
      </w:r>
      <w:r>
        <w:t>s in Australia</w:t>
      </w:r>
      <w:r w:rsidRPr="009E6DB5">
        <w:t xml:space="preserve">, </w:t>
      </w:r>
      <w:r>
        <w:t>they</w:t>
      </w:r>
      <w:r w:rsidRPr="009E6DB5">
        <w:t xml:space="preserve"> will be distributed </w:t>
      </w:r>
      <w:r>
        <w:t xml:space="preserve">throughout Australia </w:t>
      </w:r>
      <w:r w:rsidRPr="009E6DB5">
        <w:t>for wholesale or retail sale.</w:t>
      </w:r>
      <w:r>
        <w:t xml:space="preserve"> M</w:t>
      </w:r>
      <w:r w:rsidRPr="00945121">
        <w:t>ajor population centres are likely to receive most of the imported fruit.</w:t>
      </w:r>
    </w:p>
    <w:p w14:paraId="4093A228" w14:textId="77777777" w:rsidR="003438A2" w:rsidRDefault="003438A2" w:rsidP="003438A2">
      <w:pPr>
        <w:pStyle w:val="ListBullet"/>
        <w:numPr>
          <w:ilvl w:val="0"/>
          <w:numId w:val="15"/>
        </w:numPr>
      </w:pPr>
      <w:r w:rsidRPr="00194CE2">
        <w:t xml:space="preserve">Symptoms of infection by </w:t>
      </w:r>
      <w:r w:rsidRPr="00194CE2">
        <w:rPr>
          <w:i/>
        </w:rPr>
        <w:t>S. pyriputrescens</w:t>
      </w:r>
      <w:r w:rsidRPr="00194CE2">
        <w:t xml:space="preserve"> </w:t>
      </w:r>
      <w:r>
        <w:t xml:space="preserve">start to be apparent after 1 to 2 months of cold storage </w:t>
      </w:r>
      <w:r w:rsidRPr="006F66CB">
        <w:rPr>
          <w:noProof/>
          <w:lang w:eastAsia="en-AU"/>
        </w:rPr>
        <w:t>(Sikdar, Willett &amp; Mazzola 2018)</w:t>
      </w:r>
      <w:r w:rsidRPr="006F66CB">
        <w:rPr>
          <w:lang w:eastAsia="en-AU"/>
        </w:rPr>
        <w:t xml:space="preserve"> and </w:t>
      </w:r>
      <w:r>
        <w:rPr>
          <w:lang w:eastAsia="en-AU"/>
        </w:rPr>
        <w:t xml:space="preserve">disease </w:t>
      </w:r>
      <w:r w:rsidRPr="001D2A86">
        <w:rPr>
          <w:lang w:eastAsia="en-AU"/>
        </w:rPr>
        <w:t xml:space="preserve">incidence </w:t>
      </w:r>
      <w:r>
        <w:rPr>
          <w:lang w:eastAsia="en-AU"/>
        </w:rPr>
        <w:t>commonly</w:t>
      </w:r>
      <w:r w:rsidRPr="001D2A86">
        <w:rPr>
          <w:lang w:eastAsia="en-AU"/>
        </w:rPr>
        <w:t xml:space="preserve"> increase</w:t>
      </w:r>
      <w:r>
        <w:rPr>
          <w:lang w:eastAsia="en-AU"/>
        </w:rPr>
        <w:t>s</w:t>
      </w:r>
      <w:r w:rsidRPr="001D2A86">
        <w:rPr>
          <w:lang w:eastAsia="en-AU"/>
        </w:rPr>
        <w:t xml:space="preserve"> as the storage period extend</w:t>
      </w:r>
      <w:r>
        <w:rPr>
          <w:lang w:eastAsia="en-AU"/>
        </w:rPr>
        <w:t>s</w:t>
      </w:r>
      <w:r w:rsidRPr="001D2A86">
        <w:rPr>
          <w:lang w:eastAsia="en-AU"/>
        </w:rPr>
        <w:t xml:space="preserve"> up to about </w:t>
      </w:r>
      <w:r>
        <w:rPr>
          <w:lang w:eastAsia="en-AU"/>
        </w:rPr>
        <w:t>5</w:t>
      </w:r>
      <w:r w:rsidRPr="001D2A86">
        <w:rPr>
          <w:lang w:eastAsia="en-AU"/>
        </w:rPr>
        <w:t xml:space="preserve"> to </w:t>
      </w:r>
      <w:r>
        <w:rPr>
          <w:lang w:eastAsia="en-AU"/>
        </w:rPr>
        <w:t>6</w:t>
      </w:r>
      <w:r w:rsidRPr="001D2A86">
        <w:rPr>
          <w:lang w:eastAsia="en-AU"/>
        </w:rPr>
        <w:t xml:space="preserve"> months </w:t>
      </w:r>
      <w:r>
        <w:rPr>
          <w:noProof/>
          <w:lang w:eastAsia="en-AU"/>
        </w:rPr>
        <w:t>(Xiao, Kim &amp; Boal 2014)</w:t>
      </w:r>
      <w:r w:rsidRPr="001D2A86">
        <w:rPr>
          <w:lang w:eastAsia="en-AU"/>
        </w:rPr>
        <w:t>.</w:t>
      </w:r>
      <w:r>
        <w:rPr>
          <w:lang w:eastAsia="en-AU"/>
        </w:rPr>
        <w:t xml:space="preserve"> </w:t>
      </w:r>
    </w:p>
    <w:p w14:paraId="7AC0B045" w14:textId="77777777" w:rsidR="003438A2" w:rsidRPr="00945121" w:rsidRDefault="003438A2" w:rsidP="003438A2">
      <w:pPr>
        <w:pStyle w:val="ListBullet"/>
        <w:numPr>
          <w:ilvl w:val="0"/>
          <w:numId w:val="15"/>
        </w:numPr>
      </w:pPr>
      <w:r>
        <w:lastRenderedPageBreak/>
        <w:t>Apple consignments</w:t>
      </w:r>
      <w:r w:rsidRPr="00945121">
        <w:t xml:space="preserve"> may not be processed or handled until they arrive at the retail points</w:t>
      </w:r>
      <w:r>
        <w:t xml:space="preserve"> within Australia</w:t>
      </w:r>
      <w:r w:rsidRPr="00945121">
        <w:t xml:space="preserve">. Any fruit showing symptoms of </w:t>
      </w:r>
      <w:r w:rsidRPr="00194CE2">
        <w:rPr>
          <w:i/>
        </w:rPr>
        <w:t>S. pyriputrescens</w:t>
      </w:r>
      <w:r w:rsidRPr="00194CE2">
        <w:t xml:space="preserve"> </w:t>
      </w:r>
      <w:r w:rsidRPr="00945121">
        <w:t>infection at this point are likely to be removed from further distribution</w:t>
      </w:r>
      <w:r>
        <w:t xml:space="preserve"> and</w:t>
      </w:r>
      <w:r w:rsidRPr="00945121">
        <w:t xml:space="preserve"> discarded into managed waste systems. Commercial waste of imported </w:t>
      </w:r>
      <w:r>
        <w:t>apple</w:t>
      </w:r>
      <w:r w:rsidRPr="00945121">
        <w:t xml:space="preserve"> fruit may also be generated prior to or during retail sale and discarded in the same way. Potential exposure to suitable host plants from waste discarded into managed waste systems is likely to be negligible.</w:t>
      </w:r>
    </w:p>
    <w:p w14:paraId="4D373BCE" w14:textId="77777777" w:rsidR="003438A2" w:rsidRDefault="003438A2" w:rsidP="003438A2">
      <w:pPr>
        <w:pStyle w:val="ListBullet"/>
        <w:numPr>
          <w:ilvl w:val="0"/>
          <w:numId w:val="15"/>
        </w:numPr>
      </w:pPr>
      <w:r>
        <w:t>However, s</w:t>
      </w:r>
      <w:r w:rsidRPr="00194CE2">
        <w:t xml:space="preserve">ome fruit infected with </w:t>
      </w:r>
      <w:r w:rsidRPr="00194CE2">
        <w:rPr>
          <w:i/>
        </w:rPr>
        <w:t>S. pyriputrescens</w:t>
      </w:r>
      <w:r>
        <w:rPr>
          <w:iCs/>
        </w:rPr>
        <w:t xml:space="preserve"> may</w:t>
      </w:r>
      <w:r w:rsidRPr="002B6BC8">
        <w:rPr>
          <w:iCs/>
        </w:rPr>
        <w:t xml:space="preserve"> not display</w:t>
      </w:r>
      <w:r>
        <w:rPr>
          <w:i/>
        </w:rPr>
        <w:t xml:space="preserve"> </w:t>
      </w:r>
      <w:r w:rsidRPr="00194CE2">
        <w:t xml:space="preserve">symptoms </w:t>
      </w:r>
      <w:r>
        <w:t>and therefore may be sold to consumers</w:t>
      </w:r>
      <w:r w:rsidRPr="00194CE2">
        <w:t>.</w:t>
      </w:r>
    </w:p>
    <w:p w14:paraId="5AFE27AC" w14:textId="77777777" w:rsidR="003438A2" w:rsidRPr="004432E1" w:rsidRDefault="003438A2" w:rsidP="003438A2">
      <w:pPr>
        <w:pStyle w:val="ListBullet"/>
        <w:numPr>
          <w:ilvl w:val="0"/>
          <w:numId w:val="15"/>
        </w:numPr>
        <w:rPr>
          <w:rFonts w:eastAsia="Times New Roman"/>
          <w:color w:val="000000"/>
          <w:szCs w:val="24"/>
        </w:rPr>
      </w:pPr>
      <w:r w:rsidRPr="004432E1">
        <w:rPr>
          <w:i/>
        </w:rPr>
        <w:t>Sphaeropsis</w:t>
      </w:r>
      <w:r w:rsidRPr="0066764C">
        <w:t xml:space="preserve"> </w:t>
      </w:r>
      <w:r w:rsidRPr="004432E1">
        <w:rPr>
          <w:i/>
        </w:rPr>
        <w:t>pyriputrescens</w:t>
      </w:r>
      <w:r w:rsidRPr="0066764C">
        <w:t xml:space="preserve"> </w:t>
      </w:r>
      <w:r w:rsidRPr="007B4790">
        <w:rPr>
          <w:lang w:eastAsia="en-AU"/>
        </w:rPr>
        <w:t>can survive and overwinter, often as pycnidia</w:t>
      </w:r>
      <w:r w:rsidRPr="004432E1">
        <w:rPr>
          <w:rFonts w:asciiTheme="majorHAnsi" w:hAnsiTheme="majorHAnsi"/>
          <w:lang w:eastAsia="en-AU"/>
        </w:rPr>
        <w:t xml:space="preserve"> </w:t>
      </w:r>
      <w:r>
        <w:rPr>
          <w:noProof/>
        </w:rPr>
        <w:t>(WSU 2005; Xiao, Kim &amp; Boal 2014)</w:t>
      </w:r>
      <w:r w:rsidRPr="0066764C">
        <w:rPr>
          <w:lang w:eastAsia="en-AU"/>
        </w:rPr>
        <w:t>.</w:t>
      </w:r>
      <w:r>
        <w:rPr>
          <w:lang w:eastAsia="en-AU"/>
        </w:rPr>
        <w:t xml:space="preserve"> It is likely that </w:t>
      </w:r>
      <w:r w:rsidRPr="008721F1">
        <w:rPr>
          <w:rFonts w:eastAsia="Times New Roman"/>
          <w:i/>
          <w:color w:val="000000"/>
          <w:szCs w:val="24"/>
        </w:rPr>
        <w:t>S. pyriputrescens</w:t>
      </w:r>
      <w:r>
        <w:rPr>
          <w:rFonts w:eastAsia="Times New Roman"/>
          <w:i/>
          <w:color w:val="000000"/>
          <w:szCs w:val="24"/>
        </w:rPr>
        <w:t xml:space="preserve"> </w:t>
      </w:r>
      <w:r>
        <w:rPr>
          <w:rFonts w:eastAsia="Times New Roman"/>
          <w:iCs/>
          <w:color w:val="000000"/>
          <w:szCs w:val="24"/>
        </w:rPr>
        <w:t>in infected fruit will survive temperatures during cold storage and transport used during distribution of fruit within Australia.</w:t>
      </w:r>
    </w:p>
    <w:p w14:paraId="6344E985" w14:textId="77777777" w:rsidR="003438A2" w:rsidRPr="00762E3D" w:rsidRDefault="003438A2" w:rsidP="003438A2">
      <w:pPr>
        <w:pStyle w:val="ListBullet"/>
        <w:numPr>
          <w:ilvl w:val="0"/>
          <w:numId w:val="15"/>
        </w:numPr>
        <w:rPr>
          <w:rFonts w:eastAsia="Times New Roman"/>
          <w:color w:val="000000"/>
          <w:szCs w:val="24"/>
        </w:rPr>
      </w:pPr>
      <w:r w:rsidRPr="00194CE2">
        <w:t xml:space="preserve">Pycnidia </w:t>
      </w:r>
      <w:r>
        <w:t>ca</w:t>
      </w:r>
      <w:r w:rsidRPr="00194CE2">
        <w:t>n form on the surface of decay</w:t>
      </w:r>
      <w:r>
        <w:t>ing</w:t>
      </w:r>
      <w:r w:rsidRPr="00194CE2">
        <w:t xml:space="preserve"> fruit</w:t>
      </w:r>
      <w:r>
        <w:t xml:space="preserve"> </w:t>
      </w:r>
      <w:r>
        <w:rPr>
          <w:noProof/>
        </w:rPr>
        <w:t>(Xiao, Rogers &amp; Boal 2004)</w:t>
      </w:r>
      <w:r>
        <w:t>, and</w:t>
      </w:r>
      <w:r w:rsidRPr="00194CE2">
        <w:t xml:space="preserve"> </w:t>
      </w:r>
      <w:r>
        <w:t>conidia from the pycnidia may provide</w:t>
      </w:r>
      <w:r w:rsidRPr="00194CE2">
        <w:t xml:space="preserve"> </w:t>
      </w:r>
      <w:r>
        <w:t xml:space="preserve">a </w:t>
      </w:r>
      <w:r w:rsidRPr="00194CE2">
        <w:t>source of inoculum</w:t>
      </w:r>
      <w:r>
        <w:t xml:space="preserve"> </w:t>
      </w:r>
      <w:r>
        <w:rPr>
          <w:noProof/>
        </w:rPr>
        <w:t>(WSU 2005)</w:t>
      </w:r>
      <w:r>
        <w:t xml:space="preserve"> after disposal of fruit or fruit waste.</w:t>
      </w:r>
    </w:p>
    <w:p w14:paraId="65BF6CB4" w14:textId="77777777" w:rsidR="003438A2" w:rsidRPr="00134A2A" w:rsidRDefault="003438A2" w:rsidP="003438A2">
      <w:pPr>
        <w:pStyle w:val="ListBullet"/>
        <w:numPr>
          <w:ilvl w:val="0"/>
          <w:numId w:val="15"/>
        </w:numPr>
        <w:rPr>
          <w:rFonts w:eastAsia="Times New Roman"/>
          <w:color w:val="000000"/>
          <w:szCs w:val="24"/>
        </w:rPr>
      </w:pPr>
      <w:r>
        <w:t xml:space="preserve">Some </w:t>
      </w:r>
      <w:r w:rsidRPr="009F1545">
        <w:t>apple</w:t>
      </w:r>
      <w:r>
        <w:t xml:space="preserve"> waste</w:t>
      </w:r>
      <w:r w:rsidRPr="009F1545">
        <w:t xml:space="preserve"> infected with </w:t>
      </w:r>
      <w:r w:rsidRPr="008721F1">
        <w:rPr>
          <w:rFonts w:eastAsia="Times New Roman"/>
          <w:i/>
          <w:color w:val="000000"/>
          <w:szCs w:val="24"/>
        </w:rPr>
        <w:t xml:space="preserve">S. pyriputrescens </w:t>
      </w:r>
      <w:r>
        <w:rPr>
          <w:rFonts w:eastAsia="Times New Roman"/>
          <w:color w:val="000000"/>
          <w:szCs w:val="24"/>
        </w:rPr>
        <w:t>may</w:t>
      </w:r>
      <w:r w:rsidRPr="008721F1">
        <w:rPr>
          <w:rFonts w:eastAsia="Times New Roman"/>
          <w:color w:val="000000"/>
          <w:szCs w:val="24"/>
        </w:rPr>
        <w:t xml:space="preserve"> </w:t>
      </w:r>
      <w:r>
        <w:rPr>
          <w:rFonts w:eastAsia="Times New Roman"/>
          <w:color w:val="000000"/>
          <w:szCs w:val="24"/>
        </w:rPr>
        <w:t>be discarded into</w:t>
      </w:r>
      <w:r w:rsidRPr="008721F1">
        <w:rPr>
          <w:rFonts w:eastAsia="Times New Roman"/>
          <w:color w:val="000000"/>
          <w:szCs w:val="24"/>
        </w:rPr>
        <w:t xml:space="preserve"> the Australian environment.</w:t>
      </w:r>
    </w:p>
    <w:p w14:paraId="7BBA29FA" w14:textId="77777777" w:rsidR="003438A2" w:rsidRDefault="003438A2" w:rsidP="00862DBA">
      <w:r>
        <w:rPr>
          <w:iCs/>
        </w:rPr>
        <w:t xml:space="preserve">Known hosts of </w:t>
      </w:r>
      <w:r w:rsidRPr="00B55128">
        <w:rPr>
          <w:i/>
        </w:rPr>
        <w:t>S</w:t>
      </w:r>
      <w:r>
        <w:rPr>
          <w:i/>
        </w:rPr>
        <w:t>.</w:t>
      </w:r>
      <w:r w:rsidRPr="00B55128">
        <w:t xml:space="preserve"> </w:t>
      </w:r>
      <w:r w:rsidRPr="00B55128">
        <w:rPr>
          <w:i/>
        </w:rPr>
        <w:t>pyriputrescens</w:t>
      </w:r>
      <w:r w:rsidRPr="00B55128">
        <w:t xml:space="preserve"> </w:t>
      </w:r>
      <w:r>
        <w:t>are available in various parts of Australia.</w:t>
      </w:r>
    </w:p>
    <w:p w14:paraId="2FE94DF0" w14:textId="77777777" w:rsidR="003438A2" w:rsidRDefault="003438A2" w:rsidP="003438A2">
      <w:pPr>
        <w:pStyle w:val="ListBullet"/>
        <w:numPr>
          <w:ilvl w:val="0"/>
          <w:numId w:val="15"/>
        </w:numPr>
      </w:pPr>
      <w:r w:rsidRPr="00AF5D81">
        <w:t xml:space="preserve">Known </w:t>
      </w:r>
      <w:r>
        <w:t>plant host species</w:t>
      </w:r>
      <w:r w:rsidRPr="00AF5D81">
        <w:t xml:space="preserve"> of </w:t>
      </w:r>
      <w:r w:rsidRPr="000847E7">
        <w:rPr>
          <w:i/>
        </w:rPr>
        <w:t>S. pyriputrescens</w:t>
      </w:r>
      <w:r w:rsidRPr="00256733">
        <w:t xml:space="preserve"> </w:t>
      </w:r>
      <w:r w:rsidRPr="00AF5D81">
        <w:t xml:space="preserve">are </w:t>
      </w:r>
      <w:r>
        <w:t xml:space="preserve">limited, however, hosts such as </w:t>
      </w:r>
      <w:r w:rsidRPr="000847E7">
        <w:rPr>
          <w:i/>
        </w:rPr>
        <w:t>Malus</w:t>
      </w:r>
      <w:r w:rsidRPr="00AF5D81">
        <w:t xml:space="preserve"> spp. (apple and crabapple)</w:t>
      </w:r>
      <w:r>
        <w:t xml:space="preserve"> and </w:t>
      </w:r>
      <w:r w:rsidRPr="000847E7">
        <w:rPr>
          <w:i/>
        </w:rPr>
        <w:t>Pyrus communis</w:t>
      </w:r>
      <w:r w:rsidRPr="00AF5D81">
        <w:t xml:space="preserve"> (pear</w:t>
      </w:r>
      <w:r>
        <w:t xml:space="preserve">) </w:t>
      </w:r>
      <w:r>
        <w:rPr>
          <w:noProof/>
        </w:rPr>
        <w:t>(Kim &amp; Xiao 2008; Xiao &amp; Boal 2005b; Xiao &amp; Rogers 2004; Xiao 2006)</w:t>
      </w:r>
      <w:r w:rsidRPr="000847E7">
        <w:rPr>
          <w:rFonts w:eastAsia="Calibri"/>
        </w:rPr>
        <w:t xml:space="preserve"> are </w:t>
      </w:r>
      <w:r>
        <w:t>present in high numbers</w:t>
      </w:r>
      <w:r w:rsidRPr="00AF5D81">
        <w:t xml:space="preserve"> in commercial orchard districts,</w:t>
      </w:r>
      <w:r>
        <w:t xml:space="preserve"> and common in</w:t>
      </w:r>
      <w:r w:rsidRPr="00AF5D81">
        <w:t xml:space="preserve"> suburban and rural areas.</w:t>
      </w:r>
    </w:p>
    <w:p w14:paraId="245FBC3E" w14:textId="77777777" w:rsidR="003438A2" w:rsidRPr="00AF5D81" w:rsidRDefault="003438A2" w:rsidP="00862DBA">
      <w:r w:rsidRPr="0023434B">
        <w:rPr>
          <w:i/>
        </w:rPr>
        <w:t>Sphaeropsis</w:t>
      </w:r>
      <w:r w:rsidRPr="0023434B">
        <w:t xml:space="preserve"> </w:t>
      </w:r>
      <w:r w:rsidRPr="0023434B">
        <w:rPr>
          <w:i/>
        </w:rPr>
        <w:t>pyriputrescens</w:t>
      </w:r>
      <w:r w:rsidRPr="0023434B">
        <w:t xml:space="preserve"> is likely to </w:t>
      </w:r>
      <w:r>
        <w:t>produce</w:t>
      </w:r>
      <w:r w:rsidRPr="0023434B">
        <w:t xml:space="preserve"> only </w:t>
      </w:r>
      <w:r>
        <w:t xml:space="preserve">a </w:t>
      </w:r>
      <w:r w:rsidRPr="0023434B">
        <w:t xml:space="preserve">limited amount of inoculum </w:t>
      </w:r>
      <w:r>
        <w:t>(conidia) on discarded fruit waste</w:t>
      </w:r>
      <w:r w:rsidRPr="0023434B">
        <w:t>.</w:t>
      </w:r>
    </w:p>
    <w:p w14:paraId="07C55804" w14:textId="77777777" w:rsidR="003438A2" w:rsidRDefault="003438A2" w:rsidP="003438A2">
      <w:pPr>
        <w:pStyle w:val="ListBullet"/>
        <w:numPr>
          <w:ilvl w:val="0"/>
          <w:numId w:val="15"/>
        </w:numPr>
      </w:pPr>
      <w:r>
        <w:t xml:space="preserve">Further development of </w:t>
      </w:r>
      <w:r w:rsidRPr="005235EE">
        <w:rPr>
          <w:i/>
        </w:rPr>
        <w:t>S. pyriputrescens</w:t>
      </w:r>
      <w:r w:rsidRPr="00944D69">
        <w:t xml:space="preserve"> </w:t>
      </w:r>
      <w:r>
        <w:t>on infected and discarded fruit is likely to be restricted due to</w:t>
      </w:r>
      <w:r w:rsidRPr="004A2E85">
        <w:t xml:space="preserve"> colonisation by </w:t>
      </w:r>
      <w:r>
        <w:t xml:space="preserve">and competition with </w:t>
      </w:r>
      <w:r w:rsidRPr="004A2E85">
        <w:t>saprophytic fungi or bacteria</w:t>
      </w:r>
      <w:r>
        <w:t>.</w:t>
      </w:r>
    </w:p>
    <w:p w14:paraId="38CE3B7D" w14:textId="77777777" w:rsidR="003438A2" w:rsidRDefault="003438A2" w:rsidP="003438A2">
      <w:pPr>
        <w:pStyle w:val="ListBullet"/>
        <w:numPr>
          <w:ilvl w:val="0"/>
          <w:numId w:val="15"/>
        </w:numPr>
      </w:pPr>
      <w:r>
        <w:t>Colonisation by saprophytes is likely to speed up</w:t>
      </w:r>
      <w:r w:rsidRPr="004A2E85">
        <w:t xml:space="preserve"> </w:t>
      </w:r>
      <w:r>
        <w:t xml:space="preserve">disintegration of discarded </w:t>
      </w:r>
      <w:r w:rsidRPr="004A2E85">
        <w:t>fruit</w:t>
      </w:r>
      <w:r>
        <w:t xml:space="preserve">/fruit cores, and thus further limit production and spread of inoculum of </w:t>
      </w:r>
      <w:r w:rsidRPr="005235EE">
        <w:rPr>
          <w:i/>
        </w:rPr>
        <w:t>S. pyriputrescens</w:t>
      </w:r>
      <w:r>
        <w:t>.</w:t>
      </w:r>
    </w:p>
    <w:p w14:paraId="5ACD006D" w14:textId="77777777" w:rsidR="003438A2" w:rsidRPr="00944D69" w:rsidRDefault="003438A2" w:rsidP="003438A2">
      <w:pPr>
        <w:pStyle w:val="ListBullet"/>
        <w:numPr>
          <w:ilvl w:val="0"/>
          <w:numId w:val="15"/>
        </w:numPr>
      </w:pPr>
      <w:r>
        <w:t xml:space="preserve">The fungus </w:t>
      </w:r>
      <w:r w:rsidRPr="00194CE2">
        <w:t xml:space="preserve">does not grow at </w:t>
      </w:r>
      <w:r>
        <w:t xml:space="preserve">or above </w:t>
      </w:r>
      <w:r w:rsidRPr="00194CE2">
        <w:t>30</w:t>
      </w:r>
      <w:r w:rsidRPr="00223363">
        <w:t>°</w:t>
      </w:r>
      <w:r w:rsidRPr="000E092A">
        <w:t>C</w:t>
      </w:r>
      <w:r>
        <w:t xml:space="preserve"> </w:t>
      </w:r>
      <w:r>
        <w:rPr>
          <w:noProof/>
        </w:rPr>
        <w:t>(Narayanasamy 2011),</w:t>
      </w:r>
      <w:r>
        <w:t xml:space="preserve"> therefore t</w:t>
      </w:r>
      <w:r w:rsidRPr="00194CE2">
        <w:t xml:space="preserve">he </w:t>
      </w:r>
      <w:r>
        <w:t xml:space="preserve">inoculum production of </w:t>
      </w:r>
      <w:r w:rsidRPr="00134A2A">
        <w:rPr>
          <w:i/>
        </w:rPr>
        <w:t>S. pyriputrescens</w:t>
      </w:r>
      <w:r w:rsidRPr="00944D69">
        <w:t xml:space="preserve"> </w:t>
      </w:r>
      <w:r>
        <w:t xml:space="preserve">on discarded fruit may not be supported in hot and dry climates. Dispersal of conidia of </w:t>
      </w:r>
      <w:r w:rsidRPr="00134A2A">
        <w:rPr>
          <w:i/>
        </w:rPr>
        <w:t>S. pyriputrescens</w:t>
      </w:r>
      <w:r w:rsidRPr="00944D69">
        <w:t xml:space="preserve"> to </w:t>
      </w:r>
      <w:r>
        <w:t>a nearby</w:t>
      </w:r>
      <w:r w:rsidRPr="00944D69">
        <w:t xml:space="preserve"> host </w:t>
      </w:r>
      <w:r>
        <w:t xml:space="preserve">from fruit waste discarded on the ground is likely to be restricted, particularly during hot and dry conditions, but is possible under </w:t>
      </w:r>
      <w:r w:rsidRPr="00944D69">
        <w:t>favourable Australian conditions.</w:t>
      </w:r>
    </w:p>
    <w:p w14:paraId="05964385" w14:textId="77777777" w:rsidR="003438A2" w:rsidRPr="0079065B" w:rsidRDefault="003438A2" w:rsidP="003438A2">
      <w:pPr>
        <w:pStyle w:val="ListBullet"/>
        <w:numPr>
          <w:ilvl w:val="0"/>
          <w:numId w:val="15"/>
        </w:numPr>
      </w:pPr>
      <w:r>
        <w:rPr>
          <w:lang w:eastAsia="en-AU"/>
        </w:rPr>
        <w:t xml:space="preserve">Fungal conidia are dispersed by water splash (rain/irrigation) </w:t>
      </w:r>
      <w:r>
        <w:rPr>
          <w:noProof/>
          <w:lang w:eastAsia="en-AU"/>
        </w:rPr>
        <w:t>(PNW Handbooks 2020b; Sikdar et al. 2016; Xiao 2013b)</w:t>
      </w:r>
      <w:r w:rsidRPr="00256733">
        <w:t>.</w:t>
      </w:r>
      <w:r>
        <w:t xml:space="preserve"> </w:t>
      </w:r>
      <w:r w:rsidRPr="0079065B">
        <w:t xml:space="preserve">Intermittent rains </w:t>
      </w:r>
      <w:r>
        <w:t xml:space="preserve">may </w:t>
      </w:r>
      <w:r w:rsidRPr="0079065B">
        <w:t>provide the best dispersal</w:t>
      </w:r>
      <w:r>
        <w:t xml:space="preserve"> mechanism</w:t>
      </w:r>
      <w:r w:rsidRPr="0079065B">
        <w:t xml:space="preserve"> </w:t>
      </w:r>
      <w:r>
        <w:rPr>
          <w:noProof/>
        </w:rPr>
        <w:t>(Coventry 2011)</w:t>
      </w:r>
      <w:r w:rsidRPr="0079065B">
        <w:t>.</w:t>
      </w:r>
    </w:p>
    <w:p w14:paraId="70A90AB3" w14:textId="77777777" w:rsidR="003438A2" w:rsidRDefault="003438A2" w:rsidP="003438A2">
      <w:pPr>
        <w:pStyle w:val="ListBullet"/>
      </w:pPr>
      <w:r>
        <w:t>M</w:t>
      </w:r>
      <w:r w:rsidRPr="00876E68">
        <w:t>any regions of Australia have hot and dry summer</w:t>
      </w:r>
      <w:r>
        <w:t>s</w:t>
      </w:r>
      <w:r w:rsidRPr="00876E68">
        <w:t xml:space="preserve"> </w:t>
      </w:r>
      <w:r>
        <w:t>with</w:t>
      </w:r>
      <w:r w:rsidRPr="00876E68">
        <w:t xml:space="preserve"> </w:t>
      </w:r>
      <w:r>
        <w:t>maximum</w:t>
      </w:r>
      <w:r w:rsidRPr="00876E68">
        <w:t xml:space="preserve"> temperatures over </w:t>
      </w:r>
      <w:r>
        <w:t>30</w:t>
      </w:r>
      <w:r w:rsidRPr="00223363">
        <w:t>°</w:t>
      </w:r>
      <w:r w:rsidRPr="000E092A">
        <w:t>C</w:t>
      </w:r>
      <w:r w:rsidRPr="00876E68">
        <w:t xml:space="preserve"> for </w:t>
      </w:r>
      <w:r>
        <w:t>periods of</w:t>
      </w:r>
      <w:r w:rsidRPr="00876E68">
        <w:t xml:space="preserve"> weeks </w:t>
      </w:r>
      <w:r>
        <w:t xml:space="preserve">to months </w:t>
      </w:r>
      <w:r>
        <w:rPr>
          <w:noProof/>
        </w:rPr>
        <w:t>(Bureau of Meteorology 2018)</w:t>
      </w:r>
      <w:r>
        <w:t xml:space="preserve">. Dispersal of conidia of </w:t>
      </w:r>
      <w:r w:rsidRPr="008721F1">
        <w:rPr>
          <w:rFonts w:eastAsia="Times New Roman"/>
          <w:i/>
          <w:color w:val="000000"/>
          <w:szCs w:val="24"/>
        </w:rPr>
        <w:t>S. pyriputrescens</w:t>
      </w:r>
      <w:r>
        <w:rPr>
          <w:rFonts w:eastAsia="Times New Roman"/>
          <w:i/>
          <w:color w:val="000000"/>
          <w:szCs w:val="24"/>
        </w:rPr>
        <w:t xml:space="preserve"> </w:t>
      </w:r>
      <w:r>
        <w:t xml:space="preserve">from fruit waste discarded during hot and dry conditions to a nearby host is likely to be restricted. </w:t>
      </w:r>
    </w:p>
    <w:p w14:paraId="200C5683" w14:textId="77777777" w:rsidR="003438A2" w:rsidRDefault="003438A2" w:rsidP="003438A2">
      <w:pPr>
        <w:pStyle w:val="ListBullet"/>
      </w:pPr>
      <w:r>
        <w:t>During</w:t>
      </w:r>
      <w:r w:rsidRPr="00276DE5">
        <w:t xml:space="preserve"> the </w:t>
      </w:r>
      <w:r>
        <w:t xml:space="preserve">remainder of the </w:t>
      </w:r>
      <w:r w:rsidRPr="00276DE5">
        <w:t xml:space="preserve">year the climate in </w:t>
      </w:r>
      <w:r>
        <w:t>some Australian</w:t>
      </w:r>
      <w:r w:rsidRPr="00276DE5">
        <w:t xml:space="preserve"> regions</w:t>
      </w:r>
      <w:r>
        <w:t xml:space="preserve"> could support</w:t>
      </w:r>
      <w:r w:rsidRPr="00276DE5">
        <w:t xml:space="preserve"> conidial</w:t>
      </w:r>
      <w:r>
        <w:t xml:space="preserve"> dispersal.</w:t>
      </w:r>
    </w:p>
    <w:p w14:paraId="145F9F35" w14:textId="77777777" w:rsidR="003438A2" w:rsidRDefault="003438A2" w:rsidP="00862DBA">
      <w:r w:rsidRPr="0023434B">
        <w:rPr>
          <w:i/>
        </w:rPr>
        <w:t>Sphaeropsis</w:t>
      </w:r>
      <w:r w:rsidRPr="0023434B">
        <w:t xml:space="preserve"> </w:t>
      </w:r>
      <w:r w:rsidRPr="0023434B">
        <w:rPr>
          <w:i/>
        </w:rPr>
        <w:t>pyriputrescens</w:t>
      </w:r>
      <w:r w:rsidRPr="0023434B">
        <w:t xml:space="preserve"> </w:t>
      </w:r>
      <w:r>
        <w:t xml:space="preserve">has the ability </w:t>
      </w:r>
      <w:r w:rsidRPr="00194CE2">
        <w:t xml:space="preserve">to </w:t>
      </w:r>
      <w:r>
        <w:t>persist for long periods and survive</w:t>
      </w:r>
      <w:r w:rsidRPr="00194CE2">
        <w:t xml:space="preserve"> </w:t>
      </w:r>
      <w:r>
        <w:t xml:space="preserve">low </w:t>
      </w:r>
      <w:r w:rsidRPr="00194CE2">
        <w:t xml:space="preserve">temperatures </w:t>
      </w:r>
      <w:r>
        <w:t xml:space="preserve">during </w:t>
      </w:r>
      <w:r w:rsidRPr="00194CE2">
        <w:t>storage and transpor</w:t>
      </w:r>
      <w:r>
        <w:t xml:space="preserve">tation in Australia. Some </w:t>
      </w:r>
      <w:r w:rsidRPr="009F1545">
        <w:t xml:space="preserve">infected </w:t>
      </w:r>
      <w:r>
        <w:rPr>
          <w:rFonts w:eastAsia="Times New Roman"/>
          <w:iCs/>
          <w:color w:val="000000"/>
          <w:szCs w:val="24"/>
        </w:rPr>
        <w:t>fruit waste</w:t>
      </w:r>
      <w:r w:rsidRPr="008721F1">
        <w:rPr>
          <w:rFonts w:eastAsia="Times New Roman"/>
          <w:i/>
          <w:color w:val="000000"/>
          <w:szCs w:val="24"/>
        </w:rPr>
        <w:t xml:space="preserve"> </w:t>
      </w:r>
      <w:r>
        <w:rPr>
          <w:rFonts w:eastAsia="Times New Roman"/>
          <w:color w:val="000000"/>
          <w:szCs w:val="24"/>
        </w:rPr>
        <w:t>may</w:t>
      </w:r>
      <w:r w:rsidRPr="008721F1">
        <w:rPr>
          <w:rFonts w:eastAsia="Times New Roman"/>
          <w:color w:val="000000"/>
          <w:szCs w:val="24"/>
        </w:rPr>
        <w:t xml:space="preserve"> </w:t>
      </w:r>
      <w:r>
        <w:rPr>
          <w:rFonts w:eastAsia="Times New Roman"/>
          <w:color w:val="000000"/>
          <w:szCs w:val="24"/>
        </w:rPr>
        <w:t>be discarded into</w:t>
      </w:r>
      <w:r w:rsidRPr="008721F1">
        <w:rPr>
          <w:rFonts w:eastAsia="Times New Roman"/>
          <w:color w:val="000000"/>
          <w:szCs w:val="24"/>
        </w:rPr>
        <w:t xml:space="preserve"> the Australian environment</w:t>
      </w:r>
      <w:r>
        <w:rPr>
          <w:rFonts w:eastAsia="Times New Roman"/>
          <w:color w:val="000000"/>
          <w:szCs w:val="24"/>
        </w:rPr>
        <w:t xml:space="preserve">. </w:t>
      </w:r>
      <w:r>
        <w:t xml:space="preserve">Hosts of </w:t>
      </w:r>
      <w:r w:rsidRPr="005B055F">
        <w:rPr>
          <w:i/>
        </w:rPr>
        <w:t>S. pyriputrescens</w:t>
      </w:r>
      <w:r w:rsidRPr="00181BDF">
        <w:rPr>
          <w:iCs/>
        </w:rPr>
        <w:t xml:space="preserve"> </w:t>
      </w:r>
      <w:r>
        <w:t xml:space="preserve">are widely distributed in various parts of Australia. Inoculum production on fruit waste discarded during hot and dry </w:t>
      </w:r>
      <w:r>
        <w:lastRenderedPageBreak/>
        <w:t>conditions is likely to be restricted. Inoculum production may also be restricted due to</w:t>
      </w:r>
      <w:r w:rsidRPr="004A2E85">
        <w:t xml:space="preserve"> colonisation of </w:t>
      </w:r>
      <w:r>
        <w:t xml:space="preserve">discarded </w:t>
      </w:r>
      <w:r w:rsidRPr="004A2E85">
        <w:t xml:space="preserve">fruit </w:t>
      </w:r>
      <w:r>
        <w:t xml:space="preserve">waste </w:t>
      </w:r>
      <w:r w:rsidRPr="004A2E85">
        <w:t>by saprophytic fungi or bacteria</w:t>
      </w:r>
      <w:r>
        <w:t xml:space="preserve">. Conidial dispersal is also likely to be restricted if infected fruit waste is discarded into the Australian environment during hot and dry conditions. For the reasons outlined, the likelihood of distribution for </w:t>
      </w:r>
      <w:r w:rsidRPr="00194CE2">
        <w:rPr>
          <w:i/>
        </w:rPr>
        <w:t>S. pyriputrescens</w:t>
      </w:r>
      <w:r w:rsidRPr="00194CE2">
        <w:t xml:space="preserve"> </w:t>
      </w:r>
      <w:r>
        <w:t>on apples from the PNW-USA is assessed</w:t>
      </w:r>
      <w:r w:rsidRPr="00B073D0">
        <w:t xml:space="preserve"> </w:t>
      </w:r>
      <w:r>
        <w:t>as Low</w:t>
      </w:r>
      <w:r w:rsidRPr="00B812BD">
        <w:t>.</w:t>
      </w:r>
    </w:p>
    <w:p w14:paraId="336B6FE6" w14:textId="77777777" w:rsidR="003438A2" w:rsidRPr="00464D2F" w:rsidRDefault="003438A2" w:rsidP="00862DBA">
      <w:pPr>
        <w:pStyle w:val="Heading5"/>
      </w:pPr>
      <w:r w:rsidRPr="00464D2F">
        <w:t>Overall likelihood of entry</w:t>
      </w:r>
    </w:p>
    <w:p w14:paraId="3BB09482" w14:textId="77777777" w:rsidR="003438A2" w:rsidRPr="00194CE2" w:rsidRDefault="003438A2" w:rsidP="00862DBA">
      <w:r w:rsidRPr="00194CE2">
        <w:t>The overall likelihood of entry is determined by combining the likelihood</w:t>
      </w:r>
      <w:r>
        <w:t>s</w:t>
      </w:r>
      <w:r w:rsidRPr="00194CE2">
        <w:t xml:space="preserve"> of importation </w:t>
      </w:r>
      <w:r>
        <w:t>and</w:t>
      </w:r>
      <w:r w:rsidRPr="00194CE2">
        <w:t xml:space="preserve"> distribution using the matrix of rule</w:t>
      </w:r>
      <w:r>
        <w:t xml:space="preserve">s shown in </w:t>
      </w:r>
      <w:r>
        <w:fldChar w:fldCharType="begin" w:fldLock="1"/>
      </w:r>
      <w:r>
        <w:instrText xml:space="preserve"> REF _Ref457826328 \h </w:instrText>
      </w:r>
      <w:r>
        <w:fldChar w:fldCharType="separate"/>
      </w:r>
      <w:r w:rsidRPr="00DB5F8D">
        <w:t xml:space="preserve">Table </w:t>
      </w:r>
      <w:r>
        <w:rPr>
          <w:noProof/>
        </w:rPr>
        <w:t>2</w:t>
      </w:r>
      <w:r>
        <w:t>.</w:t>
      </w:r>
      <w:r>
        <w:rPr>
          <w:noProof/>
        </w:rPr>
        <w:t>2</w:t>
      </w:r>
      <w:r>
        <w:fldChar w:fldCharType="end"/>
      </w:r>
      <w:r>
        <w:t>.</w:t>
      </w:r>
    </w:p>
    <w:p w14:paraId="003E23C9" w14:textId="77777777" w:rsidR="003438A2" w:rsidRPr="00194CE2" w:rsidRDefault="003438A2" w:rsidP="00862DBA">
      <w:r>
        <w:t xml:space="preserve">The likelihood that </w:t>
      </w:r>
      <w:r w:rsidRPr="00194CE2">
        <w:rPr>
          <w:i/>
        </w:rPr>
        <w:t>S</w:t>
      </w:r>
      <w:r>
        <w:rPr>
          <w:i/>
        </w:rPr>
        <w:t>.</w:t>
      </w:r>
      <w:r w:rsidRPr="00194CE2">
        <w:rPr>
          <w:i/>
        </w:rPr>
        <w:t xml:space="preserve"> pyriputrescens</w:t>
      </w:r>
      <w:r w:rsidRPr="00194CE2">
        <w:t xml:space="preserve"> will enter Australia as a result of trade in the commodity and be distributed in a viable state to a </w:t>
      </w:r>
      <w:r>
        <w:t>susceptible</w:t>
      </w:r>
      <w:r w:rsidRPr="00194CE2">
        <w:t xml:space="preserve"> host</w:t>
      </w:r>
      <w:r>
        <w:t xml:space="preserve"> is assessed as Low</w:t>
      </w:r>
      <w:r w:rsidRPr="00B262C4">
        <w:t>.</w:t>
      </w:r>
    </w:p>
    <w:p w14:paraId="6AEF805A" w14:textId="77777777" w:rsidR="003438A2" w:rsidRPr="00AB1BD9" w:rsidRDefault="003438A2" w:rsidP="00F843A1">
      <w:pPr>
        <w:pStyle w:val="Heading4"/>
        <w:numPr>
          <w:ilvl w:val="2"/>
          <w:numId w:val="35"/>
        </w:numPr>
        <w:tabs>
          <w:tab w:val="num" w:pos="1929"/>
        </w:tabs>
        <w:ind w:left="1929"/>
      </w:pPr>
      <w:r w:rsidRPr="00AB1BD9">
        <w:t>Likelihood of establishment</w:t>
      </w:r>
    </w:p>
    <w:p w14:paraId="011BEE98" w14:textId="77777777" w:rsidR="003438A2" w:rsidRPr="00B262C4" w:rsidRDefault="003438A2" w:rsidP="00862DBA">
      <w:r w:rsidRPr="00194CE2">
        <w:t xml:space="preserve">The likelihood that </w:t>
      </w:r>
      <w:r w:rsidRPr="00194CE2">
        <w:rPr>
          <w:i/>
        </w:rPr>
        <w:t>S</w:t>
      </w:r>
      <w:r>
        <w:rPr>
          <w:i/>
        </w:rPr>
        <w:t>.</w:t>
      </w:r>
      <w:r w:rsidRPr="00194CE2">
        <w:rPr>
          <w:i/>
        </w:rPr>
        <w:t xml:space="preserve"> pyriputrescens</w:t>
      </w:r>
      <w:r w:rsidRPr="00194CE2">
        <w:t xml:space="preserve"> will establish </w:t>
      </w:r>
      <w:r>
        <w:t xml:space="preserve">within Australia, </w:t>
      </w:r>
      <w:r w:rsidRPr="00194CE2">
        <w:t>based on a comparison of factors in the source and destination areas that affect pest survival and reproduction</w:t>
      </w:r>
      <w:r>
        <w:t>, is assessed as Moderate.</w:t>
      </w:r>
    </w:p>
    <w:p w14:paraId="279CDC51" w14:textId="77777777" w:rsidR="003438A2" w:rsidRDefault="003438A2" w:rsidP="00862DBA">
      <w:r>
        <w:t>The following information provides supporting evidence for this assessment.</w:t>
      </w:r>
    </w:p>
    <w:p w14:paraId="47BCD183" w14:textId="77777777" w:rsidR="003438A2" w:rsidRDefault="003438A2" w:rsidP="00862DBA">
      <w:pPr>
        <w:rPr>
          <w:rFonts w:eastAsia="Times New Roman"/>
          <w:color w:val="000000"/>
          <w:szCs w:val="24"/>
        </w:rPr>
      </w:pPr>
      <w:r>
        <w:t xml:space="preserve">Known hosts of </w:t>
      </w:r>
      <w:r w:rsidRPr="00194CE2">
        <w:rPr>
          <w:i/>
        </w:rPr>
        <w:t>Sphaeropsis</w:t>
      </w:r>
      <w:r w:rsidRPr="00194CE2">
        <w:t xml:space="preserve"> </w:t>
      </w:r>
      <w:r w:rsidRPr="00194CE2">
        <w:rPr>
          <w:i/>
        </w:rPr>
        <w:t>pyriputrescens</w:t>
      </w:r>
      <w:r>
        <w:t xml:space="preserve"> are widely present within Australia and climatic conditions in regions where hosts are present are likely to be suitable for the establishment of </w:t>
      </w:r>
      <w:r w:rsidRPr="00194CE2">
        <w:rPr>
          <w:i/>
        </w:rPr>
        <w:t>S. pyriputrescens</w:t>
      </w:r>
      <w:r>
        <w:rPr>
          <w:i/>
        </w:rPr>
        <w:t>.</w:t>
      </w:r>
    </w:p>
    <w:p w14:paraId="31BE7BE0" w14:textId="77777777" w:rsidR="003438A2" w:rsidRDefault="003438A2" w:rsidP="003438A2">
      <w:pPr>
        <w:pStyle w:val="ListBullet"/>
      </w:pPr>
      <w:r>
        <w:t xml:space="preserve">Plant </w:t>
      </w:r>
      <w:r w:rsidRPr="00AF5D81">
        <w:t xml:space="preserve">hosts of </w:t>
      </w:r>
      <w:r w:rsidRPr="00DD3724">
        <w:rPr>
          <w:i/>
        </w:rPr>
        <w:t>S. pyriputrescens</w:t>
      </w:r>
      <w:r w:rsidRPr="00256733">
        <w:t xml:space="preserve"> </w:t>
      </w:r>
      <w:r w:rsidRPr="00AF5D81">
        <w:t>(apple</w:t>
      </w:r>
      <w:r>
        <w:t xml:space="preserve">, pears </w:t>
      </w:r>
      <w:r w:rsidRPr="00AF5D81">
        <w:t>and crabapple)</w:t>
      </w:r>
      <w:r>
        <w:t xml:space="preserve"> </w:t>
      </w:r>
      <w:r>
        <w:rPr>
          <w:noProof/>
        </w:rPr>
        <w:t>(Kim &amp; Xiao 2008; Xiao &amp; Boal 2005b; Xiao &amp; Rogers 2004; Xiao 2006)</w:t>
      </w:r>
      <w:r w:rsidRPr="00DD3724">
        <w:rPr>
          <w:rFonts w:eastAsia="Calibri"/>
        </w:rPr>
        <w:t xml:space="preserve"> are </w:t>
      </w:r>
      <w:r w:rsidRPr="00A31CDA">
        <w:t xml:space="preserve">widely </w:t>
      </w:r>
      <w:r>
        <w:t>present</w:t>
      </w:r>
      <w:r w:rsidRPr="00A31CDA">
        <w:t xml:space="preserve"> within Australia in commercial orchard districts</w:t>
      </w:r>
      <w:r>
        <w:t xml:space="preserve"> and</w:t>
      </w:r>
      <w:r w:rsidRPr="00A31CDA">
        <w:t xml:space="preserve"> suburban and rural areas.</w:t>
      </w:r>
    </w:p>
    <w:p w14:paraId="73A3041B" w14:textId="77777777" w:rsidR="003438A2" w:rsidRDefault="003438A2" w:rsidP="003438A2">
      <w:pPr>
        <w:pStyle w:val="ListBullet"/>
      </w:pPr>
      <w:r w:rsidRPr="001869FD">
        <w:rPr>
          <w:i/>
        </w:rPr>
        <w:t>Sphaeropsis</w:t>
      </w:r>
      <w:r w:rsidRPr="001869FD">
        <w:t xml:space="preserve"> </w:t>
      </w:r>
      <w:r w:rsidRPr="001869FD">
        <w:rPr>
          <w:i/>
        </w:rPr>
        <w:t>pyriputrescens</w:t>
      </w:r>
      <w:r w:rsidRPr="001869FD">
        <w:t xml:space="preserve"> c</w:t>
      </w:r>
      <w:r>
        <w:t>an</w:t>
      </w:r>
      <w:r w:rsidRPr="001869FD">
        <w:t xml:space="preserve"> survive and grow over a wide range of temperatures. Under experimental conditions, myceli</w:t>
      </w:r>
      <w:r>
        <w:t>a</w:t>
      </w:r>
      <w:r w:rsidRPr="001869FD">
        <w:t xml:space="preserve"> of the fungus</w:t>
      </w:r>
      <w:r>
        <w:t xml:space="preserve"> can</w:t>
      </w:r>
      <w:r w:rsidRPr="001869FD">
        <w:t xml:space="preserve"> grow at temperatures </w:t>
      </w:r>
      <w:r>
        <w:t xml:space="preserve">from </w:t>
      </w:r>
      <w:r w:rsidRPr="001869FD">
        <w:t>–3</w:t>
      </w:r>
      <w:r w:rsidRPr="00223363">
        <w:t>°</w:t>
      </w:r>
      <w:r>
        <w:t>C</w:t>
      </w:r>
      <w:r w:rsidRPr="001869FD">
        <w:t xml:space="preserve"> to 25</w:t>
      </w:r>
      <w:r w:rsidRPr="00223363">
        <w:t>°</w:t>
      </w:r>
      <w:r w:rsidRPr="000E092A">
        <w:t>C</w:t>
      </w:r>
      <w:r w:rsidRPr="001869FD">
        <w:t xml:space="preserve"> </w:t>
      </w:r>
      <w:r>
        <w:rPr>
          <w:noProof/>
        </w:rPr>
        <w:t>(Kim, Xiao &amp; Rogers 2005)</w:t>
      </w:r>
      <w:r w:rsidRPr="001869FD">
        <w:t xml:space="preserve">, indicating </w:t>
      </w:r>
      <w:r>
        <w:t>suitable</w:t>
      </w:r>
      <w:r w:rsidRPr="001869FD">
        <w:t xml:space="preserve"> conditions </w:t>
      </w:r>
      <w:r>
        <w:t>for establishment of the fungus will be available</w:t>
      </w:r>
      <w:r w:rsidRPr="001869FD">
        <w:t xml:space="preserve"> in various parts of Australia.</w:t>
      </w:r>
    </w:p>
    <w:p w14:paraId="4FE187CE" w14:textId="77777777" w:rsidR="003438A2" w:rsidRDefault="003438A2" w:rsidP="003438A2">
      <w:pPr>
        <w:pStyle w:val="ListBullet"/>
        <w:tabs>
          <w:tab w:val="clear" w:pos="567"/>
        </w:tabs>
      </w:pPr>
      <w:r w:rsidRPr="001F71B8">
        <w:t xml:space="preserve">Conidia of </w:t>
      </w:r>
      <w:r w:rsidRPr="00DD3724">
        <w:rPr>
          <w:i/>
        </w:rPr>
        <w:t>S. pyriputrescens</w:t>
      </w:r>
      <w:r w:rsidRPr="001F71B8">
        <w:t xml:space="preserve"> germinate </w:t>
      </w:r>
      <w:r>
        <w:t>over</w:t>
      </w:r>
      <w:r w:rsidRPr="001F71B8">
        <w:t xml:space="preserve"> </w:t>
      </w:r>
      <w:r>
        <w:t xml:space="preserve">a wide temperature range from </w:t>
      </w:r>
      <w:r w:rsidRPr="001F71B8">
        <w:t>0</w:t>
      </w:r>
      <w:r w:rsidRPr="00223363">
        <w:t>°</w:t>
      </w:r>
      <w:r>
        <w:t xml:space="preserve">C </w:t>
      </w:r>
      <w:r w:rsidRPr="001F71B8">
        <w:t>to 30</w:t>
      </w:r>
      <w:r w:rsidRPr="00223363">
        <w:t>°</w:t>
      </w:r>
      <w:r w:rsidRPr="000E092A">
        <w:t>C</w:t>
      </w:r>
      <w:r w:rsidRPr="001F71B8">
        <w:t xml:space="preserve"> </w:t>
      </w:r>
      <w:r>
        <w:rPr>
          <w:noProof/>
        </w:rPr>
        <w:t>(Narayanasamy 2011; WSU 2005)</w:t>
      </w:r>
      <w:r>
        <w:t>, but</w:t>
      </w:r>
      <w:r w:rsidRPr="001F71B8">
        <w:t xml:space="preserve"> require a minimum </w:t>
      </w:r>
      <w:r>
        <w:t xml:space="preserve">period </w:t>
      </w:r>
      <w:r w:rsidRPr="001F71B8">
        <w:t xml:space="preserve">of </w:t>
      </w:r>
      <w:r>
        <w:t>4 to 8</w:t>
      </w:r>
      <w:r w:rsidRPr="001F71B8">
        <w:t xml:space="preserve"> hours of moisture to produce germ tubes at optimum temperature </w:t>
      </w:r>
      <w:r>
        <w:rPr>
          <w:noProof/>
        </w:rPr>
        <w:t>(Xiao 2015)</w:t>
      </w:r>
      <w:r w:rsidRPr="001F71B8">
        <w:t xml:space="preserve">. </w:t>
      </w:r>
      <w:r w:rsidRPr="00DD3724">
        <w:rPr>
          <w:i/>
        </w:rPr>
        <w:t>Sphaeropsis</w:t>
      </w:r>
      <w:r w:rsidRPr="001869FD">
        <w:t xml:space="preserve"> </w:t>
      </w:r>
      <w:r w:rsidRPr="00DD3724">
        <w:rPr>
          <w:i/>
        </w:rPr>
        <w:t xml:space="preserve">pyriputrescens </w:t>
      </w:r>
      <w:r>
        <w:t>requires</w:t>
      </w:r>
      <w:r w:rsidRPr="001F71B8">
        <w:t xml:space="preserve"> 20 to 24 hours of </w:t>
      </w:r>
      <w:r>
        <w:t>dampness</w:t>
      </w:r>
      <w:r w:rsidRPr="001F71B8">
        <w:t xml:space="preserve"> to</w:t>
      </w:r>
      <w:r>
        <w:t xml:space="preserve"> reach germination peaks.</w:t>
      </w:r>
    </w:p>
    <w:p w14:paraId="1A23B764" w14:textId="77777777" w:rsidR="003438A2" w:rsidRDefault="003438A2" w:rsidP="003438A2">
      <w:pPr>
        <w:pStyle w:val="ListBullet"/>
      </w:pPr>
      <w:r>
        <w:t>Some</w:t>
      </w:r>
      <w:r w:rsidRPr="00096AD4">
        <w:t xml:space="preserve"> regions of </w:t>
      </w:r>
      <w:r>
        <w:t xml:space="preserve">southern </w:t>
      </w:r>
      <w:r w:rsidRPr="00096AD4">
        <w:t xml:space="preserve">Australia </w:t>
      </w:r>
      <w:r>
        <w:t>are considered to</w:t>
      </w:r>
      <w:r w:rsidRPr="00096AD4">
        <w:t xml:space="preserve"> have </w:t>
      </w:r>
      <w:r>
        <w:t>climates</w:t>
      </w:r>
      <w:r w:rsidRPr="00096AD4">
        <w:t xml:space="preserve"> similar to </w:t>
      </w:r>
      <w:r>
        <w:t xml:space="preserve">the </w:t>
      </w:r>
      <w:r w:rsidRPr="00096AD4">
        <w:t xml:space="preserve">PNW-USA </w:t>
      </w:r>
      <w:r>
        <w:t xml:space="preserve">for </w:t>
      </w:r>
      <w:r w:rsidRPr="00096AD4">
        <w:t>most of the year</w:t>
      </w:r>
      <w:r>
        <w:t>;</w:t>
      </w:r>
      <w:r w:rsidRPr="00096AD4">
        <w:t xml:space="preserve"> </w:t>
      </w:r>
      <w:r>
        <w:t xml:space="preserve">these conditions are likely to </w:t>
      </w:r>
      <w:r w:rsidRPr="00096AD4">
        <w:t xml:space="preserve">favour </w:t>
      </w:r>
      <w:r>
        <w:t xml:space="preserve">survival and </w:t>
      </w:r>
      <w:r w:rsidRPr="00096AD4">
        <w:t xml:space="preserve">establishment of </w:t>
      </w:r>
      <w:r w:rsidRPr="00096AD4">
        <w:rPr>
          <w:i/>
        </w:rPr>
        <w:t>S. pyriputrescens</w:t>
      </w:r>
      <w:r w:rsidRPr="00096AD4">
        <w:t>.</w:t>
      </w:r>
    </w:p>
    <w:p w14:paraId="673F2ABA" w14:textId="77777777" w:rsidR="003438A2" w:rsidRPr="00096AD4" w:rsidRDefault="003438A2" w:rsidP="003438A2">
      <w:pPr>
        <w:pStyle w:val="ListBullet"/>
      </w:pPr>
      <w:r w:rsidRPr="00096AD4">
        <w:rPr>
          <w:i/>
        </w:rPr>
        <w:t>S. pyriputrescens</w:t>
      </w:r>
      <w:r w:rsidRPr="00096AD4">
        <w:t xml:space="preserve"> is unlikely to </w:t>
      </w:r>
      <w:r>
        <w:t xml:space="preserve">be able to </w:t>
      </w:r>
      <w:r w:rsidRPr="00096AD4">
        <w:t xml:space="preserve">establish </w:t>
      </w:r>
      <w:r>
        <w:t xml:space="preserve">in parts of Australia </w:t>
      </w:r>
      <w:r w:rsidRPr="00096AD4">
        <w:t xml:space="preserve">during the </w:t>
      </w:r>
      <w:r>
        <w:t>hot, dry</w:t>
      </w:r>
      <w:r w:rsidRPr="00096AD4">
        <w:t xml:space="preserve"> summer conditions</w:t>
      </w:r>
      <w:r>
        <w:t xml:space="preserve"> as t</w:t>
      </w:r>
      <w:r w:rsidRPr="00194CE2">
        <w:t xml:space="preserve">he fungus does not grow at </w:t>
      </w:r>
      <w:r>
        <w:t xml:space="preserve">or above </w:t>
      </w:r>
      <w:r w:rsidRPr="00194CE2">
        <w:t>30</w:t>
      </w:r>
      <w:r w:rsidRPr="00223363">
        <w:t>°</w:t>
      </w:r>
      <w:r w:rsidRPr="000E092A">
        <w:t>C</w:t>
      </w:r>
      <w:r w:rsidRPr="00194CE2">
        <w:t xml:space="preserve"> </w:t>
      </w:r>
      <w:r>
        <w:rPr>
          <w:noProof/>
        </w:rPr>
        <w:t>(Kim, Xiao &amp; Rogers 2005; Narayanasamy 2011; Xiao &amp; Boal 2005b)</w:t>
      </w:r>
      <w:r w:rsidRPr="001F71B8">
        <w:t>.</w:t>
      </w:r>
    </w:p>
    <w:p w14:paraId="7D5712A2" w14:textId="77777777" w:rsidR="003438A2" w:rsidRDefault="003438A2" w:rsidP="003438A2">
      <w:pPr>
        <w:pStyle w:val="ListBullet"/>
        <w:tabs>
          <w:tab w:val="clear" w:pos="567"/>
        </w:tabs>
      </w:pPr>
      <w:r>
        <w:t xml:space="preserve">The overwintering and survival properties of pycnidia of </w:t>
      </w:r>
      <w:r w:rsidRPr="00F4527D">
        <w:rPr>
          <w:i/>
        </w:rPr>
        <w:t>S. pyriputrescens</w:t>
      </w:r>
      <w:r w:rsidRPr="001F71B8">
        <w:t xml:space="preserve"> </w:t>
      </w:r>
      <w:r>
        <w:t>on dead and living tissues of hosts may allow the pathogen to survive and re-grow when favourable conditions are available in Australia.</w:t>
      </w:r>
    </w:p>
    <w:p w14:paraId="1072D4BB" w14:textId="77777777" w:rsidR="003438A2" w:rsidRDefault="003438A2" w:rsidP="00862DBA">
      <w:r>
        <w:t xml:space="preserve">Known hosts of </w:t>
      </w:r>
      <w:r w:rsidRPr="00F4527D">
        <w:rPr>
          <w:i/>
        </w:rPr>
        <w:t>S. pyriputrescens</w:t>
      </w:r>
      <w:r w:rsidRPr="001F71B8">
        <w:t xml:space="preserve"> </w:t>
      </w:r>
      <w:r>
        <w:t xml:space="preserve">are limited to apples, crabapples and pears, however, these hosts are widely present within Australia. </w:t>
      </w:r>
      <w:r w:rsidRPr="00C76BCB">
        <w:t xml:space="preserve">The cooler </w:t>
      </w:r>
      <w:r>
        <w:t xml:space="preserve">optimal </w:t>
      </w:r>
      <w:r w:rsidRPr="00C76BCB">
        <w:t xml:space="preserve">temperatures and </w:t>
      </w:r>
      <w:r>
        <w:t>dampness</w:t>
      </w:r>
      <w:r w:rsidRPr="00C76BCB">
        <w:t xml:space="preserve"> durations </w:t>
      </w:r>
      <w:r>
        <w:t>required for</w:t>
      </w:r>
      <w:r w:rsidRPr="00194CE2">
        <w:t xml:space="preserve"> </w:t>
      </w:r>
      <w:r>
        <w:t xml:space="preserve">successful </w:t>
      </w:r>
      <w:r w:rsidRPr="00194CE2">
        <w:t>conidia</w:t>
      </w:r>
      <w:r>
        <w:t>l</w:t>
      </w:r>
      <w:r w:rsidRPr="00194CE2">
        <w:t xml:space="preserve"> germination</w:t>
      </w:r>
      <w:r>
        <w:t xml:space="preserve"> and mycelial growth exist in m</w:t>
      </w:r>
      <w:r w:rsidRPr="00096AD4">
        <w:t>any regions of Australia</w:t>
      </w:r>
      <w:r>
        <w:t>.</w:t>
      </w:r>
      <w:r w:rsidRPr="00096AD4">
        <w:t xml:space="preserve"> </w:t>
      </w:r>
      <w:r>
        <w:t>Suitable conditions will enable t</w:t>
      </w:r>
      <w:r w:rsidRPr="00194CE2">
        <w:t xml:space="preserve">he fungus </w:t>
      </w:r>
      <w:r>
        <w:t xml:space="preserve">to successfully establish after </w:t>
      </w:r>
      <w:r>
        <w:lastRenderedPageBreak/>
        <w:t xml:space="preserve">being distributed to suitable hosts in a viable state. </w:t>
      </w:r>
      <w:bookmarkStart w:id="445" w:name="_Hlk38896437"/>
      <w:r>
        <w:t xml:space="preserve">Successful establishment is likely to be limited during the hot, dry Australian summer. The ability of the pathogen to </w:t>
      </w:r>
      <w:r w:rsidRPr="00194CE2">
        <w:t>survive on both live and dead tissues of its hosts</w:t>
      </w:r>
      <w:r>
        <w:t xml:space="preserve"> by forming pycnidia</w:t>
      </w:r>
      <w:r w:rsidRPr="00096AD4">
        <w:t xml:space="preserve"> </w:t>
      </w:r>
      <w:r>
        <w:t>will allow the pathogen to persist and initiate subsequent cycles of infection.</w:t>
      </w:r>
    </w:p>
    <w:bookmarkEnd w:id="445"/>
    <w:p w14:paraId="2057B16C" w14:textId="77777777" w:rsidR="003438A2" w:rsidRPr="008624D5" w:rsidRDefault="003438A2" w:rsidP="00862DBA">
      <w:r>
        <w:t>For the reasons outlined, the likelihood of</w:t>
      </w:r>
      <w:r w:rsidRPr="00194CE2">
        <w:t xml:space="preserve"> </w:t>
      </w:r>
      <w:r>
        <w:rPr>
          <w:i/>
        </w:rPr>
        <w:t>S. </w:t>
      </w:r>
      <w:r w:rsidRPr="00194CE2">
        <w:rPr>
          <w:i/>
        </w:rPr>
        <w:t>pyriputrescens</w:t>
      </w:r>
      <w:r>
        <w:rPr>
          <w:i/>
        </w:rPr>
        <w:t xml:space="preserve"> </w:t>
      </w:r>
      <w:r>
        <w:rPr>
          <w:iCs/>
        </w:rPr>
        <w:t xml:space="preserve">establishing in Australia </w:t>
      </w:r>
      <w:r>
        <w:t xml:space="preserve">from imported apples from the PNW-USA is rated as </w:t>
      </w:r>
      <w:r w:rsidRPr="008624D5">
        <w:t>Moderate.</w:t>
      </w:r>
    </w:p>
    <w:p w14:paraId="5F3E4B82" w14:textId="77777777" w:rsidR="003438A2" w:rsidRPr="00AB1BD9" w:rsidRDefault="003438A2" w:rsidP="00F843A1">
      <w:pPr>
        <w:pStyle w:val="Heading4"/>
        <w:numPr>
          <w:ilvl w:val="2"/>
          <w:numId w:val="35"/>
        </w:numPr>
        <w:tabs>
          <w:tab w:val="num" w:pos="1929"/>
        </w:tabs>
        <w:ind w:left="1929"/>
      </w:pPr>
      <w:r w:rsidRPr="00AB1BD9">
        <w:t>Likelihood of spread</w:t>
      </w:r>
    </w:p>
    <w:p w14:paraId="73E39ACE" w14:textId="77777777" w:rsidR="003438A2" w:rsidRPr="00CC7B57" w:rsidRDefault="003438A2" w:rsidP="00862DBA">
      <w:r w:rsidRPr="00194CE2">
        <w:t xml:space="preserve">The likelihood that </w:t>
      </w:r>
      <w:r w:rsidRPr="00194CE2">
        <w:rPr>
          <w:i/>
        </w:rPr>
        <w:t>S</w:t>
      </w:r>
      <w:r>
        <w:rPr>
          <w:i/>
        </w:rPr>
        <w:t>.</w:t>
      </w:r>
      <w:r w:rsidRPr="00194CE2">
        <w:rPr>
          <w:i/>
        </w:rPr>
        <w:t xml:space="preserve"> pyriputrescens</w:t>
      </w:r>
      <w:r w:rsidRPr="00194CE2">
        <w:t xml:space="preserve"> will spread </w:t>
      </w:r>
      <w:r>
        <w:t xml:space="preserve">within Australia, </w:t>
      </w:r>
      <w:r w:rsidRPr="00194CE2">
        <w:t xml:space="preserve">based on a comparison of factors in the </w:t>
      </w:r>
      <w:r>
        <w:t xml:space="preserve">source and destination </w:t>
      </w:r>
      <w:r w:rsidRPr="00194CE2">
        <w:t>area</w:t>
      </w:r>
      <w:r>
        <w:t>s</w:t>
      </w:r>
      <w:r w:rsidRPr="00194CE2">
        <w:t xml:space="preserve"> that affect the expansion of </w:t>
      </w:r>
      <w:r>
        <w:t xml:space="preserve">the </w:t>
      </w:r>
      <w:r w:rsidRPr="00194CE2">
        <w:t>geographic distribution of the pest</w:t>
      </w:r>
      <w:r>
        <w:t xml:space="preserve">, is assessed as </w:t>
      </w:r>
      <w:r w:rsidRPr="00CC7B57">
        <w:t>Moderate.</w:t>
      </w:r>
    </w:p>
    <w:p w14:paraId="7DB6D634" w14:textId="77777777" w:rsidR="003438A2" w:rsidRDefault="003438A2" w:rsidP="00862DBA">
      <w:r>
        <w:t>The following information provides supporting evidence for this assessment.</w:t>
      </w:r>
    </w:p>
    <w:p w14:paraId="6A449561" w14:textId="77777777" w:rsidR="003438A2" w:rsidRPr="00726EF7" w:rsidRDefault="003438A2" w:rsidP="00862DBA">
      <w:r>
        <w:t xml:space="preserve">It is likely that </w:t>
      </w:r>
      <w:r>
        <w:rPr>
          <w:i/>
        </w:rPr>
        <w:t xml:space="preserve">S. pyriputrescens </w:t>
      </w:r>
      <w:r>
        <w:t>would be able to spread between susceptible hosts in Australia, once established.</w:t>
      </w:r>
    </w:p>
    <w:p w14:paraId="64239A41" w14:textId="77777777" w:rsidR="003438A2" w:rsidRDefault="003438A2" w:rsidP="003438A2">
      <w:pPr>
        <w:pStyle w:val="ListBullet"/>
      </w:pPr>
      <w:r w:rsidRPr="00256621">
        <w:rPr>
          <w:i/>
        </w:rPr>
        <w:t>Sphaeropsis</w:t>
      </w:r>
      <w:r w:rsidRPr="003154BA">
        <w:rPr>
          <w:i/>
        </w:rPr>
        <w:t xml:space="preserve"> pyriputrescens </w:t>
      </w:r>
      <w:r>
        <w:t>has a limited number of host species such as</w:t>
      </w:r>
      <w:r w:rsidRPr="00194CE2">
        <w:t xml:space="preserve"> apple, crabapple and pear </w:t>
      </w:r>
      <w:r>
        <w:rPr>
          <w:rFonts w:eastAsia="Calibri"/>
          <w:noProof/>
        </w:rPr>
        <w:t>(Kim &amp; Xiao 2008; Xiao &amp; Boal 2005b; Xiao &amp; Rogers 2004; Xiao 2006)</w:t>
      </w:r>
      <w:r>
        <w:t>, however these hosts</w:t>
      </w:r>
      <w:r w:rsidRPr="00194CE2">
        <w:t xml:space="preserve"> are </w:t>
      </w:r>
      <w:r>
        <w:t>common</w:t>
      </w:r>
      <w:r w:rsidRPr="00194CE2">
        <w:t xml:space="preserve"> in Australia in commercial orchard districts</w:t>
      </w:r>
      <w:r>
        <w:t xml:space="preserve"> and </w:t>
      </w:r>
      <w:r w:rsidRPr="00194CE2">
        <w:t>suburban and rural areas.</w:t>
      </w:r>
    </w:p>
    <w:p w14:paraId="44E19EA8" w14:textId="77777777" w:rsidR="003438A2" w:rsidRPr="00422B15" w:rsidRDefault="003438A2" w:rsidP="003438A2">
      <w:pPr>
        <w:pStyle w:val="ListBullet"/>
        <w:rPr>
          <w:rFonts w:eastAsia="Times New Roman"/>
          <w:color w:val="000000"/>
          <w:szCs w:val="24"/>
        </w:rPr>
      </w:pPr>
      <w:r w:rsidRPr="00194CE2">
        <w:t xml:space="preserve">Pycnidia </w:t>
      </w:r>
      <w:r>
        <w:t>and</w:t>
      </w:r>
      <w:r w:rsidRPr="00194CE2">
        <w:t xml:space="preserve"> </w:t>
      </w:r>
      <w:r>
        <w:t xml:space="preserve">conidia may provide adequate </w:t>
      </w:r>
      <w:r w:rsidRPr="00194CE2">
        <w:t>source</w:t>
      </w:r>
      <w:r>
        <w:t>s</w:t>
      </w:r>
      <w:r w:rsidRPr="00194CE2">
        <w:t xml:space="preserve"> of inoculum</w:t>
      </w:r>
      <w:r>
        <w:t xml:space="preserve"> </w:t>
      </w:r>
      <w:r>
        <w:rPr>
          <w:noProof/>
        </w:rPr>
        <w:t>(WSU 2005)</w:t>
      </w:r>
      <w:r>
        <w:t xml:space="preserve"> for spread.</w:t>
      </w:r>
    </w:p>
    <w:p w14:paraId="1E907437" w14:textId="77777777" w:rsidR="003438A2" w:rsidRPr="000B16C2" w:rsidRDefault="003438A2" w:rsidP="00862DBA">
      <w:pPr>
        <w:pStyle w:val="ListBullet"/>
        <w:numPr>
          <w:ilvl w:val="0"/>
          <w:numId w:val="0"/>
        </w:numPr>
        <w:rPr>
          <w:color w:val="000000"/>
        </w:rPr>
      </w:pPr>
      <w:r>
        <w:t xml:space="preserve">Suitable climates for the spread </w:t>
      </w:r>
      <w:r w:rsidRPr="0039230B">
        <w:t>of</w:t>
      </w:r>
      <w:r w:rsidRPr="000B16C2">
        <w:rPr>
          <w:i/>
        </w:rPr>
        <w:t xml:space="preserve"> </w:t>
      </w:r>
      <w:r w:rsidRPr="00194CE2">
        <w:rPr>
          <w:i/>
        </w:rPr>
        <w:t>S. pyriputrescens</w:t>
      </w:r>
      <w:r>
        <w:t xml:space="preserve"> exist in Australia.</w:t>
      </w:r>
    </w:p>
    <w:p w14:paraId="26C72C03" w14:textId="77777777" w:rsidR="003438A2" w:rsidRPr="008D7876" w:rsidRDefault="003438A2" w:rsidP="003438A2">
      <w:pPr>
        <w:pStyle w:val="ListBullet"/>
        <w:numPr>
          <w:ilvl w:val="0"/>
          <w:numId w:val="15"/>
        </w:numPr>
      </w:pPr>
      <w:r>
        <w:t>C</w:t>
      </w:r>
      <w:r w:rsidRPr="008D7876">
        <w:t xml:space="preserve">limates </w:t>
      </w:r>
      <w:r>
        <w:t>suitable for</w:t>
      </w:r>
      <w:r w:rsidRPr="008D7876">
        <w:t xml:space="preserve"> </w:t>
      </w:r>
      <w:r w:rsidRPr="008D7876">
        <w:rPr>
          <w:i/>
        </w:rPr>
        <w:t>S. pyriputrescens</w:t>
      </w:r>
      <w:r w:rsidRPr="008D7876">
        <w:t xml:space="preserve"> exist in many parts of temperate southeastern and southwestern Australia, where host plants are present.</w:t>
      </w:r>
    </w:p>
    <w:p w14:paraId="41F03440" w14:textId="77777777" w:rsidR="003438A2" w:rsidRDefault="003438A2" w:rsidP="003438A2">
      <w:pPr>
        <w:pStyle w:val="ListBullet"/>
      </w:pPr>
      <w:bookmarkStart w:id="446" w:name="_Hlk38896974"/>
      <w:r>
        <w:t>Hot, dry climatic conditions in some parts</w:t>
      </w:r>
      <w:r w:rsidRPr="00876E68">
        <w:t xml:space="preserve"> of Australia </w:t>
      </w:r>
      <w:r>
        <w:t>during summer, with</w:t>
      </w:r>
      <w:r w:rsidRPr="00876E68">
        <w:t xml:space="preserve"> regular </w:t>
      </w:r>
      <w:r>
        <w:t xml:space="preserve">maximum </w:t>
      </w:r>
      <w:r w:rsidRPr="00876E68">
        <w:t xml:space="preserve">temperatures of over </w:t>
      </w:r>
      <w:r>
        <w:t>30</w:t>
      </w:r>
      <w:r w:rsidRPr="00223363">
        <w:t>°</w:t>
      </w:r>
      <w:r w:rsidRPr="00256DB0">
        <w:t>C</w:t>
      </w:r>
      <w:r w:rsidRPr="00876E68">
        <w:t xml:space="preserve"> for </w:t>
      </w:r>
      <w:r>
        <w:t>periods of</w:t>
      </w:r>
      <w:r w:rsidRPr="00876E68">
        <w:t xml:space="preserve"> weeks</w:t>
      </w:r>
      <w:r>
        <w:t xml:space="preserve"> to months, are unlikely to be conducive for the spread of the pathogen.</w:t>
      </w:r>
    </w:p>
    <w:p w14:paraId="371147D4" w14:textId="77777777" w:rsidR="003438A2" w:rsidRDefault="003438A2" w:rsidP="00862DBA">
      <w:bookmarkStart w:id="447" w:name="_Hlk38897030"/>
      <w:bookmarkEnd w:id="446"/>
      <w:r>
        <w:t>Natural dispersal of the pathogen over short distances is by movement of conidia.</w:t>
      </w:r>
    </w:p>
    <w:p w14:paraId="2CFD5BEB" w14:textId="77777777" w:rsidR="003438A2" w:rsidRDefault="003438A2" w:rsidP="003438A2">
      <w:pPr>
        <w:pStyle w:val="ListBullet"/>
      </w:pPr>
      <w:r>
        <w:t xml:space="preserve">Pycnidia and conidia provide an important source of inoculum in </w:t>
      </w:r>
      <w:r w:rsidRPr="003A0D46">
        <w:t>orchard</w:t>
      </w:r>
      <w:r>
        <w:t>s</w:t>
      </w:r>
      <w:r w:rsidRPr="003A0D46">
        <w:t xml:space="preserve"> </w:t>
      </w:r>
      <w:r>
        <w:rPr>
          <w:noProof/>
        </w:rPr>
        <w:t>(Xiao 2007)</w:t>
      </w:r>
      <w:r>
        <w:t xml:space="preserve"> once the pathogen is established</w:t>
      </w:r>
      <w:r w:rsidRPr="003A0D46">
        <w:t>.</w:t>
      </w:r>
    </w:p>
    <w:p w14:paraId="0EBC204A" w14:textId="77777777" w:rsidR="003438A2" w:rsidRDefault="003438A2" w:rsidP="003438A2">
      <w:pPr>
        <w:pStyle w:val="ListBullet"/>
      </w:pPr>
      <w:r>
        <w:rPr>
          <w:lang w:eastAsia="en-AU"/>
        </w:rPr>
        <w:t xml:space="preserve">Natural dispersal of the pathogen is mainly through conidial spread from one host to another by water splash (rain/irrigation). Dampness also creates conditions conducive for fruit infection </w:t>
      </w:r>
      <w:r>
        <w:rPr>
          <w:noProof/>
          <w:lang w:eastAsia="en-AU"/>
        </w:rPr>
        <w:t>(PNW Handbooks 2020b; Sikdar et al. 2016; Xiao 2013b)</w:t>
      </w:r>
      <w:r w:rsidRPr="0079065B">
        <w:t>.</w:t>
      </w:r>
    </w:p>
    <w:bookmarkEnd w:id="447"/>
    <w:p w14:paraId="622F6928" w14:textId="77777777" w:rsidR="003438A2" w:rsidRDefault="003438A2" w:rsidP="00862DBA">
      <w:r>
        <w:rPr>
          <w:iCs/>
        </w:rPr>
        <w:t xml:space="preserve">Long distance spread of </w:t>
      </w:r>
      <w:r w:rsidRPr="00F0690E">
        <w:rPr>
          <w:i/>
        </w:rPr>
        <w:t>S</w:t>
      </w:r>
      <w:r>
        <w:rPr>
          <w:i/>
        </w:rPr>
        <w:t>.</w:t>
      </w:r>
      <w:r w:rsidRPr="00F0690E">
        <w:rPr>
          <w:i/>
        </w:rPr>
        <w:t xml:space="preserve"> pyriputrescens </w:t>
      </w:r>
      <w:r w:rsidRPr="00F0690E">
        <w:t>is likely</w:t>
      </w:r>
      <w:r w:rsidRPr="00F0690E">
        <w:rPr>
          <w:i/>
        </w:rPr>
        <w:t xml:space="preserve"> </w:t>
      </w:r>
      <w:r w:rsidRPr="00F0690E">
        <w:t xml:space="preserve">to </w:t>
      </w:r>
      <w:r>
        <w:t>occur by</w:t>
      </w:r>
      <w:r w:rsidRPr="00F0690E">
        <w:t xml:space="preserve"> human-assisted </w:t>
      </w:r>
      <w:r>
        <w:t>activities</w:t>
      </w:r>
      <w:r w:rsidRPr="00F0690E">
        <w:t>.</w:t>
      </w:r>
    </w:p>
    <w:p w14:paraId="4FE21F2A" w14:textId="77777777" w:rsidR="003438A2" w:rsidRDefault="003438A2" w:rsidP="003438A2">
      <w:pPr>
        <w:pStyle w:val="ListBullet"/>
      </w:pPr>
      <w:bookmarkStart w:id="448" w:name="_Hlk38897602"/>
      <w:r>
        <w:t xml:space="preserve">Domestic trade of apple fruit and planting materials may aid the long distance spread of </w:t>
      </w:r>
      <w:r>
        <w:rPr>
          <w:i/>
        </w:rPr>
        <w:t xml:space="preserve">S. </w:t>
      </w:r>
      <w:r w:rsidRPr="00194CE2">
        <w:rPr>
          <w:i/>
        </w:rPr>
        <w:t>pyriputrescens</w:t>
      </w:r>
      <w:r w:rsidRPr="002B10A8">
        <w:t>.</w:t>
      </w:r>
    </w:p>
    <w:bookmarkEnd w:id="448"/>
    <w:p w14:paraId="30D25CDC" w14:textId="77777777" w:rsidR="003438A2" w:rsidRDefault="003438A2" w:rsidP="00862DBA">
      <w:r>
        <w:t xml:space="preserve">Hosts of </w:t>
      </w:r>
      <w:r>
        <w:rPr>
          <w:i/>
          <w:iCs/>
        </w:rPr>
        <w:t xml:space="preserve">S. pyriputrescens, </w:t>
      </w:r>
      <w:r>
        <w:t xml:space="preserve">such as apples, pears and crabapples, are widely present in Australia. Most apple and pear production regions within Australia possess optimal conditions for growth and spread of this fungus over most of the year. </w:t>
      </w:r>
      <w:r w:rsidRPr="00F0690E">
        <w:rPr>
          <w:i/>
        </w:rPr>
        <w:t xml:space="preserve">Sphaeropsis pyriputrescens </w:t>
      </w:r>
      <w:r>
        <w:t>may also spread within Australia as a result of domestic movement of fruit and planting materials.</w:t>
      </w:r>
    </w:p>
    <w:p w14:paraId="11412C28" w14:textId="77777777" w:rsidR="003438A2" w:rsidRPr="00194CE2" w:rsidRDefault="003438A2" w:rsidP="00862DBA">
      <w:r>
        <w:t xml:space="preserve">For the reasons outlined, the likelihood of spread of </w:t>
      </w:r>
      <w:r w:rsidRPr="005771E4">
        <w:rPr>
          <w:i/>
        </w:rPr>
        <w:t>S. pyriputrescens</w:t>
      </w:r>
      <w:r w:rsidRPr="00194CE2">
        <w:t xml:space="preserve"> </w:t>
      </w:r>
      <w:r>
        <w:t>within Australia is rated as Moderate</w:t>
      </w:r>
      <w:r w:rsidRPr="00194CE2">
        <w:t>.</w:t>
      </w:r>
    </w:p>
    <w:p w14:paraId="0C47B1E8" w14:textId="77777777" w:rsidR="003438A2" w:rsidRPr="00AB1BD9" w:rsidRDefault="003438A2" w:rsidP="00F843A1">
      <w:pPr>
        <w:pStyle w:val="Heading4"/>
        <w:numPr>
          <w:ilvl w:val="2"/>
          <w:numId w:val="35"/>
        </w:numPr>
        <w:tabs>
          <w:tab w:val="num" w:pos="1929"/>
        </w:tabs>
        <w:ind w:left="1929"/>
      </w:pPr>
      <w:r w:rsidRPr="00AB1BD9">
        <w:lastRenderedPageBreak/>
        <w:t>Overall likelihood of entry, establishment and spread</w:t>
      </w:r>
    </w:p>
    <w:p w14:paraId="3580CDAD" w14:textId="77777777" w:rsidR="003438A2" w:rsidRPr="00194CE2" w:rsidRDefault="003438A2" w:rsidP="00862DBA">
      <w:r w:rsidRPr="00194CE2">
        <w:t xml:space="preserve">The overall likelihood of entry, establishment and spread is determined by combining the likelihoods of entry, </w:t>
      </w:r>
      <w:r>
        <w:t xml:space="preserve">of </w:t>
      </w:r>
      <w:r w:rsidRPr="00194CE2">
        <w:t xml:space="preserve">establishment and </w:t>
      </w:r>
      <w:r>
        <w:t xml:space="preserve">of </w:t>
      </w:r>
      <w:r w:rsidRPr="00194CE2">
        <w:t>spread using the matrix of rules for combining qualitative likelih</w:t>
      </w:r>
      <w:r>
        <w:t xml:space="preserve">ood shown in </w:t>
      </w:r>
      <w:r>
        <w:fldChar w:fldCharType="begin" w:fldLock="1"/>
      </w:r>
      <w:r>
        <w:instrText xml:space="preserve"> REF _Ref457826328 \h </w:instrText>
      </w:r>
      <w:r>
        <w:fldChar w:fldCharType="separate"/>
      </w:r>
      <w:r w:rsidRPr="00DB5F8D">
        <w:t xml:space="preserve">Table </w:t>
      </w:r>
      <w:r>
        <w:rPr>
          <w:noProof/>
        </w:rPr>
        <w:t>2</w:t>
      </w:r>
      <w:r>
        <w:t>.</w:t>
      </w:r>
      <w:r>
        <w:rPr>
          <w:noProof/>
        </w:rPr>
        <w:t>2</w:t>
      </w:r>
      <w:r>
        <w:fldChar w:fldCharType="end"/>
      </w:r>
      <w:r w:rsidRPr="00194CE2">
        <w:t>.</w:t>
      </w:r>
    </w:p>
    <w:p w14:paraId="295F28C3" w14:textId="77777777" w:rsidR="003438A2" w:rsidRPr="00CB6BCA" w:rsidRDefault="003438A2" w:rsidP="00862DBA">
      <w:pPr>
        <w:rPr>
          <w:b/>
        </w:rPr>
      </w:pPr>
      <w:r w:rsidRPr="00194CE2">
        <w:t xml:space="preserve">The </w:t>
      </w:r>
      <w:r>
        <w:t xml:space="preserve">overall </w:t>
      </w:r>
      <w:r w:rsidRPr="00194CE2">
        <w:t xml:space="preserve">likelihood that </w:t>
      </w:r>
      <w:r w:rsidRPr="00194CE2">
        <w:rPr>
          <w:i/>
        </w:rPr>
        <w:t>S</w:t>
      </w:r>
      <w:r>
        <w:rPr>
          <w:i/>
        </w:rPr>
        <w:t>.</w:t>
      </w:r>
      <w:r w:rsidRPr="00194CE2">
        <w:rPr>
          <w:i/>
        </w:rPr>
        <w:t xml:space="preserve"> pyriputrescens</w:t>
      </w:r>
      <w:r w:rsidRPr="00194CE2">
        <w:t xml:space="preserve"> will enter Australia as a result of trade </w:t>
      </w:r>
      <w:r>
        <w:t>of apples from the PNW-USA</w:t>
      </w:r>
      <w:r w:rsidRPr="00194CE2">
        <w:t xml:space="preserve">, be distributed in a viable state to </w:t>
      </w:r>
      <w:r>
        <w:t xml:space="preserve">a susceptible </w:t>
      </w:r>
      <w:r w:rsidRPr="00194CE2">
        <w:t>host, establish in th</w:t>
      </w:r>
      <w:r>
        <w:t>e</w:t>
      </w:r>
      <w:r w:rsidRPr="00194CE2">
        <w:t xml:space="preserve"> area and subsequently spread within Australia</w:t>
      </w:r>
      <w:r>
        <w:t xml:space="preserve"> is assessed as </w:t>
      </w:r>
      <w:r w:rsidRPr="00FC62A5">
        <w:t>Low.</w:t>
      </w:r>
    </w:p>
    <w:p w14:paraId="42AB7C2F" w14:textId="77777777" w:rsidR="003438A2" w:rsidRPr="00AB1BD9" w:rsidRDefault="003438A2" w:rsidP="00F843A1">
      <w:pPr>
        <w:pStyle w:val="Heading4"/>
        <w:numPr>
          <w:ilvl w:val="2"/>
          <w:numId w:val="35"/>
        </w:numPr>
        <w:tabs>
          <w:tab w:val="num" w:pos="1929"/>
        </w:tabs>
        <w:ind w:left="1929"/>
      </w:pPr>
      <w:r w:rsidRPr="00AB1BD9">
        <w:t>Consequences</w:t>
      </w:r>
    </w:p>
    <w:p w14:paraId="47C7EB85" w14:textId="77777777" w:rsidR="003438A2" w:rsidRPr="00194CE2" w:rsidRDefault="003438A2" w:rsidP="00862DBA">
      <w:r w:rsidRPr="00194CE2">
        <w:t xml:space="preserve">The </w:t>
      </w:r>
      <w:r>
        <w:t xml:space="preserve">potential </w:t>
      </w:r>
      <w:r w:rsidRPr="00194CE2">
        <w:t xml:space="preserve">consequences of the </w:t>
      </w:r>
      <w:r>
        <w:t xml:space="preserve">entry, </w:t>
      </w:r>
      <w:r w:rsidRPr="00194CE2">
        <w:t>establishment</w:t>
      </w:r>
      <w:r>
        <w:t xml:space="preserve"> and spread</w:t>
      </w:r>
      <w:r w:rsidRPr="00194CE2">
        <w:t xml:space="preserve"> of </w:t>
      </w:r>
      <w:r w:rsidRPr="00194CE2">
        <w:rPr>
          <w:i/>
        </w:rPr>
        <w:t>S</w:t>
      </w:r>
      <w:r>
        <w:rPr>
          <w:i/>
        </w:rPr>
        <w:t>.</w:t>
      </w:r>
      <w:r w:rsidRPr="00194CE2">
        <w:rPr>
          <w:i/>
        </w:rPr>
        <w:t xml:space="preserve"> pyriputrescens</w:t>
      </w:r>
      <w:r w:rsidRPr="00194CE2">
        <w:t xml:space="preserve"> in Australia have been estimated according to the methods described</w:t>
      </w:r>
      <w:r>
        <w:t xml:space="preserve"> in </w:t>
      </w:r>
      <w:r>
        <w:fldChar w:fldCharType="begin" w:fldLock="1"/>
      </w:r>
      <w:r>
        <w:instrText xml:space="preserve"> REF _Ref457826350 \h </w:instrText>
      </w:r>
      <w:r>
        <w:fldChar w:fldCharType="separate"/>
      </w:r>
      <w:r>
        <w:t xml:space="preserve">Table </w:t>
      </w:r>
      <w:r>
        <w:rPr>
          <w:noProof/>
        </w:rPr>
        <w:t>2</w:t>
      </w:r>
      <w:r>
        <w:t>.</w:t>
      </w:r>
      <w:r>
        <w:rPr>
          <w:noProof/>
        </w:rPr>
        <w:t>3</w:t>
      </w:r>
      <w:r>
        <w:fldChar w:fldCharType="end"/>
      </w:r>
      <w:r>
        <w:t>.</w:t>
      </w:r>
    </w:p>
    <w:p w14:paraId="5BA31BFD" w14:textId="77777777" w:rsidR="003438A2" w:rsidRPr="00194CE2" w:rsidRDefault="003438A2" w:rsidP="00862DBA">
      <w:r w:rsidRPr="00194CE2">
        <w:t xml:space="preserve">Based on the decision </w:t>
      </w:r>
      <w:r>
        <w:t xml:space="preserve">rules </w:t>
      </w:r>
      <w:r w:rsidRPr="00194CE2">
        <w:t>d</w:t>
      </w:r>
      <w:r>
        <w:t xml:space="preserve">escribed in </w:t>
      </w:r>
      <w:r>
        <w:fldChar w:fldCharType="begin" w:fldLock="1"/>
      </w:r>
      <w:r>
        <w:instrText xml:space="preserve"> REF _Ref457826361 \h </w:instrText>
      </w:r>
      <w:r>
        <w:fldChar w:fldCharType="separate"/>
      </w:r>
      <w:r>
        <w:t xml:space="preserve">Table </w:t>
      </w:r>
      <w:r>
        <w:rPr>
          <w:noProof/>
        </w:rPr>
        <w:t>2</w:t>
      </w:r>
      <w:r>
        <w:t>.</w:t>
      </w:r>
      <w:r>
        <w:rPr>
          <w:noProof/>
        </w:rPr>
        <w:t>4</w:t>
      </w:r>
      <w:r>
        <w:fldChar w:fldCharType="end"/>
      </w:r>
      <w:r w:rsidRPr="00194CE2">
        <w:t>, that is, where the consequences of a pest with respect to one or more criteria are ‘</w:t>
      </w:r>
      <w:r w:rsidRPr="00194CE2">
        <w:rPr>
          <w:b/>
        </w:rPr>
        <w:t>E</w:t>
      </w:r>
      <w:r w:rsidRPr="00194CE2">
        <w:t>’, the overall c</w:t>
      </w:r>
      <w:r>
        <w:t xml:space="preserve">onsequences are estimated to be </w:t>
      </w:r>
      <w:r w:rsidRPr="00FC62A5">
        <w:t>Moderate.</w:t>
      </w:r>
    </w:p>
    <w:p w14:paraId="1B75AE7A" w14:textId="77777777" w:rsidR="003438A2" w:rsidRDefault="003438A2" w:rsidP="00862DBA">
      <w:r w:rsidRPr="00194CE2">
        <w:t>The reasoning for these ratings is provided below:</w:t>
      </w:r>
    </w:p>
    <w:tbl>
      <w:tblPr>
        <w:tblW w:w="5000" w:type="pct"/>
        <w:tblBorders>
          <w:top w:val="single" w:sz="4" w:space="0" w:color="auto"/>
          <w:bottom w:val="single" w:sz="4" w:space="0" w:color="auto"/>
          <w:insideH w:val="single" w:sz="4" w:space="0" w:color="D9D9D9"/>
        </w:tblBorders>
        <w:tblLayout w:type="fixed"/>
        <w:tblCellMar>
          <w:left w:w="115" w:type="dxa"/>
          <w:right w:w="115" w:type="dxa"/>
        </w:tblCellMar>
        <w:tblLook w:val="04A0" w:firstRow="1" w:lastRow="0" w:firstColumn="1" w:lastColumn="0" w:noHBand="0" w:noVBand="1"/>
      </w:tblPr>
      <w:tblGrid>
        <w:gridCol w:w="1694"/>
        <w:gridCol w:w="7376"/>
      </w:tblGrid>
      <w:tr w:rsidR="003438A2" w:rsidRPr="00194CE2" w14:paraId="72AB045F" w14:textId="77777777" w:rsidTr="001A4104">
        <w:trPr>
          <w:cantSplit/>
          <w:tblHeader/>
        </w:trPr>
        <w:tc>
          <w:tcPr>
            <w:tcW w:w="1694" w:type="dxa"/>
            <w:shd w:val="clear" w:color="auto" w:fill="auto"/>
            <w:hideMark/>
          </w:tcPr>
          <w:p w14:paraId="0CB33193" w14:textId="77777777" w:rsidR="003438A2" w:rsidRPr="00194CE2" w:rsidRDefault="003438A2" w:rsidP="001A4104">
            <w:pPr>
              <w:pStyle w:val="TableHeading"/>
              <w:rPr>
                <w:rFonts w:eastAsia="Times New Roman"/>
                <w:sz w:val="16"/>
                <w:szCs w:val="20"/>
              </w:rPr>
            </w:pPr>
            <w:r w:rsidRPr="00194CE2">
              <w:t>Criterion</w:t>
            </w:r>
          </w:p>
        </w:tc>
        <w:tc>
          <w:tcPr>
            <w:tcW w:w="7376" w:type="dxa"/>
            <w:shd w:val="clear" w:color="auto" w:fill="auto"/>
            <w:hideMark/>
          </w:tcPr>
          <w:p w14:paraId="5181912B" w14:textId="77777777" w:rsidR="003438A2" w:rsidRPr="00194CE2" w:rsidRDefault="003438A2" w:rsidP="001A4104">
            <w:pPr>
              <w:pStyle w:val="TableHeading"/>
            </w:pPr>
            <w:r w:rsidRPr="00194CE2">
              <w:t>Estimate and rationale</w:t>
            </w:r>
          </w:p>
        </w:tc>
      </w:tr>
      <w:tr w:rsidR="003438A2" w:rsidRPr="00194CE2" w14:paraId="43468436" w14:textId="77777777" w:rsidTr="001A4104">
        <w:trPr>
          <w:cantSplit/>
        </w:trPr>
        <w:tc>
          <w:tcPr>
            <w:tcW w:w="9070" w:type="dxa"/>
            <w:gridSpan w:val="2"/>
            <w:shd w:val="clear" w:color="auto" w:fill="auto"/>
            <w:hideMark/>
          </w:tcPr>
          <w:p w14:paraId="25D3A3FA" w14:textId="77777777" w:rsidR="003438A2" w:rsidRPr="00194CE2" w:rsidRDefault="003438A2" w:rsidP="001A4104">
            <w:pPr>
              <w:pStyle w:val="TableHeading"/>
            </w:pPr>
            <w:r w:rsidRPr="00194CE2">
              <w:t>Direct</w:t>
            </w:r>
          </w:p>
        </w:tc>
      </w:tr>
      <w:tr w:rsidR="003438A2" w:rsidRPr="00194CE2" w14:paraId="0315E143" w14:textId="77777777" w:rsidTr="001A4104">
        <w:trPr>
          <w:cantSplit/>
        </w:trPr>
        <w:tc>
          <w:tcPr>
            <w:tcW w:w="1694" w:type="dxa"/>
            <w:shd w:val="clear" w:color="auto" w:fill="auto"/>
            <w:hideMark/>
          </w:tcPr>
          <w:p w14:paraId="034AF605" w14:textId="77777777" w:rsidR="003438A2" w:rsidRPr="00194CE2" w:rsidRDefault="003438A2" w:rsidP="001A4104">
            <w:pPr>
              <w:pStyle w:val="TableText"/>
            </w:pPr>
            <w:r w:rsidRPr="00194CE2">
              <w:t>Plant life or health</w:t>
            </w:r>
          </w:p>
        </w:tc>
        <w:tc>
          <w:tcPr>
            <w:tcW w:w="7376" w:type="dxa"/>
            <w:shd w:val="clear" w:color="auto" w:fill="auto"/>
            <w:hideMark/>
          </w:tcPr>
          <w:p w14:paraId="6DCCCE98" w14:textId="77777777" w:rsidR="003438A2" w:rsidRPr="00194CE2" w:rsidRDefault="003438A2" w:rsidP="001A4104">
            <w:pPr>
              <w:pStyle w:val="TableText"/>
            </w:pPr>
            <w:r w:rsidRPr="00194CE2">
              <w:t>E - Significant at the regional level:</w:t>
            </w:r>
          </w:p>
          <w:p w14:paraId="651E8093" w14:textId="77777777" w:rsidR="003438A2" w:rsidRDefault="003438A2" w:rsidP="001A4104">
            <w:pPr>
              <w:pStyle w:val="TableText"/>
            </w:pPr>
            <w:r w:rsidRPr="00194CE2">
              <w:rPr>
                <w:i/>
              </w:rPr>
              <w:t>Sphaeropsis pyriputrescens</w:t>
            </w:r>
            <w:r w:rsidRPr="00194CE2">
              <w:t xml:space="preserve"> causes fruit decay of apple and pear in storage</w:t>
            </w:r>
            <w:r>
              <w:t xml:space="preserve"> </w:t>
            </w:r>
            <w:r>
              <w:rPr>
                <w:noProof/>
              </w:rPr>
              <w:t>(Xiao &amp; Rogers 2004; Xiao, Rogers &amp; Boal 2004)</w:t>
            </w:r>
            <w:r w:rsidRPr="00194CE2">
              <w:t xml:space="preserve">. It also causes twig dieback and cankers on apple and crabapple trees </w:t>
            </w:r>
            <w:r>
              <w:rPr>
                <w:noProof/>
              </w:rPr>
              <w:t>(Xiao &amp; Boal 2005b; Xiao 2015)</w:t>
            </w:r>
            <w:r w:rsidRPr="00194CE2">
              <w:t>.</w:t>
            </w:r>
          </w:p>
          <w:p w14:paraId="5E3772C6" w14:textId="77777777" w:rsidR="003438A2" w:rsidRDefault="003438A2" w:rsidP="001A4104">
            <w:pPr>
              <w:pStyle w:val="TableText"/>
            </w:pPr>
            <w:r w:rsidRPr="00194CE2">
              <w:rPr>
                <w:i/>
              </w:rPr>
              <w:t>Sphaeropsis</w:t>
            </w:r>
            <w:r w:rsidRPr="00194CE2">
              <w:t xml:space="preserve"> </w:t>
            </w:r>
            <w:r w:rsidRPr="00484A94">
              <w:rPr>
                <w:i/>
              </w:rPr>
              <w:t>pyriputrescens</w:t>
            </w:r>
            <w:r w:rsidRPr="00194CE2">
              <w:t xml:space="preserve"> has the potential to cause significant economic losses due to decay of fruit in storage. It </w:t>
            </w:r>
            <w:r>
              <w:t>accounted for</w:t>
            </w:r>
            <w:r w:rsidRPr="00194CE2">
              <w:t xml:space="preserve"> 16.9</w:t>
            </w:r>
            <w:r>
              <w:t>%</w:t>
            </w:r>
            <w:r w:rsidRPr="00194CE2">
              <w:t xml:space="preserve"> of decayed apple fruit sampled in commercial </w:t>
            </w:r>
            <w:r>
              <w:t>packing house</w:t>
            </w:r>
            <w:r w:rsidRPr="00194CE2">
              <w:t xml:space="preserve">s surveyed over a </w:t>
            </w:r>
            <w:r>
              <w:t>3-</w:t>
            </w:r>
            <w:r w:rsidRPr="00194CE2">
              <w:t>year period (2003–2005) in central Washington State</w:t>
            </w:r>
            <w:r>
              <w:t xml:space="preserve"> </w:t>
            </w:r>
            <w:r>
              <w:rPr>
                <w:noProof/>
              </w:rPr>
              <w:t>(Kim &amp; Xiao 2008)</w:t>
            </w:r>
            <w:r w:rsidRPr="00194CE2">
              <w:t>.</w:t>
            </w:r>
          </w:p>
          <w:p w14:paraId="103AFAF0" w14:textId="77777777" w:rsidR="003438A2" w:rsidRDefault="003438A2" w:rsidP="001A4104">
            <w:pPr>
              <w:pStyle w:val="TableText"/>
            </w:pPr>
            <w:r>
              <w:t>O</w:t>
            </w:r>
            <w:r w:rsidRPr="00194CE2">
              <w:t xml:space="preserve">ne grower </w:t>
            </w:r>
            <w:r>
              <w:t xml:space="preserve">lot </w:t>
            </w:r>
            <w:r w:rsidRPr="00194CE2">
              <w:t xml:space="preserve">in Washington in 2003 </w:t>
            </w:r>
            <w:r>
              <w:t xml:space="preserve">reported </w:t>
            </w:r>
            <w:r w:rsidRPr="00194CE2">
              <w:t>24</w:t>
            </w:r>
            <w:r>
              <w:t>%</w:t>
            </w:r>
            <w:r w:rsidRPr="00194CE2">
              <w:t xml:space="preserve"> of Red Delicious apples </w:t>
            </w:r>
            <w:r>
              <w:t>were infected by</w:t>
            </w:r>
            <w:r w:rsidRPr="00194CE2">
              <w:t xml:space="preserve"> </w:t>
            </w:r>
            <w:r w:rsidRPr="00194CE2">
              <w:rPr>
                <w:i/>
              </w:rPr>
              <w:t>Sphaeropsis</w:t>
            </w:r>
            <w:r w:rsidRPr="00194CE2">
              <w:t xml:space="preserve"> </w:t>
            </w:r>
            <w:r w:rsidRPr="00484A94">
              <w:rPr>
                <w:i/>
              </w:rPr>
              <w:t>pyriputrescens</w:t>
            </w:r>
            <w:r w:rsidRPr="00194CE2">
              <w:t xml:space="preserve"> </w:t>
            </w:r>
            <w:r>
              <w:t>after 9</w:t>
            </w:r>
            <w:r w:rsidRPr="00194CE2">
              <w:t xml:space="preserve"> months of storage in controlled atmosphere. A</w:t>
            </w:r>
            <w:r>
              <w:t xml:space="preserve">nother grower lot reported </w:t>
            </w:r>
            <w:r w:rsidRPr="00194CE2">
              <w:t>15–20</w:t>
            </w:r>
            <w:r>
              <w:t xml:space="preserve">% </w:t>
            </w:r>
            <w:r w:rsidRPr="00194CE2">
              <w:t xml:space="preserve">of fruit were infected after </w:t>
            </w:r>
            <w:r>
              <w:t>10</w:t>
            </w:r>
            <w:r w:rsidRPr="00194CE2">
              <w:t xml:space="preserve"> months of storage </w:t>
            </w:r>
            <w:r>
              <w:rPr>
                <w:noProof/>
              </w:rPr>
              <w:t>(Kim &amp; Xiao 2008)</w:t>
            </w:r>
            <w:r w:rsidRPr="00194CE2">
              <w:t>.</w:t>
            </w:r>
          </w:p>
          <w:p w14:paraId="41B976F8" w14:textId="77777777" w:rsidR="003438A2" w:rsidRPr="002002CC" w:rsidRDefault="003438A2" w:rsidP="001A4104">
            <w:pPr>
              <w:pStyle w:val="TableText"/>
              <w:rPr>
                <w:highlight w:val="green"/>
              </w:rPr>
            </w:pPr>
            <w:r>
              <w:t>O</w:t>
            </w:r>
            <w:r w:rsidRPr="0004495E">
              <w:t>rchard hygiene and chemical application practices already applied in Australia in apple production areas</w:t>
            </w:r>
            <w:r>
              <w:t xml:space="preserve"> may mitigate the consequences of the pest</w:t>
            </w:r>
            <w:r w:rsidRPr="0004495E">
              <w:t xml:space="preserve">. </w:t>
            </w:r>
          </w:p>
        </w:tc>
      </w:tr>
      <w:tr w:rsidR="003438A2" w:rsidRPr="00194CE2" w14:paraId="5846B1AA" w14:textId="77777777" w:rsidTr="001A4104">
        <w:trPr>
          <w:cantSplit/>
        </w:trPr>
        <w:tc>
          <w:tcPr>
            <w:tcW w:w="1694" w:type="dxa"/>
            <w:shd w:val="clear" w:color="auto" w:fill="auto"/>
            <w:hideMark/>
          </w:tcPr>
          <w:p w14:paraId="796F80A8" w14:textId="77777777" w:rsidR="003438A2" w:rsidRPr="00194CE2" w:rsidRDefault="003438A2" w:rsidP="001A4104">
            <w:pPr>
              <w:pStyle w:val="TableText"/>
            </w:pPr>
            <w:r w:rsidRPr="00194CE2">
              <w:t>Other aspects of the environment</w:t>
            </w:r>
          </w:p>
        </w:tc>
        <w:tc>
          <w:tcPr>
            <w:tcW w:w="7376" w:type="dxa"/>
            <w:shd w:val="clear" w:color="auto" w:fill="auto"/>
            <w:hideMark/>
          </w:tcPr>
          <w:p w14:paraId="45A7AB83" w14:textId="77777777" w:rsidR="003438A2" w:rsidRPr="00194CE2" w:rsidRDefault="003438A2" w:rsidP="001A4104">
            <w:pPr>
              <w:pStyle w:val="TableText"/>
            </w:pPr>
            <w:r w:rsidRPr="00194CE2">
              <w:t>A - Indiscernible at the local level:</w:t>
            </w:r>
          </w:p>
          <w:p w14:paraId="4C6BA285" w14:textId="77777777" w:rsidR="003438A2" w:rsidRPr="00194CE2" w:rsidRDefault="003438A2" w:rsidP="001A4104">
            <w:pPr>
              <w:pStyle w:val="TableText"/>
            </w:pPr>
            <w:r w:rsidRPr="00194CE2">
              <w:t>There are no known direct consequences of this pathogen on other aspects of the environment.</w:t>
            </w:r>
          </w:p>
        </w:tc>
      </w:tr>
      <w:tr w:rsidR="003438A2" w:rsidRPr="00194CE2" w14:paraId="39C905A6" w14:textId="77777777" w:rsidTr="001A4104">
        <w:trPr>
          <w:cantSplit/>
        </w:trPr>
        <w:tc>
          <w:tcPr>
            <w:tcW w:w="9070" w:type="dxa"/>
            <w:gridSpan w:val="2"/>
            <w:shd w:val="clear" w:color="auto" w:fill="auto"/>
            <w:hideMark/>
          </w:tcPr>
          <w:p w14:paraId="2B1AAF6F" w14:textId="77777777" w:rsidR="003438A2" w:rsidRPr="00194CE2" w:rsidRDefault="003438A2" w:rsidP="001A4104">
            <w:pPr>
              <w:pStyle w:val="TableHeading"/>
            </w:pPr>
            <w:r w:rsidRPr="00194CE2">
              <w:t>Indirect</w:t>
            </w:r>
          </w:p>
        </w:tc>
      </w:tr>
      <w:tr w:rsidR="003438A2" w:rsidRPr="00194CE2" w14:paraId="6DFF798C" w14:textId="77777777" w:rsidTr="001A4104">
        <w:trPr>
          <w:cantSplit/>
        </w:trPr>
        <w:tc>
          <w:tcPr>
            <w:tcW w:w="1694" w:type="dxa"/>
            <w:shd w:val="clear" w:color="auto" w:fill="auto"/>
            <w:hideMark/>
          </w:tcPr>
          <w:p w14:paraId="6FEA805A" w14:textId="77777777" w:rsidR="003438A2" w:rsidRPr="00802039" w:rsidRDefault="003438A2" w:rsidP="001A4104">
            <w:pPr>
              <w:pStyle w:val="TableText"/>
            </w:pPr>
            <w:r w:rsidRPr="00802039">
              <w:t>Eradication, control etc.</w:t>
            </w:r>
          </w:p>
        </w:tc>
        <w:tc>
          <w:tcPr>
            <w:tcW w:w="7376" w:type="dxa"/>
            <w:shd w:val="clear" w:color="auto" w:fill="auto"/>
            <w:hideMark/>
          </w:tcPr>
          <w:p w14:paraId="124AEEBD" w14:textId="77777777" w:rsidR="003438A2" w:rsidRPr="00802039" w:rsidRDefault="003438A2" w:rsidP="00F36187">
            <w:pPr>
              <w:pStyle w:val="TableText"/>
            </w:pPr>
            <w:r w:rsidRPr="00802039">
              <w:t>E - Significant at the regional level:</w:t>
            </w:r>
          </w:p>
          <w:p w14:paraId="5FB58DD1" w14:textId="77777777" w:rsidR="003438A2" w:rsidRPr="00FC0635" w:rsidRDefault="003438A2" w:rsidP="00884261">
            <w:pPr>
              <w:rPr>
                <w:sz w:val="18"/>
              </w:rPr>
            </w:pPr>
            <w:r w:rsidRPr="00FC0635">
              <w:rPr>
                <w:sz w:val="18"/>
              </w:rPr>
              <w:t xml:space="preserve">Recommended cultural measures for the control of S. pyriputrescens include removal of cankers and twigs with dieback symptoms (WSU 2005). Research on the effectiveness of various fungicides in controlling S. pyriputrescens has been extensive </w:t>
            </w:r>
            <w:r w:rsidRPr="00FC0635">
              <w:rPr>
                <w:noProof/>
                <w:sz w:val="18"/>
              </w:rPr>
              <w:t>(Xiao 2007; Xiao 2015)</w:t>
            </w:r>
            <w:r w:rsidRPr="00FC0635">
              <w:rPr>
                <w:sz w:val="18"/>
              </w:rPr>
              <w:t xml:space="preserve">. High pressure washing and chlorine dipping at 100ppm or more are standard procedures in packing houses in the USA (Washington State University 2018b). This can be effective in removing surface contamination by fungal spores </w:t>
            </w:r>
            <w:r w:rsidRPr="00FC0635">
              <w:rPr>
                <w:noProof/>
                <w:sz w:val="18"/>
              </w:rPr>
              <w:t>(Brown 2002; Kupferman 1984; Suslow 2004)</w:t>
            </w:r>
            <w:r w:rsidRPr="00FC0635">
              <w:rPr>
                <w:sz w:val="18"/>
              </w:rPr>
              <w:t xml:space="preserve">. </w:t>
            </w:r>
          </w:p>
          <w:p w14:paraId="530E7DDD" w14:textId="77777777" w:rsidR="003438A2" w:rsidRPr="00194CE2" w:rsidRDefault="003438A2" w:rsidP="00F36187">
            <w:pPr>
              <w:pStyle w:val="TableText"/>
            </w:pPr>
            <w:r w:rsidRPr="00802039">
              <w:t>Implementation of these control measures would result in an increase in cost</w:t>
            </w:r>
            <w:r>
              <w:t>s</w:t>
            </w:r>
            <w:r w:rsidRPr="00802039">
              <w:t xml:space="preserve"> of production. Additionally, costs for crop monitoring and consultant’s advice to manage the pest may be incurred by the producer.</w:t>
            </w:r>
          </w:p>
        </w:tc>
      </w:tr>
      <w:tr w:rsidR="003438A2" w:rsidRPr="00194CE2" w14:paraId="52BB9BFC" w14:textId="77777777" w:rsidTr="001A4104">
        <w:trPr>
          <w:cantSplit/>
        </w:trPr>
        <w:tc>
          <w:tcPr>
            <w:tcW w:w="1694" w:type="dxa"/>
            <w:shd w:val="clear" w:color="auto" w:fill="auto"/>
            <w:hideMark/>
          </w:tcPr>
          <w:p w14:paraId="7CE6F022" w14:textId="77777777" w:rsidR="003438A2" w:rsidRPr="00194CE2" w:rsidRDefault="003438A2" w:rsidP="001A4104">
            <w:pPr>
              <w:pStyle w:val="TableText"/>
            </w:pPr>
            <w:r w:rsidRPr="00194CE2">
              <w:lastRenderedPageBreak/>
              <w:t>Domestic trade</w:t>
            </w:r>
          </w:p>
        </w:tc>
        <w:tc>
          <w:tcPr>
            <w:tcW w:w="7376" w:type="dxa"/>
            <w:shd w:val="clear" w:color="auto" w:fill="auto"/>
            <w:hideMark/>
          </w:tcPr>
          <w:p w14:paraId="4297475B" w14:textId="77777777" w:rsidR="003438A2" w:rsidRPr="00802039" w:rsidRDefault="003438A2" w:rsidP="000A3B46">
            <w:pPr>
              <w:pStyle w:val="TableText"/>
            </w:pPr>
            <w:r w:rsidRPr="00802039">
              <w:t>E - Significant at the regional level:</w:t>
            </w:r>
          </w:p>
          <w:p w14:paraId="40994367" w14:textId="77777777" w:rsidR="003438A2" w:rsidRPr="00194CE2" w:rsidRDefault="003438A2" w:rsidP="001A4104">
            <w:pPr>
              <w:pStyle w:val="TableText"/>
            </w:pPr>
            <w:r w:rsidRPr="00194CE2">
              <w:t xml:space="preserve">The presence of </w:t>
            </w:r>
            <w:r w:rsidRPr="00194CE2">
              <w:rPr>
                <w:i/>
              </w:rPr>
              <w:t>S. pyriputrescens</w:t>
            </w:r>
            <w:r w:rsidRPr="00194CE2">
              <w:t xml:space="preserve"> in commercial production areas </w:t>
            </w:r>
            <w:r>
              <w:t xml:space="preserve">could </w:t>
            </w:r>
            <w:r w:rsidRPr="00194CE2">
              <w:t xml:space="preserve">result in the implementation of interstate quarantine measures, </w:t>
            </w:r>
            <w:r>
              <w:t xml:space="preserve">potentially </w:t>
            </w:r>
            <w:r w:rsidRPr="00194CE2">
              <w:t>causing loss of market</w:t>
            </w:r>
            <w:r>
              <w:t>s</w:t>
            </w:r>
            <w:r w:rsidRPr="00194CE2">
              <w:t xml:space="preserve"> and subsequent industry adjustment.</w:t>
            </w:r>
          </w:p>
        </w:tc>
      </w:tr>
      <w:tr w:rsidR="003438A2" w:rsidRPr="00194CE2" w14:paraId="086CD58E" w14:textId="77777777" w:rsidTr="001A4104">
        <w:trPr>
          <w:cantSplit/>
        </w:trPr>
        <w:tc>
          <w:tcPr>
            <w:tcW w:w="1694" w:type="dxa"/>
            <w:shd w:val="clear" w:color="auto" w:fill="auto"/>
            <w:hideMark/>
          </w:tcPr>
          <w:p w14:paraId="025BFD06" w14:textId="77777777" w:rsidR="003438A2" w:rsidRPr="00194CE2" w:rsidRDefault="003438A2" w:rsidP="001A4104">
            <w:pPr>
              <w:pStyle w:val="TableText"/>
            </w:pPr>
            <w:r w:rsidRPr="00194CE2">
              <w:t>International trade</w:t>
            </w:r>
          </w:p>
        </w:tc>
        <w:tc>
          <w:tcPr>
            <w:tcW w:w="7376" w:type="dxa"/>
            <w:shd w:val="clear" w:color="auto" w:fill="auto"/>
            <w:hideMark/>
          </w:tcPr>
          <w:p w14:paraId="1E0686EE" w14:textId="77777777" w:rsidR="003438A2" w:rsidRPr="00194CE2" w:rsidRDefault="003438A2" w:rsidP="001A4104">
            <w:pPr>
              <w:pStyle w:val="TableText"/>
            </w:pPr>
            <w:r w:rsidRPr="00194CE2">
              <w:t>E - Significant at the regional level:</w:t>
            </w:r>
          </w:p>
          <w:p w14:paraId="7B731155" w14:textId="77777777" w:rsidR="003438A2" w:rsidRPr="00194CE2" w:rsidRDefault="003438A2" w:rsidP="001A4104">
            <w:pPr>
              <w:pStyle w:val="TableText"/>
            </w:pPr>
            <w:r w:rsidRPr="004A2E85">
              <w:t>Australia exports around 5</w:t>
            </w:r>
            <w:r>
              <w:t>,</w:t>
            </w:r>
            <w:r w:rsidRPr="004A2E85">
              <w:t>000 tonnes of apple</w:t>
            </w:r>
            <w:r>
              <w:t xml:space="preserve">s </w:t>
            </w:r>
            <w:r w:rsidRPr="004A2E85">
              <w:t>per year.</w:t>
            </w:r>
            <w:r>
              <w:t xml:space="preserve"> </w:t>
            </w:r>
            <w:r w:rsidRPr="00194CE2">
              <w:t xml:space="preserve">The presence of </w:t>
            </w:r>
            <w:r w:rsidRPr="00194CE2">
              <w:rPr>
                <w:i/>
              </w:rPr>
              <w:t>S. pyriputrescens</w:t>
            </w:r>
            <w:r w:rsidRPr="00194CE2">
              <w:t xml:space="preserve"> in commercial production areas of apple and pear would have a significant effect at the regional level due to potential limitations </w:t>
            </w:r>
            <w:r>
              <w:t xml:space="preserve">on </w:t>
            </w:r>
            <w:r w:rsidRPr="00194CE2">
              <w:t xml:space="preserve">accessing international markets where this pathogen is absent. To date, </w:t>
            </w:r>
            <w:r w:rsidRPr="00194CE2">
              <w:rPr>
                <w:i/>
              </w:rPr>
              <w:t>S</w:t>
            </w:r>
            <w:r w:rsidRPr="00194CE2">
              <w:t xml:space="preserve">. </w:t>
            </w:r>
            <w:r w:rsidRPr="00194CE2">
              <w:rPr>
                <w:i/>
              </w:rPr>
              <w:t>pyriputrescens</w:t>
            </w:r>
            <w:r w:rsidRPr="00194CE2">
              <w:t xml:space="preserve"> has only been recorded from the</w:t>
            </w:r>
            <w:r>
              <w:t xml:space="preserve"> USA </w:t>
            </w:r>
            <w:r w:rsidRPr="00194CE2">
              <w:t xml:space="preserve">and Canada </w:t>
            </w:r>
            <w:r>
              <w:rPr>
                <w:noProof/>
              </w:rPr>
              <w:t>(Stokes, Sholb</w:t>
            </w:r>
            <w:r w:rsidRPr="00155B7F">
              <w:rPr>
                <w:noProof/>
              </w:rPr>
              <w:t>erg &amp; O'Gorman 200</w:t>
            </w:r>
            <w:r>
              <w:rPr>
                <w:noProof/>
              </w:rPr>
              <w:t>7; Xiao &amp; Rogers 2004; Xiao, Rogers &amp; Boal 2004)</w:t>
            </w:r>
            <w:r>
              <w:t xml:space="preserve">. The presence of </w:t>
            </w:r>
            <w:r w:rsidRPr="00194CE2">
              <w:rPr>
                <w:i/>
              </w:rPr>
              <w:t>S</w:t>
            </w:r>
            <w:r w:rsidRPr="00194CE2">
              <w:t xml:space="preserve">. </w:t>
            </w:r>
            <w:r w:rsidRPr="00194CE2">
              <w:rPr>
                <w:i/>
              </w:rPr>
              <w:t>pyriputrescens</w:t>
            </w:r>
            <w:r w:rsidRPr="00194CE2">
              <w:t xml:space="preserve"> </w:t>
            </w:r>
            <w:r>
              <w:t xml:space="preserve">in Australia </w:t>
            </w:r>
            <w:r w:rsidRPr="00194CE2">
              <w:t xml:space="preserve">would </w:t>
            </w:r>
            <w:r>
              <w:t xml:space="preserve">likely </w:t>
            </w:r>
            <w:r w:rsidRPr="00194CE2">
              <w:t xml:space="preserve">have a significant effect at the regional level due to potential limitations of accessing international markets where this pathogen is </w:t>
            </w:r>
            <w:r>
              <w:t>not present</w:t>
            </w:r>
            <w:r w:rsidRPr="00194CE2">
              <w:t>.</w:t>
            </w:r>
          </w:p>
        </w:tc>
      </w:tr>
      <w:tr w:rsidR="003438A2" w:rsidRPr="00194CE2" w14:paraId="03B3A9F2" w14:textId="77777777" w:rsidTr="001A4104">
        <w:trPr>
          <w:cantSplit/>
        </w:trPr>
        <w:tc>
          <w:tcPr>
            <w:tcW w:w="1694" w:type="dxa"/>
            <w:shd w:val="clear" w:color="auto" w:fill="auto"/>
            <w:hideMark/>
          </w:tcPr>
          <w:p w14:paraId="52495CCF" w14:textId="77777777" w:rsidR="003438A2" w:rsidRPr="00194CE2" w:rsidRDefault="003438A2" w:rsidP="001A4104">
            <w:pPr>
              <w:pStyle w:val="TableText"/>
            </w:pPr>
            <w:r>
              <w:t>Non-commercial and environmental</w:t>
            </w:r>
          </w:p>
        </w:tc>
        <w:tc>
          <w:tcPr>
            <w:tcW w:w="7376" w:type="dxa"/>
            <w:shd w:val="clear" w:color="auto" w:fill="auto"/>
            <w:hideMark/>
          </w:tcPr>
          <w:p w14:paraId="637A6230" w14:textId="77777777" w:rsidR="003438A2" w:rsidRPr="00194CE2" w:rsidRDefault="003438A2" w:rsidP="001A4104">
            <w:pPr>
              <w:pStyle w:val="TableText"/>
            </w:pPr>
            <w:r w:rsidRPr="00194CE2">
              <w:t>B - Minor significance at the local level:</w:t>
            </w:r>
          </w:p>
          <w:p w14:paraId="6915C857" w14:textId="77777777" w:rsidR="003438A2" w:rsidRPr="00194CE2" w:rsidRDefault="003438A2" w:rsidP="001A4104">
            <w:pPr>
              <w:pStyle w:val="TableText"/>
            </w:pPr>
            <w:r w:rsidRPr="00194CE2">
              <w:t>Additional fungicide applications or other control activities would</w:t>
            </w:r>
            <w:r>
              <w:t xml:space="preserve"> likely</w:t>
            </w:r>
            <w:r w:rsidRPr="00194CE2">
              <w:t xml:space="preserve"> be required to control this disease</w:t>
            </w:r>
            <w:r>
              <w:t>.</w:t>
            </w:r>
            <w:r w:rsidRPr="00194CE2">
              <w:t xml:space="preserve"> Any additional fungicide usage may affect the environment.</w:t>
            </w:r>
          </w:p>
        </w:tc>
      </w:tr>
    </w:tbl>
    <w:p w14:paraId="1E8B5174" w14:textId="77777777" w:rsidR="003438A2" w:rsidRDefault="003438A2" w:rsidP="00862DBA">
      <w:pPr>
        <w:pStyle w:val="Heading4"/>
        <w:numPr>
          <w:ilvl w:val="0"/>
          <w:numId w:val="0"/>
        </w:numPr>
        <w:ind w:left="794"/>
      </w:pPr>
    </w:p>
    <w:p w14:paraId="61C08CE1" w14:textId="77777777" w:rsidR="003438A2" w:rsidRPr="00AB1BD9" w:rsidRDefault="003438A2" w:rsidP="00F843A1">
      <w:pPr>
        <w:pStyle w:val="Heading4"/>
        <w:numPr>
          <w:ilvl w:val="2"/>
          <w:numId w:val="35"/>
        </w:numPr>
        <w:tabs>
          <w:tab w:val="num" w:pos="1929"/>
        </w:tabs>
        <w:ind w:left="1929"/>
      </w:pPr>
      <w:r w:rsidRPr="00AB1BD9">
        <w:t>Unrestricted risk estimate</w:t>
      </w:r>
    </w:p>
    <w:p w14:paraId="32E9875B" w14:textId="77777777" w:rsidR="003438A2" w:rsidRDefault="003438A2" w:rsidP="00862DBA">
      <w:r w:rsidRPr="00194CE2">
        <w:t xml:space="preserve">Unrestricted risk is the result of combining the </w:t>
      </w:r>
      <w:r>
        <w:t xml:space="preserve">overall </w:t>
      </w:r>
      <w:r w:rsidRPr="001A4104">
        <w:t>likelihood</w:t>
      </w:r>
      <w:r w:rsidRPr="00194CE2">
        <w:t xml:space="preserve"> of entry, establishment and spread with the </w:t>
      </w:r>
      <w:r>
        <w:t>outcome of overall</w:t>
      </w:r>
      <w:r w:rsidRPr="00194CE2">
        <w:t xml:space="preserve"> consequences. </w:t>
      </w:r>
      <w:r>
        <w:t>The overall l</w:t>
      </w:r>
      <w:r w:rsidRPr="00194CE2">
        <w:t>ikelihood and consequences are combined using the risk estimation ma</w:t>
      </w:r>
      <w:r>
        <w:t xml:space="preserve">trix shown in </w:t>
      </w:r>
      <w:r>
        <w:fldChar w:fldCharType="begin" w:fldLock="1"/>
      </w:r>
      <w:r>
        <w:instrText xml:space="preserve"> REF _Ref457826369 \h </w:instrText>
      </w:r>
      <w:r>
        <w:fldChar w:fldCharType="separate"/>
      </w:r>
      <w:r>
        <w:t xml:space="preserve">Table </w:t>
      </w:r>
      <w:r>
        <w:rPr>
          <w:noProof/>
        </w:rPr>
        <w:t>2</w:t>
      </w:r>
      <w:r>
        <w:t>.</w:t>
      </w:r>
      <w:r>
        <w:rPr>
          <w:noProof/>
        </w:rPr>
        <w:t>5</w:t>
      </w:r>
      <w:r>
        <w:fldChar w:fldCharType="end"/>
      </w:r>
      <w:r>
        <w:t>.</w:t>
      </w:r>
    </w:p>
    <w:tbl>
      <w:tblPr>
        <w:tblStyle w:val="TableGridLight3"/>
        <w:tblW w:w="943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1E0" w:firstRow="1" w:lastRow="1" w:firstColumn="1" w:lastColumn="1" w:noHBand="0" w:noVBand="0"/>
      </w:tblPr>
      <w:tblGrid>
        <w:gridCol w:w="6459"/>
        <w:gridCol w:w="2977"/>
      </w:tblGrid>
      <w:tr w:rsidR="003438A2" w:rsidRPr="00194CE2" w14:paraId="790C2476" w14:textId="77777777" w:rsidTr="001A4104">
        <w:tc>
          <w:tcPr>
            <w:tcW w:w="9436" w:type="dxa"/>
            <w:gridSpan w:val="2"/>
            <w:hideMark/>
          </w:tcPr>
          <w:p w14:paraId="43FA6BF3" w14:textId="77777777" w:rsidR="003438A2" w:rsidRPr="00194CE2" w:rsidRDefault="003438A2" w:rsidP="001A4104">
            <w:pPr>
              <w:pStyle w:val="TableHeading"/>
            </w:pPr>
            <w:r w:rsidRPr="00194CE2">
              <w:t xml:space="preserve">Unrestricted risk estimate for </w:t>
            </w:r>
            <w:r w:rsidRPr="005C027E">
              <w:rPr>
                <w:i/>
                <w:iCs/>
              </w:rPr>
              <w:t>Sphaeropsis pyriputrescens</w:t>
            </w:r>
          </w:p>
        </w:tc>
      </w:tr>
      <w:tr w:rsidR="003438A2" w:rsidRPr="00194CE2" w14:paraId="43F0FED6" w14:textId="77777777" w:rsidTr="001A4104">
        <w:tc>
          <w:tcPr>
            <w:tcW w:w="6459" w:type="dxa"/>
            <w:hideMark/>
          </w:tcPr>
          <w:p w14:paraId="61DFC53E" w14:textId="77777777" w:rsidR="003438A2" w:rsidRPr="00194CE2" w:rsidRDefault="003438A2" w:rsidP="001A4104">
            <w:pPr>
              <w:pStyle w:val="TableText"/>
            </w:pPr>
            <w:r w:rsidRPr="00194CE2">
              <w:t>Overall likelihood of entry, establishment and spread</w:t>
            </w:r>
          </w:p>
        </w:tc>
        <w:tc>
          <w:tcPr>
            <w:tcW w:w="2977" w:type="dxa"/>
            <w:hideMark/>
          </w:tcPr>
          <w:p w14:paraId="609EB775" w14:textId="77777777" w:rsidR="003438A2" w:rsidRPr="00194CE2" w:rsidRDefault="003438A2" w:rsidP="001A4104">
            <w:pPr>
              <w:pStyle w:val="TableText"/>
            </w:pPr>
            <w:r w:rsidRPr="00194CE2">
              <w:t>Low</w:t>
            </w:r>
          </w:p>
        </w:tc>
      </w:tr>
      <w:tr w:rsidR="003438A2" w:rsidRPr="00194CE2" w14:paraId="289658F5" w14:textId="77777777" w:rsidTr="001A4104">
        <w:tc>
          <w:tcPr>
            <w:tcW w:w="6459" w:type="dxa"/>
            <w:hideMark/>
          </w:tcPr>
          <w:p w14:paraId="0F6D30D6" w14:textId="77777777" w:rsidR="003438A2" w:rsidRPr="00194CE2" w:rsidRDefault="003438A2" w:rsidP="001A4104">
            <w:pPr>
              <w:pStyle w:val="TableText"/>
            </w:pPr>
            <w:r w:rsidRPr="00194CE2">
              <w:t>Consequences</w:t>
            </w:r>
          </w:p>
        </w:tc>
        <w:tc>
          <w:tcPr>
            <w:tcW w:w="2977" w:type="dxa"/>
            <w:hideMark/>
          </w:tcPr>
          <w:p w14:paraId="6AF73417" w14:textId="77777777" w:rsidR="003438A2" w:rsidRPr="00194CE2" w:rsidRDefault="003438A2" w:rsidP="001A4104">
            <w:pPr>
              <w:pStyle w:val="TableText"/>
            </w:pPr>
            <w:r w:rsidRPr="00194CE2">
              <w:rPr>
                <w:rFonts w:cs="Arial"/>
                <w:szCs w:val="18"/>
              </w:rPr>
              <w:t>Moderate</w:t>
            </w:r>
          </w:p>
        </w:tc>
      </w:tr>
      <w:tr w:rsidR="003438A2" w:rsidRPr="00194CE2" w14:paraId="786A14C5" w14:textId="77777777" w:rsidTr="001A4104">
        <w:tc>
          <w:tcPr>
            <w:tcW w:w="6459" w:type="dxa"/>
            <w:hideMark/>
          </w:tcPr>
          <w:p w14:paraId="2ADF798F" w14:textId="77777777" w:rsidR="003438A2" w:rsidRPr="00194CE2" w:rsidRDefault="003438A2" w:rsidP="001A4104">
            <w:pPr>
              <w:pStyle w:val="TableText"/>
            </w:pPr>
            <w:r w:rsidRPr="00194CE2">
              <w:t>Unrestricted risk</w:t>
            </w:r>
          </w:p>
        </w:tc>
        <w:tc>
          <w:tcPr>
            <w:tcW w:w="2977" w:type="dxa"/>
            <w:hideMark/>
          </w:tcPr>
          <w:p w14:paraId="5A473286" w14:textId="77777777" w:rsidR="003438A2" w:rsidRPr="00194CE2" w:rsidRDefault="003438A2" w:rsidP="001A4104">
            <w:pPr>
              <w:pStyle w:val="TableText"/>
            </w:pPr>
            <w:r w:rsidRPr="00194CE2">
              <w:rPr>
                <w:rFonts w:cs="Arial"/>
                <w:szCs w:val="18"/>
              </w:rPr>
              <w:t>Low</w:t>
            </w:r>
          </w:p>
        </w:tc>
      </w:tr>
    </w:tbl>
    <w:p w14:paraId="18ABBE75" w14:textId="77777777" w:rsidR="003438A2" w:rsidRDefault="003438A2" w:rsidP="00862DBA">
      <w:pPr>
        <w:spacing w:before="120"/>
      </w:pPr>
      <w:r w:rsidRPr="00194CE2">
        <w:t xml:space="preserve">As indicated, the unrestricted risk estimate for </w:t>
      </w:r>
      <w:r w:rsidRPr="00194CE2">
        <w:rPr>
          <w:i/>
        </w:rPr>
        <w:t>S</w:t>
      </w:r>
      <w:r>
        <w:rPr>
          <w:i/>
        </w:rPr>
        <w:t>.</w:t>
      </w:r>
      <w:r w:rsidRPr="00194CE2">
        <w:rPr>
          <w:i/>
        </w:rPr>
        <w:t xml:space="preserve"> pyriputrescens</w:t>
      </w:r>
      <w:r w:rsidRPr="00194CE2">
        <w:t xml:space="preserve"> </w:t>
      </w:r>
      <w:r>
        <w:t>on apples from the PNW-USA is</w:t>
      </w:r>
      <w:r w:rsidRPr="00194CE2">
        <w:t xml:space="preserve"> assessed as </w:t>
      </w:r>
      <w:r w:rsidRPr="00F00543">
        <w:t>Low,</w:t>
      </w:r>
      <w:r>
        <w:t xml:space="preserve"> which does not achieve the ALOP for</w:t>
      </w:r>
      <w:r w:rsidRPr="00194CE2">
        <w:t xml:space="preserve"> Australia. Therefore, specific risk management measures are required for this pest</w:t>
      </w:r>
      <w:r>
        <w:t xml:space="preserve"> on </w:t>
      </w:r>
      <w:r w:rsidRPr="00C006EB">
        <w:t>the PNW-USA apple pathway</w:t>
      </w:r>
      <w:r w:rsidRPr="00194CE2">
        <w:t>.</w:t>
      </w:r>
    </w:p>
    <w:p w14:paraId="0FB64FC5" w14:textId="77777777" w:rsidR="003438A2" w:rsidRPr="00C81258" w:rsidRDefault="003438A2" w:rsidP="00862DBA"/>
    <w:p w14:paraId="601EF40F" w14:textId="77777777" w:rsidR="003438A2" w:rsidRDefault="003438A2" w:rsidP="00862DBA">
      <w:pPr>
        <w:spacing w:after="0" w:line="240" w:lineRule="auto"/>
        <w:rPr>
          <w:rFonts w:ascii="Calibri" w:hAnsi="Calibri"/>
          <w:b/>
          <w:bCs/>
          <w:color w:val="773141"/>
          <w:sz w:val="28"/>
        </w:rPr>
      </w:pPr>
      <w:bookmarkStart w:id="449" w:name="_Toc10009740"/>
      <w:r>
        <w:br w:type="page"/>
      </w:r>
    </w:p>
    <w:p w14:paraId="1E85C5D5" w14:textId="77777777" w:rsidR="003438A2" w:rsidRPr="00AB1BD9" w:rsidRDefault="003438A2" w:rsidP="003438A2">
      <w:pPr>
        <w:pStyle w:val="Heading3"/>
        <w:numPr>
          <w:ilvl w:val="1"/>
          <w:numId w:val="31"/>
        </w:numPr>
      </w:pPr>
      <w:bookmarkStart w:id="450" w:name="_Toc112769024"/>
      <w:bookmarkStart w:id="451" w:name="_Hlk108378677"/>
      <w:bookmarkEnd w:id="430"/>
      <w:bookmarkEnd w:id="434"/>
      <w:bookmarkEnd w:id="435"/>
      <w:bookmarkEnd w:id="437"/>
      <w:bookmarkEnd w:id="449"/>
      <w:r w:rsidRPr="00AB1BD9">
        <w:lastRenderedPageBreak/>
        <w:t>Truncatella leaf spot</w:t>
      </w:r>
      <w:bookmarkEnd w:id="450"/>
    </w:p>
    <w:p w14:paraId="0D0342D1" w14:textId="77777777" w:rsidR="003438A2" w:rsidRDefault="003438A2" w:rsidP="00862DBA">
      <w:pPr>
        <w:pStyle w:val="Heading4"/>
        <w:numPr>
          <w:ilvl w:val="0"/>
          <w:numId w:val="0"/>
        </w:numPr>
      </w:pPr>
      <w:r w:rsidRPr="00516B00">
        <w:rPr>
          <w:i/>
        </w:rPr>
        <w:t>Truncatella hartigii</w:t>
      </w:r>
      <w:r>
        <w:t xml:space="preserve"> (EP)</w:t>
      </w:r>
    </w:p>
    <w:p w14:paraId="5126F583" w14:textId="77777777" w:rsidR="003438A2" w:rsidRDefault="003438A2" w:rsidP="00862DBA">
      <w:r>
        <w:rPr>
          <w:i/>
        </w:rPr>
        <w:t>T</w:t>
      </w:r>
      <w:r w:rsidRPr="000C679C">
        <w:rPr>
          <w:i/>
        </w:rPr>
        <w:t>runcatella</w:t>
      </w:r>
      <w:r>
        <w:rPr>
          <w:i/>
        </w:rPr>
        <w:t xml:space="preserve"> hartigii</w:t>
      </w:r>
      <w:r>
        <w:t xml:space="preserve"> (synonym: </w:t>
      </w:r>
      <w:r>
        <w:rPr>
          <w:i/>
        </w:rPr>
        <w:t>Pestalotia</w:t>
      </w:r>
      <w:r>
        <w:t xml:space="preserve"> </w:t>
      </w:r>
      <w:r>
        <w:rPr>
          <w:i/>
        </w:rPr>
        <w:t>hartigii</w:t>
      </w:r>
      <w:r>
        <w:t>) is an ascomycete fungal pathogen belonging to the family Amphisphaeriaceae.</w:t>
      </w:r>
    </w:p>
    <w:p w14:paraId="5EA57529" w14:textId="77777777" w:rsidR="003438A2" w:rsidRPr="003B2D69" w:rsidRDefault="003438A2" w:rsidP="00862DBA">
      <w:r>
        <w:rPr>
          <w:i/>
        </w:rPr>
        <w:t>Truncatella</w:t>
      </w:r>
      <w:r>
        <w:t xml:space="preserve"> </w:t>
      </w:r>
      <w:r>
        <w:rPr>
          <w:i/>
        </w:rPr>
        <w:t>hartigii</w:t>
      </w:r>
      <w:r>
        <w:t xml:space="preserve"> has a wide host range across diverse plant families including Asteraceae (for example, genus </w:t>
      </w:r>
      <w:r>
        <w:rPr>
          <w:i/>
        </w:rPr>
        <w:t>Lactuca</w:t>
      </w:r>
      <w:r>
        <w:t>), Fagaceae (</w:t>
      </w:r>
      <w:r>
        <w:rPr>
          <w:i/>
        </w:rPr>
        <w:t xml:space="preserve">Fagus </w:t>
      </w:r>
      <w:r>
        <w:rPr>
          <w:iCs/>
        </w:rPr>
        <w:t>sp.</w:t>
      </w:r>
      <w:r>
        <w:t>), Oleaceae (</w:t>
      </w:r>
      <w:r>
        <w:rPr>
          <w:i/>
        </w:rPr>
        <w:t xml:space="preserve">Fraxinus </w:t>
      </w:r>
      <w:r>
        <w:rPr>
          <w:iCs/>
        </w:rPr>
        <w:t>sp.</w:t>
      </w:r>
      <w:r>
        <w:t xml:space="preserve">, </w:t>
      </w:r>
      <w:r>
        <w:rPr>
          <w:i/>
        </w:rPr>
        <w:t xml:space="preserve">Olea </w:t>
      </w:r>
      <w:r>
        <w:rPr>
          <w:iCs/>
        </w:rPr>
        <w:t>sp.</w:t>
      </w:r>
      <w:r w:rsidRPr="00C540B1">
        <w:rPr>
          <w:iCs/>
        </w:rPr>
        <w:t>)</w:t>
      </w:r>
      <w:r>
        <w:t>, Pinaceae (</w:t>
      </w:r>
      <w:r>
        <w:rPr>
          <w:i/>
        </w:rPr>
        <w:t xml:space="preserve">Abies </w:t>
      </w:r>
      <w:r w:rsidRPr="00B82742">
        <w:rPr>
          <w:iCs/>
        </w:rPr>
        <w:t>sp</w:t>
      </w:r>
      <w:r>
        <w:rPr>
          <w:iCs/>
        </w:rPr>
        <w:t>.</w:t>
      </w:r>
      <w:r>
        <w:t xml:space="preserve">, </w:t>
      </w:r>
      <w:r>
        <w:rPr>
          <w:i/>
        </w:rPr>
        <w:t xml:space="preserve">Picea </w:t>
      </w:r>
      <w:r w:rsidRPr="00B82742">
        <w:rPr>
          <w:iCs/>
        </w:rPr>
        <w:t>sp</w:t>
      </w:r>
      <w:r>
        <w:rPr>
          <w:iCs/>
        </w:rPr>
        <w:t>.</w:t>
      </w:r>
      <w:r>
        <w:t xml:space="preserve">, </w:t>
      </w:r>
      <w:r>
        <w:rPr>
          <w:i/>
        </w:rPr>
        <w:t xml:space="preserve">Pinus </w:t>
      </w:r>
      <w:r w:rsidRPr="00B82742">
        <w:rPr>
          <w:iCs/>
        </w:rPr>
        <w:t>sp</w:t>
      </w:r>
      <w:r>
        <w:rPr>
          <w:iCs/>
        </w:rPr>
        <w:t>.</w:t>
      </w:r>
      <w:r>
        <w:t xml:space="preserve">, </w:t>
      </w:r>
      <w:r>
        <w:rPr>
          <w:i/>
        </w:rPr>
        <w:t xml:space="preserve">Pseudotsuga </w:t>
      </w:r>
      <w:r w:rsidRPr="00B82742">
        <w:rPr>
          <w:iCs/>
        </w:rPr>
        <w:t>sp</w:t>
      </w:r>
      <w:r>
        <w:rPr>
          <w:iCs/>
        </w:rPr>
        <w:t>.</w:t>
      </w:r>
      <w:r w:rsidRPr="00F7513E">
        <w:rPr>
          <w:iCs/>
        </w:rPr>
        <w:t>)</w:t>
      </w:r>
      <w:r>
        <w:t>, Restionaceae (</w:t>
      </w:r>
      <w:r>
        <w:rPr>
          <w:i/>
        </w:rPr>
        <w:t xml:space="preserve">Cannomois </w:t>
      </w:r>
      <w:r w:rsidRPr="00B82742">
        <w:rPr>
          <w:iCs/>
        </w:rPr>
        <w:t>sp</w:t>
      </w:r>
      <w:r>
        <w:rPr>
          <w:iCs/>
        </w:rPr>
        <w:t>.</w:t>
      </w:r>
      <w:r>
        <w:t xml:space="preserve">, </w:t>
      </w:r>
      <w:r>
        <w:rPr>
          <w:i/>
        </w:rPr>
        <w:t xml:space="preserve">Rhodocoma </w:t>
      </w:r>
      <w:r w:rsidRPr="00B82742">
        <w:rPr>
          <w:iCs/>
        </w:rPr>
        <w:t>sp</w:t>
      </w:r>
      <w:r>
        <w:rPr>
          <w:iCs/>
        </w:rPr>
        <w:t>.</w:t>
      </w:r>
      <w:r w:rsidRPr="00F7513E">
        <w:rPr>
          <w:iCs/>
        </w:rPr>
        <w:t>)</w:t>
      </w:r>
      <w:r>
        <w:t xml:space="preserve"> and Rosaceae (</w:t>
      </w:r>
      <w:r>
        <w:rPr>
          <w:i/>
        </w:rPr>
        <w:t xml:space="preserve">Malus </w:t>
      </w:r>
      <w:r w:rsidRPr="00B82742">
        <w:rPr>
          <w:iCs/>
        </w:rPr>
        <w:t>sp</w:t>
      </w:r>
      <w:r>
        <w:rPr>
          <w:iCs/>
        </w:rPr>
        <w:t>.</w:t>
      </w:r>
      <w:r>
        <w:t xml:space="preserve">, </w:t>
      </w:r>
      <w:r>
        <w:rPr>
          <w:i/>
        </w:rPr>
        <w:t xml:space="preserve">Pyrus </w:t>
      </w:r>
      <w:r w:rsidRPr="00B82742">
        <w:rPr>
          <w:iCs/>
        </w:rPr>
        <w:t>sp</w:t>
      </w:r>
      <w:r>
        <w:rPr>
          <w:iCs/>
        </w:rPr>
        <w:t>.</w:t>
      </w:r>
      <w:r w:rsidRPr="00F7513E">
        <w:rPr>
          <w:iCs/>
        </w:rPr>
        <w:t>)</w:t>
      </w:r>
      <w:r>
        <w:t xml:space="preserve"> </w:t>
      </w:r>
      <w:r>
        <w:rPr>
          <w:noProof/>
        </w:rPr>
        <w:t xml:space="preserve">(Cooke 1906; Farr &amp; Rossman 2020; Lee, Crous &amp; Wingfield 2006; Spaulding 1956; </w:t>
      </w:r>
      <w:bookmarkStart w:id="452" w:name="_Hlk106814949"/>
      <w:r>
        <w:rPr>
          <w:noProof/>
        </w:rPr>
        <w:t>Vujanovic, St-Arnaud &amp; Neumann 2000)</w:t>
      </w:r>
      <w:bookmarkEnd w:id="452"/>
      <w:r w:rsidRPr="00CE7FAE">
        <w:t>.</w:t>
      </w:r>
      <w:r>
        <w:t xml:space="preserve"> </w:t>
      </w:r>
      <w:r>
        <w:rPr>
          <w:i/>
        </w:rPr>
        <w:t>Truncatella</w:t>
      </w:r>
      <w:r>
        <w:t xml:space="preserve"> </w:t>
      </w:r>
      <w:r>
        <w:rPr>
          <w:i/>
        </w:rPr>
        <w:t>hartigii</w:t>
      </w:r>
      <w:r>
        <w:t xml:space="preserve"> has been recorded from Asia, </w:t>
      </w:r>
      <w:r w:rsidRPr="00347EFB">
        <w:t xml:space="preserve">Europe, South Africa </w:t>
      </w:r>
      <w:r>
        <w:t xml:space="preserve">and </w:t>
      </w:r>
      <w:r w:rsidRPr="00347EFB">
        <w:t xml:space="preserve">North </w:t>
      </w:r>
      <w:r w:rsidRPr="00CE7FAE">
        <w:t xml:space="preserve">America </w:t>
      </w:r>
      <w:r>
        <w:rPr>
          <w:noProof/>
        </w:rPr>
        <w:t>(Farr &amp; Rossman 2020)</w:t>
      </w:r>
      <w:r>
        <w:t xml:space="preserve"> and has also been </w:t>
      </w:r>
      <w:r w:rsidRPr="00CE7FAE">
        <w:t>reported to cause leaf spot and post-harvest fruit</w:t>
      </w:r>
      <w:r>
        <w:t xml:space="preserve"> rot of apple in India </w:t>
      </w:r>
      <w:r>
        <w:rPr>
          <w:noProof/>
        </w:rPr>
        <w:t>(Chaudhary, Puttoo &amp; Ashraf 1987; Fatima 2019)</w:t>
      </w:r>
      <w:r w:rsidRPr="00CE7FAE">
        <w:t>.</w:t>
      </w:r>
      <w:r w:rsidRPr="000C03DA">
        <w:t xml:space="preserve"> </w:t>
      </w:r>
      <w:r>
        <w:t xml:space="preserve">Collection records of </w:t>
      </w:r>
      <w:r>
        <w:rPr>
          <w:i/>
        </w:rPr>
        <w:t xml:space="preserve">T. hartigii </w:t>
      </w:r>
      <w:r>
        <w:t xml:space="preserve">on apple in the PNW-USA are very old </w:t>
      </w:r>
      <w:r>
        <w:rPr>
          <w:noProof/>
        </w:rPr>
        <w:t>(Heald &amp; Ruehle 1931; Zeller 1929)</w:t>
      </w:r>
      <w:r w:rsidRPr="003B2D69">
        <w:t xml:space="preserve">. </w:t>
      </w:r>
    </w:p>
    <w:p w14:paraId="0C8C862E" w14:textId="77777777" w:rsidR="003438A2" w:rsidRDefault="003438A2" w:rsidP="00862DBA">
      <w:r w:rsidRPr="003B2D69">
        <w:t xml:space="preserve">More recent literature </w:t>
      </w:r>
      <w:r>
        <w:rPr>
          <w:noProof/>
        </w:rPr>
        <w:t>(Pscheidt &amp; Ocamb 2021c)</w:t>
      </w:r>
      <w:r>
        <w:t xml:space="preserve"> </w:t>
      </w:r>
      <w:r w:rsidRPr="003B2D69">
        <w:t xml:space="preserve">does not list this fungus as one of the pathogens of concern on apple </w:t>
      </w:r>
      <w:r w:rsidRPr="00887315">
        <w:t>fruit in the PNW-USA</w:t>
      </w:r>
      <w:r>
        <w:t xml:space="preserve">. </w:t>
      </w:r>
      <w:r w:rsidRPr="00887315">
        <w:t>It was repor</w:t>
      </w:r>
      <w:r w:rsidRPr="003B2D69">
        <w:t xml:space="preserve">ted earlier under fungi causing miscellaneous rots rarely found in the PNW-USA </w:t>
      </w:r>
      <w:bookmarkStart w:id="453" w:name="_Hlk47452345"/>
      <w:r>
        <w:rPr>
          <w:noProof/>
        </w:rPr>
        <w:t>(Pierson, Ceponis &amp; McColloch 1971; Rosenberger 1990b; Shaw 1973)</w:t>
      </w:r>
      <w:r>
        <w:t>, but the authors</w:t>
      </w:r>
      <w:bookmarkEnd w:id="453"/>
      <w:r w:rsidRPr="003B2D69">
        <w:t xml:space="preserve"> did not </w:t>
      </w:r>
      <w:r>
        <w:t>specify</w:t>
      </w:r>
      <w:r w:rsidRPr="003B2D69">
        <w:t xml:space="preserve"> collection events</w:t>
      </w:r>
      <w:r>
        <w:t>,</w:t>
      </w:r>
      <w:r w:rsidRPr="003B2D69">
        <w:t xml:space="preserve"> </w:t>
      </w:r>
      <w:r>
        <w:t>indicating that</w:t>
      </w:r>
      <w:r w:rsidRPr="003B2D69">
        <w:t xml:space="preserve"> the </w:t>
      </w:r>
      <w:r>
        <w:t>reports</w:t>
      </w:r>
      <w:r w:rsidRPr="003B2D69">
        <w:t xml:space="preserve"> may have been based on older literature. APHIS </w:t>
      </w:r>
      <w:r>
        <w:rPr>
          <w:noProof/>
        </w:rPr>
        <w:t>(2009)</w:t>
      </w:r>
      <w:r>
        <w:t xml:space="preserve"> has claimed that </w:t>
      </w:r>
      <w:r w:rsidRPr="00B774C2">
        <w:rPr>
          <w:i/>
        </w:rPr>
        <w:t>T. hartigii</w:t>
      </w:r>
      <w:r w:rsidRPr="0041754A">
        <w:t xml:space="preserve"> </w:t>
      </w:r>
      <w:r>
        <w:t>has not been recorded on apples in PNW-USA in recent decades.</w:t>
      </w:r>
      <w:r w:rsidRPr="003B2D69">
        <w:t xml:space="preserve"> </w:t>
      </w:r>
      <w:r>
        <w:t>Recent</w:t>
      </w:r>
      <w:r w:rsidRPr="003B2D69">
        <w:t xml:space="preserve"> survey</w:t>
      </w:r>
      <w:r>
        <w:t>s</w:t>
      </w:r>
      <w:r w:rsidRPr="003B2D69">
        <w:t xml:space="preserve"> of post-harvest pathogens of apples in the PNW-USA did not detect </w:t>
      </w:r>
      <w:r w:rsidRPr="003B2D69">
        <w:rPr>
          <w:i/>
        </w:rPr>
        <w:t>T. hartigii</w:t>
      </w:r>
      <w:r w:rsidRPr="003B2D69">
        <w:t xml:space="preserve"> </w:t>
      </w:r>
      <w:r>
        <w:rPr>
          <w:noProof/>
          <w:lang w:eastAsia="en-AU"/>
        </w:rPr>
        <w:t>(Amiri &amp; Ali 2016; Kim &amp; Xiao 2008)</w:t>
      </w:r>
      <w:r w:rsidRPr="003B2D69">
        <w:t xml:space="preserve">. </w:t>
      </w:r>
      <w:r>
        <w:t>This information suggests that</w:t>
      </w:r>
      <w:r w:rsidRPr="003B2D69">
        <w:t xml:space="preserve"> </w:t>
      </w:r>
      <w:r w:rsidRPr="003B2D69">
        <w:rPr>
          <w:i/>
        </w:rPr>
        <w:t>T. hartigii</w:t>
      </w:r>
      <w:r>
        <w:t>, if still present in the PNW-USA, is likely to be of low prevalence, be</w:t>
      </w:r>
      <w:r w:rsidRPr="003B2D69">
        <w:t xml:space="preserve"> rare on apples </w:t>
      </w:r>
      <w:r>
        <w:t xml:space="preserve">and, not cause economic concern </w:t>
      </w:r>
      <w:r w:rsidRPr="003B2D69">
        <w:t xml:space="preserve">in the </w:t>
      </w:r>
      <w:r>
        <w:t>region.</w:t>
      </w:r>
      <w:r w:rsidRPr="003B2D69">
        <w:t xml:space="preserve"> </w:t>
      </w:r>
    </w:p>
    <w:p w14:paraId="060455DA" w14:textId="77777777" w:rsidR="003438A2" w:rsidRPr="00B7643A" w:rsidRDefault="003438A2" w:rsidP="00636AE0">
      <w:r>
        <w:t>In India, a</w:t>
      </w:r>
      <w:r w:rsidRPr="00293899">
        <w:t>pple leaf spots</w:t>
      </w:r>
      <w:r>
        <w:t xml:space="preserve"> caused by </w:t>
      </w:r>
      <w:r>
        <w:rPr>
          <w:i/>
        </w:rPr>
        <w:t>T. hartigii</w:t>
      </w:r>
      <w:r>
        <w:t xml:space="preserve"> are irregular, large and greyish-white with brown margins on both sides of the infected leaf. Numerous fungal fructifications that are dark, scattered, discoid and sub-epidermal are visible on the leaf spot </w:t>
      </w:r>
      <w:r w:rsidRPr="007F02ED">
        <w:t>(Chaudhary, Puttoo &amp; Ashraf 1987). On infected apple fruit, brown lesions gradually develop during cold storage</w:t>
      </w:r>
      <w:r>
        <w:t xml:space="preserve"> </w:t>
      </w:r>
      <w:r>
        <w:rPr>
          <w:rFonts w:asciiTheme="majorHAnsi" w:hAnsiTheme="majorHAnsi" w:cs="Times New Roman"/>
          <w:noProof/>
        </w:rPr>
        <w:t>(Agarwala &amp; Sharma 1968)</w:t>
      </w:r>
      <w:r>
        <w:t xml:space="preserve">. </w:t>
      </w:r>
      <w:r w:rsidRPr="007F02ED">
        <w:t xml:space="preserve">Shrivelling of fruits is also a common symptom (Fatima 2019). </w:t>
      </w:r>
      <w:r w:rsidRPr="007D6F7F">
        <w:rPr>
          <w:i/>
          <w:iCs/>
        </w:rPr>
        <w:t>Truncatella hartigii</w:t>
      </w:r>
      <w:r w:rsidRPr="007D6F7F">
        <w:t xml:space="preserve"> can cause seed rots and can be seed-borne (Chaudhary, Puttoo &amp; Ashraf 1987). </w:t>
      </w:r>
      <w:r w:rsidRPr="0021521F">
        <w:rPr>
          <w:rFonts w:cs="Warnock Pro"/>
          <w:i/>
          <w:iCs/>
          <w:color w:val="000000"/>
        </w:rPr>
        <w:t>Truncatella</w:t>
      </w:r>
      <w:r w:rsidRPr="0021521F">
        <w:rPr>
          <w:rFonts w:cs="Warnock Pro"/>
          <w:color w:val="000000"/>
        </w:rPr>
        <w:t xml:space="preserve"> </w:t>
      </w:r>
      <w:r w:rsidRPr="0021521F">
        <w:rPr>
          <w:rFonts w:cs="Warnock Pro"/>
          <w:i/>
          <w:iCs/>
          <w:color w:val="000000"/>
        </w:rPr>
        <w:t xml:space="preserve">hartigii </w:t>
      </w:r>
      <w:r w:rsidRPr="0021521F">
        <w:rPr>
          <w:rFonts w:cs="Warnock Pro"/>
          <w:color w:val="000000"/>
        </w:rPr>
        <w:t>was also frequently associated with necrotic le</w:t>
      </w:r>
      <w:r w:rsidRPr="0021521F">
        <w:rPr>
          <w:rFonts w:cs="Warnock Pro"/>
          <w:color w:val="000000"/>
        </w:rPr>
        <w:softHyphen/>
        <w:t>sions on cones/seeds of pine (</w:t>
      </w:r>
      <w:r w:rsidRPr="0021521F">
        <w:rPr>
          <w:rFonts w:cs="Warnock Pro"/>
          <w:i/>
          <w:iCs/>
          <w:color w:val="000000"/>
        </w:rPr>
        <w:t xml:space="preserve">Pinus </w:t>
      </w:r>
      <w:r w:rsidRPr="0021521F">
        <w:rPr>
          <w:rFonts w:cs="Warnock Pro"/>
          <w:color w:val="000000"/>
        </w:rPr>
        <w:t>spp.) (</w:t>
      </w:r>
      <w:hyperlink w:anchor="_ENREF_790" w:tooltip="Vujanovic, 2000 #5104" w:history="1">
        <w:r w:rsidRPr="00B7643A">
          <w:rPr>
            <w:noProof/>
          </w:rPr>
          <w:t>Vujanovic, St-Arnaud &amp; Neumann 2000</w:t>
        </w:r>
      </w:hyperlink>
      <w:r w:rsidRPr="00B7643A">
        <w:rPr>
          <w:noProof/>
        </w:rPr>
        <w:t>).</w:t>
      </w:r>
    </w:p>
    <w:p w14:paraId="6F5E3614" w14:textId="77777777" w:rsidR="003438A2" w:rsidRPr="007D6F7F" w:rsidRDefault="003438A2" w:rsidP="00862DBA">
      <w:r w:rsidRPr="007D6F7F">
        <w:t xml:space="preserve">Conidia produced in pycnidia or acervuli initiate infections as reported in the genus </w:t>
      </w:r>
      <w:r w:rsidRPr="007D6F7F">
        <w:rPr>
          <w:i/>
          <w:iCs/>
        </w:rPr>
        <w:t>Pinus</w:t>
      </w:r>
      <w:r w:rsidRPr="007D6F7F">
        <w:t xml:space="preserve"> (</w:t>
      </w:r>
      <w:hyperlink w:anchor="_ENREF_46" w:tooltip="Ivanová, 2016 #33421" w:history="1">
        <w:r w:rsidRPr="007D6F7F">
          <w:rPr>
            <w:noProof/>
          </w:rPr>
          <w:t>Ivanová 2016</w:t>
        </w:r>
      </w:hyperlink>
      <w:r w:rsidRPr="007D6F7F">
        <w:rPr>
          <w:noProof/>
        </w:rPr>
        <w:t xml:space="preserve">). Pycnidia </w:t>
      </w:r>
      <w:r w:rsidRPr="007D6F7F">
        <w:t xml:space="preserve">can be seen as brown or black masses on lesions </w:t>
      </w:r>
      <w:r>
        <w:rPr>
          <w:noProof/>
        </w:rPr>
        <w:t>(Ivanová 2016)</w:t>
      </w:r>
      <w:r w:rsidRPr="007D6F7F">
        <w:t>. This pathogen may produce large numbers of conidia, which are dry spores easily dispersed by air or by water splash (</w:t>
      </w:r>
      <w:hyperlink w:anchor="_ENREF_46" w:tooltip="Ivanová, 2016 #33421" w:history="1">
        <w:r w:rsidRPr="007D6F7F">
          <w:rPr>
            <w:noProof/>
          </w:rPr>
          <w:t>Ivanová 2016</w:t>
        </w:r>
      </w:hyperlink>
      <w:r w:rsidRPr="007D6F7F">
        <w:rPr>
          <w:noProof/>
        </w:rPr>
        <w:t xml:space="preserve">) that initiate infection leading to </w:t>
      </w:r>
      <w:r w:rsidRPr="007D6F7F">
        <w:t xml:space="preserve">production of hyphae that colonise fruit internally including the seed. However, apart from laboratory studies by </w:t>
      </w:r>
      <w:hyperlink w:anchor="_ENREF_161" w:tooltip="Chaudhary, 1987 #5277" w:history="1">
        <w:r w:rsidRPr="007D6F7F">
          <w:t>Chaudhary, Puttoo &amp; Ashraf (1987</w:t>
        </w:r>
      </w:hyperlink>
      <w:r w:rsidRPr="007D6F7F">
        <w:t xml:space="preserve">) reporting isolation of </w:t>
      </w:r>
      <w:r w:rsidRPr="007D6F7F">
        <w:rPr>
          <w:i/>
          <w:iCs/>
        </w:rPr>
        <w:t>T. hartigii</w:t>
      </w:r>
      <w:r w:rsidRPr="007D6F7F">
        <w:t xml:space="preserve"> from decaying apple seeds and leaves of apple seedlings, there is no other evidence for this pathogen being seed-borne on apple.</w:t>
      </w:r>
    </w:p>
    <w:p w14:paraId="0C4D8BB7" w14:textId="77777777" w:rsidR="003438A2" w:rsidRDefault="003438A2" w:rsidP="00662595">
      <w:r w:rsidRPr="007D6F7F">
        <w:rPr>
          <w:noProof/>
        </w:rPr>
        <w:t xml:space="preserve">The risk scenario of biosecurity concern for </w:t>
      </w:r>
      <w:r w:rsidRPr="007D6F7F">
        <w:rPr>
          <w:i/>
        </w:rPr>
        <w:t>T. hartigii</w:t>
      </w:r>
      <w:r w:rsidRPr="007D6F7F">
        <w:t xml:space="preserve"> </w:t>
      </w:r>
      <w:r w:rsidRPr="007D6F7F">
        <w:rPr>
          <w:noProof/>
        </w:rPr>
        <w:t xml:space="preserve">is that conidia may be present on apple fruit or the fruit or seeds may be internally colonised enabling </w:t>
      </w:r>
      <w:r w:rsidRPr="007D6F7F">
        <w:t>symptomless infected fruit to enter Australia and result in establishment and spread of the pathogen.</w:t>
      </w:r>
    </w:p>
    <w:p w14:paraId="15F59512" w14:textId="77777777" w:rsidR="003438A2" w:rsidRDefault="003438A2" w:rsidP="00862DBA">
      <w:pPr>
        <w:spacing w:after="0" w:line="240" w:lineRule="auto"/>
      </w:pPr>
    </w:p>
    <w:p w14:paraId="09647FC0" w14:textId="77777777" w:rsidR="003438A2" w:rsidRDefault="003438A2" w:rsidP="00862DBA">
      <w:r>
        <w:rPr>
          <w:i/>
        </w:rPr>
        <w:lastRenderedPageBreak/>
        <w:t>Truncatella hartigii</w:t>
      </w:r>
      <w:r>
        <w:t xml:space="preserve"> has been assessed previously in the existing import policy for fresh apple fruit from the People’s Republic of China </w:t>
      </w:r>
      <w:r>
        <w:rPr>
          <w:noProof/>
        </w:rPr>
        <w:t>(Biosecurity Australia 2010a)</w:t>
      </w:r>
      <w:r>
        <w:t xml:space="preserve">. In that policy, the unrestricted risk estimate was assessed as Negligible, which achieves the ALOP for Australia. Therefore, no specific risk mitigation measures are required for </w:t>
      </w:r>
      <w:r>
        <w:rPr>
          <w:i/>
        </w:rPr>
        <w:t>T. hartigii</w:t>
      </w:r>
      <w:r>
        <w:t xml:space="preserve"> on the fresh apples from China pathway.</w:t>
      </w:r>
    </w:p>
    <w:p w14:paraId="6F85A2AB" w14:textId="77777777" w:rsidR="003438A2" w:rsidRDefault="003438A2" w:rsidP="00862DBA">
      <w:r w:rsidRPr="00815A3A">
        <w:t xml:space="preserve">The department assessed the likelihood of </w:t>
      </w:r>
      <w:r w:rsidRPr="00E106BD">
        <w:t xml:space="preserve">importation of </w:t>
      </w:r>
      <w:r>
        <w:rPr>
          <w:i/>
        </w:rPr>
        <w:t>T. hartigii</w:t>
      </w:r>
      <w:r>
        <w:t xml:space="preserve"> </w:t>
      </w:r>
      <w:r w:rsidRPr="00E106BD">
        <w:t xml:space="preserve">on fresh apple fruit from China as </w:t>
      </w:r>
      <w:r>
        <w:t>Very Low</w:t>
      </w:r>
      <w:r w:rsidRPr="00E106BD">
        <w:t xml:space="preserve"> </w:t>
      </w:r>
      <w:r>
        <w:rPr>
          <w:noProof/>
        </w:rPr>
        <w:t>(Biosecurity Australia 2010a)</w:t>
      </w:r>
      <w:r>
        <w:t xml:space="preserve">, largely due to the absence of any records of </w:t>
      </w:r>
      <w:r>
        <w:rPr>
          <w:i/>
        </w:rPr>
        <w:t>T. hartigii</w:t>
      </w:r>
      <w:r>
        <w:t xml:space="preserve"> on apples in China</w:t>
      </w:r>
      <w:r w:rsidRPr="00E106BD">
        <w:t>. However</w:t>
      </w:r>
      <w:r w:rsidRPr="00815A3A">
        <w:t xml:space="preserve">, </w:t>
      </w:r>
      <w:r>
        <w:t xml:space="preserve">the differences in </w:t>
      </w:r>
      <w:r w:rsidRPr="00815A3A">
        <w:t>pest prevalence</w:t>
      </w:r>
      <w:r>
        <w:t xml:space="preserve">, </w:t>
      </w:r>
      <w:r w:rsidRPr="00815A3A">
        <w:t>climate and horticultur</w:t>
      </w:r>
      <w:r>
        <w:t>al</w:t>
      </w:r>
      <w:r w:rsidRPr="00815A3A">
        <w:t xml:space="preserve"> practices </w:t>
      </w:r>
      <w:r>
        <w:t>between</w:t>
      </w:r>
      <w:r w:rsidRPr="00815A3A">
        <w:t xml:space="preserve"> </w:t>
      </w:r>
      <w:r>
        <w:t xml:space="preserve">the </w:t>
      </w:r>
      <w:r w:rsidRPr="00815A3A">
        <w:t>export areas make it necessary to re</w:t>
      </w:r>
      <w:r>
        <w:t>-</w:t>
      </w:r>
      <w:r w:rsidRPr="00815A3A">
        <w:t xml:space="preserve">assess the likelihood of importation of </w:t>
      </w:r>
      <w:r>
        <w:rPr>
          <w:i/>
        </w:rPr>
        <w:t>T. hartigii</w:t>
      </w:r>
      <w:r>
        <w:t xml:space="preserve"> </w:t>
      </w:r>
      <w:r w:rsidRPr="00815A3A">
        <w:t xml:space="preserve">associated with </w:t>
      </w:r>
      <w:r>
        <w:t xml:space="preserve">the </w:t>
      </w:r>
      <w:r w:rsidRPr="00815A3A">
        <w:t>PNW-USA</w:t>
      </w:r>
      <w:r>
        <w:t xml:space="preserve"> apple pathway</w:t>
      </w:r>
      <w:r w:rsidRPr="00815A3A">
        <w:t>.</w:t>
      </w:r>
    </w:p>
    <w:p w14:paraId="74BE639E" w14:textId="77777777" w:rsidR="003438A2" w:rsidRPr="00815A3A" w:rsidRDefault="003438A2" w:rsidP="00862DBA">
      <w:r>
        <w:t xml:space="preserve">Previous assessment of </w:t>
      </w:r>
      <w:r>
        <w:rPr>
          <w:i/>
        </w:rPr>
        <w:t>T. hartigii</w:t>
      </w:r>
      <w:r>
        <w:t xml:space="preserve"> on apples from China rated the likelihood of distribution as High. Apples from the PNW-USA are expected to be distributed in Australia, </w:t>
      </w:r>
      <w:r w:rsidRPr="00EA41CB">
        <w:t>as a result of processing, sale or disposal,</w:t>
      </w:r>
      <w:r>
        <w:t xml:space="preserve"> in a similar way to apples from China.</w:t>
      </w:r>
      <w:r>
        <w:rPr>
          <w:i/>
        </w:rPr>
        <w:t xml:space="preserve"> </w:t>
      </w:r>
      <w:r>
        <w:t xml:space="preserve">Apples can be imported all year round, therefore, </w:t>
      </w:r>
      <w:r w:rsidRPr="00B81F41">
        <w:t>there would be no seasonal differences between both import pathways to contribute to variation in the risk rating for likelihood of distribution</w:t>
      </w:r>
      <w:r>
        <w:t xml:space="preserve">. </w:t>
      </w:r>
      <w:r w:rsidRPr="0050285A">
        <w:rPr>
          <w:i/>
        </w:rPr>
        <w:t>Truncatella hartigii</w:t>
      </w:r>
      <w:r w:rsidRPr="0050285A">
        <w:t xml:space="preserve"> can be seed-borne </w:t>
      </w:r>
      <w:r>
        <w:rPr>
          <w:noProof/>
        </w:rPr>
        <w:t>(Chaudhary, Puttoo &amp; Ashraf 1987)</w:t>
      </w:r>
      <w:r w:rsidRPr="00201FA5">
        <w:t>, t</w:t>
      </w:r>
      <w:r>
        <w:t>herefore, d</w:t>
      </w:r>
      <w:r w:rsidRPr="00BC0BFD">
        <w:t>iscarded apple cores may give rise to infected seedlings</w:t>
      </w:r>
      <w:r>
        <w:t xml:space="preserve">. Fruit infected with </w:t>
      </w:r>
      <w:r w:rsidRPr="00262479">
        <w:rPr>
          <w:i/>
          <w:iCs/>
        </w:rPr>
        <w:t>T. hartigii</w:t>
      </w:r>
      <w:r>
        <w:t xml:space="preserve"> may be discarded in the natural environment, including near a suitable host. Therefore, t</w:t>
      </w:r>
      <w:r w:rsidRPr="00815A3A">
        <w:t xml:space="preserve">he </w:t>
      </w:r>
      <w:r>
        <w:t xml:space="preserve">same </w:t>
      </w:r>
      <w:r w:rsidRPr="00815A3A">
        <w:t xml:space="preserve">rating of </w:t>
      </w:r>
      <w:r>
        <w:t>High</w:t>
      </w:r>
      <w:r w:rsidRPr="00815A3A">
        <w:t xml:space="preserve"> for the likelihood of distribution </w:t>
      </w:r>
      <w:r w:rsidRPr="00E81517">
        <w:t xml:space="preserve">for </w:t>
      </w:r>
      <w:r w:rsidRPr="008713C7">
        <w:rPr>
          <w:i/>
          <w:iCs/>
        </w:rPr>
        <w:t>T. hartigii</w:t>
      </w:r>
      <w:r w:rsidRPr="00FD24F5">
        <w:t xml:space="preserve"> </w:t>
      </w:r>
      <w:r>
        <w:t>on the China apple pathway</w:t>
      </w:r>
      <w:r w:rsidRPr="00815A3A">
        <w:t xml:space="preserve"> is adopted for </w:t>
      </w:r>
      <w:r>
        <w:rPr>
          <w:i/>
        </w:rPr>
        <w:t>T. hartigii</w:t>
      </w:r>
      <w:r>
        <w:t xml:space="preserve"> on </w:t>
      </w:r>
      <w:r w:rsidRPr="00815A3A">
        <w:t>the PNW-USA</w:t>
      </w:r>
      <w:r>
        <w:t xml:space="preserve"> apple pathway</w:t>
      </w:r>
      <w:r w:rsidRPr="00815A3A">
        <w:t>.</w:t>
      </w:r>
    </w:p>
    <w:p w14:paraId="47009B03" w14:textId="77777777" w:rsidR="003438A2" w:rsidRPr="00815A3A" w:rsidRDefault="003438A2" w:rsidP="00862DBA">
      <w:r w:rsidRPr="00820F77">
        <w:t xml:space="preserve">The likelihoods </w:t>
      </w:r>
      <w:r>
        <w:t xml:space="preserve">of establishment and spread of </w:t>
      </w:r>
      <w:r>
        <w:rPr>
          <w:i/>
        </w:rPr>
        <w:t>T. hartigii</w:t>
      </w:r>
      <w:r>
        <w:t xml:space="preserve"> </w:t>
      </w:r>
      <w:r w:rsidRPr="00820F77">
        <w:t xml:space="preserve">in Australia </w:t>
      </w:r>
      <w:r w:rsidRPr="00815A3A">
        <w:t xml:space="preserve">from </w:t>
      </w:r>
      <w:r>
        <w:t xml:space="preserve">the </w:t>
      </w:r>
      <w:r w:rsidRPr="00815A3A">
        <w:t xml:space="preserve">PNW-USA apple pathway </w:t>
      </w:r>
      <w:r>
        <w:t>have also been assessed as</w:t>
      </w:r>
      <w:r w:rsidRPr="00820F77">
        <w:t xml:space="preserve"> </w:t>
      </w:r>
      <w:r>
        <w:t xml:space="preserve">similar to the previous assessments of High and High, respectively, for </w:t>
      </w:r>
      <w:r w:rsidRPr="00820F77">
        <w:t>apples from the People’s Republic of China. The</w:t>
      </w:r>
      <w:r>
        <w:t>se</w:t>
      </w:r>
      <w:r w:rsidRPr="00820F77">
        <w:t xml:space="preserve"> likelihoods relate specifically to events that occur in Australia and are principally independent of the import pathway. </w:t>
      </w:r>
      <w:r w:rsidRPr="00815A3A">
        <w:t>The consequences of entry</w:t>
      </w:r>
      <w:r>
        <w:t>,</w:t>
      </w:r>
      <w:r w:rsidRPr="00815A3A">
        <w:t xml:space="preserve"> establishment and spread for </w:t>
      </w:r>
      <w:r>
        <w:rPr>
          <w:i/>
        </w:rPr>
        <w:t>T. hartigii</w:t>
      </w:r>
      <w:r>
        <w:t xml:space="preserve"> </w:t>
      </w:r>
      <w:r w:rsidRPr="00815A3A">
        <w:t xml:space="preserve">are also independent of the import pathway and </w:t>
      </w:r>
      <w:r>
        <w:t xml:space="preserve">have been assessed </w:t>
      </w:r>
      <w:r w:rsidRPr="00815A3A">
        <w:t xml:space="preserve">as </w:t>
      </w:r>
      <w:r>
        <w:t xml:space="preserve">similar to the existing assessment of </w:t>
      </w:r>
      <w:r w:rsidRPr="00815A3A">
        <w:t>Low</w:t>
      </w:r>
      <w:r>
        <w:t xml:space="preserve"> for the apples from China pathway</w:t>
      </w:r>
      <w:r w:rsidRPr="00815A3A">
        <w:t>. Therefore, the ratings for likelihoods of establishment and spread</w:t>
      </w:r>
      <w:r>
        <w:t>,</w:t>
      </w:r>
      <w:r w:rsidRPr="00815A3A">
        <w:t xml:space="preserve"> </w:t>
      </w:r>
      <w:r>
        <w:t xml:space="preserve">and the </w:t>
      </w:r>
      <w:r w:rsidRPr="00815A3A">
        <w:t xml:space="preserve">rating for overall consequences for </w:t>
      </w:r>
      <w:r>
        <w:rPr>
          <w:i/>
        </w:rPr>
        <w:t>T. hartigii</w:t>
      </w:r>
      <w:r>
        <w:t xml:space="preserve"> on the China apple pathway </w:t>
      </w:r>
      <w:r w:rsidRPr="00815A3A">
        <w:t xml:space="preserve">have been adopted </w:t>
      </w:r>
      <w:r>
        <w:t xml:space="preserve">for </w:t>
      </w:r>
      <w:r>
        <w:rPr>
          <w:i/>
        </w:rPr>
        <w:t>T. hartigii</w:t>
      </w:r>
      <w:r>
        <w:t xml:space="preserve"> </w:t>
      </w:r>
      <w:r w:rsidRPr="00554A12">
        <w:t>on</w:t>
      </w:r>
      <w:r>
        <w:rPr>
          <w:i/>
        </w:rPr>
        <w:t xml:space="preserve"> </w:t>
      </w:r>
      <w:r w:rsidRPr="00815A3A">
        <w:t xml:space="preserve">the PNW-USA </w:t>
      </w:r>
      <w:r>
        <w:t xml:space="preserve">apple </w:t>
      </w:r>
      <w:r w:rsidRPr="00815A3A">
        <w:t>pathway.</w:t>
      </w:r>
    </w:p>
    <w:p w14:paraId="7D478A3E" w14:textId="77777777" w:rsidR="003438A2" w:rsidRDefault="003438A2" w:rsidP="00862DBA">
      <w:r>
        <w:t xml:space="preserve">The department has also reviewed the latest literature </w:t>
      </w:r>
      <w:r w:rsidRPr="00EF31AE">
        <w:t>—</w:t>
      </w:r>
      <w:r>
        <w:t xml:space="preserve">for example, </w:t>
      </w:r>
      <w:r>
        <w:rPr>
          <w:noProof/>
        </w:rPr>
        <w:t>Farr and Rossman (2020); Fatima (2019); Ivanová (2016) and Pusz et al. (2015)</w:t>
      </w:r>
      <w:r>
        <w:t xml:space="preserve">. No new information has been identified that would significantly change the risk ratings for distribution, establishment, spread or consequences as set out for </w:t>
      </w:r>
      <w:r>
        <w:rPr>
          <w:i/>
        </w:rPr>
        <w:t>T. hartigii</w:t>
      </w:r>
      <w:r>
        <w:t xml:space="preserve"> in the existing policy.</w:t>
      </w:r>
    </w:p>
    <w:p w14:paraId="3C8F69A7" w14:textId="77777777" w:rsidR="003438A2" w:rsidRDefault="003438A2" w:rsidP="003438A2">
      <w:pPr>
        <w:pStyle w:val="Heading4"/>
        <w:numPr>
          <w:ilvl w:val="2"/>
          <w:numId w:val="31"/>
        </w:numPr>
        <w:tabs>
          <w:tab w:val="clear" w:pos="1645"/>
          <w:tab w:val="num" w:pos="794"/>
        </w:tabs>
        <w:ind w:left="1786"/>
      </w:pPr>
      <w:r w:rsidRPr="00AB1BD9">
        <w:t xml:space="preserve">Likelihood of </w:t>
      </w:r>
      <w:r>
        <w:t>entry</w:t>
      </w:r>
    </w:p>
    <w:p w14:paraId="64D512B1" w14:textId="77777777" w:rsidR="003438A2" w:rsidRDefault="003438A2" w:rsidP="00862DBA">
      <w:r>
        <w:t>The likelihood of entry is considered in 2 parts, the likelihood of importation and the likelihood of distribution, which consider pre-border and post-border issues, respectively.</w:t>
      </w:r>
    </w:p>
    <w:p w14:paraId="5D3B0723" w14:textId="77777777" w:rsidR="003438A2" w:rsidRPr="00C56CAD" w:rsidRDefault="003438A2" w:rsidP="00862DBA">
      <w:pPr>
        <w:pStyle w:val="Heading5"/>
      </w:pPr>
      <w:r w:rsidRPr="00C56CAD">
        <w:t>Likelihood of importation</w:t>
      </w:r>
      <w:r>
        <w:t xml:space="preserve"> with apple fruit from the PNW-USA</w:t>
      </w:r>
    </w:p>
    <w:p w14:paraId="3C8DA6B4" w14:textId="77777777" w:rsidR="003438A2" w:rsidRDefault="003438A2" w:rsidP="00862DBA">
      <w:r>
        <w:t xml:space="preserve">The likelihood that </w:t>
      </w:r>
      <w:r w:rsidRPr="005C5809">
        <w:rPr>
          <w:i/>
        </w:rPr>
        <w:t>T. hartigii</w:t>
      </w:r>
      <w:r w:rsidRPr="00516B00">
        <w:t xml:space="preserve"> </w:t>
      </w:r>
      <w:r>
        <w:t>will arrive in Australia with the importation of apples from PNW-USA is assessed as Low.</w:t>
      </w:r>
    </w:p>
    <w:p w14:paraId="21410AD4" w14:textId="77777777" w:rsidR="003438A2" w:rsidRDefault="003438A2" w:rsidP="00862DBA">
      <w:r>
        <w:t>The following information provides supporting evidence for this assessment.</w:t>
      </w:r>
    </w:p>
    <w:p w14:paraId="57492CC6" w14:textId="77777777" w:rsidR="003438A2" w:rsidRDefault="003438A2" w:rsidP="00862DBA">
      <w:pPr>
        <w:rPr>
          <w:i/>
          <w:u w:val="single"/>
        </w:rPr>
      </w:pPr>
      <w:r w:rsidRPr="0018507C">
        <w:rPr>
          <w:i/>
        </w:rPr>
        <w:lastRenderedPageBreak/>
        <w:t xml:space="preserve">Truncatella hartigii </w:t>
      </w:r>
      <w:r w:rsidRPr="0018507C">
        <w:t>is likely to be present in the PNW-USA at low prevalence and is unlikely to be associated with commercially</w:t>
      </w:r>
      <w:r>
        <w:t xml:space="preserve"> produced apple fruit</w:t>
      </w:r>
      <w:r>
        <w:rPr>
          <w:i/>
        </w:rPr>
        <w:t>.</w:t>
      </w:r>
    </w:p>
    <w:p w14:paraId="2D4785E4" w14:textId="77777777" w:rsidR="003438A2" w:rsidRDefault="003438A2" w:rsidP="003438A2">
      <w:pPr>
        <w:pStyle w:val="ListBullet"/>
      </w:pPr>
      <w:r>
        <w:t xml:space="preserve">There are old records of </w:t>
      </w:r>
      <w:r>
        <w:rPr>
          <w:i/>
        </w:rPr>
        <w:t>T. hartigii</w:t>
      </w:r>
      <w:r>
        <w:t xml:space="preserve"> on apples in the PNW-USA </w:t>
      </w:r>
      <w:r>
        <w:rPr>
          <w:noProof/>
        </w:rPr>
        <w:t>(Heald &amp; Ruehle 1931; Zeller 1929)</w:t>
      </w:r>
      <w:r>
        <w:t>.</w:t>
      </w:r>
    </w:p>
    <w:p w14:paraId="2BE84D20" w14:textId="77777777" w:rsidR="003438A2" w:rsidRPr="00702C43" w:rsidRDefault="003438A2" w:rsidP="003438A2">
      <w:pPr>
        <w:pStyle w:val="ListBullet"/>
      </w:pPr>
      <w:r>
        <w:t xml:space="preserve">Early literature </w:t>
      </w:r>
      <w:bookmarkStart w:id="454" w:name="_Hlk106958328"/>
      <w:r>
        <w:rPr>
          <w:noProof/>
        </w:rPr>
        <w:t>(Pierson, Ceponis &amp; McColloch 1971; Rosenberger 1990b; Shaw 1973)</w:t>
      </w:r>
      <w:bookmarkEnd w:id="454"/>
      <w:r>
        <w:t xml:space="preserve"> </w:t>
      </w:r>
      <w:r w:rsidRPr="00A82519">
        <w:t>li</w:t>
      </w:r>
      <w:r>
        <w:t xml:space="preserve">sted this fungus as one of the rarely found pathogens causing miscellaneous apple fruit storage rots in the PNW-USA but did not mention specific collection events. The listings may have </w:t>
      </w:r>
      <w:r w:rsidRPr="00702C43">
        <w:t>been based on older literature.</w:t>
      </w:r>
    </w:p>
    <w:p w14:paraId="09E3A18A" w14:textId="77777777" w:rsidR="003438A2" w:rsidRPr="00702C43" w:rsidRDefault="003438A2" w:rsidP="003438A2">
      <w:pPr>
        <w:pStyle w:val="ListBullet"/>
      </w:pPr>
      <w:r w:rsidRPr="00841654">
        <w:rPr>
          <w:i/>
          <w:iCs/>
        </w:rPr>
        <w:t>Truncatella hartigii</w:t>
      </w:r>
      <w:r w:rsidRPr="00841654">
        <w:t xml:space="preserve"> is one of several miscellaneous post-harvest fungi that can cause post-harvest rots of minor importance in apples </w:t>
      </w:r>
      <w:r>
        <w:rPr>
          <w:noProof/>
        </w:rPr>
        <w:t>(Kim &amp; Xiao 2008; Pierson, Ceponis &amp; McColloch 1971; Washington State University Extension 2020; Xiao &amp; Kim 2008)</w:t>
      </w:r>
      <w:r w:rsidRPr="00841654">
        <w:t>.</w:t>
      </w:r>
      <w:r>
        <w:t xml:space="preserve"> </w:t>
      </w:r>
      <w:r w:rsidRPr="00702C43">
        <w:rPr>
          <w:rFonts w:eastAsia="Calibri"/>
          <w:i/>
        </w:rPr>
        <w:t>Truncatella hartigii</w:t>
      </w:r>
      <w:r w:rsidRPr="00702C43">
        <w:rPr>
          <w:rFonts w:eastAsia="Calibri"/>
        </w:rPr>
        <w:t xml:space="preserve"> </w:t>
      </w:r>
      <w:r w:rsidRPr="00702C43">
        <w:t xml:space="preserve">causes infection in the field that is asymptomatic and later develops as a storage rot </w:t>
      </w:r>
      <w:r w:rsidRPr="00702C43">
        <w:rPr>
          <w:noProof/>
        </w:rPr>
        <w:t>(Pierson, Ceponis &amp; McColloch 1971; Rosenberger 1990b; Shaw 1973)</w:t>
      </w:r>
      <w:r w:rsidRPr="00702C43">
        <w:t xml:space="preserve">. </w:t>
      </w:r>
      <w:r w:rsidRPr="00702C43">
        <w:rPr>
          <w:rFonts w:eastAsia="Calibri"/>
          <w:i/>
        </w:rPr>
        <w:t>Truncatella hartigii</w:t>
      </w:r>
      <w:r w:rsidRPr="00702C43">
        <w:rPr>
          <w:rFonts w:eastAsia="Calibri"/>
        </w:rPr>
        <w:t xml:space="preserve"> is </w:t>
      </w:r>
      <w:r w:rsidRPr="00702C43">
        <w:t xml:space="preserve">rarely found on apples from commercial orchards under cold storage </w:t>
      </w:r>
      <w:r w:rsidRPr="00702C43">
        <w:rPr>
          <w:noProof/>
        </w:rPr>
        <w:t>(Rosenberger 1990b)</w:t>
      </w:r>
      <w:r w:rsidRPr="00702C43">
        <w:t>.</w:t>
      </w:r>
    </w:p>
    <w:p w14:paraId="7CB8E799" w14:textId="77777777" w:rsidR="003438A2" w:rsidRDefault="003438A2" w:rsidP="003438A2">
      <w:pPr>
        <w:pStyle w:val="ListBullet"/>
      </w:pPr>
      <w:r w:rsidRPr="00702C43">
        <w:t>More recent literature does not list</w:t>
      </w:r>
      <w:r w:rsidRPr="007F79FB">
        <w:t xml:space="preserve"> this fungus as one of the pathogens of concern on apple fruit in the PNW-USA</w:t>
      </w:r>
      <w:r>
        <w:t xml:space="preserve"> </w:t>
      </w:r>
      <w:r>
        <w:rPr>
          <w:noProof/>
        </w:rPr>
        <w:t>(Amiri &amp; Ali 2016; Pscheidt &amp; Ocamb 2021c; WSU 2009)</w:t>
      </w:r>
      <w:r w:rsidRPr="007F79FB">
        <w:t>.</w:t>
      </w:r>
    </w:p>
    <w:p w14:paraId="5C99C8D3" w14:textId="77777777" w:rsidR="003438A2" w:rsidRPr="00364E18" w:rsidRDefault="003438A2" w:rsidP="003438A2">
      <w:pPr>
        <w:pStyle w:val="ListBullet"/>
      </w:pPr>
      <w:r w:rsidRPr="00364E18">
        <w:t xml:space="preserve">Surveys of post-harvest pathogens of apples in the PNW-USA from 2003-2005 did not detect </w:t>
      </w:r>
      <w:r w:rsidRPr="00A75592">
        <w:rPr>
          <w:i/>
        </w:rPr>
        <w:t>T. hartigii</w:t>
      </w:r>
      <w:r w:rsidRPr="00364E18">
        <w:t xml:space="preserve"> </w:t>
      </w:r>
      <w:r w:rsidRPr="00364E18">
        <w:rPr>
          <w:noProof/>
        </w:rPr>
        <w:t>(Kim &amp; Xiao 2008)</w:t>
      </w:r>
      <w:r w:rsidRPr="00364E18">
        <w:t xml:space="preserve">. More recent surveys, including a state-wide survey in Washington in 2015, did not detect this pathogen </w:t>
      </w:r>
      <w:r>
        <w:rPr>
          <w:noProof/>
          <w:lang w:eastAsia="en-AU"/>
        </w:rPr>
        <w:t>(Amiri &amp; Ali 2016)</w:t>
      </w:r>
      <w:r w:rsidRPr="00364E18">
        <w:t>.</w:t>
      </w:r>
    </w:p>
    <w:p w14:paraId="12BA2464" w14:textId="77777777" w:rsidR="003438A2" w:rsidRDefault="003438A2" w:rsidP="003438A2">
      <w:pPr>
        <w:pStyle w:val="ListBullet"/>
      </w:pPr>
      <w:r w:rsidRPr="00AC2987">
        <w:t xml:space="preserve">APHIS </w:t>
      </w:r>
      <w:r>
        <w:rPr>
          <w:noProof/>
        </w:rPr>
        <w:t>(2009)</w:t>
      </w:r>
      <w:r>
        <w:t xml:space="preserve"> claimed that </w:t>
      </w:r>
      <w:r w:rsidRPr="00A75592">
        <w:rPr>
          <w:i/>
        </w:rPr>
        <w:t>T. hartigii</w:t>
      </w:r>
      <w:r>
        <w:t xml:space="preserve"> has not been recorded on apples in PNW-USA in recent decades. The absence of recent reports suggests that this pathogen</w:t>
      </w:r>
      <w:r w:rsidRPr="00DC5D42">
        <w:t xml:space="preserve">, if present, is </w:t>
      </w:r>
      <w:r w:rsidRPr="00480681">
        <w:t>rare</w:t>
      </w:r>
      <w:r>
        <w:t xml:space="preserve"> on commercially produced apples in the PNW-USA.</w:t>
      </w:r>
    </w:p>
    <w:p w14:paraId="0A12CCB9" w14:textId="77777777" w:rsidR="003438A2" w:rsidRPr="00013DDD" w:rsidRDefault="003438A2" w:rsidP="00862DBA">
      <w:r w:rsidRPr="00013DDD">
        <w:t xml:space="preserve">Fruit showing symptoms at the time of packing are likely to be rejected, however, fruit infected with </w:t>
      </w:r>
      <w:r w:rsidRPr="00013DDD">
        <w:rPr>
          <w:i/>
          <w:iCs/>
        </w:rPr>
        <w:t xml:space="preserve">T. hartigii </w:t>
      </w:r>
      <w:r w:rsidRPr="00013DDD">
        <w:t xml:space="preserve">that have no symptoms may be harvested and packed for export. </w:t>
      </w:r>
    </w:p>
    <w:p w14:paraId="0E44981F" w14:textId="77777777" w:rsidR="003438A2" w:rsidRPr="00013DDD" w:rsidRDefault="003438A2" w:rsidP="003438A2">
      <w:pPr>
        <w:pStyle w:val="ListBullet"/>
      </w:pPr>
      <w:r w:rsidRPr="00013DDD">
        <w:rPr>
          <w:i/>
          <w:iCs/>
        </w:rPr>
        <w:t>Truncatella hartigii</w:t>
      </w:r>
      <w:r w:rsidRPr="00013DDD">
        <w:t xml:space="preserve"> is a fungus that cause</w:t>
      </w:r>
      <w:r>
        <w:t>s</w:t>
      </w:r>
      <w:r w:rsidRPr="00013DDD">
        <w:t xml:space="preserve"> post-harvest fruit rot of apple </w:t>
      </w:r>
      <w:r w:rsidRPr="00013DDD">
        <w:rPr>
          <w:noProof/>
        </w:rPr>
        <w:t>(Chaudhary, Puttoo &amp; Ashraf 1987; Fatima 2019)</w:t>
      </w:r>
      <w:r w:rsidRPr="00013DDD">
        <w:t xml:space="preserve">. On apple fruit, brown lesions develop gradually during cold storage </w:t>
      </w:r>
      <w:r w:rsidRPr="00013DDD">
        <w:rPr>
          <w:noProof/>
        </w:rPr>
        <w:t>(Fatima 2019)</w:t>
      </w:r>
      <w:r w:rsidRPr="00013DDD">
        <w:t xml:space="preserve">. </w:t>
      </w:r>
    </w:p>
    <w:p w14:paraId="788C989A" w14:textId="77777777" w:rsidR="003438A2" w:rsidRDefault="003438A2" w:rsidP="003438A2">
      <w:pPr>
        <w:pStyle w:val="ListBullet"/>
      </w:pPr>
      <w:r w:rsidRPr="00013DDD">
        <w:t>Harvested apples</w:t>
      </w:r>
      <w:r w:rsidRPr="00C34976">
        <w:t xml:space="preserve"> are normally cold-stored at 0° to 2°C </w:t>
      </w:r>
      <w:r>
        <w:rPr>
          <w:noProof/>
        </w:rPr>
        <w:t>(Good Fruit Grower 2014; Iowa State University Extension and Outreach 2008; Kupferman 1996; University of Maine 2020; Washington Apple Commission 2020)</w:t>
      </w:r>
      <w:r w:rsidRPr="009B5FE8">
        <w:rPr>
          <w:color w:val="000000"/>
        </w:rPr>
        <w:t xml:space="preserve"> </w:t>
      </w:r>
      <w:r>
        <w:rPr>
          <w:color w:val="000000"/>
        </w:rPr>
        <w:t xml:space="preserve">prior to export. Storage period may vary </w:t>
      </w:r>
      <w:r w:rsidRPr="00806799">
        <w:rPr>
          <w:color w:val="000000"/>
        </w:rPr>
        <w:t>from 1 day to more than 11 months (</w:t>
      </w:r>
      <w:hyperlink w:anchor="_ENREF_451" w:tooltip="Kupferman, 1996 #4887" w:history="1">
        <w:r>
          <w:rPr>
            <w:noProof/>
          </w:rPr>
          <w:t>Kupferman 1996</w:t>
        </w:r>
      </w:hyperlink>
      <w:r>
        <w:rPr>
          <w:noProof/>
        </w:rPr>
        <w:t>)</w:t>
      </w:r>
      <w:r w:rsidRPr="003C69C9">
        <w:t>.</w:t>
      </w:r>
      <w:r>
        <w:t xml:space="preserve"> </w:t>
      </w:r>
    </w:p>
    <w:p w14:paraId="44C746C1" w14:textId="77777777" w:rsidR="003438A2" w:rsidRDefault="003438A2" w:rsidP="003438A2">
      <w:pPr>
        <w:pStyle w:val="ListBullet"/>
      </w:pPr>
      <w:r>
        <w:t xml:space="preserve">Fruit that are cold-stored for a period of time are likely to express visible symptoms and not be packed for export. </w:t>
      </w:r>
    </w:p>
    <w:p w14:paraId="2BF228DD" w14:textId="77777777" w:rsidR="003438A2" w:rsidRDefault="003438A2" w:rsidP="003438A2">
      <w:pPr>
        <w:pStyle w:val="ListBullet"/>
      </w:pPr>
      <w:r>
        <w:t xml:space="preserve">However, </w:t>
      </w:r>
      <w:r w:rsidRPr="002520DE">
        <w:t xml:space="preserve">infected </w:t>
      </w:r>
      <w:r w:rsidRPr="002520DE" w:rsidDel="002520DE">
        <w:t>apples that are packed shortly after harvest are likely to be symptomless or exhibit only mild symptoms, and may be packed for export</w:t>
      </w:r>
      <w:r>
        <w:t>.</w:t>
      </w:r>
    </w:p>
    <w:p w14:paraId="04167C75" w14:textId="77777777" w:rsidR="003438A2" w:rsidRPr="00815A3A" w:rsidRDefault="003438A2" w:rsidP="00862DBA">
      <w:r w:rsidRPr="00194242">
        <w:rPr>
          <w:i/>
        </w:rPr>
        <w:t>Truncatella hartigii</w:t>
      </w:r>
      <w:r w:rsidRPr="00194242">
        <w:t xml:space="preserve"> </w:t>
      </w:r>
      <w:r>
        <w:t>may survive cold temperatures during storage in the PNW-USA and transport to Australia</w:t>
      </w:r>
      <w:r w:rsidRPr="00815A3A">
        <w:t>.</w:t>
      </w:r>
    </w:p>
    <w:p w14:paraId="6DB143A2" w14:textId="77777777" w:rsidR="003438A2" w:rsidRDefault="003438A2" w:rsidP="003438A2">
      <w:pPr>
        <w:pStyle w:val="ListBullet"/>
      </w:pPr>
      <w:r w:rsidRPr="003C69C9">
        <w:rPr>
          <w:i/>
        </w:rPr>
        <w:t>Truncatella hartigii</w:t>
      </w:r>
      <w:r w:rsidRPr="003C69C9" w:rsidDel="00F51E67">
        <w:t xml:space="preserve"> </w:t>
      </w:r>
      <w:r w:rsidRPr="003C69C9">
        <w:t xml:space="preserve">may survive storage and transport to Australia as it grows slowly at 0°C </w:t>
      </w:r>
      <w:r>
        <w:rPr>
          <w:noProof/>
        </w:rPr>
        <w:t>(Pierson, Ceponis &amp; McColloch 1971)</w:t>
      </w:r>
      <w:r w:rsidRPr="003C69C9">
        <w:t xml:space="preserve">. </w:t>
      </w:r>
    </w:p>
    <w:p w14:paraId="447C815B" w14:textId="77777777" w:rsidR="003438A2" w:rsidRPr="003C69C9" w:rsidRDefault="003438A2" w:rsidP="003438A2">
      <w:pPr>
        <w:pStyle w:val="ListBullet"/>
      </w:pPr>
      <w:r>
        <w:t>S</w:t>
      </w:r>
      <w:r w:rsidRPr="00256DB0">
        <w:t>ea freight</w:t>
      </w:r>
      <w:r>
        <w:t>,</w:t>
      </w:r>
      <w:r w:rsidRPr="00256DB0">
        <w:t xml:space="preserve"> </w:t>
      </w:r>
      <w:r>
        <w:t xml:space="preserve">which takes about five weeks, is likely to be </w:t>
      </w:r>
      <w:r w:rsidRPr="00256DB0">
        <w:t>the preferred method of transport</w:t>
      </w:r>
      <w:r>
        <w:t xml:space="preserve"> of apples from the PNW-USA to Australia and</w:t>
      </w:r>
      <w:r w:rsidRPr="003C69C9">
        <w:t xml:space="preserve"> the fruit will be maintained at low temperatures to maintain fruit quality </w:t>
      </w:r>
      <w:r>
        <w:rPr>
          <w:noProof/>
        </w:rPr>
        <w:t>(Iowa State University Extension and Outreach 2008; University of Maine 2020; WSU Tree Fruit 2021c)</w:t>
      </w:r>
      <w:r w:rsidRPr="003C69C9">
        <w:t>.</w:t>
      </w:r>
    </w:p>
    <w:p w14:paraId="777B6249" w14:textId="77777777" w:rsidR="003438A2" w:rsidRDefault="003438A2" w:rsidP="00862DBA">
      <w:r>
        <w:lastRenderedPageBreak/>
        <w:t>I</w:t>
      </w:r>
      <w:r w:rsidRPr="00D375BD">
        <w:t>nfect</w:t>
      </w:r>
      <w:r>
        <w:t>ions</w:t>
      </w:r>
      <w:r w:rsidRPr="00D375BD">
        <w:t xml:space="preserve"> </w:t>
      </w:r>
      <w:r>
        <w:t xml:space="preserve">of </w:t>
      </w:r>
      <w:r w:rsidRPr="00D375BD">
        <w:t xml:space="preserve">fruit </w:t>
      </w:r>
      <w:r>
        <w:t xml:space="preserve">are </w:t>
      </w:r>
      <w:r w:rsidRPr="00D375BD">
        <w:t xml:space="preserve">usually </w:t>
      </w:r>
      <w:r>
        <w:t>asymptomatic</w:t>
      </w:r>
      <w:r w:rsidRPr="00D375BD">
        <w:t xml:space="preserve"> at harvest, </w:t>
      </w:r>
      <w:r>
        <w:t>and</w:t>
      </w:r>
      <w:r w:rsidRPr="00D375BD">
        <w:t xml:space="preserve"> </w:t>
      </w:r>
      <w:r>
        <w:t xml:space="preserve">gradually develop during cold storage. </w:t>
      </w:r>
      <w:r w:rsidRPr="00D375BD">
        <w:t>Symptomless infected fruit may be harvested and packed for export.</w:t>
      </w:r>
      <w:r>
        <w:t xml:space="preserve"> </w:t>
      </w:r>
      <w:r w:rsidRPr="00194242">
        <w:rPr>
          <w:i/>
        </w:rPr>
        <w:t>Truncatella hartigii</w:t>
      </w:r>
      <w:r w:rsidRPr="00194242">
        <w:t xml:space="preserve"> </w:t>
      </w:r>
      <w:r>
        <w:t xml:space="preserve">may </w:t>
      </w:r>
      <w:r w:rsidRPr="006E2504">
        <w:t xml:space="preserve">survive cold </w:t>
      </w:r>
      <w:r>
        <w:t xml:space="preserve">temperatures during </w:t>
      </w:r>
      <w:r w:rsidRPr="006E2504">
        <w:t>storage in the PNW-USA and transport to Australia</w:t>
      </w:r>
      <w:r>
        <w:t xml:space="preserve">. However, the association of </w:t>
      </w:r>
      <w:r w:rsidRPr="005C5809">
        <w:rPr>
          <w:i/>
        </w:rPr>
        <w:t>T. hartigii</w:t>
      </w:r>
      <w:r>
        <w:t xml:space="preserve"> with commercially grown apples in the PNW-USA is rare, and there have been no reports of </w:t>
      </w:r>
      <w:r w:rsidRPr="005C5809">
        <w:rPr>
          <w:i/>
        </w:rPr>
        <w:t>T. hartigii</w:t>
      </w:r>
      <w:r>
        <w:t xml:space="preserve"> on apples in the PNW-USA for many decades. </w:t>
      </w:r>
      <w:r w:rsidRPr="006E2504">
        <w:t xml:space="preserve">For the reasons outlined, the likelihood </w:t>
      </w:r>
      <w:r>
        <w:t>of</w:t>
      </w:r>
      <w:r w:rsidRPr="006E2504">
        <w:t xml:space="preserve"> importation of </w:t>
      </w:r>
      <w:r w:rsidRPr="005C5809">
        <w:rPr>
          <w:i/>
        </w:rPr>
        <w:t>T. hartigii</w:t>
      </w:r>
      <w:r>
        <w:t xml:space="preserve"> </w:t>
      </w:r>
      <w:r w:rsidRPr="006E2504">
        <w:t xml:space="preserve">on </w:t>
      </w:r>
      <w:r>
        <w:t xml:space="preserve">imported apples sourced from </w:t>
      </w:r>
      <w:r w:rsidRPr="006E2504">
        <w:t xml:space="preserve">the PNW-USA apple pathway is assessed as </w:t>
      </w:r>
      <w:r>
        <w:t>Low</w:t>
      </w:r>
      <w:r w:rsidRPr="006E2504">
        <w:t>.</w:t>
      </w:r>
    </w:p>
    <w:p w14:paraId="53768FBE" w14:textId="77777777" w:rsidR="003438A2" w:rsidRPr="00464D2F" w:rsidRDefault="003438A2" w:rsidP="00862DBA">
      <w:pPr>
        <w:pStyle w:val="Heading5"/>
      </w:pPr>
      <w:r w:rsidRPr="00464D2F">
        <w:t>Likelihood of distribution</w:t>
      </w:r>
    </w:p>
    <w:p w14:paraId="0675445E" w14:textId="77777777" w:rsidR="003438A2" w:rsidRPr="00FF151F" w:rsidRDefault="003438A2" w:rsidP="00862DBA">
      <w:r w:rsidRPr="00FF151F">
        <w:t xml:space="preserve">The likelihood that </w:t>
      </w:r>
      <w:r>
        <w:rPr>
          <w:i/>
        </w:rPr>
        <w:t>T. hartigii</w:t>
      </w:r>
      <w:r w:rsidRPr="00FB2917">
        <w:t xml:space="preserve"> </w:t>
      </w:r>
      <w:r w:rsidRPr="00FF151F">
        <w:t>will be distributed within Australia in a viable state</w:t>
      </w:r>
      <w:r>
        <w:t>,</w:t>
      </w:r>
      <w:r w:rsidRPr="00FF151F">
        <w:t xml:space="preserve"> as a result of the processing, sale or disposal of apples from the PNW-USA, and subsequently transfer to </w:t>
      </w:r>
      <w:r>
        <w:t xml:space="preserve">a </w:t>
      </w:r>
      <w:r w:rsidRPr="00FF151F">
        <w:t xml:space="preserve">susceptible </w:t>
      </w:r>
      <w:r>
        <w:t xml:space="preserve">part of a </w:t>
      </w:r>
      <w:r w:rsidRPr="00FF151F">
        <w:t xml:space="preserve">host is considered to be similar to </w:t>
      </w:r>
      <w:r>
        <w:rPr>
          <w:i/>
        </w:rPr>
        <w:t>T. hartigii</w:t>
      </w:r>
      <w:r w:rsidRPr="00FB2917">
        <w:t xml:space="preserve"> </w:t>
      </w:r>
      <w:r w:rsidRPr="00FF151F">
        <w:rPr>
          <w:iCs/>
        </w:rPr>
        <w:t xml:space="preserve">on apples from </w:t>
      </w:r>
      <w:r>
        <w:rPr>
          <w:iCs/>
        </w:rPr>
        <w:t>China</w:t>
      </w:r>
      <w:r w:rsidRPr="00FF151F">
        <w:t xml:space="preserve">. </w:t>
      </w:r>
    </w:p>
    <w:p w14:paraId="5BCC838B" w14:textId="77777777" w:rsidR="003438A2" w:rsidRPr="00FF151F" w:rsidRDefault="003438A2" w:rsidP="00862DBA">
      <w:r w:rsidRPr="00FF151F">
        <w:t xml:space="preserve">Therefore, the same rating of </w:t>
      </w:r>
      <w:r>
        <w:t>High</w:t>
      </w:r>
      <w:r w:rsidRPr="00FF151F">
        <w:t xml:space="preserve"> for the likelihood of distribution previously assessed for </w:t>
      </w:r>
      <w:r>
        <w:rPr>
          <w:i/>
        </w:rPr>
        <w:t>T. hartigii</w:t>
      </w:r>
      <w:r w:rsidRPr="00FB2917">
        <w:t xml:space="preserve"> </w:t>
      </w:r>
      <w:r w:rsidRPr="00FF151F">
        <w:rPr>
          <w:iCs/>
        </w:rPr>
        <w:t xml:space="preserve">on apples from </w:t>
      </w:r>
      <w:r>
        <w:rPr>
          <w:iCs/>
        </w:rPr>
        <w:t>China</w:t>
      </w:r>
      <w:r w:rsidRPr="00FF151F">
        <w:rPr>
          <w:iCs/>
        </w:rPr>
        <w:t xml:space="preserve"> pathway is adopted for </w:t>
      </w:r>
      <w:r>
        <w:rPr>
          <w:i/>
        </w:rPr>
        <w:t>T. hartigii</w:t>
      </w:r>
      <w:r w:rsidRPr="00FB2917">
        <w:t xml:space="preserve"> </w:t>
      </w:r>
      <w:r w:rsidRPr="00FF151F">
        <w:rPr>
          <w:iCs/>
        </w:rPr>
        <w:t xml:space="preserve">on </w:t>
      </w:r>
      <w:r>
        <w:rPr>
          <w:iCs/>
        </w:rPr>
        <w:t xml:space="preserve">the </w:t>
      </w:r>
      <w:r w:rsidRPr="00FF151F">
        <w:rPr>
          <w:iCs/>
        </w:rPr>
        <w:t xml:space="preserve">apples from PNW-USA pathway. </w:t>
      </w:r>
    </w:p>
    <w:p w14:paraId="4FDF4A94" w14:textId="77777777" w:rsidR="003438A2" w:rsidRDefault="003438A2" w:rsidP="00862DBA">
      <w:pPr>
        <w:pStyle w:val="Heading5"/>
      </w:pPr>
      <w:r>
        <w:t>Overall likelihood of entry</w:t>
      </w:r>
    </w:p>
    <w:p w14:paraId="443CFCDC" w14:textId="77777777" w:rsidR="003438A2" w:rsidRDefault="003438A2" w:rsidP="00862DBA">
      <w:r w:rsidRPr="007360DA">
        <w:t xml:space="preserve">The overall likelihood of entry is determined as Low by combining the assessed likelihood of importation of Low with the adopted likelihood of distribution of </w:t>
      </w:r>
      <w:r>
        <w:t>High</w:t>
      </w:r>
      <w:r w:rsidRPr="007360DA">
        <w:t xml:space="preserve">, using the matrix of rules in </w:t>
      </w:r>
      <w:r>
        <w:fldChar w:fldCharType="begin" w:fldLock="1"/>
      </w:r>
      <w:r>
        <w:instrText xml:space="preserve"> REF _Ref457826328 \h </w:instrText>
      </w:r>
      <w:r>
        <w:fldChar w:fldCharType="separate"/>
      </w:r>
      <w:r w:rsidRPr="00DB5F8D">
        <w:t xml:space="preserve">Table </w:t>
      </w:r>
      <w:r>
        <w:rPr>
          <w:noProof/>
        </w:rPr>
        <w:t>2</w:t>
      </w:r>
      <w:r>
        <w:t>.</w:t>
      </w:r>
      <w:r>
        <w:rPr>
          <w:noProof/>
        </w:rPr>
        <w:t>2</w:t>
      </w:r>
      <w:r>
        <w:fldChar w:fldCharType="end"/>
      </w:r>
      <w:r>
        <w:t>.</w:t>
      </w:r>
    </w:p>
    <w:p w14:paraId="72BD6FBE" w14:textId="77777777" w:rsidR="003438A2" w:rsidRPr="00FF151F" w:rsidRDefault="003438A2" w:rsidP="003438A2">
      <w:pPr>
        <w:pStyle w:val="Heading4"/>
        <w:numPr>
          <w:ilvl w:val="2"/>
          <w:numId w:val="31"/>
        </w:numPr>
        <w:tabs>
          <w:tab w:val="clear" w:pos="1645"/>
          <w:tab w:val="num" w:pos="794"/>
        </w:tabs>
        <w:ind w:left="1786"/>
      </w:pPr>
      <w:r w:rsidRPr="00FF151F">
        <w:t>Likelihood</w:t>
      </w:r>
      <w:r>
        <w:t>s</w:t>
      </w:r>
      <w:r w:rsidRPr="00FF151F">
        <w:t xml:space="preserve"> of establishment and spread</w:t>
      </w:r>
    </w:p>
    <w:p w14:paraId="6874B479" w14:textId="77777777" w:rsidR="003438A2" w:rsidRPr="00FF151F" w:rsidRDefault="003438A2" w:rsidP="00862DBA">
      <w:pPr>
        <w:autoSpaceDE w:val="0"/>
        <w:autoSpaceDN w:val="0"/>
        <w:adjustRightInd w:val="0"/>
        <w:rPr>
          <w:rFonts w:cstheme="minorHAnsi"/>
        </w:rPr>
      </w:pPr>
      <w:r w:rsidRPr="00FF151F">
        <w:rPr>
          <w:rFonts w:cstheme="minorHAnsi"/>
        </w:rPr>
        <w:t xml:space="preserve">The likelihoods of establishment and spread for </w:t>
      </w:r>
      <w:r>
        <w:rPr>
          <w:i/>
        </w:rPr>
        <w:t>T. hartigii</w:t>
      </w:r>
      <w:r w:rsidRPr="00FB2917">
        <w:t xml:space="preserve"> </w:t>
      </w:r>
      <w:r w:rsidRPr="00FF151F">
        <w:rPr>
          <w:rFonts w:cstheme="minorHAnsi"/>
        </w:rPr>
        <w:t>are independent of the import pathway and are considered similar to those previously assessed for</w:t>
      </w:r>
      <w:r>
        <w:rPr>
          <w:rFonts w:cstheme="minorHAnsi"/>
        </w:rPr>
        <w:t xml:space="preserve"> the</w:t>
      </w:r>
      <w:r w:rsidRPr="00FF151F">
        <w:rPr>
          <w:rFonts w:cstheme="minorHAnsi"/>
        </w:rPr>
        <w:t xml:space="preserve"> apples from </w:t>
      </w:r>
      <w:r>
        <w:rPr>
          <w:rFonts w:cstheme="minorHAnsi"/>
        </w:rPr>
        <w:t>China</w:t>
      </w:r>
      <w:r w:rsidRPr="00FF151F">
        <w:rPr>
          <w:rFonts w:cstheme="minorHAnsi"/>
        </w:rPr>
        <w:t xml:space="preserve"> pathway.</w:t>
      </w:r>
    </w:p>
    <w:p w14:paraId="603C67E3" w14:textId="77777777" w:rsidR="003438A2" w:rsidRPr="00FF151F" w:rsidRDefault="003438A2" w:rsidP="00862DBA">
      <w:pPr>
        <w:autoSpaceDE w:val="0"/>
        <w:autoSpaceDN w:val="0"/>
        <w:adjustRightInd w:val="0"/>
      </w:pPr>
      <w:r w:rsidRPr="00FF151F">
        <w:rPr>
          <w:rFonts w:cstheme="minorHAnsi"/>
        </w:rPr>
        <w:t xml:space="preserve">Based on the previous assessment for apples from </w:t>
      </w:r>
      <w:r>
        <w:t xml:space="preserve">China </w:t>
      </w:r>
      <w:r>
        <w:rPr>
          <w:noProof/>
        </w:rPr>
        <w:t>(Biosecurity Australia 2010a)</w:t>
      </w:r>
      <w:r w:rsidRPr="00FF151F">
        <w:rPr>
          <w:rFonts w:cstheme="minorHAnsi"/>
        </w:rPr>
        <w:t xml:space="preserve">, the likelihoods of establishment and spread for </w:t>
      </w:r>
      <w:r>
        <w:rPr>
          <w:i/>
        </w:rPr>
        <w:t>T. hartigii</w:t>
      </w:r>
      <w:r w:rsidRPr="00FB2917">
        <w:t xml:space="preserve"> </w:t>
      </w:r>
      <w:r w:rsidRPr="00FF151F">
        <w:rPr>
          <w:rFonts w:cstheme="minorHAnsi"/>
        </w:rPr>
        <w:t xml:space="preserve">are assessed as </w:t>
      </w:r>
      <w:r>
        <w:rPr>
          <w:rFonts w:cstheme="minorHAnsi"/>
        </w:rPr>
        <w:t>High</w:t>
      </w:r>
      <w:r w:rsidRPr="00FF151F">
        <w:rPr>
          <w:rFonts w:cstheme="minorHAnsi"/>
        </w:rPr>
        <w:t xml:space="preserve"> and </w:t>
      </w:r>
      <w:r>
        <w:rPr>
          <w:rFonts w:cstheme="minorHAnsi"/>
        </w:rPr>
        <w:t>High</w:t>
      </w:r>
      <w:r w:rsidRPr="00FF151F">
        <w:rPr>
          <w:rFonts w:cstheme="minorHAnsi"/>
        </w:rPr>
        <w:t>, respectively.</w:t>
      </w:r>
    </w:p>
    <w:p w14:paraId="086A58D1" w14:textId="77777777" w:rsidR="003438A2" w:rsidRPr="00BC1B9F" w:rsidRDefault="003438A2" w:rsidP="003438A2">
      <w:pPr>
        <w:pStyle w:val="Heading4"/>
        <w:numPr>
          <w:ilvl w:val="2"/>
          <w:numId w:val="31"/>
        </w:numPr>
        <w:tabs>
          <w:tab w:val="clear" w:pos="1645"/>
          <w:tab w:val="num" w:pos="794"/>
        </w:tabs>
        <w:ind w:left="1786"/>
      </w:pPr>
      <w:r w:rsidRPr="00BC1B9F">
        <w:t>Overall likelihood of entry, establishment and spread</w:t>
      </w:r>
    </w:p>
    <w:p w14:paraId="72DE0C3C" w14:textId="77777777" w:rsidR="003438A2" w:rsidRPr="00BC1B9F" w:rsidRDefault="003438A2" w:rsidP="00862DBA">
      <w:pPr>
        <w:autoSpaceDE w:val="0"/>
        <w:autoSpaceDN w:val="0"/>
        <w:adjustRightInd w:val="0"/>
      </w:pPr>
      <w:r w:rsidRPr="00BC1B9F">
        <w:t>The overall likelihood of entry, establishment and spread is determined by combining the likelihoods of entry, of establishment and of spread using the matrix of rules shown in</w:t>
      </w:r>
      <w:r>
        <w:t xml:space="preserve"> </w:t>
      </w:r>
      <w:r>
        <w:fldChar w:fldCharType="begin" w:fldLock="1"/>
      </w:r>
      <w:r>
        <w:instrText xml:space="preserve"> REF _Ref457826328 \h </w:instrText>
      </w:r>
      <w:r>
        <w:fldChar w:fldCharType="separate"/>
      </w:r>
      <w:r w:rsidRPr="00DB5F8D">
        <w:t xml:space="preserve">Table </w:t>
      </w:r>
      <w:r>
        <w:rPr>
          <w:noProof/>
        </w:rPr>
        <w:t>2</w:t>
      </w:r>
      <w:r>
        <w:t>.</w:t>
      </w:r>
      <w:r>
        <w:rPr>
          <w:noProof/>
        </w:rPr>
        <w:t>2</w:t>
      </w:r>
      <w:r>
        <w:fldChar w:fldCharType="end"/>
      </w:r>
      <w:r>
        <w:t>.</w:t>
      </w:r>
    </w:p>
    <w:p w14:paraId="4B88507C" w14:textId="77777777" w:rsidR="003438A2" w:rsidRPr="00BC1B9F" w:rsidRDefault="003438A2" w:rsidP="00862DBA">
      <w:pPr>
        <w:autoSpaceDE w:val="0"/>
        <w:autoSpaceDN w:val="0"/>
        <w:adjustRightInd w:val="0"/>
        <w:rPr>
          <w:rFonts w:cstheme="minorHAnsi"/>
        </w:rPr>
      </w:pPr>
      <w:r w:rsidRPr="00BC1B9F">
        <w:t xml:space="preserve">The overall likelihood that </w:t>
      </w:r>
      <w:r>
        <w:rPr>
          <w:i/>
        </w:rPr>
        <w:t>T. hartigii</w:t>
      </w:r>
      <w:r w:rsidRPr="00FB2917">
        <w:t xml:space="preserve"> </w:t>
      </w:r>
      <w:r w:rsidRPr="00BC1B9F">
        <w:t xml:space="preserve">will enter Australia as a result of trade in apples from the PNW-USA, be distributed in a viable state to a susceptible part of a host, establish in Australia and subsequently spread within Australia is assessed as </w:t>
      </w:r>
      <w:r>
        <w:t>L</w:t>
      </w:r>
      <w:r w:rsidRPr="00BC1B9F">
        <w:t>ow</w:t>
      </w:r>
      <w:r w:rsidRPr="00BC1B9F">
        <w:rPr>
          <w:rFonts w:cstheme="minorHAnsi"/>
        </w:rPr>
        <w:t>.</w:t>
      </w:r>
    </w:p>
    <w:p w14:paraId="47847419" w14:textId="77777777" w:rsidR="003438A2" w:rsidRPr="00FF151F" w:rsidRDefault="003438A2" w:rsidP="003438A2">
      <w:pPr>
        <w:pStyle w:val="Heading4"/>
        <w:numPr>
          <w:ilvl w:val="2"/>
          <w:numId w:val="31"/>
        </w:numPr>
        <w:tabs>
          <w:tab w:val="clear" w:pos="1645"/>
          <w:tab w:val="num" w:pos="794"/>
        </w:tabs>
        <w:ind w:left="1786"/>
      </w:pPr>
      <w:r w:rsidRPr="00FF151F">
        <w:t>Consequences</w:t>
      </w:r>
    </w:p>
    <w:p w14:paraId="3F66AEC3" w14:textId="77777777" w:rsidR="003438A2" w:rsidRPr="00FF151F" w:rsidRDefault="003438A2" w:rsidP="00862DBA">
      <w:pPr>
        <w:autoSpaceDE w:val="0"/>
        <w:autoSpaceDN w:val="0"/>
        <w:adjustRightInd w:val="0"/>
        <w:rPr>
          <w:rFonts w:cstheme="minorHAnsi"/>
        </w:rPr>
      </w:pPr>
      <w:r w:rsidRPr="00FF151F">
        <w:t xml:space="preserve">The potential consequences of the entry, establishment and spread of </w:t>
      </w:r>
      <w:r>
        <w:rPr>
          <w:i/>
        </w:rPr>
        <w:t>T. hartigii</w:t>
      </w:r>
      <w:r w:rsidRPr="00FB2917">
        <w:t xml:space="preserve"> </w:t>
      </w:r>
      <w:r w:rsidRPr="00FF151F">
        <w:t xml:space="preserve">in Australia are similar to those in </w:t>
      </w:r>
      <w:r w:rsidRPr="0018507C">
        <w:t xml:space="preserve">the previous assessment for </w:t>
      </w:r>
      <w:r w:rsidRPr="0018507C">
        <w:rPr>
          <w:i/>
        </w:rPr>
        <w:t>T. hartigii</w:t>
      </w:r>
      <w:r w:rsidRPr="0018507C">
        <w:t xml:space="preserve"> on the apples from China pathway, which were assessed as Low </w:t>
      </w:r>
      <w:r w:rsidRPr="0018507C">
        <w:rPr>
          <w:noProof/>
          <w:color w:val="000000" w:themeColor="text1"/>
        </w:rPr>
        <w:t>(Biosecurity Australia 2010a)</w:t>
      </w:r>
      <w:r w:rsidRPr="0018507C">
        <w:rPr>
          <w:color w:val="000000" w:themeColor="text1"/>
        </w:rPr>
        <w:t>.</w:t>
      </w:r>
      <w:r w:rsidRPr="0018507C">
        <w:t xml:space="preserve"> The overall consequences for </w:t>
      </w:r>
      <w:r w:rsidRPr="0018507C">
        <w:rPr>
          <w:i/>
        </w:rPr>
        <w:t>T. hartigii</w:t>
      </w:r>
      <w:r w:rsidRPr="0018507C">
        <w:t xml:space="preserve"> on the apples from PNW-USA pathway are also assessed as Low.</w:t>
      </w:r>
    </w:p>
    <w:p w14:paraId="614B33D9" w14:textId="77777777" w:rsidR="003438A2" w:rsidRPr="00FF151F" w:rsidRDefault="003438A2" w:rsidP="003438A2">
      <w:pPr>
        <w:pStyle w:val="Heading4"/>
        <w:numPr>
          <w:ilvl w:val="2"/>
          <w:numId w:val="31"/>
        </w:numPr>
        <w:tabs>
          <w:tab w:val="clear" w:pos="1645"/>
          <w:tab w:val="num" w:pos="794"/>
        </w:tabs>
        <w:ind w:left="1786"/>
      </w:pPr>
      <w:r w:rsidRPr="00FF151F">
        <w:lastRenderedPageBreak/>
        <w:t>Unrestricted risk estimate</w:t>
      </w:r>
    </w:p>
    <w:p w14:paraId="1D10F0D6" w14:textId="77777777" w:rsidR="003438A2" w:rsidRPr="00FF151F" w:rsidRDefault="003438A2" w:rsidP="00862DBA">
      <w:r w:rsidRPr="00FF151F">
        <w:t xml:space="preserve">Unrestricted risk is the result of combining the </w:t>
      </w:r>
      <w:r>
        <w:t xml:space="preserve">overall </w:t>
      </w:r>
      <w:r w:rsidRPr="001A4104">
        <w:t>likelihood</w:t>
      </w:r>
      <w:r w:rsidRPr="00FF151F">
        <w:t xml:space="preserve"> of entry, establishment and spread with the outcome of overall consequences. </w:t>
      </w:r>
      <w:r>
        <w:t>The overall l</w:t>
      </w:r>
      <w:r w:rsidRPr="00FF151F">
        <w:t>ikelihood and consequences are combined using the risk estimation matrix shown in</w:t>
      </w:r>
      <w:r>
        <w:t xml:space="preserve"> </w:t>
      </w:r>
      <w:r>
        <w:fldChar w:fldCharType="begin" w:fldLock="1"/>
      </w:r>
      <w:r>
        <w:instrText xml:space="preserve"> REF _Ref457826369 \h </w:instrText>
      </w:r>
      <w:r>
        <w:fldChar w:fldCharType="separate"/>
      </w:r>
      <w:r>
        <w:t xml:space="preserve">Table </w:t>
      </w:r>
      <w:r>
        <w:rPr>
          <w:noProof/>
        </w:rPr>
        <w:t>2</w:t>
      </w:r>
      <w:r>
        <w:t>.</w:t>
      </w:r>
      <w:r>
        <w:rPr>
          <w:noProof/>
        </w:rPr>
        <w:t>5</w:t>
      </w:r>
      <w:r>
        <w:fldChar w:fldCharType="end"/>
      </w:r>
      <w:r>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3438A2" w:rsidRPr="00FF151F" w14:paraId="07F87EA2" w14:textId="77777777" w:rsidTr="001A4104">
        <w:trPr>
          <w:trHeight w:val="423"/>
        </w:trPr>
        <w:tc>
          <w:tcPr>
            <w:tcW w:w="5000" w:type="pct"/>
            <w:gridSpan w:val="2"/>
            <w:tcBorders>
              <w:top w:val="single" w:sz="4" w:space="0" w:color="auto"/>
              <w:bottom w:val="single" w:sz="4" w:space="0" w:color="auto"/>
            </w:tcBorders>
            <w:shd w:val="clear" w:color="auto" w:fill="auto"/>
          </w:tcPr>
          <w:p w14:paraId="2DF415E3" w14:textId="77777777" w:rsidR="003438A2" w:rsidRPr="00FF151F" w:rsidRDefault="003438A2" w:rsidP="001A4104">
            <w:pPr>
              <w:pStyle w:val="TableHeading"/>
            </w:pPr>
            <w:r w:rsidRPr="00FF151F">
              <w:t xml:space="preserve">Unrestricted risk estimate for </w:t>
            </w:r>
            <w:r>
              <w:rPr>
                <w:i/>
              </w:rPr>
              <w:t>Truncatella hartigii</w:t>
            </w:r>
          </w:p>
        </w:tc>
      </w:tr>
      <w:tr w:rsidR="003438A2" w:rsidRPr="00FF151F" w14:paraId="1917D64D" w14:textId="77777777" w:rsidTr="001A4104">
        <w:trPr>
          <w:trHeight w:val="273"/>
        </w:trPr>
        <w:tc>
          <w:tcPr>
            <w:tcW w:w="3417" w:type="pct"/>
            <w:tcBorders>
              <w:top w:val="single" w:sz="4" w:space="0" w:color="auto"/>
              <w:bottom w:val="nil"/>
            </w:tcBorders>
            <w:shd w:val="clear" w:color="auto" w:fill="auto"/>
          </w:tcPr>
          <w:p w14:paraId="631EC62B" w14:textId="77777777" w:rsidR="003438A2" w:rsidRPr="00FF151F" w:rsidRDefault="003438A2" w:rsidP="001A4104">
            <w:pPr>
              <w:pStyle w:val="TableText"/>
            </w:pPr>
            <w:r w:rsidRPr="00FF151F">
              <w:t>Overall likelihood of entry, establishment and spread</w:t>
            </w:r>
          </w:p>
        </w:tc>
        <w:tc>
          <w:tcPr>
            <w:tcW w:w="1583" w:type="pct"/>
            <w:tcBorders>
              <w:top w:val="single" w:sz="4" w:space="0" w:color="auto"/>
              <w:bottom w:val="nil"/>
            </w:tcBorders>
            <w:shd w:val="clear" w:color="auto" w:fill="auto"/>
          </w:tcPr>
          <w:p w14:paraId="2EA55E1A" w14:textId="77777777" w:rsidR="003438A2" w:rsidRPr="00FF151F" w:rsidRDefault="003438A2" w:rsidP="001A4104">
            <w:pPr>
              <w:pStyle w:val="TableText"/>
            </w:pPr>
            <w:r>
              <w:t>L</w:t>
            </w:r>
            <w:r w:rsidRPr="00FF151F">
              <w:t>ow</w:t>
            </w:r>
          </w:p>
        </w:tc>
      </w:tr>
      <w:tr w:rsidR="003438A2" w:rsidRPr="00FF151F" w14:paraId="52521579" w14:textId="77777777" w:rsidTr="001A4104">
        <w:trPr>
          <w:trHeight w:val="284"/>
        </w:trPr>
        <w:tc>
          <w:tcPr>
            <w:tcW w:w="3417" w:type="pct"/>
            <w:tcBorders>
              <w:top w:val="nil"/>
              <w:bottom w:val="nil"/>
            </w:tcBorders>
            <w:shd w:val="clear" w:color="auto" w:fill="auto"/>
          </w:tcPr>
          <w:p w14:paraId="42850D0F" w14:textId="77777777" w:rsidR="003438A2" w:rsidRPr="00FF151F" w:rsidRDefault="003438A2" w:rsidP="001A4104">
            <w:pPr>
              <w:pStyle w:val="TableText"/>
            </w:pPr>
            <w:r w:rsidRPr="00FF151F">
              <w:t>Consequences</w:t>
            </w:r>
          </w:p>
        </w:tc>
        <w:tc>
          <w:tcPr>
            <w:tcW w:w="1583" w:type="pct"/>
            <w:tcBorders>
              <w:top w:val="nil"/>
              <w:bottom w:val="nil"/>
            </w:tcBorders>
            <w:shd w:val="clear" w:color="auto" w:fill="auto"/>
          </w:tcPr>
          <w:p w14:paraId="0552BE10" w14:textId="77777777" w:rsidR="003438A2" w:rsidRPr="00FF151F" w:rsidRDefault="003438A2" w:rsidP="001A4104">
            <w:pPr>
              <w:pStyle w:val="TableText"/>
            </w:pPr>
            <w:r>
              <w:t>Low</w:t>
            </w:r>
          </w:p>
        </w:tc>
      </w:tr>
      <w:tr w:rsidR="003438A2" w:rsidRPr="00FF151F" w14:paraId="2C2A9D7C" w14:textId="77777777" w:rsidTr="001A4104">
        <w:trPr>
          <w:trHeight w:val="284"/>
        </w:trPr>
        <w:tc>
          <w:tcPr>
            <w:tcW w:w="3417" w:type="pct"/>
            <w:tcBorders>
              <w:top w:val="nil"/>
              <w:bottom w:val="single" w:sz="4" w:space="0" w:color="auto"/>
            </w:tcBorders>
            <w:shd w:val="clear" w:color="auto" w:fill="auto"/>
          </w:tcPr>
          <w:p w14:paraId="320E9C7F" w14:textId="77777777" w:rsidR="003438A2" w:rsidRPr="00FF151F" w:rsidRDefault="003438A2" w:rsidP="001A4104">
            <w:pPr>
              <w:pStyle w:val="TableText"/>
            </w:pPr>
            <w:r w:rsidRPr="00FF151F">
              <w:t>Unrestricted risk</w:t>
            </w:r>
          </w:p>
        </w:tc>
        <w:tc>
          <w:tcPr>
            <w:tcW w:w="1583" w:type="pct"/>
            <w:tcBorders>
              <w:top w:val="nil"/>
              <w:bottom w:val="single" w:sz="4" w:space="0" w:color="auto"/>
            </w:tcBorders>
            <w:shd w:val="clear" w:color="auto" w:fill="auto"/>
          </w:tcPr>
          <w:p w14:paraId="7596904C" w14:textId="77777777" w:rsidR="003438A2" w:rsidRPr="00FF151F" w:rsidRDefault="003438A2" w:rsidP="001A4104">
            <w:pPr>
              <w:pStyle w:val="TableText"/>
            </w:pPr>
            <w:r>
              <w:t>Very Low</w:t>
            </w:r>
          </w:p>
        </w:tc>
      </w:tr>
    </w:tbl>
    <w:p w14:paraId="79E86AD8" w14:textId="77777777" w:rsidR="003438A2" w:rsidRDefault="003438A2" w:rsidP="00862DBA">
      <w:pPr>
        <w:spacing w:before="120"/>
        <w:sectPr w:rsidR="003438A2" w:rsidSect="00E310DC">
          <w:pgSz w:w="11906" w:h="16838"/>
          <w:pgMar w:top="1418" w:right="1418" w:bottom="1418" w:left="1418" w:header="567" w:footer="283" w:gutter="0"/>
          <w:cols w:space="708"/>
          <w:docGrid w:linePitch="360"/>
        </w:sectPr>
      </w:pPr>
      <w:r>
        <w:t>T</w:t>
      </w:r>
      <w:r w:rsidRPr="0094682F">
        <w:t xml:space="preserve">he unrestricted risk estimate for </w:t>
      </w:r>
      <w:r>
        <w:rPr>
          <w:i/>
        </w:rPr>
        <w:t>T. hartigii</w:t>
      </w:r>
      <w:r w:rsidRPr="00FB2917">
        <w:t xml:space="preserve"> </w:t>
      </w:r>
      <w:r>
        <w:t xml:space="preserve">on apples from the PNW-USA has been assessed </w:t>
      </w:r>
      <w:r w:rsidRPr="0094682F">
        <w:t xml:space="preserve">as </w:t>
      </w:r>
      <w:r>
        <w:t>Very L</w:t>
      </w:r>
      <w:r w:rsidRPr="0094682F">
        <w:t xml:space="preserve">ow, which </w:t>
      </w:r>
      <w:r>
        <w:t xml:space="preserve">achieves the ALOP for </w:t>
      </w:r>
      <w:r w:rsidRPr="0094682F">
        <w:t xml:space="preserve">Australia. Therefore, </w:t>
      </w:r>
      <w:r>
        <w:t xml:space="preserve">no </w:t>
      </w:r>
      <w:r w:rsidRPr="0094682F">
        <w:t xml:space="preserve">specific risk management measures are required for </w:t>
      </w:r>
      <w:r>
        <w:rPr>
          <w:i/>
        </w:rPr>
        <w:t>T. hartigii</w:t>
      </w:r>
      <w:r w:rsidRPr="00FB2917">
        <w:t xml:space="preserve"> </w:t>
      </w:r>
      <w:r>
        <w:t>on the PNW-USA apple pathway</w:t>
      </w:r>
      <w:r w:rsidRPr="0094682F">
        <w:t>.</w:t>
      </w:r>
      <w:r>
        <w:t xml:space="preserve"> </w:t>
      </w:r>
    </w:p>
    <w:bookmarkEnd w:id="451"/>
    <w:p w14:paraId="6457E7A3" w14:textId="77777777" w:rsidR="003438A2" w:rsidRDefault="003438A2" w:rsidP="00862DBA">
      <w:pPr>
        <w:pStyle w:val="BAText10"/>
        <w:spacing w:before="180"/>
        <w:jc w:val="left"/>
        <w:rPr>
          <w:rFonts w:ascii="Cambria" w:eastAsiaTheme="minorHAnsi" w:hAnsi="Cambria" w:cstheme="minorBidi"/>
          <w:sz w:val="22"/>
          <w:szCs w:val="22"/>
        </w:rPr>
      </w:pPr>
    </w:p>
    <w:p w14:paraId="1B5E4C22" w14:textId="77777777" w:rsidR="003438A2" w:rsidRPr="00AB1BD9" w:rsidRDefault="003438A2" w:rsidP="003438A2">
      <w:pPr>
        <w:pStyle w:val="Heading3"/>
        <w:numPr>
          <w:ilvl w:val="1"/>
          <w:numId w:val="31"/>
        </w:numPr>
      </w:pPr>
      <w:bookmarkStart w:id="455" w:name="_Toc10009738"/>
      <w:bookmarkStart w:id="456" w:name="_Toc112769025"/>
      <w:bookmarkStart w:id="457" w:name="_Hlk39833334"/>
      <w:bookmarkStart w:id="458" w:name="_Toc256600563"/>
      <w:bookmarkStart w:id="459" w:name="_Toc257729677"/>
      <w:r w:rsidRPr="00AB1BD9">
        <w:t>Apple scar skin</w:t>
      </w:r>
      <w:bookmarkEnd w:id="455"/>
      <w:bookmarkEnd w:id="456"/>
    </w:p>
    <w:p w14:paraId="0B9B67C2" w14:textId="77777777" w:rsidR="003438A2" w:rsidRPr="006C405A" w:rsidRDefault="003438A2" w:rsidP="00862DBA">
      <w:pPr>
        <w:pStyle w:val="Heading4"/>
        <w:numPr>
          <w:ilvl w:val="0"/>
          <w:numId w:val="0"/>
        </w:numPr>
      </w:pPr>
      <w:r w:rsidRPr="00D3219E">
        <w:rPr>
          <w:i/>
        </w:rPr>
        <w:t>Apple scar skin viroid</w:t>
      </w:r>
      <w:r>
        <w:rPr>
          <w:i/>
        </w:rPr>
        <w:t xml:space="preserve"> </w:t>
      </w:r>
      <w:r>
        <w:t>(EP)</w:t>
      </w:r>
    </w:p>
    <w:p w14:paraId="63E821D1" w14:textId="77777777" w:rsidR="003438A2" w:rsidRDefault="003438A2" w:rsidP="00862DBA">
      <w:r w:rsidRPr="0094682F">
        <w:t xml:space="preserve">Apple scar skin </w:t>
      </w:r>
      <w:r>
        <w:t>and ‘dapple apple’ are</w:t>
      </w:r>
      <w:r w:rsidRPr="0094682F">
        <w:t xml:space="preserve"> disease</w:t>
      </w:r>
      <w:r>
        <w:t>s</w:t>
      </w:r>
      <w:r w:rsidRPr="0094682F">
        <w:t xml:space="preserve"> caused by </w:t>
      </w:r>
      <w:r w:rsidRPr="0094682F">
        <w:rPr>
          <w:i/>
        </w:rPr>
        <w:t>Apple scar skin viroid</w:t>
      </w:r>
      <w:r w:rsidRPr="0094682F">
        <w:t xml:space="preserve"> (ASSVd)</w:t>
      </w:r>
      <w:r>
        <w:t xml:space="preserve">. </w:t>
      </w:r>
      <w:r w:rsidRPr="0094682F">
        <w:rPr>
          <w:i/>
        </w:rPr>
        <w:t>Apple scar skin viroid</w:t>
      </w:r>
      <w:r w:rsidRPr="0094682F">
        <w:t xml:space="preserve"> is a small circular nucleic acid molecule</w:t>
      </w:r>
      <w:r>
        <w:t xml:space="preserve">, which is a member of the genus </w:t>
      </w:r>
      <w:r>
        <w:rPr>
          <w:i/>
        </w:rPr>
        <w:t>Apscaviroid</w:t>
      </w:r>
      <w:r>
        <w:t xml:space="preserve"> in the family </w:t>
      </w:r>
      <w:r w:rsidRPr="00C3667D">
        <w:rPr>
          <w:i/>
        </w:rPr>
        <w:t>Pospiviroidae</w:t>
      </w:r>
      <w:r w:rsidRPr="00C3667D">
        <w:t xml:space="preserve"> </w:t>
      </w:r>
      <w:r>
        <w:rPr>
          <w:noProof/>
        </w:rPr>
        <w:t>(Di Serio et al. 2014)</w:t>
      </w:r>
      <w:r w:rsidRPr="00C3667D">
        <w:t>.</w:t>
      </w:r>
    </w:p>
    <w:p w14:paraId="5B662C6F" w14:textId="77777777" w:rsidR="003438A2" w:rsidRDefault="003438A2" w:rsidP="00862DBA">
      <w:r w:rsidRPr="0094682F">
        <w:rPr>
          <w:i/>
        </w:rPr>
        <w:t>Apple scar skin viroid</w:t>
      </w:r>
      <w:r>
        <w:t xml:space="preserve"> is found in Asia (China, India, Iran, Japan, Republic of Korea and Turkey), Europe (UK and Greece) and the Americas (Argentina, Canada and the United States</w:t>
      </w:r>
      <w:r w:rsidRPr="00F03D5F">
        <w:t xml:space="preserve">) </w:t>
      </w:r>
      <w:r>
        <w:rPr>
          <w:noProof/>
        </w:rPr>
        <w:t>(EFSA PLH Panel et al. 2019; Hadidi et al. 2017; Koganezawa et al. 2003)</w:t>
      </w:r>
      <w:r w:rsidRPr="00F03D5F">
        <w:t>.</w:t>
      </w:r>
      <w:r>
        <w:t xml:space="preserve"> </w:t>
      </w:r>
      <w:r w:rsidRPr="00F03D5F">
        <w:t>Apple scar skin and ‘dapple apple’ have been listed as diseases of apple in the PNW-</w:t>
      </w:r>
      <w:r w:rsidRPr="00DB0981">
        <w:t xml:space="preserve">USA </w:t>
      </w:r>
      <w:r>
        <w:rPr>
          <w:noProof/>
        </w:rPr>
        <w:t>(Pscheidt &amp; Ocamb 2021b)</w:t>
      </w:r>
      <w:r w:rsidRPr="00DB0981">
        <w:t xml:space="preserve">, but the </w:t>
      </w:r>
      <w:r w:rsidRPr="00F03D5F">
        <w:t xml:space="preserve">incidences of disease are relatively rare </w:t>
      </w:r>
      <w:r>
        <w:rPr>
          <w:noProof/>
        </w:rPr>
        <w:t>(Koganezawa et al. 2003)</w:t>
      </w:r>
      <w:r w:rsidRPr="00F03D5F">
        <w:t xml:space="preserve">. The form in which the disease presents is dependent on the variant </w:t>
      </w:r>
      <w:r>
        <w:t xml:space="preserve">of ASSVd </w:t>
      </w:r>
      <w:r w:rsidRPr="00F03D5F">
        <w:t xml:space="preserve">and/or apple cultivar </w:t>
      </w:r>
      <w:r>
        <w:rPr>
          <w:noProof/>
        </w:rPr>
        <w:t>(EFSA PLH Panel et al. 2019)</w:t>
      </w:r>
      <w:r w:rsidRPr="00F03D5F">
        <w:t>. Some commonly grown cultivars in the PNW-USA, such as Golden Delicious, Granny</w:t>
      </w:r>
      <w:r w:rsidRPr="0094682F">
        <w:t xml:space="preserve"> Smith</w:t>
      </w:r>
      <w:r>
        <w:t xml:space="preserve"> and </w:t>
      </w:r>
      <w:r w:rsidRPr="0094682F">
        <w:t xml:space="preserve">Pink Lady, are tolerant to </w:t>
      </w:r>
      <w:r>
        <w:t>ASSVd</w:t>
      </w:r>
      <w:r w:rsidRPr="0094682F">
        <w:t xml:space="preserve"> </w:t>
      </w:r>
      <w:r>
        <w:rPr>
          <w:noProof/>
        </w:rPr>
        <w:t>(Desvignes et al. 1999; di Serio et al. 2001)</w:t>
      </w:r>
      <w:r w:rsidRPr="0094682F">
        <w:t>.</w:t>
      </w:r>
      <w:r>
        <w:t xml:space="preserve"> The main recommended management measures in the PNW-USA are use of disease-free planting materials (including scions), and use of clean pruning and cutting </w:t>
      </w:r>
      <w:r w:rsidRPr="00601D9B">
        <w:t xml:space="preserve">tools </w:t>
      </w:r>
      <w:r>
        <w:rPr>
          <w:noProof/>
        </w:rPr>
        <w:t>(Pscheidt &amp; Ocamb 2021b)</w:t>
      </w:r>
      <w:r w:rsidRPr="00601D9B">
        <w:t>.</w:t>
      </w:r>
    </w:p>
    <w:p w14:paraId="79C39289" w14:textId="77777777" w:rsidR="003438A2" w:rsidRDefault="003438A2" w:rsidP="00862DBA">
      <w:pPr>
        <w:rPr>
          <w:rFonts w:eastAsia="Times New Roman"/>
          <w:noProof/>
          <w:szCs w:val="24"/>
        </w:rPr>
      </w:pPr>
      <w:r w:rsidRPr="00F26D79">
        <w:rPr>
          <w:i/>
          <w:iCs/>
        </w:rPr>
        <w:t>Apple scar skin viroid</w:t>
      </w:r>
      <w:r w:rsidRPr="009D7A43">
        <w:t xml:space="preserve"> is known to naturally infect apple, wild apple, pear, wild pear, apricot, peach, sweet cherry and wild cherry. Under experimental grafting conditions, it can also infect species of </w:t>
      </w:r>
      <w:r w:rsidRPr="001A4104">
        <w:rPr>
          <w:i/>
          <w:iCs/>
        </w:rPr>
        <w:t>Chaenomeles</w:t>
      </w:r>
      <w:r w:rsidRPr="009D7A43">
        <w:t xml:space="preserve">, </w:t>
      </w:r>
      <w:r w:rsidRPr="001A4104">
        <w:rPr>
          <w:i/>
          <w:iCs/>
        </w:rPr>
        <w:t>Cydonia</w:t>
      </w:r>
      <w:r w:rsidRPr="009D7A43">
        <w:t xml:space="preserve">, </w:t>
      </w:r>
      <w:r w:rsidRPr="001A4104">
        <w:rPr>
          <w:i/>
          <w:iCs/>
        </w:rPr>
        <w:t>Pyronia</w:t>
      </w:r>
      <w:r>
        <w:t xml:space="preserve"> and </w:t>
      </w:r>
      <w:r>
        <w:rPr>
          <w:i/>
        </w:rPr>
        <w:t xml:space="preserve">Sorbus </w:t>
      </w:r>
      <w:r>
        <w:rPr>
          <w:noProof/>
        </w:rPr>
        <w:t>(Koganezawa et al. 2003; Zhao &amp; Niu 2008)</w:t>
      </w:r>
      <w:r>
        <w:rPr>
          <w:rFonts w:ascii="Times New Roman" w:hAnsi="Times New Roman"/>
        </w:rPr>
        <w:t>.</w:t>
      </w:r>
      <w:r>
        <w:rPr>
          <w:rFonts w:eastAsia="Times New Roman"/>
          <w:color w:val="000000"/>
          <w:szCs w:val="24"/>
        </w:rPr>
        <w:t xml:space="preserve"> </w:t>
      </w:r>
      <w:r w:rsidRPr="0094682F">
        <w:rPr>
          <w:i/>
        </w:rPr>
        <w:t>Apple scar skin viroid</w:t>
      </w:r>
      <w:r>
        <w:rPr>
          <w:rFonts w:eastAsia="Times New Roman"/>
          <w:color w:val="000000"/>
          <w:szCs w:val="24"/>
        </w:rPr>
        <w:t xml:space="preserve"> </w:t>
      </w:r>
      <w:r w:rsidRPr="0094682F">
        <w:t xml:space="preserve">spreads systemically through </w:t>
      </w:r>
      <w:r>
        <w:t xml:space="preserve">host plants </w:t>
      </w:r>
      <w:r>
        <w:rPr>
          <w:noProof/>
        </w:rPr>
        <w:t>(Koganezawa et al. 2003)</w:t>
      </w:r>
      <w:r w:rsidRPr="0094682F">
        <w:t xml:space="preserve">. </w:t>
      </w:r>
      <w:r>
        <w:t xml:space="preserve">In apple hosts, </w:t>
      </w:r>
      <w:r w:rsidRPr="00A0603F">
        <w:t>ASSVd</w:t>
      </w:r>
      <w:r w:rsidRPr="0094682F">
        <w:t xml:space="preserve"> has been found in fruit, seed, anthers, petals, receptacles, leaves, bark and roots </w:t>
      </w:r>
      <w:r>
        <w:rPr>
          <w:noProof/>
        </w:rPr>
        <w:t>(Hadidi et al. 1991; Kim et al. 2006)</w:t>
      </w:r>
      <w:r w:rsidRPr="0094682F">
        <w:t xml:space="preserve">. </w:t>
      </w:r>
      <w:r w:rsidRPr="0094682F">
        <w:rPr>
          <w:i/>
        </w:rPr>
        <w:t>Apple scar skin viroid</w:t>
      </w:r>
      <w:r>
        <w:t xml:space="preserve"> is seed-borne in </w:t>
      </w:r>
      <w:r w:rsidRPr="00A7767B">
        <w:t xml:space="preserve">apple, but viroid transmission from apple seeds to seedlings has not been commonly reported </w:t>
      </w:r>
      <w:r>
        <w:rPr>
          <w:noProof/>
        </w:rPr>
        <w:t>(Desvignes et al. 1999)</w:t>
      </w:r>
      <w:r w:rsidRPr="00A7767B">
        <w:t xml:space="preserve">, with the exception of a report that seedlings germinated from ASSVd-infected apple seeds had a 7.7% infection rate </w:t>
      </w:r>
      <w:r>
        <w:rPr>
          <w:noProof/>
        </w:rPr>
        <w:t>(Kim et al. 2006)</w:t>
      </w:r>
      <w:r w:rsidRPr="0094682F">
        <w:t>.</w:t>
      </w:r>
      <w:r w:rsidRPr="00A7767B">
        <w:t xml:space="preserve"> </w:t>
      </w:r>
      <w:r w:rsidRPr="00A7767B">
        <w:rPr>
          <w:i/>
        </w:rPr>
        <w:t>Apple scar skin viroid</w:t>
      </w:r>
      <w:r w:rsidRPr="00A7767B">
        <w:t xml:space="preserve"> is not known to be pollen-transmitted </w:t>
      </w:r>
      <w:r>
        <w:rPr>
          <w:noProof/>
        </w:rPr>
        <w:t>(EFSA PLH Panel et al. 2019)</w:t>
      </w:r>
      <w:r>
        <w:t xml:space="preserve"> but </w:t>
      </w:r>
      <w:r w:rsidRPr="0094682F">
        <w:t xml:space="preserve">is </w:t>
      </w:r>
      <w:r>
        <w:t xml:space="preserve">known to be </w:t>
      </w:r>
      <w:r w:rsidRPr="0094682F">
        <w:t>spread by grafting and budding, infected rootstocks</w:t>
      </w:r>
      <w:r>
        <w:t>,</w:t>
      </w:r>
      <w:r w:rsidRPr="0094682F">
        <w:t xml:space="preserve"> and contaminated equipment </w:t>
      </w:r>
      <w:r>
        <w:rPr>
          <w:noProof/>
        </w:rPr>
        <w:t>(Grove et al. 2003; Hadidi et al. 1991)</w:t>
      </w:r>
      <w:r w:rsidRPr="0094682F">
        <w:t>.</w:t>
      </w:r>
      <w:r w:rsidRPr="003811F4">
        <w:t xml:space="preserve"> </w:t>
      </w:r>
      <w:r>
        <w:t>Natural slow spread of ASSVd between trees may occur, with horizontal transmission</w:t>
      </w:r>
      <w:r w:rsidRPr="0094682F">
        <w:t xml:space="preserve"> by root</w:t>
      </w:r>
      <w:r>
        <w:t>-</w:t>
      </w:r>
      <w:r w:rsidRPr="0094682F">
        <w:t>to</w:t>
      </w:r>
      <w:r>
        <w:t>-</w:t>
      </w:r>
      <w:r w:rsidRPr="0094682F">
        <w:t>root contact</w:t>
      </w:r>
      <w:r>
        <w:t xml:space="preserve"> as the</w:t>
      </w:r>
      <w:r w:rsidRPr="0094682F">
        <w:t xml:space="preserve"> </w:t>
      </w:r>
      <w:r>
        <w:t xml:space="preserve">proposed mechanism by </w:t>
      </w:r>
      <w:r>
        <w:rPr>
          <w:noProof/>
        </w:rPr>
        <w:t>(Desvignes et al. 1999)</w:t>
      </w:r>
      <w:r w:rsidRPr="0094682F">
        <w:t>.</w:t>
      </w:r>
      <w:r>
        <w:t xml:space="preserve"> Under experimental conditions, i</w:t>
      </w:r>
      <w:r w:rsidRPr="0094682F">
        <w:t xml:space="preserve">t </w:t>
      </w:r>
      <w:r>
        <w:t xml:space="preserve">has been shown that ASSVd can be transmitted </w:t>
      </w:r>
      <w:r>
        <w:rPr>
          <w:rFonts w:eastAsia="Times New Roman"/>
          <w:iCs/>
          <w:color w:val="000000"/>
          <w:szCs w:val="24"/>
        </w:rPr>
        <w:t>to herbaceous plant species such as bean and cucumber</w:t>
      </w:r>
      <w:r>
        <w:t xml:space="preserve"> by the greenhouse whitefly </w:t>
      </w:r>
      <w:r w:rsidRPr="00B930D2">
        <w:rPr>
          <w:rFonts w:eastAsia="Times New Roman"/>
          <w:i/>
          <w:iCs/>
          <w:color w:val="000000"/>
          <w:szCs w:val="24"/>
        </w:rPr>
        <w:t>Trialeurodes vaporariorum</w:t>
      </w:r>
      <w:r>
        <w:rPr>
          <w:rFonts w:eastAsia="Times New Roman"/>
          <w:i/>
          <w:iCs/>
          <w:color w:val="000000"/>
          <w:szCs w:val="24"/>
        </w:rPr>
        <w:t xml:space="preserve"> </w:t>
      </w:r>
      <w:r w:rsidRPr="00AC25B9">
        <w:rPr>
          <w:rFonts w:eastAsia="Times New Roman"/>
          <w:noProof/>
          <w:szCs w:val="24"/>
        </w:rPr>
        <w:t>(Koganezawa et al. 2003; Kyriakopoulou &amp; Hadidi 1998; Walia et al. 2015)</w:t>
      </w:r>
      <w:r w:rsidRPr="00AC25B9">
        <w:t>.</w:t>
      </w:r>
      <w:r>
        <w:t xml:space="preserve"> </w:t>
      </w:r>
      <w:r w:rsidRPr="00587ED3">
        <w:t xml:space="preserve">However, there are no data reported regarding </w:t>
      </w:r>
      <w:r>
        <w:t>insect vector</w:t>
      </w:r>
      <w:r w:rsidRPr="00587ED3">
        <w:t xml:space="preserve"> transmission of ASSVd in nature</w:t>
      </w:r>
      <w:r>
        <w:t xml:space="preserve"> </w:t>
      </w:r>
      <w:r>
        <w:rPr>
          <w:rFonts w:eastAsia="Times New Roman"/>
          <w:noProof/>
          <w:szCs w:val="24"/>
        </w:rPr>
        <w:t xml:space="preserve">(Pscheidt &amp; Ocamb 2021b; Walia et al. 2015). </w:t>
      </w:r>
    </w:p>
    <w:p w14:paraId="5ED98768" w14:textId="77777777" w:rsidR="003438A2" w:rsidRDefault="003438A2" w:rsidP="00862DBA">
      <w:r w:rsidRPr="00AC25B9">
        <w:t>The symptoms of disease are usually restricted to the fruit in most apple varieties</w:t>
      </w:r>
      <w:r>
        <w:t xml:space="preserve"> </w:t>
      </w:r>
      <w:r w:rsidRPr="00AC25B9">
        <w:rPr>
          <w:noProof/>
        </w:rPr>
        <w:t>(Koganezawa et al. 2003)</w:t>
      </w:r>
      <w:r w:rsidRPr="00AC25B9">
        <w:t>. Affected apples bear small circular spots near the calyx</w:t>
      </w:r>
      <w:r>
        <w:t xml:space="preserve"> </w:t>
      </w:r>
      <w:r w:rsidRPr="00AC25B9">
        <w:rPr>
          <w:noProof/>
        </w:rPr>
        <w:t>(Koganezawa et al. 2003)</w:t>
      </w:r>
      <w:r w:rsidRPr="00AC25B9">
        <w:t>. As the fruit mature, the spots enlarge and increasingly contrast with the darkening background of the skin. Larger spots may coalesce to form a broad band of dappling. In cases of more severe disease the circular patches become brown and necrotic, and fissures appear on the fruit</w:t>
      </w:r>
      <w:r>
        <w:t xml:space="preserve"> </w:t>
      </w:r>
      <w:r w:rsidRPr="00AC25B9">
        <w:rPr>
          <w:noProof/>
        </w:rPr>
        <w:t>(Koganezawa et al. 2003)</w:t>
      </w:r>
      <w:r w:rsidRPr="00AC25B9">
        <w:t xml:space="preserve">; infected fruit thus become unmarketable </w:t>
      </w:r>
      <w:r>
        <w:rPr>
          <w:noProof/>
        </w:rPr>
        <w:t>(Pscheidt &amp; Ocamb 2021b)</w:t>
      </w:r>
      <w:r w:rsidRPr="00AC25B9">
        <w:t xml:space="preserve">. Some apple cultivars may also develop leaf roll or leaf epinasty symptoms under certain conditions </w:t>
      </w:r>
      <w:bookmarkStart w:id="460" w:name="_Hlk111884220"/>
      <w:r w:rsidRPr="00AC25B9">
        <w:rPr>
          <w:noProof/>
        </w:rPr>
        <w:t>(Koganezawa et al. 2003)</w:t>
      </w:r>
      <w:bookmarkEnd w:id="460"/>
      <w:r w:rsidRPr="00AC25B9">
        <w:t>. Trees of tolerant apple cultivars may not express symptoms for some years after infecti</w:t>
      </w:r>
      <w:r w:rsidRPr="0094682F">
        <w:t xml:space="preserve">on by the viroid </w:t>
      </w:r>
      <w:r>
        <w:rPr>
          <w:noProof/>
        </w:rPr>
        <w:t>(Desvignes et al. 1999; Kwon et al. 2002)</w:t>
      </w:r>
      <w:r w:rsidRPr="0094682F">
        <w:t xml:space="preserve"> and </w:t>
      </w:r>
      <w:r>
        <w:t xml:space="preserve">may </w:t>
      </w:r>
      <w:r w:rsidRPr="0094682F">
        <w:t>continue to produce asymptomatic fruit.</w:t>
      </w:r>
    </w:p>
    <w:p w14:paraId="5A2C8183" w14:textId="77777777" w:rsidR="003438A2" w:rsidRDefault="003438A2" w:rsidP="00862DBA">
      <w:r>
        <w:lastRenderedPageBreak/>
        <w:t>The risk scenario of biosecurity concern for ASSVd</w:t>
      </w:r>
      <w:r w:rsidDel="0017005B">
        <w:rPr>
          <w:i/>
        </w:rPr>
        <w:t xml:space="preserve"> </w:t>
      </w:r>
      <w:r>
        <w:t>is that symptomless infected fruit may enter Australia and result in the establishment and spread of this viroid.</w:t>
      </w:r>
    </w:p>
    <w:p w14:paraId="78716B88" w14:textId="77777777" w:rsidR="003438A2" w:rsidRDefault="003438A2" w:rsidP="00862DBA">
      <w:r w:rsidRPr="0094682F">
        <w:rPr>
          <w:i/>
        </w:rPr>
        <w:t>Apple scar skin viroid</w:t>
      </w:r>
      <w:r w:rsidRPr="0094682F">
        <w:t xml:space="preserve"> </w:t>
      </w:r>
      <w:r>
        <w:t xml:space="preserve">has been assessed previously in the existing import policies for fresh apple fruit from the People’s Republic of China </w:t>
      </w:r>
      <w:r>
        <w:rPr>
          <w:noProof/>
        </w:rPr>
        <w:t>(Biosecurity Australia 2010a)</w:t>
      </w:r>
      <w:r>
        <w:t xml:space="preserve"> and pears from the People’s Republic of China </w:t>
      </w:r>
      <w:r>
        <w:rPr>
          <w:noProof/>
        </w:rPr>
        <w:t>(Biosecurity Australia 2005)</w:t>
      </w:r>
      <w:r>
        <w:t>. In the policy for apples from China, the unrestricted risk estimate for ASSVd was assessed as Very Low, which achieves the ALOP for Australia.</w:t>
      </w:r>
    </w:p>
    <w:p w14:paraId="323744A8" w14:textId="77777777" w:rsidR="003438A2" w:rsidRDefault="003438A2" w:rsidP="00862DBA">
      <w:r w:rsidRPr="00815A3A">
        <w:t xml:space="preserve">The department assessed the likelihood of </w:t>
      </w:r>
      <w:r w:rsidRPr="00E106BD">
        <w:t xml:space="preserve">importation of </w:t>
      </w:r>
      <w:r>
        <w:t xml:space="preserve">ASSVd </w:t>
      </w:r>
      <w:r w:rsidRPr="00E106BD">
        <w:t xml:space="preserve">on fresh apple fruit from China as </w:t>
      </w:r>
      <w:r>
        <w:t>Moderate</w:t>
      </w:r>
      <w:r w:rsidRPr="00E106BD">
        <w:t xml:space="preserve"> </w:t>
      </w:r>
      <w:r>
        <w:rPr>
          <w:noProof/>
        </w:rPr>
        <w:t>(Biosecurity Australia 2010a)</w:t>
      </w:r>
      <w:r w:rsidRPr="00E106BD">
        <w:t>. However</w:t>
      </w:r>
      <w:r w:rsidRPr="00815A3A">
        <w:t xml:space="preserve">, </w:t>
      </w:r>
      <w:r>
        <w:t xml:space="preserve">differences in </w:t>
      </w:r>
      <w:r w:rsidRPr="00815A3A">
        <w:t>pest prevalence</w:t>
      </w:r>
      <w:r>
        <w:t xml:space="preserve">, </w:t>
      </w:r>
      <w:r w:rsidRPr="00815A3A">
        <w:t>climate and horticultur</w:t>
      </w:r>
      <w:r>
        <w:t>al</w:t>
      </w:r>
      <w:r w:rsidRPr="00815A3A">
        <w:t xml:space="preserve"> practices </w:t>
      </w:r>
      <w:r>
        <w:t>between</w:t>
      </w:r>
      <w:r w:rsidRPr="00815A3A">
        <w:t xml:space="preserve"> export areas make it necessary to re</w:t>
      </w:r>
      <w:r>
        <w:t>-</w:t>
      </w:r>
      <w:r w:rsidRPr="00815A3A">
        <w:t xml:space="preserve">assess the likelihood of importation of </w:t>
      </w:r>
      <w:r>
        <w:t xml:space="preserve">ASSVd </w:t>
      </w:r>
      <w:r w:rsidRPr="00815A3A">
        <w:t xml:space="preserve">associated with </w:t>
      </w:r>
      <w:r>
        <w:t xml:space="preserve">the </w:t>
      </w:r>
      <w:r w:rsidRPr="00815A3A">
        <w:t>PNW-USA</w:t>
      </w:r>
      <w:r>
        <w:t xml:space="preserve"> apple pathway</w:t>
      </w:r>
      <w:r w:rsidRPr="00815A3A">
        <w:t>.</w:t>
      </w:r>
    </w:p>
    <w:p w14:paraId="0D51AB70" w14:textId="77777777" w:rsidR="003438A2" w:rsidRDefault="003438A2" w:rsidP="00862DBA">
      <w:r>
        <w:t>Previous assessment of ASSVd on the fresh apple fruit from China</w:t>
      </w:r>
      <w:r>
        <w:rPr>
          <w:rFonts w:eastAsia="Times New Roman" w:cs="Times New Roman"/>
          <w:color w:val="000000"/>
        </w:rPr>
        <w:t xml:space="preserve"> </w:t>
      </w:r>
      <w:r>
        <w:t xml:space="preserve">pathway rated the likelihood of distribution as High. Apples from the PNW-USA are expected to be distributed in Australia, </w:t>
      </w:r>
      <w:r w:rsidRPr="00FF151F">
        <w:t>as a result of the processing, sale or disposal</w:t>
      </w:r>
      <w:r>
        <w:t>,</w:t>
      </w:r>
      <w:r w:rsidRPr="00FF151F">
        <w:t xml:space="preserve"> </w:t>
      </w:r>
      <w:r>
        <w:t xml:space="preserve">in a similar way to apples from China. Apples can be imported all year round, therefore, </w:t>
      </w:r>
      <w:r w:rsidRPr="00B81F41">
        <w:t>there would be no seasonal differences between both import pathways to contribute to variation in the risk rating for likelihood of distribution</w:t>
      </w:r>
      <w:r>
        <w:t xml:space="preserve">. </w:t>
      </w:r>
      <w:r w:rsidRPr="00F575BE">
        <w:t>It is expected that once the apple fruit ha</w:t>
      </w:r>
      <w:r>
        <w:t>ve</w:t>
      </w:r>
      <w:r w:rsidRPr="00F575BE">
        <w:t xml:space="preserve"> arrived in Australia, </w:t>
      </w:r>
      <w:r>
        <w:t>they</w:t>
      </w:r>
      <w:r w:rsidRPr="00F575BE">
        <w:t xml:space="preserve"> will be distributed throughout Australia for wholesale or retail sale.</w:t>
      </w:r>
      <w:r>
        <w:t xml:space="preserve"> </w:t>
      </w:r>
      <w:r w:rsidRPr="00F575BE">
        <w:t xml:space="preserve">Imported apple fruit </w:t>
      </w:r>
      <w:r>
        <w:t>are</w:t>
      </w:r>
      <w:r w:rsidRPr="00F575BE">
        <w:t xml:space="preserve"> intended for human consumption</w:t>
      </w:r>
      <w:r>
        <w:t>.</w:t>
      </w:r>
      <w:r w:rsidRPr="00F575BE">
        <w:t xml:space="preserve"> Apple cores are usually not consumed</w:t>
      </w:r>
      <w:r>
        <w:t>,</w:t>
      </w:r>
      <w:r w:rsidRPr="00F575BE">
        <w:t xml:space="preserve"> and are discarded </w:t>
      </w:r>
      <w:r>
        <w:t xml:space="preserve">complete </w:t>
      </w:r>
      <w:r w:rsidRPr="00F575BE">
        <w:t xml:space="preserve">with seed. </w:t>
      </w:r>
      <w:r>
        <w:t xml:space="preserve">Some </w:t>
      </w:r>
      <w:r w:rsidRPr="00F575BE">
        <w:t xml:space="preserve">apple cores with viable infected seed may be </w:t>
      </w:r>
      <w:r>
        <w:t xml:space="preserve">discarded into the environment where ASSVd host plants </w:t>
      </w:r>
      <w:r w:rsidRPr="00A7767B">
        <w:t xml:space="preserve">could be available. Some of the ASSVd-infected seed may grow into apple seedlings </w:t>
      </w:r>
      <w:r>
        <w:t>that</w:t>
      </w:r>
      <w:r w:rsidRPr="00A7767B">
        <w:t xml:space="preserve"> are infected by ASSVd </w:t>
      </w:r>
      <w:r>
        <w:rPr>
          <w:noProof/>
        </w:rPr>
        <w:t>(Kim et al. 2006)</w:t>
      </w:r>
      <w:r w:rsidRPr="00A7767B">
        <w:t>. Therefore, the same rating of High for the likelihood of distribution for ASSVd on the apples from China pathway is adopted for the PNW-USA apple pathway.</w:t>
      </w:r>
    </w:p>
    <w:p w14:paraId="112AA954" w14:textId="77777777" w:rsidR="003438A2" w:rsidRPr="00AC25B9" w:rsidRDefault="003438A2" w:rsidP="00862DBA">
      <w:r>
        <w:t xml:space="preserve">The likelihoods of establishment and spread of ASSVd in Australia from the PNW-USA apple pathway will be similar to those of previous assessments of Moderate and Low, respectively, for apple fruit from China. These likelihoods relate specifically to events that occur in Australia and are principally independent of the import pathway. The consequences </w:t>
      </w:r>
      <w:r w:rsidRPr="00E6647A">
        <w:t xml:space="preserve">of entry, establishment and spread for </w:t>
      </w:r>
      <w:r>
        <w:t xml:space="preserve">ASSVd are also independent of the import pathway </w:t>
      </w:r>
      <w:r w:rsidRPr="00E6647A">
        <w:t xml:space="preserve">and </w:t>
      </w:r>
      <w:r>
        <w:t xml:space="preserve">have been assessed as similar to the existing assessment of Moderate for the apples from China pathway. On these bases, the ratings for likelihoods of </w:t>
      </w:r>
      <w:r w:rsidRPr="00E6647A">
        <w:t>establishment and spread</w:t>
      </w:r>
      <w:r>
        <w:t>,</w:t>
      </w:r>
      <w:r w:rsidRPr="00E6647A">
        <w:t xml:space="preserve"> </w:t>
      </w:r>
      <w:r>
        <w:t xml:space="preserve">and the rating for the overall </w:t>
      </w:r>
      <w:r w:rsidRPr="00AC25B9">
        <w:t xml:space="preserve">consequences of ASSVd </w:t>
      </w:r>
      <w:r>
        <w:t xml:space="preserve">on the China apple pathway </w:t>
      </w:r>
      <w:r w:rsidRPr="00AC25B9">
        <w:t>have been adopted for ASSVd on the PNW-USA apple pathway.</w:t>
      </w:r>
    </w:p>
    <w:p w14:paraId="2CAEB37D" w14:textId="77777777" w:rsidR="003438A2" w:rsidRPr="00AC25B9" w:rsidRDefault="003438A2" w:rsidP="00862DBA">
      <w:pPr>
        <w:rPr>
          <w:rFonts w:cs="Arial"/>
        </w:rPr>
      </w:pPr>
      <w:r w:rsidRPr="00AC25B9">
        <w:rPr>
          <w:rFonts w:cs="Arial"/>
        </w:rPr>
        <w:t xml:space="preserve">The department has also reviewed the latest literature—for example, </w:t>
      </w:r>
      <w:r>
        <w:rPr>
          <w:rFonts w:cs="Arial"/>
          <w:noProof/>
        </w:rPr>
        <w:t>EFSA PLH Panel et al. (2019); Hadidi et al. (2011); Hadidi et al. (2017); Pscheidt and Ocamb (2021b); Walia et al. (2014) and Walia et al. (2015)</w:t>
      </w:r>
      <w:r w:rsidRPr="00AC25B9">
        <w:rPr>
          <w:rFonts w:cs="Arial"/>
        </w:rPr>
        <w:t>. No new information has been identified that would significantly change the risk ratings for distribution, establishment, spread and consequences.</w:t>
      </w:r>
    </w:p>
    <w:p w14:paraId="45289030" w14:textId="77777777" w:rsidR="003438A2" w:rsidRPr="00AC25B9" w:rsidRDefault="003438A2" w:rsidP="003438A2">
      <w:pPr>
        <w:pStyle w:val="Heading4"/>
        <w:numPr>
          <w:ilvl w:val="2"/>
          <w:numId w:val="31"/>
        </w:numPr>
        <w:tabs>
          <w:tab w:val="clear" w:pos="1645"/>
          <w:tab w:val="num" w:pos="794"/>
        </w:tabs>
        <w:ind w:left="1786"/>
      </w:pPr>
      <w:r w:rsidRPr="00AC25B9">
        <w:t xml:space="preserve">Likelihood of entry </w:t>
      </w:r>
    </w:p>
    <w:p w14:paraId="403049BE" w14:textId="77777777" w:rsidR="003438A2" w:rsidRPr="00AC25B9" w:rsidRDefault="003438A2" w:rsidP="00862DBA">
      <w:r w:rsidRPr="00AC25B9">
        <w:t>The likelihood of entry is considered in 2 parts, the likelihood of importation and the likelihood of distribution, which consider pre-border and post-border issues, respectively.</w:t>
      </w:r>
    </w:p>
    <w:p w14:paraId="1789E2BB" w14:textId="77777777" w:rsidR="003438A2" w:rsidRPr="00AC25B9" w:rsidRDefault="003438A2" w:rsidP="00862DBA">
      <w:pPr>
        <w:pStyle w:val="Heading5"/>
      </w:pPr>
      <w:r w:rsidRPr="00AC25B9">
        <w:lastRenderedPageBreak/>
        <w:t>Likelihood of importation with apple fruit from the PNW-USA</w:t>
      </w:r>
    </w:p>
    <w:p w14:paraId="1FCBD835" w14:textId="77777777" w:rsidR="003438A2" w:rsidRPr="0094682F" w:rsidRDefault="003438A2" w:rsidP="00862DBA">
      <w:r w:rsidRPr="00AC25B9">
        <w:t>The likelihood that ASSVd will arrive in Australia with imported</w:t>
      </w:r>
      <w:r w:rsidRPr="0094682F">
        <w:t xml:space="preserve"> </w:t>
      </w:r>
      <w:r>
        <w:t>apples from the PNW-USA is assessed as Moderate.</w:t>
      </w:r>
    </w:p>
    <w:p w14:paraId="6A322C8A" w14:textId="77777777" w:rsidR="003438A2" w:rsidRDefault="003438A2" w:rsidP="00862DBA">
      <w:r>
        <w:t>The following information provides supporting evidence for this assessment.</w:t>
      </w:r>
    </w:p>
    <w:p w14:paraId="21E38852" w14:textId="77777777" w:rsidR="003438A2" w:rsidRDefault="003438A2" w:rsidP="00862DBA">
      <w:r w:rsidRPr="0094682F">
        <w:rPr>
          <w:i/>
        </w:rPr>
        <w:t>Apple scar skin viroid</w:t>
      </w:r>
      <w:r>
        <w:t xml:space="preserve"> </w:t>
      </w:r>
      <w:r w:rsidRPr="000340C1">
        <w:t xml:space="preserve">is present </w:t>
      </w:r>
      <w:r>
        <w:t xml:space="preserve">and associated with </w:t>
      </w:r>
      <w:r w:rsidRPr="000340C1">
        <w:t>apple production in the PNW-USA</w:t>
      </w:r>
      <w:r>
        <w:t>.</w:t>
      </w:r>
    </w:p>
    <w:p w14:paraId="30F171A1" w14:textId="77777777" w:rsidR="003438A2" w:rsidRPr="002A09D6" w:rsidRDefault="003438A2" w:rsidP="003438A2">
      <w:pPr>
        <w:pStyle w:val="ListBullet"/>
      </w:pPr>
      <w:r w:rsidRPr="002902EE">
        <w:rPr>
          <w:i/>
        </w:rPr>
        <w:t>Apple scar skin viroid</w:t>
      </w:r>
      <w:r>
        <w:t xml:space="preserve"> </w:t>
      </w:r>
      <w:r w:rsidRPr="001B42DB">
        <w:t xml:space="preserve">is present in Washington </w:t>
      </w:r>
      <w:r>
        <w:t xml:space="preserve">and </w:t>
      </w:r>
      <w:r w:rsidRPr="00960312">
        <w:t xml:space="preserve">has </w:t>
      </w:r>
      <w:r>
        <w:t>been listed as a disease of apple in the PNW-</w:t>
      </w:r>
      <w:r w:rsidRPr="002A09D6">
        <w:t>USA</w:t>
      </w:r>
      <w:r>
        <w:t xml:space="preserve"> </w:t>
      </w:r>
      <w:r>
        <w:rPr>
          <w:noProof/>
        </w:rPr>
        <w:t>(Grove et al. 2003; Hadidi et al. 1991; Pscheidt &amp; Ocamb 2021b)</w:t>
      </w:r>
      <w:r>
        <w:t xml:space="preserve">. </w:t>
      </w:r>
      <w:r w:rsidRPr="002A09D6">
        <w:t xml:space="preserve">The incidence and presence of apple scar skin and dapple apple disease in the PNW-USA is, however, low </w:t>
      </w:r>
      <w:r w:rsidRPr="002A09D6">
        <w:rPr>
          <w:noProof/>
        </w:rPr>
        <w:t>(Agrios 1989; Koganezawa et al. 2003)</w:t>
      </w:r>
      <w:r w:rsidRPr="002A09D6">
        <w:rPr>
          <w:rStyle w:val="CommentReference"/>
        </w:rPr>
        <w:t xml:space="preserve"> </w:t>
      </w:r>
      <w:r w:rsidRPr="002A09D6">
        <w:t>or rare</w:t>
      </w:r>
      <w:r>
        <w:t xml:space="preserve"> </w:t>
      </w:r>
      <w:r>
        <w:rPr>
          <w:noProof/>
        </w:rPr>
        <w:t>(Pscheidt &amp; Ocamb 2021b)</w:t>
      </w:r>
      <w:r>
        <w:t xml:space="preserve">. </w:t>
      </w:r>
    </w:p>
    <w:p w14:paraId="39A0FE09" w14:textId="77777777" w:rsidR="003438A2" w:rsidRDefault="003438A2" w:rsidP="003438A2">
      <w:pPr>
        <w:pStyle w:val="ListBullet"/>
      </w:pPr>
      <w:r w:rsidRPr="0094682F">
        <w:rPr>
          <w:rFonts w:eastAsia="Calibri"/>
        </w:rPr>
        <w:t>ASSVd</w:t>
      </w:r>
      <w:r w:rsidRPr="0094682F">
        <w:t xml:space="preserve"> spreads systemically through apple trees and is </w:t>
      </w:r>
      <w:r>
        <w:t xml:space="preserve">likely to be </w:t>
      </w:r>
      <w:r w:rsidRPr="0094682F">
        <w:t>present in fruit and seed</w:t>
      </w:r>
      <w:r>
        <w:t>s</w:t>
      </w:r>
      <w:r w:rsidRPr="0094682F">
        <w:t xml:space="preserve"> from </w:t>
      </w:r>
      <w:r>
        <w:t>ASSVd-</w:t>
      </w:r>
      <w:r w:rsidRPr="0094682F">
        <w:t xml:space="preserve">infected trees </w:t>
      </w:r>
      <w:r>
        <w:rPr>
          <w:noProof/>
        </w:rPr>
        <w:t>(Hadidi et al. 1991)</w:t>
      </w:r>
      <w:r w:rsidRPr="0094682F">
        <w:t>.</w:t>
      </w:r>
    </w:p>
    <w:p w14:paraId="703E8339" w14:textId="77777777" w:rsidR="003438A2" w:rsidRPr="007E6398" w:rsidRDefault="003438A2" w:rsidP="00862DBA">
      <w:r w:rsidRPr="007E6398">
        <w:t xml:space="preserve">Fruit symptomatically infected with ASSVd </w:t>
      </w:r>
      <w:r>
        <w:t>are likely to</w:t>
      </w:r>
      <w:r w:rsidRPr="007E6398">
        <w:t xml:space="preserve"> be detected during harvesting and post-harvesting processes.</w:t>
      </w:r>
    </w:p>
    <w:p w14:paraId="293D0763" w14:textId="77777777" w:rsidR="003438A2" w:rsidRPr="007E6398" w:rsidRDefault="003438A2" w:rsidP="003438A2">
      <w:pPr>
        <w:pStyle w:val="ListBullet"/>
        <w:numPr>
          <w:ilvl w:val="0"/>
          <w:numId w:val="15"/>
        </w:numPr>
        <w:rPr>
          <w:color w:val="00B050"/>
        </w:rPr>
      </w:pPr>
      <w:r w:rsidRPr="007E6398">
        <w:t xml:space="preserve">Depending on the sequence variant of ASSVd and/or apple cultivar, infected fruit may show scar skin or dapple apple disease symptoms </w:t>
      </w:r>
      <w:r w:rsidRPr="007E6398">
        <w:rPr>
          <w:noProof/>
        </w:rPr>
        <w:t>(EFSA PLH Panel et al. 2019)</w:t>
      </w:r>
      <w:r w:rsidRPr="007E6398">
        <w:t>. Affected apple fruit bear small circular spots near the calyx end, and as the fruit mature, the spots enlarge and increasingly contrast with the darker background of the skin. Larger spots may coalesce to form a broad band of dappling. In the case of the more severe scar skin, the circular patches become brown and necrotic, and fissures appear on the fruit. The infected fruit thus become unmarketable.</w:t>
      </w:r>
    </w:p>
    <w:p w14:paraId="2551272D" w14:textId="77777777" w:rsidR="003438A2" w:rsidRDefault="003438A2" w:rsidP="003438A2">
      <w:pPr>
        <w:pStyle w:val="ListBullet"/>
        <w:numPr>
          <w:ilvl w:val="0"/>
          <w:numId w:val="15"/>
        </w:numPr>
      </w:pPr>
      <w:r>
        <w:t xml:space="preserve">In susceptible apple cultivars such as Red Delicious, which is the most common apple cultivar in PNW-USA, symptoms are usually present at the calyx end of the fruit, and include skin scarring, cracking and dappling. Infected fruit may remain small and hard and may develop an unpleasant flavour </w:t>
      </w:r>
      <w:r>
        <w:rPr>
          <w:noProof/>
        </w:rPr>
        <w:t>(CABI 2022)</w:t>
      </w:r>
      <w:r w:rsidRPr="00171F11">
        <w:rPr>
          <w:rFonts w:ascii="Times New Roman" w:hAnsi="Times New Roman"/>
        </w:rPr>
        <w:t>.</w:t>
      </w:r>
    </w:p>
    <w:p w14:paraId="3558A464" w14:textId="77777777" w:rsidR="003438A2" w:rsidRDefault="003438A2" w:rsidP="003438A2">
      <w:pPr>
        <w:pStyle w:val="ListBullet"/>
        <w:numPr>
          <w:ilvl w:val="0"/>
          <w:numId w:val="15"/>
        </w:numPr>
      </w:pPr>
      <w:r w:rsidRPr="0094682F">
        <w:t xml:space="preserve">Almost all fruit on </w:t>
      </w:r>
      <w:r>
        <w:t>ASSVd-</w:t>
      </w:r>
      <w:r w:rsidRPr="0094682F">
        <w:t>infected tree</w:t>
      </w:r>
      <w:r>
        <w:t>s</w:t>
      </w:r>
      <w:r w:rsidRPr="0094682F">
        <w:t xml:space="preserve"> of susceptible cultivar</w:t>
      </w:r>
      <w:r>
        <w:t>s</w:t>
      </w:r>
      <w:r w:rsidRPr="0094682F">
        <w:t xml:space="preserve"> </w:t>
      </w:r>
      <w:r>
        <w:t xml:space="preserve">will </w:t>
      </w:r>
      <w:r w:rsidRPr="0094682F">
        <w:t xml:space="preserve">show symptoms and </w:t>
      </w:r>
      <w:r>
        <w:t xml:space="preserve">be </w:t>
      </w:r>
      <w:r w:rsidRPr="0094682F">
        <w:t xml:space="preserve">unmarketable </w:t>
      </w:r>
      <w:r>
        <w:rPr>
          <w:noProof/>
        </w:rPr>
        <w:t>(Koganezawa et al. 2003)</w:t>
      </w:r>
      <w:r w:rsidRPr="0094682F">
        <w:t>.</w:t>
      </w:r>
      <w:r>
        <w:t xml:space="preserve"> </w:t>
      </w:r>
      <w:r w:rsidRPr="0094682F">
        <w:t xml:space="preserve">Infected fruit from susceptible cultivars </w:t>
      </w:r>
      <w:r>
        <w:t xml:space="preserve">are likely to </w:t>
      </w:r>
      <w:r w:rsidRPr="0094682F">
        <w:t xml:space="preserve">be </w:t>
      </w:r>
      <w:r>
        <w:t xml:space="preserve">removed </w:t>
      </w:r>
      <w:r w:rsidRPr="0094682F">
        <w:t>during harvesting, grading and packing processes.</w:t>
      </w:r>
    </w:p>
    <w:p w14:paraId="24A76F44" w14:textId="77777777" w:rsidR="003438A2" w:rsidRDefault="003438A2" w:rsidP="003438A2">
      <w:pPr>
        <w:pStyle w:val="ListBullet"/>
        <w:numPr>
          <w:ilvl w:val="0"/>
          <w:numId w:val="15"/>
        </w:numPr>
      </w:pPr>
      <w:r>
        <w:t>Some apple varieties, such as Fuji and Gala, are s</w:t>
      </w:r>
      <w:r w:rsidRPr="0094682F">
        <w:t xml:space="preserve">lightly sensitive </w:t>
      </w:r>
      <w:r>
        <w:t>and</w:t>
      </w:r>
      <w:r w:rsidRPr="0094682F">
        <w:t xml:space="preserve"> </w:t>
      </w:r>
      <w:r>
        <w:t xml:space="preserve">can </w:t>
      </w:r>
      <w:r w:rsidRPr="0094682F">
        <w:t xml:space="preserve">produce both asymptomatic and symptomatic fruit </w:t>
      </w:r>
      <w:r>
        <w:rPr>
          <w:noProof/>
        </w:rPr>
        <w:t>(Desvignes et al. 1999; di Serio et al. 2001)</w:t>
      </w:r>
      <w:r w:rsidRPr="0094682F">
        <w:t>.</w:t>
      </w:r>
    </w:p>
    <w:p w14:paraId="46643C80" w14:textId="77777777" w:rsidR="003438A2" w:rsidRDefault="003438A2" w:rsidP="00862DBA">
      <w:r>
        <w:t>Fruit infected with ASSVd with no or mild symptoms may not be detected during harvest and post-harvest processes.</w:t>
      </w:r>
    </w:p>
    <w:p w14:paraId="0E71C834" w14:textId="77777777" w:rsidR="003438A2" w:rsidRDefault="003438A2" w:rsidP="003438A2">
      <w:pPr>
        <w:pStyle w:val="ListBullet"/>
      </w:pPr>
      <w:r>
        <w:t xml:space="preserve">Some apple varieties are tolerant of ASSVd, and may carry the viroid but show no symptoms </w:t>
      </w:r>
      <w:r>
        <w:rPr>
          <w:noProof/>
        </w:rPr>
        <w:t>(Koganezawa et al. 2003)</w:t>
      </w:r>
      <w:r w:rsidRPr="00637064">
        <w:t>.</w:t>
      </w:r>
    </w:p>
    <w:p w14:paraId="3E1A343B" w14:textId="77777777" w:rsidR="003438A2" w:rsidRPr="002E27A7" w:rsidRDefault="003438A2" w:rsidP="003438A2">
      <w:pPr>
        <w:pStyle w:val="ListBullet"/>
      </w:pPr>
      <w:r>
        <w:t>C</w:t>
      </w:r>
      <w:r w:rsidRPr="0094682F">
        <w:t>ommonly grown</w:t>
      </w:r>
      <w:r>
        <w:t xml:space="preserve"> cultivars </w:t>
      </w:r>
      <w:r w:rsidRPr="0094682F">
        <w:t>in the PNW</w:t>
      </w:r>
      <w:r>
        <w:t xml:space="preserve">-USA, including </w:t>
      </w:r>
      <w:r w:rsidRPr="0094682F">
        <w:t>Golden Delicious, Granny Smith</w:t>
      </w:r>
      <w:r>
        <w:t xml:space="preserve"> and </w:t>
      </w:r>
      <w:r w:rsidRPr="0094682F">
        <w:t xml:space="preserve">Pink Lady, are tolerant to </w:t>
      </w:r>
      <w:r>
        <w:t>ASSVd</w:t>
      </w:r>
      <w:r w:rsidRPr="0094682F">
        <w:t xml:space="preserve"> </w:t>
      </w:r>
      <w:r>
        <w:rPr>
          <w:noProof/>
        </w:rPr>
        <w:t>(Desvignes et al. 1999; di Serio et al. 2001)</w:t>
      </w:r>
      <w:r w:rsidRPr="0094682F">
        <w:t>.</w:t>
      </w:r>
      <w:r>
        <w:t xml:space="preserve"> </w:t>
      </w:r>
      <w:r w:rsidRPr="0094682F">
        <w:t xml:space="preserve">Trees </w:t>
      </w:r>
      <w:r>
        <w:t xml:space="preserve">of tolerant apple cultivars </w:t>
      </w:r>
      <w:r w:rsidRPr="0094682F">
        <w:t xml:space="preserve">may not express symptoms for some years after infection by the viroid </w:t>
      </w:r>
      <w:r>
        <w:rPr>
          <w:noProof/>
        </w:rPr>
        <w:t>(Desvignes et al. 1999; Kwon et al. 2002)</w:t>
      </w:r>
      <w:r w:rsidRPr="0094682F">
        <w:t xml:space="preserve"> and </w:t>
      </w:r>
      <w:r>
        <w:t xml:space="preserve">may </w:t>
      </w:r>
      <w:r w:rsidRPr="0094682F">
        <w:t>continue to produce asymptomatic</w:t>
      </w:r>
      <w:r>
        <w:t>ally-infected</w:t>
      </w:r>
      <w:r w:rsidRPr="0094682F">
        <w:t xml:space="preserve"> fruit.</w:t>
      </w:r>
    </w:p>
    <w:p w14:paraId="0E527DE6" w14:textId="77777777" w:rsidR="003438A2" w:rsidRPr="007B4790" w:rsidRDefault="003438A2" w:rsidP="003438A2">
      <w:pPr>
        <w:pStyle w:val="ListBullet"/>
        <w:spacing w:before="60"/>
      </w:pPr>
      <w:r w:rsidRPr="007B4790">
        <w:t>Symptomless fruit infected with the viroid are not likely to be detected during harvesting, grading and packing processes, and may be exported to Australia.</w:t>
      </w:r>
    </w:p>
    <w:p w14:paraId="0DB49874" w14:textId="77777777" w:rsidR="003438A2" w:rsidRDefault="003438A2">
      <w:pPr>
        <w:spacing w:after="0" w:line="240" w:lineRule="auto"/>
        <w:rPr>
          <w:i/>
        </w:rPr>
      </w:pPr>
      <w:r>
        <w:rPr>
          <w:i/>
        </w:rPr>
        <w:br w:type="page"/>
      </w:r>
    </w:p>
    <w:p w14:paraId="644960F2" w14:textId="77777777" w:rsidR="003438A2" w:rsidRPr="002E27A7" w:rsidRDefault="003438A2" w:rsidP="00862DBA">
      <w:r w:rsidRPr="0094682F">
        <w:rPr>
          <w:i/>
        </w:rPr>
        <w:lastRenderedPageBreak/>
        <w:t>Apple scar skin viroid</w:t>
      </w:r>
      <w:r>
        <w:t xml:space="preserve"> </w:t>
      </w:r>
      <w:r w:rsidRPr="002E27A7">
        <w:t>may survive cold temperatures during storage in the PNW-USA and transport to Australia.</w:t>
      </w:r>
    </w:p>
    <w:p w14:paraId="6E1916B4" w14:textId="77777777" w:rsidR="003438A2" w:rsidRPr="002E27A7" w:rsidRDefault="003438A2" w:rsidP="003438A2">
      <w:pPr>
        <w:pStyle w:val="ListBullet"/>
        <w:numPr>
          <w:ilvl w:val="0"/>
          <w:numId w:val="15"/>
        </w:numPr>
      </w:pPr>
      <w:r w:rsidRPr="002E27A7">
        <w:t xml:space="preserve">Harvested apples are normally cold-stored </w:t>
      </w:r>
      <w:r>
        <w:t xml:space="preserve">and transported </w:t>
      </w:r>
      <w:r w:rsidRPr="002E27A7">
        <w:t>at 0°</w:t>
      </w:r>
      <w:r>
        <w:t>C</w:t>
      </w:r>
      <w:r w:rsidRPr="002E27A7">
        <w:t xml:space="preserve"> to 2°C </w:t>
      </w:r>
      <w:r w:rsidRPr="002E27A7">
        <w:rPr>
          <w:noProof/>
        </w:rPr>
        <w:t>(WSU Tree Fruit 2021c)</w:t>
      </w:r>
      <w:r w:rsidRPr="002E27A7">
        <w:t>.</w:t>
      </w:r>
    </w:p>
    <w:p w14:paraId="5388DBB8" w14:textId="77777777" w:rsidR="003438A2" w:rsidRDefault="003438A2" w:rsidP="003438A2">
      <w:pPr>
        <w:pStyle w:val="ListBullet"/>
        <w:numPr>
          <w:ilvl w:val="0"/>
          <w:numId w:val="15"/>
        </w:numPr>
      </w:pPr>
      <w:r>
        <w:t>ASSVd in infected apple fruit may survive cold temperatures during storage and transport, based on knowledge that it survives in infected apple trees at sub-zero temperatures in the PNW-USA.</w:t>
      </w:r>
    </w:p>
    <w:p w14:paraId="44620413" w14:textId="77777777" w:rsidR="003438A2" w:rsidRPr="00815A3A" w:rsidRDefault="003438A2" w:rsidP="00862DBA">
      <w:r w:rsidRPr="0094682F">
        <w:rPr>
          <w:i/>
        </w:rPr>
        <w:t>Apple scar skin viroid</w:t>
      </w:r>
      <w:r>
        <w:t xml:space="preserve"> is present in the PNW-USA, but apple scar skin or dapple apple disease is not common in PNW-USA. Some apple cultivars grown in the PNW-USA</w:t>
      </w:r>
      <w:r w:rsidRPr="00871D66">
        <w:t xml:space="preserve"> </w:t>
      </w:r>
      <w:r>
        <w:t>are susceptible to ASSVd and infected fruit display visible disease symptoms. However, some apple cultivars are tolerant to ASSVd and infected fruit may not show symptoms. S</w:t>
      </w:r>
      <w:r w:rsidRPr="00D55CBB">
        <w:t>ymptomatic</w:t>
      </w:r>
      <w:r>
        <w:t xml:space="preserve"> fruit are likely to be </w:t>
      </w:r>
      <w:r w:rsidRPr="00FA41F3">
        <w:t>removed during harvest or packing</w:t>
      </w:r>
      <w:r>
        <w:t xml:space="preserve"> </w:t>
      </w:r>
      <w:r w:rsidRPr="00FA41F3">
        <w:t>house process</w:t>
      </w:r>
      <w:r>
        <w:t>es</w:t>
      </w:r>
      <w:r w:rsidRPr="00FA41F3">
        <w:t>.</w:t>
      </w:r>
      <w:r>
        <w:t xml:space="preserve"> However, infected fruit with no or mild symptoms may </w:t>
      </w:r>
      <w:r w:rsidRPr="00A24405">
        <w:t>be harvested and packed for export to Australia.</w:t>
      </w:r>
      <w:r>
        <w:t xml:space="preserve"> For the reasons outlined, </w:t>
      </w:r>
      <w:r w:rsidRPr="00815A3A">
        <w:t xml:space="preserve">the likelihood estimate for importation of </w:t>
      </w:r>
      <w:r>
        <w:t xml:space="preserve">ASSVd </w:t>
      </w:r>
      <w:r w:rsidRPr="00815A3A">
        <w:t xml:space="preserve">on </w:t>
      </w:r>
      <w:r>
        <w:t xml:space="preserve">the </w:t>
      </w:r>
      <w:r w:rsidRPr="00815A3A">
        <w:t xml:space="preserve">PNW-USA </w:t>
      </w:r>
      <w:r>
        <w:t xml:space="preserve">apple pathway </w:t>
      </w:r>
      <w:r w:rsidRPr="00815A3A">
        <w:t xml:space="preserve">is </w:t>
      </w:r>
      <w:r>
        <w:t>assessed as Moderate</w:t>
      </w:r>
      <w:r w:rsidRPr="00815A3A">
        <w:t>.</w:t>
      </w:r>
    </w:p>
    <w:p w14:paraId="7F432BC2" w14:textId="77777777" w:rsidR="003438A2" w:rsidRPr="00FF151F" w:rsidRDefault="003438A2" w:rsidP="00862DBA">
      <w:pPr>
        <w:pStyle w:val="Heading5"/>
      </w:pPr>
      <w:r w:rsidRPr="00FF151F">
        <w:t>Likelihood of distribution</w:t>
      </w:r>
    </w:p>
    <w:p w14:paraId="4EF2B008" w14:textId="77777777" w:rsidR="003438A2" w:rsidRPr="00FF151F" w:rsidRDefault="003438A2" w:rsidP="00862DBA">
      <w:r w:rsidRPr="00FF151F">
        <w:t xml:space="preserve">The likelihood that </w:t>
      </w:r>
      <w:r w:rsidRPr="00871D66">
        <w:t>ASSVd</w:t>
      </w:r>
      <w:r w:rsidRPr="00FF151F">
        <w:t xml:space="preserve"> will be distributed within Australia in a viable state</w:t>
      </w:r>
      <w:r>
        <w:t>,</w:t>
      </w:r>
      <w:r w:rsidRPr="00FF151F">
        <w:t xml:space="preserve"> as a result of the processing, sale or disposal of apples from the PNW-USA, and subsequently transfer to susceptible </w:t>
      </w:r>
      <w:r>
        <w:t xml:space="preserve">part of a </w:t>
      </w:r>
      <w:r w:rsidRPr="00FF151F">
        <w:t xml:space="preserve">host is considered to be similar to </w:t>
      </w:r>
      <w:r w:rsidRPr="00871D66">
        <w:t>ASSVd</w:t>
      </w:r>
      <w:r w:rsidRPr="00FF151F">
        <w:rPr>
          <w:iCs/>
        </w:rPr>
        <w:t xml:space="preserve"> on apples from </w:t>
      </w:r>
      <w:r>
        <w:rPr>
          <w:iCs/>
        </w:rPr>
        <w:t>China</w:t>
      </w:r>
      <w:r w:rsidRPr="00FF151F">
        <w:t xml:space="preserve">. </w:t>
      </w:r>
    </w:p>
    <w:p w14:paraId="4F57F4CD" w14:textId="77777777" w:rsidR="003438A2" w:rsidRPr="00FF151F" w:rsidRDefault="003438A2" w:rsidP="00862DBA">
      <w:r w:rsidRPr="00FF151F">
        <w:t xml:space="preserve">Therefore, the same rating of </w:t>
      </w:r>
      <w:r>
        <w:t>High</w:t>
      </w:r>
      <w:r w:rsidRPr="00FF151F">
        <w:t xml:space="preserve"> for the likelihood of distribution previously assessed for </w:t>
      </w:r>
      <w:r w:rsidRPr="00871D66">
        <w:t>ASSVd</w:t>
      </w:r>
      <w:r w:rsidRPr="00FF151F">
        <w:t xml:space="preserve"> </w:t>
      </w:r>
      <w:r w:rsidRPr="00FF151F">
        <w:rPr>
          <w:iCs/>
        </w:rPr>
        <w:t>on</w:t>
      </w:r>
      <w:r>
        <w:rPr>
          <w:iCs/>
        </w:rPr>
        <w:t xml:space="preserve"> the</w:t>
      </w:r>
      <w:r w:rsidRPr="00FF151F">
        <w:rPr>
          <w:iCs/>
        </w:rPr>
        <w:t xml:space="preserve"> apples from </w:t>
      </w:r>
      <w:r>
        <w:rPr>
          <w:iCs/>
        </w:rPr>
        <w:t>China</w:t>
      </w:r>
      <w:r w:rsidRPr="00FF151F">
        <w:rPr>
          <w:iCs/>
        </w:rPr>
        <w:t xml:space="preserve"> pathway is adopted for </w:t>
      </w:r>
      <w:r w:rsidRPr="00871D66">
        <w:t>ASSVd</w:t>
      </w:r>
      <w:r w:rsidRPr="00FF151F">
        <w:t xml:space="preserve"> </w:t>
      </w:r>
      <w:r w:rsidRPr="00FF151F">
        <w:rPr>
          <w:iCs/>
        </w:rPr>
        <w:t>on</w:t>
      </w:r>
      <w:r>
        <w:rPr>
          <w:iCs/>
        </w:rPr>
        <w:t xml:space="preserve"> the</w:t>
      </w:r>
      <w:r w:rsidRPr="00FF151F">
        <w:rPr>
          <w:iCs/>
        </w:rPr>
        <w:t xml:space="preserve"> apples from PNW-USA pathway. </w:t>
      </w:r>
    </w:p>
    <w:p w14:paraId="7C574AC4" w14:textId="77777777" w:rsidR="003438A2" w:rsidRPr="00FF151F" w:rsidRDefault="003438A2" w:rsidP="00862DBA">
      <w:pPr>
        <w:pStyle w:val="Heading5"/>
      </w:pPr>
      <w:r w:rsidRPr="00FF151F">
        <w:t>Overall likelihood of entry</w:t>
      </w:r>
    </w:p>
    <w:p w14:paraId="3BDC296E" w14:textId="77777777" w:rsidR="003438A2" w:rsidRDefault="003438A2" w:rsidP="00862DBA">
      <w:pPr>
        <w:rPr>
          <w:rFonts w:cstheme="minorHAnsi"/>
        </w:rPr>
      </w:pPr>
      <w:r w:rsidRPr="00FF151F">
        <w:t xml:space="preserve">The overall likelihood of entry is determined as </w:t>
      </w:r>
      <w:r>
        <w:t>Moderate</w:t>
      </w:r>
      <w:r w:rsidRPr="00FF151F">
        <w:t xml:space="preserve"> by combining the assessed likelihood of importation of </w:t>
      </w:r>
      <w:r>
        <w:t>Moderate</w:t>
      </w:r>
      <w:r w:rsidRPr="00FF151F">
        <w:t xml:space="preserve"> with the adopted likelihood of distribution of </w:t>
      </w:r>
      <w:r>
        <w:t>High</w:t>
      </w:r>
      <w:r w:rsidRPr="00FF151F">
        <w:t xml:space="preserve">, </w:t>
      </w:r>
      <w:r w:rsidRPr="00FF151F">
        <w:rPr>
          <w:rFonts w:cstheme="minorHAnsi"/>
        </w:rPr>
        <w:t xml:space="preserve">using the matrix of rules in </w:t>
      </w:r>
      <w:r>
        <w:rPr>
          <w:rFonts w:cstheme="minorHAnsi"/>
        </w:rPr>
        <w:fldChar w:fldCharType="begin" w:fldLock="1"/>
      </w:r>
      <w:r>
        <w:rPr>
          <w:rFonts w:cstheme="minorHAnsi"/>
        </w:rPr>
        <w:instrText xml:space="preserve"> REF _Ref457826328 \h </w:instrText>
      </w:r>
      <w:r>
        <w:rPr>
          <w:rFonts w:cstheme="minorHAnsi"/>
        </w:rPr>
      </w:r>
      <w:r>
        <w:rPr>
          <w:rFonts w:cstheme="minorHAnsi"/>
        </w:rPr>
        <w:fldChar w:fldCharType="separate"/>
      </w:r>
      <w:r w:rsidRPr="00DB5F8D">
        <w:t xml:space="preserve">Table </w:t>
      </w:r>
      <w:r>
        <w:rPr>
          <w:noProof/>
        </w:rPr>
        <w:t>2</w:t>
      </w:r>
      <w:r>
        <w:t>.</w:t>
      </w:r>
      <w:r>
        <w:rPr>
          <w:noProof/>
        </w:rPr>
        <w:t>2</w:t>
      </w:r>
      <w:r>
        <w:rPr>
          <w:rFonts w:cstheme="minorHAnsi"/>
        </w:rPr>
        <w:fldChar w:fldCharType="end"/>
      </w:r>
      <w:r>
        <w:rPr>
          <w:rFonts w:cstheme="minorHAnsi"/>
        </w:rPr>
        <w:t>.</w:t>
      </w:r>
    </w:p>
    <w:p w14:paraId="082E2DEB" w14:textId="77777777" w:rsidR="003438A2" w:rsidRPr="00FF151F" w:rsidRDefault="003438A2" w:rsidP="003438A2">
      <w:pPr>
        <w:pStyle w:val="Heading4"/>
        <w:numPr>
          <w:ilvl w:val="2"/>
          <w:numId w:val="31"/>
        </w:numPr>
        <w:tabs>
          <w:tab w:val="clear" w:pos="1645"/>
          <w:tab w:val="num" w:pos="794"/>
        </w:tabs>
        <w:ind w:left="1786"/>
      </w:pPr>
      <w:r w:rsidRPr="00FF151F">
        <w:t>Likelihood</w:t>
      </w:r>
      <w:r>
        <w:t>s</w:t>
      </w:r>
      <w:r w:rsidRPr="00FF151F">
        <w:t xml:space="preserve"> of establishment and spread</w:t>
      </w:r>
    </w:p>
    <w:p w14:paraId="6EA43263" w14:textId="77777777" w:rsidR="003438A2" w:rsidRPr="00FF151F" w:rsidRDefault="003438A2" w:rsidP="00862DBA">
      <w:pPr>
        <w:autoSpaceDE w:val="0"/>
        <w:autoSpaceDN w:val="0"/>
        <w:adjustRightInd w:val="0"/>
        <w:rPr>
          <w:rFonts w:cstheme="minorHAnsi"/>
        </w:rPr>
      </w:pPr>
      <w:r w:rsidRPr="00FF151F">
        <w:rPr>
          <w:rFonts w:cstheme="minorHAnsi"/>
        </w:rPr>
        <w:t xml:space="preserve">The likelihoods of establishment and spread for </w:t>
      </w:r>
      <w:r w:rsidRPr="00871D66">
        <w:t>ASSVd</w:t>
      </w:r>
      <w:r w:rsidRPr="00FF151F">
        <w:t xml:space="preserve"> </w:t>
      </w:r>
      <w:r w:rsidRPr="00FF151F">
        <w:rPr>
          <w:rFonts w:cstheme="minorHAnsi"/>
        </w:rPr>
        <w:t xml:space="preserve">are independent of the import pathway and are considered similar to those previously assessed for </w:t>
      </w:r>
      <w:r>
        <w:rPr>
          <w:rFonts w:cstheme="minorHAnsi"/>
        </w:rPr>
        <w:t xml:space="preserve">the </w:t>
      </w:r>
      <w:r w:rsidRPr="00FF151F">
        <w:rPr>
          <w:rFonts w:cstheme="minorHAnsi"/>
        </w:rPr>
        <w:t xml:space="preserve">apples from </w:t>
      </w:r>
      <w:r>
        <w:rPr>
          <w:rFonts w:cstheme="minorHAnsi"/>
        </w:rPr>
        <w:t>China</w:t>
      </w:r>
      <w:r w:rsidRPr="00FF151F">
        <w:rPr>
          <w:rFonts w:cstheme="minorHAnsi"/>
        </w:rPr>
        <w:t xml:space="preserve"> pathway.</w:t>
      </w:r>
    </w:p>
    <w:p w14:paraId="2C2DEBA3" w14:textId="77777777" w:rsidR="003438A2" w:rsidRPr="00FF151F" w:rsidRDefault="003438A2" w:rsidP="00862DBA">
      <w:pPr>
        <w:autoSpaceDE w:val="0"/>
        <w:autoSpaceDN w:val="0"/>
        <w:adjustRightInd w:val="0"/>
      </w:pPr>
      <w:r w:rsidRPr="00FF151F">
        <w:rPr>
          <w:rFonts w:cstheme="minorHAnsi"/>
        </w:rPr>
        <w:t xml:space="preserve">Based on the previous assessment for apples from </w:t>
      </w:r>
      <w:r>
        <w:t xml:space="preserve">China </w:t>
      </w:r>
      <w:r>
        <w:rPr>
          <w:noProof/>
        </w:rPr>
        <w:t>(Biosecurity Australia 2010a)</w:t>
      </w:r>
      <w:r w:rsidRPr="00FF151F">
        <w:rPr>
          <w:rFonts w:cstheme="minorHAnsi"/>
        </w:rPr>
        <w:t xml:space="preserve">, the likelihoods of establishment and spread for </w:t>
      </w:r>
      <w:r w:rsidRPr="00871D66">
        <w:t>ASSVd</w:t>
      </w:r>
      <w:r w:rsidRPr="00FF151F">
        <w:t xml:space="preserve"> </w:t>
      </w:r>
      <w:r w:rsidRPr="00FF151F">
        <w:rPr>
          <w:rFonts w:cstheme="minorHAnsi"/>
        </w:rPr>
        <w:t xml:space="preserve">are assessed as </w:t>
      </w:r>
      <w:r>
        <w:rPr>
          <w:rFonts w:cstheme="minorHAnsi"/>
        </w:rPr>
        <w:t>Moderate</w:t>
      </w:r>
      <w:r w:rsidRPr="00FF151F">
        <w:rPr>
          <w:rFonts w:cstheme="minorHAnsi"/>
        </w:rPr>
        <w:t xml:space="preserve"> and </w:t>
      </w:r>
      <w:r>
        <w:rPr>
          <w:rFonts w:cstheme="minorHAnsi"/>
        </w:rPr>
        <w:t>Low</w:t>
      </w:r>
      <w:r w:rsidRPr="00FF151F">
        <w:rPr>
          <w:rFonts w:cstheme="minorHAnsi"/>
        </w:rPr>
        <w:t>, respectively.</w:t>
      </w:r>
    </w:p>
    <w:p w14:paraId="78B5A6CD" w14:textId="77777777" w:rsidR="003438A2" w:rsidRPr="00BC1B9F" w:rsidRDefault="003438A2" w:rsidP="003438A2">
      <w:pPr>
        <w:pStyle w:val="Heading4"/>
        <w:numPr>
          <w:ilvl w:val="2"/>
          <w:numId w:val="31"/>
        </w:numPr>
        <w:tabs>
          <w:tab w:val="clear" w:pos="1645"/>
          <w:tab w:val="num" w:pos="794"/>
        </w:tabs>
        <w:ind w:left="1786"/>
      </w:pPr>
      <w:r w:rsidRPr="00BC1B9F">
        <w:t>Overall likelihood of entry, establishment and spread</w:t>
      </w:r>
    </w:p>
    <w:p w14:paraId="6BCCF776" w14:textId="77777777" w:rsidR="003438A2" w:rsidRPr="00BC1B9F" w:rsidRDefault="003438A2" w:rsidP="00862DBA">
      <w:pPr>
        <w:autoSpaceDE w:val="0"/>
        <w:autoSpaceDN w:val="0"/>
        <w:adjustRightInd w:val="0"/>
      </w:pPr>
      <w:r w:rsidRPr="00BC1B9F">
        <w:t>The overall likelihood of entry, establishment and spread is determined by combining the likelihoods of entry, of establishment and of spread using the matrix of rules shown in</w:t>
      </w:r>
      <w:r>
        <w:t xml:space="preserve"> </w:t>
      </w:r>
      <w:r>
        <w:fldChar w:fldCharType="begin" w:fldLock="1"/>
      </w:r>
      <w:r>
        <w:instrText xml:space="preserve"> REF _Ref457826328 \h </w:instrText>
      </w:r>
      <w:r>
        <w:fldChar w:fldCharType="separate"/>
      </w:r>
      <w:r w:rsidRPr="00DB5F8D">
        <w:t xml:space="preserve">Table </w:t>
      </w:r>
      <w:r>
        <w:rPr>
          <w:noProof/>
        </w:rPr>
        <w:t>2</w:t>
      </w:r>
      <w:r>
        <w:t>.</w:t>
      </w:r>
      <w:r>
        <w:rPr>
          <w:noProof/>
        </w:rPr>
        <w:t>2</w:t>
      </w:r>
      <w:r>
        <w:fldChar w:fldCharType="end"/>
      </w:r>
      <w:r>
        <w:t>.</w:t>
      </w:r>
    </w:p>
    <w:p w14:paraId="313E66C6" w14:textId="77777777" w:rsidR="003438A2" w:rsidRPr="00BC1B9F" w:rsidRDefault="003438A2" w:rsidP="00862DBA">
      <w:pPr>
        <w:autoSpaceDE w:val="0"/>
        <w:autoSpaceDN w:val="0"/>
        <w:adjustRightInd w:val="0"/>
        <w:rPr>
          <w:rFonts w:cstheme="minorHAnsi"/>
        </w:rPr>
      </w:pPr>
      <w:r w:rsidRPr="00BC1B9F">
        <w:t xml:space="preserve">The overall likelihood that </w:t>
      </w:r>
      <w:r w:rsidRPr="00871D66">
        <w:t>ASSVd</w:t>
      </w:r>
      <w:r w:rsidRPr="00FF151F">
        <w:t xml:space="preserve"> </w:t>
      </w:r>
      <w:r w:rsidRPr="00BC1B9F">
        <w:t xml:space="preserve">will enter Australia as a result of trade in apples from the PNW-USA, be distributed in a viable state to a susceptible part of a host, establish in Australia and subsequently spread within Australia is assessed as </w:t>
      </w:r>
      <w:r>
        <w:t>Very L</w:t>
      </w:r>
      <w:r w:rsidRPr="00BC1B9F">
        <w:t>ow</w:t>
      </w:r>
      <w:r w:rsidRPr="00BC1B9F">
        <w:rPr>
          <w:rFonts w:cstheme="minorHAnsi"/>
        </w:rPr>
        <w:t>.</w:t>
      </w:r>
    </w:p>
    <w:p w14:paraId="41F98BFA" w14:textId="77777777" w:rsidR="003438A2" w:rsidRPr="00FF151F" w:rsidRDefault="003438A2" w:rsidP="003438A2">
      <w:pPr>
        <w:pStyle w:val="Heading4"/>
        <w:numPr>
          <w:ilvl w:val="2"/>
          <w:numId w:val="31"/>
        </w:numPr>
        <w:tabs>
          <w:tab w:val="clear" w:pos="1645"/>
          <w:tab w:val="num" w:pos="794"/>
        </w:tabs>
        <w:ind w:left="1786"/>
      </w:pPr>
      <w:r w:rsidRPr="00FF151F">
        <w:lastRenderedPageBreak/>
        <w:t>Consequences</w:t>
      </w:r>
    </w:p>
    <w:p w14:paraId="1D7BCBB1" w14:textId="77777777" w:rsidR="003438A2" w:rsidRPr="00FF151F" w:rsidRDefault="003438A2" w:rsidP="00862DBA">
      <w:pPr>
        <w:autoSpaceDE w:val="0"/>
        <w:autoSpaceDN w:val="0"/>
        <w:adjustRightInd w:val="0"/>
        <w:rPr>
          <w:rFonts w:cstheme="minorHAnsi"/>
        </w:rPr>
      </w:pPr>
      <w:r w:rsidRPr="00FF151F">
        <w:t xml:space="preserve">The potential consequences of the entry, establishment and spread of </w:t>
      </w:r>
      <w:r w:rsidRPr="00871D66">
        <w:t>ASSVd</w:t>
      </w:r>
      <w:r w:rsidRPr="00FF151F">
        <w:t xml:space="preserve"> in Australia are similar to those in the previous assessment </w:t>
      </w:r>
      <w:r w:rsidRPr="0018507C">
        <w:t xml:space="preserve">for ASSVd on the apples from China pathway, which were assessed as Moderate </w:t>
      </w:r>
      <w:r w:rsidRPr="0018507C">
        <w:rPr>
          <w:noProof/>
          <w:color w:val="000000" w:themeColor="text1"/>
        </w:rPr>
        <w:t>(Biosecurity Australia 2010a)</w:t>
      </w:r>
      <w:r w:rsidRPr="0018507C">
        <w:rPr>
          <w:color w:val="000000" w:themeColor="text1"/>
        </w:rPr>
        <w:t>.</w:t>
      </w:r>
      <w:r w:rsidRPr="0018507C">
        <w:t xml:space="preserve"> The overall consequences for ASSVd on apples from the PNW-USA pathway are also assessed</w:t>
      </w:r>
      <w:r w:rsidRPr="00FF151F">
        <w:t xml:space="preserve"> as </w:t>
      </w:r>
      <w:r>
        <w:t>Moderate</w:t>
      </w:r>
      <w:r w:rsidRPr="00FF151F">
        <w:t>.</w:t>
      </w:r>
    </w:p>
    <w:p w14:paraId="3141FEEC" w14:textId="77777777" w:rsidR="003438A2" w:rsidRPr="00FF151F" w:rsidRDefault="003438A2" w:rsidP="003438A2">
      <w:pPr>
        <w:pStyle w:val="Heading4"/>
        <w:numPr>
          <w:ilvl w:val="2"/>
          <w:numId w:val="31"/>
        </w:numPr>
        <w:tabs>
          <w:tab w:val="clear" w:pos="1645"/>
          <w:tab w:val="num" w:pos="794"/>
        </w:tabs>
        <w:ind w:left="1786"/>
      </w:pPr>
      <w:r w:rsidRPr="00FF151F">
        <w:t>Unrestricted risk estimate</w:t>
      </w:r>
    </w:p>
    <w:p w14:paraId="4BDD715C" w14:textId="77777777" w:rsidR="003438A2" w:rsidRPr="00FF151F" w:rsidRDefault="003438A2" w:rsidP="00862DBA">
      <w:r w:rsidRPr="00FF151F">
        <w:t xml:space="preserve">Unrestricted risk is the result of combining the </w:t>
      </w:r>
      <w:r>
        <w:t xml:space="preserve">overall </w:t>
      </w:r>
      <w:r w:rsidRPr="001A4104">
        <w:t>likelihood</w:t>
      </w:r>
      <w:r w:rsidRPr="00FF151F">
        <w:t xml:space="preserve"> of entry, establishment and spread with the outcome of overall consequences. </w:t>
      </w:r>
      <w:r>
        <w:t>The overall l</w:t>
      </w:r>
      <w:r w:rsidRPr="00FF151F">
        <w:t>ikelihood and consequences are combined using the risk estimation matrix shown in</w:t>
      </w:r>
      <w:r>
        <w:t xml:space="preserve"> </w:t>
      </w:r>
      <w:r>
        <w:fldChar w:fldCharType="begin" w:fldLock="1"/>
      </w:r>
      <w:r>
        <w:instrText xml:space="preserve"> REF _Ref457826369 \h </w:instrText>
      </w:r>
      <w:r>
        <w:fldChar w:fldCharType="separate"/>
      </w:r>
      <w:r>
        <w:t xml:space="preserve">Table </w:t>
      </w:r>
      <w:r>
        <w:rPr>
          <w:noProof/>
        </w:rPr>
        <w:t>2</w:t>
      </w:r>
      <w:r>
        <w:t>.</w:t>
      </w:r>
      <w:r>
        <w:rPr>
          <w:noProof/>
        </w:rPr>
        <w:t>5</w:t>
      </w:r>
      <w:r>
        <w:fldChar w:fldCharType="end"/>
      </w:r>
      <w:r>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3438A2" w:rsidRPr="00FF151F" w14:paraId="4549401D" w14:textId="77777777" w:rsidTr="001A4104">
        <w:trPr>
          <w:trHeight w:val="423"/>
        </w:trPr>
        <w:tc>
          <w:tcPr>
            <w:tcW w:w="5000" w:type="pct"/>
            <w:gridSpan w:val="2"/>
            <w:tcBorders>
              <w:top w:val="single" w:sz="4" w:space="0" w:color="auto"/>
              <w:bottom w:val="single" w:sz="4" w:space="0" w:color="auto"/>
            </w:tcBorders>
            <w:shd w:val="clear" w:color="auto" w:fill="auto"/>
          </w:tcPr>
          <w:p w14:paraId="0952B728" w14:textId="77777777" w:rsidR="003438A2" w:rsidRPr="00FF151F" w:rsidRDefault="003438A2" w:rsidP="001A4104">
            <w:pPr>
              <w:pStyle w:val="TableHeading"/>
            </w:pPr>
            <w:r w:rsidRPr="00FF151F">
              <w:t xml:space="preserve">Unrestricted risk estimate for </w:t>
            </w:r>
            <w:r w:rsidRPr="00611708">
              <w:rPr>
                <w:i/>
              </w:rPr>
              <w:t>Apple scar skin viroid</w:t>
            </w:r>
          </w:p>
        </w:tc>
      </w:tr>
      <w:tr w:rsidR="003438A2" w:rsidRPr="00FF151F" w14:paraId="556E9058" w14:textId="77777777" w:rsidTr="001A4104">
        <w:trPr>
          <w:trHeight w:val="273"/>
        </w:trPr>
        <w:tc>
          <w:tcPr>
            <w:tcW w:w="3417" w:type="pct"/>
            <w:tcBorders>
              <w:top w:val="single" w:sz="4" w:space="0" w:color="auto"/>
              <w:bottom w:val="nil"/>
            </w:tcBorders>
            <w:shd w:val="clear" w:color="auto" w:fill="auto"/>
          </w:tcPr>
          <w:p w14:paraId="262D766C" w14:textId="77777777" w:rsidR="003438A2" w:rsidRPr="00FF151F" w:rsidRDefault="003438A2" w:rsidP="001A4104">
            <w:pPr>
              <w:pStyle w:val="TableText"/>
            </w:pPr>
            <w:r w:rsidRPr="00FF151F">
              <w:t>Overall likelihood of entry, establishment and spread</w:t>
            </w:r>
          </w:p>
        </w:tc>
        <w:tc>
          <w:tcPr>
            <w:tcW w:w="1583" w:type="pct"/>
            <w:tcBorders>
              <w:top w:val="single" w:sz="4" w:space="0" w:color="auto"/>
              <w:bottom w:val="nil"/>
            </w:tcBorders>
            <w:shd w:val="clear" w:color="auto" w:fill="auto"/>
          </w:tcPr>
          <w:p w14:paraId="3924D790" w14:textId="77777777" w:rsidR="003438A2" w:rsidRPr="00FF151F" w:rsidRDefault="003438A2" w:rsidP="001A4104">
            <w:pPr>
              <w:pStyle w:val="TableText"/>
            </w:pPr>
            <w:r>
              <w:t>Very L</w:t>
            </w:r>
            <w:r w:rsidRPr="00FF151F">
              <w:t>ow</w:t>
            </w:r>
          </w:p>
        </w:tc>
      </w:tr>
      <w:tr w:rsidR="003438A2" w:rsidRPr="00FF151F" w14:paraId="783F74D3" w14:textId="77777777" w:rsidTr="001A4104">
        <w:trPr>
          <w:trHeight w:val="284"/>
        </w:trPr>
        <w:tc>
          <w:tcPr>
            <w:tcW w:w="3417" w:type="pct"/>
            <w:tcBorders>
              <w:top w:val="nil"/>
              <w:bottom w:val="nil"/>
            </w:tcBorders>
            <w:shd w:val="clear" w:color="auto" w:fill="auto"/>
          </w:tcPr>
          <w:p w14:paraId="0DA4626E" w14:textId="77777777" w:rsidR="003438A2" w:rsidRPr="00FF151F" w:rsidRDefault="003438A2" w:rsidP="001A4104">
            <w:pPr>
              <w:pStyle w:val="TableText"/>
            </w:pPr>
            <w:r w:rsidRPr="00FF151F">
              <w:t>Consequences</w:t>
            </w:r>
          </w:p>
        </w:tc>
        <w:tc>
          <w:tcPr>
            <w:tcW w:w="1583" w:type="pct"/>
            <w:tcBorders>
              <w:top w:val="nil"/>
              <w:bottom w:val="nil"/>
            </w:tcBorders>
            <w:shd w:val="clear" w:color="auto" w:fill="auto"/>
          </w:tcPr>
          <w:p w14:paraId="7660BCFF" w14:textId="77777777" w:rsidR="003438A2" w:rsidRPr="00FF151F" w:rsidRDefault="003438A2" w:rsidP="001A4104">
            <w:pPr>
              <w:pStyle w:val="TableText"/>
            </w:pPr>
            <w:r>
              <w:t>Moderate</w:t>
            </w:r>
          </w:p>
        </w:tc>
      </w:tr>
      <w:tr w:rsidR="003438A2" w:rsidRPr="00FF151F" w14:paraId="501C0BC1" w14:textId="77777777" w:rsidTr="001A4104">
        <w:trPr>
          <w:trHeight w:val="284"/>
        </w:trPr>
        <w:tc>
          <w:tcPr>
            <w:tcW w:w="3417" w:type="pct"/>
            <w:tcBorders>
              <w:top w:val="nil"/>
              <w:bottom w:val="single" w:sz="4" w:space="0" w:color="auto"/>
            </w:tcBorders>
            <w:shd w:val="clear" w:color="auto" w:fill="auto"/>
          </w:tcPr>
          <w:p w14:paraId="3571BBF6" w14:textId="77777777" w:rsidR="003438A2" w:rsidRPr="00FF151F" w:rsidRDefault="003438A2" w:rsidP="001A4104">
            <w:pPr>
              <w:pStyle w:val="TableText"/>
            </w:pPr>
            <w:r w:rsidRPr="00FF151F">
              <w:t>Unrestricted risk</w:t>
            </w:r>
          </w:p>
        </w:tc>
        <w:tc>
          <w:tcPr>
            <w:tcW w:w="1583" w:type="pct"/>
            <w:tcBorders>
              <w:top w:val="nil"/>
              <w:bottom w:val="single" w:sz="4" w:space="0" w:color="auto"/>
            </w:tcBorders>
            <w:shd w:val="clear" w:color="auto" w:fill="auto"/>
          </w:tcPr>
          <w:p w14:paraId="6744A934" w14:textId="77777777" w:rsidR="003438A2" w:rsidRPr="00FF151F" w:rsidRDefault="003438A2" w:rsidP="001A4104">
            <w:pPr>
              <w:pStyle w:val="TableText"/>
            </w:pPr>
            <w:r>
              <w:t>Very Low</w:t>
            </w:r>
          </w:p>
        </w:tc>
      </w:tr>
    </w:tbl>
    <w:p w14:paraId="5EFBB91D" w14:textId="77777777" w:rsidR="003438A2" w:rsidRDefault="003438A2" w:rsidP="00862DBA">
      <w:pPr>
        <w:spacing w:before="120"/>
      </w:pPr>
      <w:r>
        <w:t>T</w:t>
      </w:r>
      <w:r w:rsidRPr="0094682F">
        <w:t xml:space="preserve">he unrestricted risk estimate for </w:t>
      </w:r>
      <w:r w:rsidRPr="00871D66">
        <w:t>ASSVd</w:t>
      </w:r>
      <w:r w:rsidRPr="00FF151F">
        <w:t xml:space="preserve"> </w:t>
      </w:r>
      <w:r>
        <w:t xml:space="preserve">on apples from the PNW-USA has been assessed </w:t>
      </w:r>
      <w:r w:rsidRPr="0094682F">
        <w:t xml:space="preserve">as </w:t>
      </w:r>
      <w:r>
        <w:t>Very L</w:t>
      </w:r>
      <w:r w:rsidRPr="0094682F">
        <w:t xml:space="preserve">ow, which </w:t>
      </w:r>
      <w:r>
        <w:t xml:space="preserve">achieves the ALOP for </w:t>
      </w:r>
      <w:r w:rsidRPr="0094682F">
        <w:t xml:space="preserve">Australia. Therefore, </w:t>
      </w:r>
      <w:r>
        <w:t xml:space="preserve">no </w:t>
      </w:r>
      <w:r w:rsidRPr="0094682F">
        <w:t xml:space="preserve">specific risk management measures are required for </w:t>
      </w:r>
      <w:r w:rsidRPr="00871D66">
        <w:t>ASSVd</w:t>
      </w:r>
      <w:r w:rsidRPr="00FF151F">
        <w:t xml:space="preserve"> </w:t>
      </w:r>
      <w:r>
        <w:t>on the PNW-USA apple pathway</w:t>
      </w:r>
      <w:r w:rsidRPr="0094682F">
        <w:t>.</w:t>
      </w:r>
    </w:p>
    <w:p w14:paraId="79F96ABE" w14:textId="77777777" w:rsidR="003438A2" w:rsidRDefault="003438A2" w:rsidP="00862DBA">
      <w:pPr>
        <w:rPr>
          <w:rFonts w:cstheme="minorHAnsi"/>
        </w:rPr>
      </w:pPr>
    </w:p>
    <w:bookmarkEnd w:id="457"/>
    <w:p w14:paraId="7080F9B9" w14:textId="77777777" w:rsidR="003438A2" w:rsidRPr="00616930" w:rsidRDefault="003438A2" w:rsidP="00862DBA"/>
    <w:p w14:paraId="1EF93468" w14:textId="77777777" w:rsidR="003438A2" w:rsidRDefault="003438A2" w:rsidP="00862DBA">
      <w:pPr>
        <w:spacing w:after="0" w:line="240" w:lineRule="auto"/>
        <w:rPr>
          <w:rFonts w:ascii="Calibri" w:hAnsi="Calibri"/>
          <w:b/>
          <w:bCs/>
          <w:color w:val="773141"/>
          <w:sz w:val="28"/>
        </w:rPr>
      </w:pPr>
      <w:bookmarkStart w:id="461" w:name="_Toc10009739"/>
      <w:bookmarkEnd w:id="458"/>
      <w:bookmarkEnd w:id="459"/>
      <w:r>
        <w:br w:type="page"/>
      </w:r>
    </w:p>
    <w:p w14:paraId="595C398B" w14:textId="77777777" w:rsidR="003438A2" w:rsidRPr="00AB1BD9" w:rsidRDefault="003438A2" w:rsidP="003438A2">
      <w:pPr>
        <w:pStyle w:val="Heading3"/>
        <w:numPr>
          <w:ilvl w:val="1"/>
          <w:numId w:val="31"/>
        </w:numPr>
      </w:pPr>
      <w:bookmarkStart w:id="462" w:name="_Toc112769026"/>
      <w:bookmarkStart w:id="463" w:name="_Hlk109596964"/>
      <w:r w:rsidRPr="00AB1BD9">
        <w:lastRenderedPageBreak/>
        <w:t>Tobacco necrosis viruses</w:t>
      </w:r>
      <w:bookmarkEnd w:id="461"/>
      <w:bookmarkEnd w:id="462"/>
    </w:p>
    <w:p w14:paraId="42187970" w14:textId="77777777" w:rsidR="003438A2" w:rsidRDefault="003438A2" w:rsidP="00862DBA">
      <w:pPr>
        <w:pStyle w:val="Heading4"/>
        <w:numPr>
          <w:ilvl w:val="0"/>
          <w:numId w:val="0"/>
        </w:numPr>
      </w:pPr>
      <w:bookmarkStart w:id="464" w:name="_Hlk89447364"/>
      <w:r w:rsidRPr="00DE4F78">
        <w:rPr>
          <w:i/>
        </w:rPr>
        <w:t>Tobacco necrosis</w:t>
      </w:r>
      <w:r w:rsidRPr="00DE4F78">
        <w:t xml:space="preserve"> </w:t>
      </w:r>
      <w:r w:rsidRPr="00DE4F78">
        <w:rPr>
          <w:i/>
        </w:rPr>
        <w:t>virus</w:t>
      </w:r>
      <w:r w:rsidRPr="00DE4F78">
        <w:t xml:space="preserve"> A</w:t>
      </w:r>
      <w:r>
        <w:t xml:space="preserve"> (EP) and</w:t>
      </w:r>
      <w:r w:rsidRPr="00DE4F78">
        <w:t xml:space="preserve"> </w:t>
      </w:r>
      <w:r w:rsidRPr="00DE4F78">
        <w:rPr>
          <w:i/>
        </w:rPr>
        <w:t>Tobacco necrosis virus</w:t>
      </w:r>
      <w:r w:rsidRPr="00DE4F78">
        <w:t xml:space="preserve"> D</w:t>
      </w:r>
      <w:r>
        <w:t xml:space="preserve"> (EP)</w:t>
      </w:r>
    </w:p>
    <w:bookmarkEnd w:id="464"/>
    <w:p w14:paraId="3FF7A5C3" w14:textId="77777777" w:rsidR="003438A2" w:rsidRDefault="003438A2" w:rsidP="00862DBA">
      <w:r w:rsidRPr="00FF159E">
        <w:t xml:space="preserve">Tobacco necrosis viruses (TNVs) </w:t>
      </w:r>
      <w:r>
        <w:t xml:space="preserve">A and D are members of the genera </w:t>
      </w:r>
      <w:r w:rsidRPr="00CB4071">
        <w:rPr>
          <w:i/>
        </w:rPr>
        <w:t>Alphanecrovirus</w:t>
      </w:r>
      <w:r>
        <w:rPr>
          <w:i/>
        </w:rPr>
        <w:t xml:space="preserve"> </w:t>
      </w:r>
      <w:r w:rsidRPr="00CB4071">
        <w:rPr>
          <w:iCs/>
        </w:rPr>
        <w:t>and</w:t>
      </w:r>
      <w:r>
        <w:rPr>
          <w:i/>
        </w:rPr>
        <w:t xml:space="preserve"> </w:t>
      </w:r>
      <w:r w:rsidRPr="00CB4071">
        <w:rPr>
          <w:i/>
        </w:rPr>
        <w:t>Betanecrovirus</w:t>
      </w:r>
      <w:r>
        <w:rPr>
          <w:i/>
        </w:rPr>
        <w:t xml:space="preserve">, </w:t>
      </w:r>
      <w:r>
        <w:rPr>
          <w:iCs/>
        </w:rPr>
        <w:t>respectively, and are recognised as distinct species within the family</w:t>
      </w:r>
      <w:r>
        <w:t xml:space="preserve"> </w:t>
      </w:r>
      <w:r w:rsidRPr="00583433">
        <w:t>Tombusvirida</w:t>
      </w:r>
      <w:r>
        <w:t xml:space="preserve">e </w:t>
      </w:r>
      <w:r>
        <w:rPr>
          <w:noProof/>
        </w:rPr>
        <w:t>(Adams, King &amp; Carstens 2013; Coutts et al. 1991; ICTV 2020; Meulewaeter, Seurinck &amp; Van Emmelo 1990; NCBI 2020)</w:t>
      </w:r>
      <w:r>
        <w:t xml:space="preserve">. </w:t>
      </w:r>
      <w:r w:rsidRPr="006205B2">
        <w:rPr>
          <w:i/>
        </w:rPr>
        <w:t>Tobacco necrosis virus</w:t>
      </w:r>
      <w:r>
        <w:t xml:space="preserve"> </w:t>
      </w:r>
      <w:r w:rsidRPr="00BB228B">
        <w:t>A</w:t>
      </w:r>
      <w:r>
        <w:rPr>
          <w:i/>
          <w:iCs/>
        </w:rPr>
        <w:t xml:space="preserve"> </w:t>
      </w:r>
      <w:r w:rsidRPr="00516024">
        <w:rPr>
          <w:iCs/>
        </w:rPr>
        <w:t>(TNV-A)</w:t>
      </w:r>
      <w:r>
        <w:t xml:space="preserve"> and </w:t>
      </w:r>
      <w:r>
        <w:rPr>
          <w:i/>
        </w:rPr>
        <w:t>T</w:t>
      </w:r>
      <w:r w:rsidRPr="006205B2">
        <w:rPr>
          <w:i/>
        </w:rPr>
        <w:t>obacco necrosis virus</w:t>
      </w:r>
      <w:r>
        <w:t xml:space="preserve"> </w:t>
      </w:r>
      <w:r w:rsidRPr="00BB228B">
        <w:t>D</w:t>
      </w:r>
      <w:r>
        <w:rPr>
          <w:i/>
          <w:iCs/>
        </w:rPr>
        <w:t xml:space="preserve"> </w:t>
      </w:r>
      <w:r w:rsidRPr="00516024">
        <w:rPr>
          <w:iCs/>
        </w:rPr>
        <w:t>(TN</w:t>
      </w:r>
      <w:r>
        <w:rPr>
          <w:iCs/>
        </w:rPr>
        <w:t>V</w:t>
      </w:r>
      <w:r w:rsidRPr="00516024">
        <w:rPr>
          <w:iCs/>
        </w:rPr>
        <w:t>-D)</w:t>
      </w:r>
      <w:r>
        <w:t xml:space="preserve"> </w:t>
      </w:r>
      <w:r w:rsidRPr="00FF159E">
        <w:t xml:space="preserve">have been </w:t>
      </w:r>
      <w:r>
        <w:t xml:space="preserve">reported in apples in the PNW-USA and are </w:t>
      </w:r>
      <w:r w:rsidRPr="00FF159E">
        <w:t>grouped together</w:t>
      </w:r>
      <w:r>
        <w:t xml:space="preserve"> in this PRA</w:t>
      </w:r>
      <w:r w:rsidRPr="00FF159E">
        <w:t xml:space="preserve"> </w:t>
      </w:r>
      <w:r w:rsidRPr="002A09D6">
        <w:t>because of their related biologies, on the bases of which they are predicted to pose similar risks. In this assessment the term ‘Tobacco necrosis viruses, TNVs’ is used to refer to these species. Specific names are used when the information relates to an individual species.</w:t>
      </w:r>
    </w:p>
    <w:p w14:paraId="1A9F0F25" w14:textId="77777777" w:rsidR="003438A2" w:rsidRDefault="003438A2" w:rsidP="00862DBA">
      <w:r w:rsidRPr="00FF159E">
        <w:t>Tobacco necrosis viruses</w:t>
      </w:r>
      <w:r>
        <w:t xml:space="preserve"> are</w:t>
      </w:r>
      <w:r w:rsidRPr="00FF159E">
        <w:t xml:space="preserve"> </w:t>
      </w:r>
      <w:r>
        <w:t>reported</w:t>
      </w:r>
      <w:r w:rsidRPr="00FF159E">
        <w:t xml:space="preserve"> to have a worldwide </w:t>
      </w:r>
      <w:r w:rsidRPr="00597EC9">
        <w:t xml:space="preserve">distribution </w:t>
      </w:r>
      <w:r>
        <w:rPr>
          <w:noProof/>
        </w:rPr>
        <w:t>(Brunt &amp; Teakle 1996; Uyemoto 1981)</w:t>
      </w:r>
      <w:r>
        <w:t xml:space="preserve">. They have been reported from Europe, Asia, Africa, eastern and western America </w:t>
      </w:r>
      <w:r w:rsidRPr="00216641">
        <w:t xml:space="preserve">and Australia </w:t>
      </w:r>
      <w:r>
        <w:rPr>
          <w:noProof/>
        </w:rPr>
        <w:t>(CABI 2020a)</w:t>
      </w:r>
      <w:r w:rsidRPr="00216641">
        <w:t xml:space="preserve">. </w:t>
      </w:r>
      <w:r w:rsidRPr="00FF159E">
        <w:t xml:space="preserve">Tobacco necrosis viruses </w:t>
      </w:r>
      <w:r w:rsidRPr="00A266ED">
        <w:t xml:space="preserve">are </w:t>
      </w:r>
      <w:r>
        <w:t>common</w:t>
      </w:r>
      <w:r w:rsidRPr="00A266ED">
        <w:t xml:space="preserve"> in Oregon</w:t>
      </w:r>
      <w:r>
        <w:t xml:space="preserve"> </w:t>
      </w:r>
      <w:r>
        <w:rPr>
          <w:noProof/>
        </w:rPr>
        <w:t>(APHIS 2007)</w:t>
      </w:r>
      <w:r w:rsidRPr="00EB59FA">
        <w:rPr>
          <w:rFonts w:asciiTheme="majorHAnsi" w:hAnsiTheme="majorHAnsi"/>
        </w:rPr>
        <w:t>.</w:t>
      </w:r>
      <w:r>
        <w:rPr>
          <w:rFonts w:asciiTheme="majorHAnsi" w:hAnsiTheme="majorHAnsi"/>
        </w:rPr>
        <w:t xml:space="preserve"> </w:t>
      </w:r>
      <w:r w:rsidRPr="00FF159E">
        <w:t xml:space="preserve">Tobacco necrosis viruses </w:t>
      </w:r>
      <w:r w:rsidRPr="00216641">
        <w:t xml:space="preserve">have been reported </w:t>
      </w:r>
      <w:r>
        <w:t>from</w:t>
      </w:r>
      <w:r w:rsidRPr="00216641">
        <w:t xml:space="preserve"> Queensland and Victoria</w:t>
      </w:r>
      <w:r>
        <w:t xml:space="preserve"> </w:t>
      </w:r>
      <w:r w:rsidRPr="00803E9F">
        <w:rPr>
          <w:noProof/>
        </w:rPr>
        <w:t>(Finlay &amp; Teakle 1969; Teakle 1988)</w:t>
      </w:r>
      <w:r w:rsidRPr="00803E9F">
        <w:t>, but there are no reports of infections of apples in Austr</w:t>
      </w:r>
      <w:r>
        <w:t>alia.</w:t>
      </w:r>
    </w:p>
    <w:p w14:paraId="6314C818" w14:textId="77777777" w:rsidR="003438A2" w:rsidRDefault="003438A2" w:rsidP="00862DBA">
      <w:r w:rsidRPr="00D65AB2">
        <w:t>Tobacco necrosis viruses A and D have</w:t>
      </w:r>
      <w:r w:rsidRPr="001804D4">
        <w:t xml:space="preserve"> a wide host range, including some important commercial crops such as apple, strawberries, carrots, potatoes, cabbage, cucumber, zucchini, soybeans and common beans </w:t>
      </w:r>
      <w:r>
        <w:rPr>
          <w:noProof/>
        </w:rPr>
        <w:t>(Bos 1999; Gibbs &amp; Harrison 1976; Martin &amp; Tzanetakis 2006; Smith et al. 1988; Teakle 1988; Uyemoto 1981; Zitikaite &amp; Staniulis 2009)</w:t>
      </w:r>
      <w:r w:rsidRPr="001804D4">
        <w:t xml:space="preserve">. Tobacco necrosis viruses affect different hosts in different ways. </w:t>
      </w:r>
      <w:bookmarkStart w:id="465" w:name="_Hlk38296314"/>
      <w:r w:rsidRPr="001804D4">
        <w:t xml:space="preserve">Tobacco necrosis viruses have been detected in apple causing symptomless systemic infections (Nemeth 1986a; Uyemoto &amp; Gilmer 1972). While TNV particles have been detected in low concentrations in infected apple fruit, their distribution within apple tissue may be erratic </w:t>
      </w:r>
      <w:bookmarkEnd w:id="465"/>
      <w:r w:rsidRPr="001804D4">
        <w:t>(Uyemoto &amp; Gilmer 1972)</w:t>
      </w:r>
      <w:r>
        <w:t>.</w:t>
      </w:r>
    </w:p>
    <w:p w14:paraId="2F4D2FC4" w14:textId="77777777" w:rsidR="003438A2" w:rsidRDefault="003438A2" w:rsidP="00862DBA">
      <w:r w:rsidRPr="00FF159E">
        <w:t>Tobacco necrosis virus</w:t>
      </w:r>
      <w:r>
        <w:t xml:space="preserve"> </w:t>
      </w:r>
      <w:r w:rsidRPr="00FF159E">
        <w:t xml:space="preserve">A and </w:t>
      </w:r>
      <w:r>
        <w:t>TNV-</w:t>
      </w:r>
      <w:r w:rsidRPr="00FF159E">
        <w:t xml:space="preserve">D are transmitted by </w:t>
      </w:r>
      <w:r>
        <w:t>the r</w:t>
      </w:r>
      <w:r w:rsidRPr="00FF159E">
        <w:t>oot-infecting chytrid fungus</w:t>
      </w:r>
      <w:r>
        <w:t>,</w:t>
      </w:r>
      <w:r w:rsidRPr="00FF159E">
        <w:t xml:space="preserve"> </w:t>
      </w:r>
      <w:r w:rsidRPr="00FF159E">
        <w:rPr>
          <w:i/>
        </w:rPr>
        <w:t xml:space="preserve">Olpidium brassicae </w:t>
      </w:r>
      <w:r w:rsidRPr="00FF159E">
        <w:t xml:space="preserve">(Wor.) </w:t>
      </w:r>
      <w:r>
        <w:rPr>
          <w:noProof/>
        </w:rPr>
        <w:t>(Rochon et al. 2004)</w:t>
      </w:r>
      <w:r>
        <w:t>.</w:t>
      </w:r>
      <w:r w:rsidRPr="00FF159E">
        <w:t xml:space="preserve"> </w:t>
      </w:r>
      <w:r w:rsidRPr="001A4104">
        <w:rPr>
          <w:i/>
          <w:iCs/>
        </w:rPr>
        <w:t>Tobacco necrosis virus</w:t>
      </w:r>
      <w:r>
        <w:t xml:space="preserve"> D</w:t>
      </w:r>
      <w:r w:rsidRPr="00FF159E">
        <w:t xml:space="preserve"> is </w:t>
      </w:r>
      <w:r>
        <w:t xml:space="preserve">also </w:t>
      </w:r>
      <w:r w:rsidRPr="00FF159E">
        <w:t xml:space="preserve">transmitted by </w:t>
      </w:r>
      <w:r>
        <w:t xml:space="preserve">a </w:t>
      </w:r>
      <w:r w:rsidRPr="00FF159E">
        <w:t xml:space="preserve">related chytrid </w:t>
      </w:r>
      <w:r w:rsidRPr="00FF159E">
        <w:rPr>
          <w:i/>
        </w:rPr>
        <w:t xml:space="preserve">Olpidium </w:t>
      </w:r>
      <w:r w:rsidRPr="00CC7C36">
        <w:rPr>
          <w:iCs/>
        </w:rPr>
        <w:t>sp</w:t>
      </w:r>
      <w:r>
        <w:rPr>
          <w:iCs/>
        </w:rPr>
        <w:t>.</w:t>
      </w:r>
      <w:r w:rsidRPr="00FF159E">
        <w:t xml:space="preserve"> </w:t>
      </w:r>
      <w:r>
        <w:rPr>
          <w:noProof/>
        </w:rPr>
        <w:t>(Kassanis &amp; MacFarlane 1964; Sasaya &amp; Koganezawa 2006)</w:t>
      </w:r>
      <w:r w:rsidRPr="00FF159E">
        <w:t xml:space="preserve">. Virus particles released from roots </w:t>
      </w:r>
      <w:r>
        <w:t xml:space="preserve">of living hosts </w:t>
      </w:r>
      <w:r w:rsidRPr="00FF159E">
        <w:t xml:space="preserve">and other plant matter are acquired </w:t>
      </w:r>
      <w:r>
        <w:t>from</w:t>
      </w:r>
      <w:r w:rsidRPr="00FF159E">
        <w:t xml:space="preserve"> soil water by fungal zoospores and transmitted when the spores infect the roots of a</w:t>
      </w:r>
      <w:r>
        <w:t>nother</w:t>
      </w:r>
      <w:r w:rsidRPr="00FF159E">
        <w:t xml:space="preserve"> suitable host. </w:t>
      </w:r>
      <w:r w:rsidRPr="00D47C3C">
        <w:rPr>
          <w:iCs/>
        </w:rPr>
        <w:t>Tobacco necrosis virus</w:t>
      </w:r>
      <w:r w:rsidRPr="00FF159E">
        <w:t xml:space="preserve"> particles are stable </w:t>
      </w:r>
      <w:r>
        <w:t>in the environment, and retain infectivity for a lengthy period. Tobacco necrosis virus can tolerate temperatures up to 95</w:t>
      </w:r>
      <w:r w:rsidRPr="00223363">
        <w:t>°</w:t>
      </w:r>
      <w:r w:rsidRPr="00256DB0">
        <w:t>C</w:t>
      </w:r>
      <w:r>
        <w:t xml:space="preserve"> </w:t>
      </w:r>
      <w:r>
        <w:rPr>
          <w:noProof/>
        </w:rPr>
        <w:t>(Brunt &amp; Teakle 1996; Gibbs &amp; Harrison 1976)</w:t>
      </w:r>
      <w:r>
        <w:t xml:space="preserve"> and can remain viable after storage in vitro at -20</w:t>
      </w:r>
      <w:r w:rsidRPr="00223363">
        <w:t>°</w:t>
      </w:r>
      <w:r w:rsidRPr="00256DB0">
        <w:t>C</w:t>
      </w:r>
      <w:r>
        <w:t xml:space="preserve"> </w:t>
      </w:r>
      <w:r>
        <w:rPr>
          <w:noProof/>
        </w:rPr>
        <w:t>(Gibbs &amp; Harrison 1976; Kassanis 1970; Nemeth 1986a)</w:t>
      </w:r>
      <w:r>
        <w:t>.</w:t>
      </w:r>
    </w:p>
    <w:p w14:paraId="3F2E2D06" w14:textId="77777777" w:rsidR="003438A2" w:rsidRDefault="003438A2" w:rsidP="00862DBA">
      <w:r w:rsidRPr="00FF159E">
        <w:t xml:space="preserve">Tobacco necrosis viruses have been assessed previously in the existing import policies for stone fruit from California, Idaho, Oregon and Washington </w:t>
      </w:r>
      <w:r>
        <w:rPr>
          <w:noProof/>
        </w:rPr>
        <w:t>(Biosecurity Australia 2010b)</w:t>
      </w:r>
      <w:r w:rsidRPr="00FF159E">
        <w:t xml:space="preserve">, </w:t>
      </w:r>
      <w:r>
        <w:t xml:space="preserve">fresh apple fruit </w:t>
      </w:r>
      <w:r w:rsidRPr="00FF159E">
        <w:t xml:space="preserve">from the People’s Republic of China </w:t>
      </w:r>
      <w:r>
        <w:rPr>
          <w:noProof/>
        </w:rPr>
        <w:t>(Biosecurity Australia 2010a)</w:t>
      </w:r>
      <w:r w:rsidRPr="00FF159E">
        <w:t xml:space="preserve">, table grapes from the People’s Republic of China </w:t>
      </w:r>
      <w:r>
        <w:rPr>
          <w:noProof/>
        </w:rPr>
        <w:t>(Biosecurity Australia 2011a)</w:t>
      </w:r>
      <w:r w:rsidRPr="00FF159E">
        <w:t xml:space="preserve">, table grapes from Japan </w:t>
      </w:r>
      <w:r>
        <w:rPr>
          <w:noProof/>
        </w:rPr>
        <w:t>(Department of Agriculture 2014)</w:t>
      </w:r>
      <w:r w:rsidRPr="00FF159E">
        <w:t>, nectarines from the People’s Republic of China</w:t>
      </w:r>
      <w:r>
        <w:t xml:space="preserve"> </w:t>
      </w:r>
      <w:r>
        <w:rPr>
          <w:noProof/>
        </w:rPr>
        <w:t>(DAWR 2016a)</w:t>
      </w:r>
      <w:r>
        <w:t xml:space="preserve">, and table grapes from India </w:t>
      </w:r>
      <w:r>
        <w:rPr>
          <w:noProof/>
        </w:rPr>
        <w:t>(DAWR 2016b)</w:t>
      </w:r>
      <w:r w:rsidRPr="00FF159E">
        <w:t>. In those policies, the unrestricted risk estimate</w:t>
      </w:r>
      <w:r>
        <w:t>s</w:t>
      </w:r>
      <w:r w:rsidRPr="00FF159E">
        <w:t xml:space="preserve"> </w:t>
      </w:r>
      <w:r>
        <w:t>were</w:t>
      </w:r>
      <w:r w:rsidRPr="00FF159E">
        <w:t xml:space="preserve"> assessed as achieving the ALOP for Australia. Therefore, no specific risk mitigation measures </w:t>
      </w:r>
      <w:r>
        <w:t>are</w:t>
      </w:r>
      <w:r w:rsidRPr="00FF159E">
        <w:t xml:space="preserve"> required for TNVs on </w:t>
      </w:r>
      <w:r>
        <w:t>these</w:t>
      </w:r>
      <w:r w:rsidRPr="00FF159E">
        <w:t xml:space="preserve"> pathway</w:t>
      </w:r>
      <w:r>
        <w:t>s</w:t>
      </w:r>
      <w:r w:rsidRPr="00FF159E">
        <w:t>.</w:t>
      </w:r>
    </w:p>
    <w:p w14:paraId="69820935" w14:textId="77777777" w:rsidR="003438A2" w:rsidRDefault="003438A2" w:rsidP="00862DBA">
      <w:r w:rsidRPr="00BA23BB">
        <w:rPr>
          <w:rFonts w:cs="Arial"/>
        </w:rPr>
        <w:lastRenderedPageBreak/>
        <w:t>Previous assessments of TNVs for</w:t>
      </w:r>
      <w:r w:rsidRPr="00BA23BB">
        <w:t xml:space="preserve"> fresh apple fruit from the People’s Republic of China and stone fruit from California, Idaho, Oregon and Washington </w:t>
      </w:r>
      <w:r w:rsidRPr="00BA23BB">
        <w:rPr>
          <w:rFonts w:cs="Arial"/>
        </w:rPr>
        <w:t xml:space="preserve">rated the likelihood of importation as Moderate. </w:t>
      </w:r>
      <w:r w:rsidRPr="00BA23BB">
        <w:rPr>
          <w:i/>
          <w:iCs/>
        </w:rPr>
        <w:t>Tobacco Necrotic Virus</w:t>
      </w:r>
      <w:r w:rsidRPr="00BA23BB">
        <w:t xml:space="preserve"> A and TNV-D </w:t>
      </w:r>
      <w:r w:rsidRPr="00BA23BB">
        <w:rPr>
          <w:lang w:eastAsia="en-AU"/>
        </w:rPr>
        <w:t>are reported as widely prevalent in Oregon but not in Washington or Idaho</w:t>
      </w:r>
      <w:r w:rsidRPr="00BA23BB">
        <w:t xml:space="preserve">. Strains of TNVs were reported naturally infecting several apple cultivars in the USA </w:t>
      </w:r>
      <w:r w:rsidRPr="00BA23BB">
        <w:fldChar w:fldCharType="begin" w:fldLock="1"/>
      </w:r>
      <w:r w:rsidRPr="00BA23BB">
        <w:instrText xml:space="preserve"> QUOTE "(Uyemoto and Gilmer 1972; Kegler et al. 1969)" </w:instrText>
      </w:r>
      <w:r w:rsidRPr="00BA23BB">
        <w:fldChar w:fldCharType="begin" w:fldLock="1"/>
      </w:r>
      <w:r w:rsidRPr="00BA23BB">
        <w:instrText xml:space="preserve"> ADDIN PROCITE ÿ\11\05‘\19\02\00\00\00-(Uyemoto and Gilmer 1972; Kegler et al. 1969)\01\09\00\01\00\00\00\00\00\00ž\19\01\01\00\00\00pì\1B\018\00\00\00\01\00\00\00\00\002\00,ã\12\008\00\00\00\07\00àà\00\00\00\00‘|ÿÿÿÿ]\00‘|ÞÂÂw\00\00\01\00\07\00\00\00`\00\00\008\00\00\00\05\00\00\00\00\00\00\00‘|ÿÿÿÿ]\00‘|ÞÂÂw\00\00\01\00\07\00\00\00`\00\00\008\00\00\00\06\00àà\00\00\00\00‘|ÿÿÿÿ]\00‘|ÞÂÂw\00\00\01\00\07\00\00\00`\00\00\008\00\00\00\07\00\00\00\00\00\00ÃÂw\00\002\00\00\00\00\00ÎÃÂw\00\00\00\00ÿÿÿÿ\07ÄÂw</w:instrText>
      </w:r>
      <w:r w:rsidRPr="00BA23BB">
        <w:rPr>
          <w:rFonts w:cs="Cambria"/>
        </w:rPr>
        <w:instrText></w:instrText>
      </w:r>
      <w:r w:rsidRPr="00BA23BB">
        <w:instrText>\00\00\00\06\00àà\00\00\00ÿÿÿÛ\01‘|ÉÃÂw\00\002\00\00\00\00\00ÎÃÂw\00\00\00\00ÿÿÿÿ\01\00\00\00\00\00\00ÿÿÿÛ\01‘|ÉÃÂw\00\002\00\00\00\00\00ÎÃÂw\00\00\00\00ÿÿÿÿ\06\00\02\00\00\00\00ÿÿÿÛ\01‘|ÉÃÂw\00\002\00\00\00\00\00ÎÃÂw\00\00\00\00ÿÿÿÿ\06\00\00\00\00\00\00\00\00\00øâ\12\00\00\00\00\00ìã\12\00 é</w:instrText>
      </w:r>
      <w:r w:rsidRPr="00BA23BB">
        <w:rPr>
          <w:rFonts w:cs="Cambria"/>
        </w:rPr>
        <w:instrText></w:instrText>
      </w:r>
      <w:r w:rsidRPr="00BA23BB">
        <w:instrText>|`\00</w:instrText>
      </w:r>
      <w:r w:rsidRPr="00BA23BB">
        <w:rPr>
          <w:rFonts w:cs="Cambria"/>
        </w:rPr>
        <w:instrText>‘</w:instrText>
      </w:r>
      <w:r w:rsidRPr="00BA23BB">
        <w:instrText>|</w:instrText>
      </w:r>
      <w:r w:rsidRPr="00BA23BB">
        <w:rPr>
          <w:rFonts w:cs="Cambria"/>
        </w:rPr>
        <w:instrText>ÿÿÿÿ</w:instrText>
      </w:r>
      <w:r w:rsidRPr="00BA23BB">
        <w:instrText>]\00</w:instrText>
      </w:r>
      <w:r w:rsidRPr="00BA23BB">
        <w:rPr>
          <w:rFonts w:cs="Cambria"/>
        </w:rPr>
        <w:instrText>‘</w:instrText>
      </w:r>
      <w:r w:rsidRPr="00BA23BB">
        <w:instrText>|</w:instrText>
      </w:r>
      <w:r w:rsidRPr="00BA23BB">
        <w:rPr>
          <w:rFonts w:cs="Cambria"/>
        </w:rPr>
        <w:instrText>ü</w:instrText>
      </w:r>
      <w:r w:rsidRPr="00BA23BB">
        <w:instrText xml:space="preserve">\0B\00\00EJ:\5CPlant\5CPublications\5CProject C Publications\5CProject_C_References.pdt Kegler, Proll, et al. 1969 #3404\01\04\00\06\00àà\00\00\00¿H\00Ø3\14\00\14\00\00\00\01\00\00\00\00\00\00\00\00\00\00\00\10\00\00\00\00\00\00\00\02\00\00\00\00\00\00\00\00\00,\00\00\00\01\00\00\00Lô\12\00=\11J\00,\00\00\00xô\12\00Lô\12\00\05\00àà\00\00\00¿H\00Ø3\14\00\14\00\00\00\01\00\00\00\00\00\00\00\00\00\00\00\10\00\00\00\00\00\00\00\13\00\00\00\00\00\00ÿÿÿÎÃÂwçÃÂw,\00\00\00Dò\12\00.ÄÂw,\00\00\00\00\00\00\00 </w:instrText>
      </w:r>
      <w:r w:rsidRPr="00BA23BB">
        <w:fldChar w:fldCharType="end"/>
      </w:r>
      <w:r w:rsidRPr="00BA23BB">
        <w:fldChar w:fldCharType="separate"/>
      </w:r>
      <w:r w:rsidRPr="00BA23BB">
        <w:t>(Uyemoto and Gilmer 1972)</w:t>
      </w:r>
      <w:r w:rsidRPr="00BA23BB">
        <w:fldChar w:fldCharType="end"/>
      </w:r>
      <w:r w:rsidRPr="00BA23BB">
        <w:t xml:space="preserve"> and association with apple trees has also been reported</w:t>
      </w:r>
      <w:r>
        <w:t xml:space="preserve"> </w:t>
      </w:r>
      <w:r>
        <w:rPr>
          <w:noProof/>
        </w:rPr>
        <w:t>(Zitikaite &amp; Staniulis 2009)</w:t>
      </w:r>
      <w:r>
        <w:t xml:space="preserve">. Nemeth </w:t>
      </w:r>
      <w:r>
        <w:rPr>
          <w:noProof/>
        </w:rPr>
        <w:t>(1986a)</w:t>
      </w:r>
      <w:r>
        <w:t xml:space="preserve">, Uyemoto </w:t>
      </w:r>
      <w:r>
        <w:rPr>
          <w:noProof/>
        </w:rPr>
        <w:t>(1972)</w:t>
      </w:r>
      <w:bookmarkStart w:id="466" w:name="_Hlk109597074"/>
      <w:r w:rsidRPr="00BA23BB">
        <w:t xml:space="preserve"> and</w:t>
      </w:r>
      <w:r>
        <w:t xml:space="preserve"> Uyemoto &amp; Gilmer </w:t>
      </w:r>
      <w:r>
        <w:rPr>
          <w:noProof/>
        </w:rPr>
        <w:t>(1972)</w:t>
      </w:r>
      <w:r>
        <w:t xml:space="preserve"> </w:t>
      </w:r>
      <w:bookmarkEnd w:id="466"/>
      <w:r w:rsidRPr="00BA23BB">
        <w:t>detected TNVs in apple and other fruit trees caus</w:t>
      </w:r>
      <w:r>
        <w:t>ing</w:t>
      </w:r>
      <w:r w:rsidRPr="00BA23BB">
        <w:t xml:space="preserve"> symptomless systemic infections. However, infections caused by TNVs on fruiting vegetable crops led to expression of various spotting or mottling symptoms on leaves or fruits and necrotic symptoms on older leaves</w:t>
      </w:r>
      <w:r>
        <w:t xml:space="preserve"> </w:t>
      </w:r>
      <w:r>
        <w:rPr>
          <w:noProof/>
        </w:rPr>
        <w:t>(Zitikaite &amp; Staniulis 2009)</w:t>
      </w:r>
      <w:r w:rsidRPr="00BA23BB">
        <w:t xml:space="preserve">. While TNV particles have been detected in low concentrations in apple fruit, their distribution within apple tissue is not confirmed (Uyemoto &amp; Gilmer 1972). For the above reasons, the likelihood of importation of TNVs on apples from the PNW-USA </w:t>
      </w:r>
      <w:r>
        <w:t>is considered to be</w:t>
      </w:r>
      <w:r w:rsidRPr="00BA23BB">
        <w:t xml:space="preserve"> the same as the previous assessments of Moderate for apples from China and stone fruit from California, Idaho, Oregon and Washington.</w:t>
      </w:r>
    </w:p>
    <w:p w14:paraId="3CA821C7" w14:textId="77777777" w:rsidR="003438A2" w:rsidRDefault="003438A2" w:rsidP="00862DBA">
      <w:r w:rsidRPr="003719C3">
        <w:rPr>
          <w:rFonts w:cs="Arial"/>
        </w:rPr>
        <w:t>Previous assessment</w:t>
      </w:r>
      <w:r>
        <w:rPr>
          <w:rFonts w:cs="Arial"/>
        </w:rPr>
        <w:t>s</w:t>
      </w:r>
      <w:r w:rsidRPr="003719C3">
        <w:rPr>
          <w:rFonts w:cs="Arial"/>
        </w:rPr>
        <w:t xml:space="preserve"> of TNVs for</w:t>
      </w:r>
      <w:r w:rsidRPr="003719C3">
        <w:t xml:space="preserve"> fresh apple fruit from the People’s Republic of China </w:t>
      </w:r>
      <w:r>
        <w:t xml:space="preserve">and </w:t>
      </w:r>
      <w:r w:rsidRPr="003719C3">
        <w:t xml:space="preserve">stone fruit from California, Idaho, Oregon and Washington </w:t>
      </w:r>
      <w:r w:rsidRPr="003719C3">
        <w:rPr>
          <w:rFonts w:cs="Arial"/>
        </w:rPr>
        <w:t xml:space="preserve">rated the likelihood of distribution as Moderate. </w:t>
      </w:r>
      <w:r w:rsidRPr="003719C3">
        <w:rPr>
          <w:rFonts w:eastAsia="Calibri" w:cs="Times New Roman"/>
        </w:rPr>
        <w:t>Fresh apple fruit from the PNW-USA</w:t>
      </w:r>
      <w:r>
        <w:rPr>
          <w:rFonts w:eastAsia="Calibri" w:cs="Times New Roman"/>
        </w:rPr>
        <w:t xml:space="preserve"> </w:t>
      </w:r>
      <w:r w:rsidRPr="003719C3">
        <w:rPr>
          <w:rFonts w:eastAsia="Calibri" w:cs="Times New Roman"/>
        </w:rPr>
        <w:t>is expected to be distributed in Australia</w:t>
      </w:r>
      <w:r>
        <w:t xml:space="preserve">, </w:t>
      </w:r>
      <w:r w:rsidRPr="00FF151F">
        <w:t>as a result of the processing, sale or disposal</w:t>
      </w:r>
      <w:r>
        <w:t>,</w:t>
      </w:r>
      <w:r w:rsidRPr="003719C3">
        <w:rPr>
          <w:rFonts w:eastAsia="Calibri" w:cs="Times New Roman"/>
        </w:rPr>
        <w:t xml:space="preserve"> in a similar way to those fruit commodities assessed previously. </w:t>
      </w:r>
      <w:r>
        <w:t xml:space="preserve">Apples can be imported all year round, therefore, </w:t>
      </w:r>
      <w:r w:rsidRPr="00B81F41">
        <w:t xml:space="preserve">there would be no seasonal differences between </w:t>
      </w:r>
      <w:r>
        <w:t>these</w:t>
      </w:r>
      <w:r w:rsidRPr="00B81F41">
        <w:t xml:space="preserve"> import pathways to contribute to variation in the risk rating for likelihood of distribution</w:t>
      </w:r>
      <w:r>
        <w:t>.</w:t>
      </w:r>
      <w:r w:rsidRPr="003719C3">
        <w:rPr>
          <w:rFonts w:eastAsia="Calibri" w:cs="Times New Roman"/>
        </w:rPr>
        <w:t xml:space="preserve"> </w:t>
      </w:r>
      <w:r>
        <w:t>H</w:t>
      </w:r>
      <w:r w:rsidRPr="00FF159E">
        <w:t>ost</w:t>
      </w:r>
      <w:r>
        <w:t>s, which include</w:t>
      </w:r>
      <w:r w:rsidRPr="00FF159E">
        <w:t xml:space="preserve"> important commercial crops</w:t>
      </w:r>
      <w:r>
        <w:t>,</w:t>
      </w:r>
      <w:r w:rsidRPr="00FF159E">
        <w:t xml:space="preserve"> </w:t>
      </w:r>
      <w:r>
        <w:t xml:space="preserve">are </w:t>
      </w:r>
      <w:r w:rsidRPr="003F0802">
        <w:t xml:space="preserve">likely to be </w:t>
      </w:r>
      <w:r>
        <w:t xml:space="preserve">continuously </w:t>
      </w:r>
      <w:r w:rsidRPr="003F0802">
        <w:t xml:space="preserve">available in Australia. </w:t>
      </w:r>
      <w:r>
        <w:rPr>
          <w:rFonts w:eastAsia="Calibri" w:cs="Times New Roman"/>
        </w:rPr>
        <w:t xml:space="preserve">The presence of vectors in Australia </w:t>
      </w:r>
      <w:r>
        <w:rPr>
          <w:noProof/>
        </w:rPr>
        <w:t>(ALA 2020; CABI 2020a)</w:t>
      </w:r>
      <w:r>
        <w:rPr>
          <w:rFonts w:eastAsia="Calibri" w:cs="Times New Roman"/>
        </w:rPr>
        <w:t xml:space="preserve"> is ameliorated by the likely low concentration of TNV particles in apple flesh </w:t>
      </w:r>
      <w:r>
        <w:rPr>
          <w:noProof/>
        </w:rPr>
        <w:t>(Uyemoto &amp; Gilmer 1972)</w:t>
      </w:r>
      <w:r>
        <w:t xml:space="preserve"> </w:t>
      </w:r>
      <w:r>
        <w:rPr>
          <w:rFonts w:eastAsia="Calibri" w:cs="Times New Roman"/>
        </w:rPr>
        <w:t xml:space="preserve">and the assessed low likelihood that infected fruit waste will be discarded near a plant host while vector chytrids are active. </w:t>
      </w:r>
      <w:r>
        <w:t xml:space="preserve">These factors lead to the same assessed rating of Moderate for the likelihood of distribution for </w:t>
      </w:r>
      <w:r w:rsidRPr="00690704">
        <w:rPr>
          <w:iCs/>
        </w:rPr>
        <w:t>TNVs</w:t>
      </w:r>
      <w:r>
        <w:rPr>
          <w:i/>
        </w:rPr>
        <w:t xml:space="preserve"> </w:t>
      </w:r>
      <w:r w:rsidRPr="00323FFB">
        <w:rPr>
          <w:iCs/>
        </w:rPr>
        <w:t>on the apple</w:t>
      </w:r>
      <w:r>
        <w:rPr>
          <w:iCs/>
        </w:rPr>
        <w:t>s</w:t>
      </w:r>
      <w:r w:rsidRPr="00323FFB">
        <w:rPr>
          <w:iCs/>
        </w:rPr>
        <w:t xml:space="preserve"> from</w:t>
      </w:r>
      <w:r>
        <w:rPr>
          <w:iCs/>
        </w:rPr>
        <w:t xml:space="preserve"> </w:t>
      </w:r>
      <w:r>
        <w:t>PNW-USA apple pathway.</w:t>
      </w:r>
    </w:p>
    <w:p w14:paraId="19249BDF" w14:textId="77777777" w:rsidR="003438A2" w:rsidRDefault="003438A2" w:rsidP="00862DBA">
      <w:pPr>
        <w:tabs>
          <w:tab w:val="right" w:pos="5753"/>
        </w:tabs>
        <w:ind w:hanging="720"/>
        <w:rPr>
          <w:color w:val="000000" w:themeColor="text1"/>
        </w:rPr>
      </w:pPr>
      <w:r>
        <w:rPr>
          <w:color w:val="000000" w:themeColor="text1"/>
        </w:rPr>
        <w:tab/>
      </w:r>
      <w:r w:rsidRPr="002072FF">
        <w:rPr>
          <w:color w:val="000000" w:themeColor="text1"/>
        </w:rPr>
        <w:t>The likelihoods of establishment and spread of TNV</w:t>
      </w:r>
      <w:r>
        <w:rPr>
          <w:color w:val="000000" w:themeColor="text1"/>
        </w:rPr>
        <w:t>s</w:t>
      </w:r>
      <w:r w:rsidRPr="002072FF">
        <w:rPr>
          <w:color w:val="000000" w:themeColor="text1"/>
        </w:rPr>
        <w:t xml:space="preserve"> in Australia </w:t>
      </w:r>
      <w:r>
        <w:rPr>
          <w:color w:val="000000" w:themeColor="text1"/>
        </w:rPr>
        <w:t xml:space="preserve">are assessed </w:t>
      </w:r>
      <w:r>
        <w:t>as similar to previous assessments for the apples from China and</w:t>
      </w:r>
      <w:r w:rsidRPr="002072FF">
        <w:rPr>
          <w:color w:val="000000" w:themeColor="text1"/>
        </w:rPr>
        <w:t xml:space="preserve"> </w:t>
      </w:r>
      <w:r w:rsidRPr="003719C3">
        <w:t>stone fruit from California, Idaho, Oregon and Washington</w:t>
      </w:r>
      <w:r>
        <w:t xml:space="preserve"> pathways, as High and High, respectively. </w:t>
      </w:r>
      <w:r w:rsidRPr="0058391F">
        <w:rPr>
          <w:color w:val="000000" w:themeColor="text1"/>
        </w:rPr>
        <w:t xml:space="preserve">These likelihoods relate specifically to events that occur in Australia and are </w:t>
      </w:r>
      <w:r>
        <w:rPr>
          <w:color w:val="000000" w:themeColor="text1"/>
        </w:rPr>
        <w:t>principally</w:t>
      </w:r>
      <w:r w:rsidRPr="0058391F">
        <w:rPr>
          <w:color w:val="000000" w:themeColor="text1"/>
        </w:rPr>
        <w:t xml:space="preserve"> independent of the import pathway. The consequences of entry, establishment and spread for </w:t>
      </w:r>
      <w:r w:rsidRPr="002072FF">
        <w:rPr>
          <w:color w:val="000000" w:themeColor="text1"/>
        </w:rPr>
        <w:t>TNV</w:t>
      </w:r>
      <w:r>
        <w:rPr>
          <w:color w:val="000000" w:themeColor="text1"/>
        </w:rPr>
        <w:t>s</w:t>
      </w:r>
      <w:r w:rsidRPr="002072FF">
        <w:rPr>
          <w:color w:val="000000" w:themeColor="text1"/>
        </w:rPr>
        <w:t xml:space="preserve"> are also independent of the import pathway and </w:t>
      </w:r>
      <w:r>
        <w:t xml:space="preserve">have been assessed as similar to these existing policies of </w:t>
      </w:r>
      <w:r>
        <w:rPr>
          <w:color w:val="000000" w:themeColor="text1"/>
        </w:rPr>
        <w:t>Very Low</w:t>
      </w:r>
      <w:r w:rsidRPr="002072FF">
        <w:rPr>
          <w:color w:val="000000" w:themeColor="text1"/>
        </w:rPr>
        <w:t xml:space="preserve">. Therefore, the existing ratings for the likelihoods of </w:t>
      </w:r>
      <w:r>
        <w:rPr>
          <w:color w:val="000000" w:themeColor="text1"/>
        </w:rPr>
        <w:t>entry</w:t>
      </w:r>
      <w:r w:rsidRPr="002072FF">
        <w:rPr>
          <w:color w:val="000000" w:themeColor="text1"/>
        </w:rPr>
        <w:t xml:space="preserve">, </w:t>
      </w:r>
      <w:r>
        <w:rPr>
          <w:color w:val="000000" w:themeColor="text1"/>
        </w:rPr>
        <w:t xml:space="preserve">of </w:t>
      </w:r>
      <w:r w:rsidRPr="002072FF">
        <w:rPr>
          <w:color w:val="000000" w:themeColor="text1"/>
        </w:rPr>
        <w:t xml:space="preserve">establishment and </w:t>
      </w:r>
      <w:r>
        <w:rPr>
          <w:color w:val="000000" w:themeColor="text1"/>
        </w:rPr>
        <w:t xml:space="preserve">of </w:t>
      </w:r>
      <w:r w:rsidRPr="002072FF">
        <w:rPr>
          <w:color w:val="000000" w:themeColor="text1"/>
        </w:rPr>
        <w:t xml:space="preserve">spread and </w:t>
      </w:r>
      <w:r>
        <w:rPr>
          <w:color w:val="000000" w:themeColor="text1"/>
        </w:rPr>
        <w:t xml:space="preserve">the </w:t>
      </w:r>
      <w:r w:rsidRPr="002072FF">
        <w:rPr>
          <w:color w:val="000000" w:themeColor="text1"/>
        </w:rPr>
        <w:t xml:space="preserve">ratings for overall consequences </w:t>
      </w:r>
      <w:r>
        <w:rPr>
          <w:color w:val="000000" w:themeColor="text1"/>
        </w:rPr>
        <w:t xml:space="preserve">of TNVs from these existing policies have been adopted </w:t>
      </w:r>
      <w:r w:rsidRPr="002072FF">
        <w:rPr>
          <w:color w:val="000000" w:themeColor="text1"/>
        </w:rPr>
        <w:t>for the PNW-USA apple pathway.</w:t>
      </w:r>
    </w:p>
    <w:p w14:paraId="2C7C85EA" w14:textId="77777777" w:rsidR="003438A2" w:rsidRDefault="003438A2" w:rsidP="00862DBA">
      <w:r w:rsidRPr="00EB6274">
        <w:t xml:space="preserve">The department has also reviewed the latest literature —for example, </w:t>
      </w:r>
      <w:r>
        <w:rPr>
          <w:noProof/>
        </w:rPr>
        <w:t>Díaz-Cruz et al. (2017) and Newburn and White (2017)</w:t>
      </w:r>
      <w:r>
        <w:t>. N</w:t>
      </w:r>
      <w:r w:rsidRPr="00EB6274">
        <w:t xml:space="preserve">o new information has been identified that would significantly change the risk ratings for importation, distribution, establishment, spread and consequences as set out for TNVs in </w:t>
      </w:r>
      <w:r>
        <w:t xml:space="preserve">the </w:t>
      </w:r>
      <w:r w:rsidRPr="00EB6274">
        <w:t>existing policies.</w:t>
      </w:r>
    </w:p>
    <w:p w14:paraId="402A3BEC" w14:textId="77777777" w:rsidR="003438A2" w:rsidRPr="00AB1BD9" w:rsidRDefault="003438A2" w:rsidP="003438A2">
      <w:pPr>
        <w:pStyle w:val="Heading4"/>
        <w:numPr>
          <w:ilvl w:val="2"/>
          <w:numId w:val="31"/>
        </w:numPr>
        <w:tabs>
          <w:tab w:val="clear" w:pos="1645"/>
          <w:tab w:val="num" w:pos="794"/>
        </w:tabs>
        <w:ind w:left="1786"/>
      </w:pPr>
      <w:r w:rsidRPr="00AB1BD9">
        <w:t xml:space="preserve">Likelihood of </w:t>
      </w:r>
      <w:r>
        <w:t>entry</w:t>
      </w:r>
      <w:r w:rsidRPr="00AB1BD9">
        <w:t xml:space="preserve"> </w:t>
      </w:r>
    </w:p>
    <w:p w14:paraId="2F49A560" w14:textId="77777777" w:rsidR="003438A2" w:rsidRDefault="003438A2" w:rsidP="00862DBA">
      <w:r>
        <w:t>The likelihood of entry is considered in 2 parts, the likelihood of importation and the likelihood of distribution, which consider pre-border and post-border issues, respectively.</w:t>
      </w:r>
    </w:p>
    <w:p w14:paraId="375A2925" w14:textId="77777777" w:rsidR="003438A2" w:rsidRDefault="003438A2" w:rsidP="00862DBA">
      <w:pPr>
        <w:pStyle w:val="Heading5"/>
      </w:pPr>
      <w:r>
        <w:lastRenderedPageBreak/>
        <w:t>Likelihood of importation</w:t>
      </w:r>
    </w:p>
    <w:p w14:paraId="18E93F0B" w14:textId="77777777" w:rsidR="003438A2" w:rsidRPr="003C49FF" w:rsidRDefault="003438A2" w:rsidP="00862DBA">
      <w:pPr>
        <w:rPr>
          <w:rFonts w:asciiTheme="majorHAnsi" w:hAnsiTheme="majorHAnsi"/>
          <w:b/>
          <w:bCs/>
        </w:rPr>
      </w:pPr>
      <w:r w:rsidRPr="00A3009B">
        <w:t xml:space="preserve">The likelihood that </w:t>
      </w:r>
      <w:r w:rsidRPr="00FF159E">
        <w:t xml:space="preserve">Tobacco necrosis viruses </w:t>
      </w:r>
      <w:r w:rsidRPr="00A3009B">
        <w:t xml:space="preserve">will be </w:t>
      </w:r>
      <w:r>
        <w:t>imported into</w:t>
      </w:r>
      <w:r w:rsidRPr="00A3009B">
        <w:t xml:space="preserve"> Australia in a viable state </w:t>
      </w:r>
      <w:r>
        <w:t xml:space="preserve">on </w:t>
      </w:r>
      <w:r w:rsidRPr="00A3009B">
        <w:t>apples from the PNW-USA is considered to be similar to</w:t>
      </w:r>
      <w:r>
        <w:t xml:space="preserve"> the previous assessments for</w:t>
      </w:r>
      <w:r w:rsidRPr="00A3009B">
        <w:rPr>
          <w:iCs/>
        </w:rPr>
        <w:t xml:space="preserve"> </w:t>
      </w:r>
      <w:r w:rsidRPr="00FF159E">
        <w:t xml:space="preserve">Tobacco necrosis viruses </w:t>
      </w:r>
      <w:r>
        <w:rPr>
          <w:iCs/>
        </w:rPr>
        <w:t xml:space="preserve">on </w:t>
      </w:r>
      <w:r w:rsidRPr="00AA0BFC">
        <w:t xml:space="preserve">fresh </w:t>
      </w:r>
      <w:r>
        <w:t xml:space="preserve">apple from China and </w:t>
      </w:r>
      <w:r w:rsidRPr="00AA0BFC">
        <w:t>stone fruit from California, Idaho, Oregon and Washington</w:t>
      </w:r>
      <w:r w:rsidRPr="00A3009B">
        <w:t xml:space="preserve">. Therefore, the same rating of </w:t>
      </w:r>
      <w:r>
        <w:t>Moderate</w:t>
      </w:r>
      <w:r w:rsidRPr="00A3009B">
        <w:t xml:space="preserve"> for the likelihood of </w:t>
      </w:r>
      <w:r>
        <w:t>importation</w:t>
      </w:r>
      <w:r w:rsidRPr="00A3009B">
        <w:t xml:space="preserve"> previously assessed for </w:t>
      </w:r>
      <w:r w:rsidRPr="00FF159E">
        <w:t xml:space="preserve">Tobacco necrosis viruses </w:t>
      </w:r>
      <w:r w:rsidRPr="00A3009B">
        <w:rPr>
          <w:iCs/>
        </w:rPr>
        <w:t>on</w:t>
      </w:r>
      <w:r>
        <w:rPr>
          <w:iCs/>
        </w:rPr>
        <w:t xml:space="preserve"> the</w:t>
      </w:r>
      <w:r w:rsidRPr="00A3009B">
        <w:rPr>
          <w:iCs/>
        </w:rPr>
        <w:t xml:space="preserve"> </w:t>
      </w:r>
      <w:r>
        <w:rPr>
          <w:iCs/>
        </w:rPr>
        <w:t xml:space="preserve">fresh apple from China and </w:t>
      </w:r>
      <w:r w:rsidRPr="00AA0BFC">
        <w:t>stone fruit from California, Idaho, Oregon and Washington</w:t>
      </w:r>
      <w:r w:rsidRPr="00A3009B">
        <w:rPr>
          <w:iCs/>
        </w:rPr>
        <w:t xml:space="preserve"> pathway</w:t>
      </w:r>
      <w:r>
        <w:rPr>
          <w:iCs/>
        </w:rPr>
        <w:t>s</w:t>
      </w:r>
      <w:r w:rsidRPr="00A3009B">
        <w:rPr>
          <w:iCs/>
        </w:rPr>
        <w:t xml:space="preserve"> is adopted for </w:t>
      </w:r>
      <w:r w:rsidRPr="00FF159E">
        <w:t xml:space="preserve">Tobacco necrosis viruses </w:t>
      </w:r>
      <w:r w:rsidRPr="00A3009B">
        <w:rPr>
          <w:iCs/>
        </w:rPr>
        <w:t xml:space="preserve">on </w:t>
      </w:r>
      <w:r>
        <w:rPr>
          <w:iCs/>
        </w:rPr>
        <w:t xml:space="preserve">the </w:t>
      </w:r>
      <w:r w:rsidRPr="00A3009B">
        <w:rPr>
          <w:iCs/>
        </w:rPr>
        <w:t xml:space="preserve">apples from PNW-USA pathway. </w:t>
      </w:r>
    </w:p>
    <w:p w14:paraId="4724513A" w14:textId="77777777" w:rsidR="003438A2" w:rsidRPr="00FF151F" w:rsidRDefault="003438A2" w:rsidP="00862DBA">
      <w:pPr>
        <w:pStyle w:val="Heading5"/>
      </w:pPr>
      <w:r w:rsidRPr="00FF151F">
        <w:t>Likelihood of distribution</w:t>
      </w:r>
    </w:p>
    <w:p w14:paraId="574CFBCE" w14:textId="77777777" w:rsidR="003438A2" w:rsidRPr="00FF151F" w:rsidRDefault="003438A2" w:rsidP="00862DBA">
      <w:r w:rsidRPr="00FF151F">
        <w:t xml:space="preserve">The likelihood that </w:t>
      </w:r>
      <w:r w:rsidRPr="00FF159E">
        <w:t xml:space="preserve">Tobacco necrosis viruses </w:t>
      </w:r>
      <w:r w:rsidRPr="00FF151F">
        <w:t>will be distributed within Australia in a viable state</w:t>
      </w:r>
      <w:r>
        <w:t>,</w:t>
      </w:r>
      <w:r w:rsidRPr="00FF151F">
        <w:t xml:space="preserve"> as a result of the processing, sale or disposal of apples from the PNW-USA, and subsequently transfer to susceptible hosts is considered to be similar to </w:t>
      </w:r>
      <w:r w:rsidRPr="00FF159E">
        <w:t xml:space="preserve">Tobacco necrosis viruses </w:t>
      </w:r>
      <w:r w:rsidRPr="00FF151F">
        <w:rPr>
          <w:iCs/>
        </w:rPr>
        <w:t xml:space="preserve">on apples from </w:t>
      </w:r>
      <w:r>
        <w:rPr>
          <w:iCs/>
        </w:rPr>
        <w:t>China</w:t>
      </w:r>
      <w:r w:rsidRPr="00645CA9">
        <w:t xml:space="preserve"> </w:t>
      </w:r>
      <w:r>
        <w:t>and</w:t>
      </w:r>
      <w:r w:rsidRPr="002072FF">
        <w:rPr>
          <w:color w:val="000000" w:themeColor="text1"/>
        </w:rPr>
        <w:t xml:space="preserve"> </w:t>
      </w:r>
      <w:r w:rsidRPr="003719C3">
        <w:t>stone fruit from California, Idaho, Oregon and Washington</w:t>
      </w:r>
      <w:r w:rsidRPr="00FF151F">
        <w:t xml:space="preserve">. </w:t>
      </w:r>
    </w:p>
    <w:p w14:paraId="3F64F097" w14:textId="77777777" w:rsidR="003438A2" w:rsidRPr="00FF151F" w:rsidRDefault="003438A2" w:rsidP="00862DBA">
      <w:r w:rsidRPr="00FF151F">
        <w:t xml:space="preserve">Therefore, the same rating of </w:t>
      </w:r>
      <w:r>
        <w:t>Moderate</w:t>
      </w:r>
      <w:r w:rsidRPr="00FF151F">
        <w:t xml:space="preserve"> for the likelihood of distribution previously assessed for </w:t>
      </w:r>
      <w:r w:rsidRPr="00FF159E">
        <w:t xml:space="preserve">Tobacco necrosis viruses </w:t>
      </w:r>
      <w:r w:rsidRPr="00FF151F">
        <w:rPr>
          <w:iCs/>
        </w:rPr>
        <w:t xml:space="preserve">on apples from </w:t>
      </w:r>
      <w:r>
        <w:rPr>
          <w:iCs/>
        </w:rPr>
        <w:t>China</w:t>
      </w:r>
      <w:r w:rsidRPr="00FF151F">
        <w:rPr>
          <w:iCs/>
        </w:rPr>
        <w:t xml:space="preserve"> </w:t>
      </w:r>
      <w:r>
        <w:t>and</w:t>
      </w:r>
      <w:r w:rsidRPr="002072FF">
        <w:rPr>
          <w:color w:val="000000" w:themeColor="text1"/>
        </w:rPr>
        <w:t xml:space="preserve"> </w:t>
      </w:r>
      <w:r w:rsidRPr="003719C3">
        <w:t>stone fruit from California, Idaho, Oregon and Washington</w:t>
      </w:r>
      <w:r>
        <w:t xml:space="preserve"> </w:t>
      </w:r>
      <w:r w:rsidRPr="00FF151F">
        <w:rPr>
          <w:iCs/>
        </w:rPr>
        <w:t>pathway</w:t>
      </w:r>
      <w:r>
        <w:rPr>
          <w:iCs/>
        </w:rPr>
        <w:t>s</w:t>
      </w:r>
      <w:r w:rsidRPr="00FF151F">
        <w:rPr>
          <w:iCs/>
        </w:rPr>
        <w:t xml:space="preserve"> is adopted for </w:t>
      </w:r>
      <w:r w:rsidRPr="00FF159E">
        <w:t xml:space="preserve">Tobacco necrosis viruses </w:t>
      </w:r>
      <w:r w:rsidRPr="00FF151F">
        <w:rPr>
          <w:iCs/>
        </w:rPr>
        <w:t xml:space="preserve">on </w:t>
      </w:r>
      <w:r>
        <w:rPr>
          <w:iCs/>
        </w:rPr>
        <w:t xml:space="preserve">the </w:t>
      </w:r>
      <w:r w:rsidRPr="00FF151F">
        <w:rPr>
          <w:iCs/>
        </w:rPr>
        <w:t xml:space="preserve">apples from PNW-USA pathway. </w:t>
      </w:r>
    </w:p>
    <w:p w14:paraId="1E6EBA22" w14:textId="77777777" w:rsidR="003438A2" w:rsidRPr="00FF151F" w:rsidRDefault="003438A2" w:rsidP="00862DBA">
      <w:pPr>
        <w:pStyle w:val="Heading5"/>
      </w:pPr>
      <w:r w:rsidRPr="00FF151F">
        <w:t>Overall likelihood of entry</w:t>
      </w:r>
    </w:p>
    <w:p w14:paraId="18E765B3" w14:textId="77777777" w:rsidR="003438A2" w:rsidRDefault="003438A2" w:rsidP="00862DBA">
      <w:pPr>
        <w:rPr>
          <w:rFonts w:cstheme="minorHAnsi"/>
        </w:rPr>
      </w:pPr>
      <w:r w:rsidRPr="00FF151F">
        <w:t xml:space="preserve">The overall likelihood of entry is determined as </w:t>
      </w:r>
      <w:r>
        <w:t>Low</w:t>
      </w:r>
      <w:r w:rsidRPr="00FF151F">
        <w:t xml:space="preserve"> by combining the </w:t>
      </w:r>
      <w:r>
        <w:t>adopted</w:t>
      </w:r>
      <w:r w:rsidRPr="00FF151F">
        <w:t xml:space="preserve"> likelihood of importation of </w:t>
      </w:r>
      <w:r>
        <w:t>Moderate</w:t>
      </w:r>
      <w:r w:rsidRPr="00FF151F">
        <w:t xml:space="preserve"> with the adopted likelihood of distribution of </w:t>
      </w:r>
      <w:r>
        <w:t>Moderate</w:t>
      </w:r>
      <w:r w:rsidRPr="00FF151F">
        <w:t xml:space="preserve">, </w:t>
      </w:r>
      <w:r w:rsidRPr="00FF151F">
        <w:rPr>
          <w:rFonts w:cstheme="minorHAnsi"/>
        </w:rPr>
        <w:t xml:space="preserve">using the matrix of rules in </w:t>
      </w:r>
      <w:r>
        <w:rPr>
          <w:rFonts w:cstheme="minorHAnsi"/>
        </w:rPr>
        <w:fldChar w:fldCharType="begin" w:fldLock="1"/>
      </w:r>
      <w:r>
        <w:rPr>
          <w:rFonts w:cstheme="minorHAnsi"/>
        </w:rPr>
        <w:instrText xml:space="preserve"> REF _Ref457826328 \h </w:instrText>
      </w:r>
      <w:r>
        <w:rPr>
          <w:rFonts w:cstheme="minorHAnsi"/>
        </w:rPr>
      </w:r>
      <w:r>
        <w:rPr>
          <w:rFonts w:cstheme="minorHAnsi"/>
        </w:rPr>
        <w:fldChar w:fldCharType="separate"/>
      </w:r>
      <w:r w:rsidRPr="00DB5F8D">
        <w:t xml:space="preserve">Table </w:t>
      </w:r>
      <w:r>
        <w:rPr>
          <w:noProof/>
        </w:rPr>
        <w:t>2</w:t>
      </w:r>
      <w:r>
        <w:t>.</w:t>
      </w:r>
      <w:r>
        <w:rPr>
          <w:noProof/>
        </w:rPr>
        <w:t>2</w:t>
      </w:r>
      <w:r>
        <w:rPr>
          <w:rFonts w:cstheme="minorHAnsi"/>
        </w:rPr>
        <w:fldChar w:fldCharType="end"/>
      </w:r>
      <w:r>
        <w:rPr>
          <w:rFonts w:cstheme="minorHAnsi"/>
        </w:rPr>
        <w:t>.</w:t>
      </w:r>
    </w:p>
    <w:p w14:paraId="0035321D" w14:textId="77777777" w:rsidR="003438A2" w:rsidRPr="00924FB2" w:rsidRDefault="003438A2" w:rsidP="00862DBA">
      <w:pPr>
        <w:pStyle w:val="ListParagraph"/>
        <w:keepNext/>
        <w:keepLines/>
        <w:tabs>
          <w:tab w:val="num" w:pos="1645"/>
          <w:tab w:val="num" w:pos="2532"/>
        </w:tabs>
        <w:spacing w:before="120" w:after="120" w:line="240" w:lineRule="auto"/>
        <w:ind w:left="794"/>
        <w:outlineLvl w:val="3"/>
        <w:rPr>
          <w:rFonts w:ascii="Calibri" w:hAnsi="Calibri"/>
          <w:b/>
          <w:bCs/>
          <w:iCs/>
          <w:vanish/>
          <w:sz w:val="24"/>
        </w:rPr>
      </w:pPr>
    </w:p>
    <w:p w14:paraId="13D02AD9" w14:textId="77777777" w:rsidR="003438A2" w:rsidRPr="00FF151F" w:rsidRDefault="003438A2" w:rsidP="003438A2">
      <w:pPr>
        <w:pStyle w:val="Heading4"/>
        <w:numPr>
          <w:ilvl w:val="2"/>
          <w:numId w:val="31"/>
        </w:numPr>
        <w:tabs>
          <w:tab w:val="clear" w:pos="1645"/>
          <w:tab w:val="num" w:pos="794"/>
        </w:tabs>
        <w:ind w:left="1786"/>
      </w:pPr>
      <w:r w:rsidRPr="00FF151F">
        <w:t>Likelihood</w:t>
      </w:r>
      <w:r>
        <w:t>s</w:t>
      </w:r>
      <w:r w:rsidRPr="00FF151F">
        <w:t xml:space="preserve"> of establishment and spread</w:t>
      </w:r>
    </w:p>
    <w:p w14:paraId="34089609" w14:textId="77777777" w:rsidR="003438A2" w:rsidRPr="00FF151F" w:rsidRDefault="003438A2" w:rsidP="00862DBA">
      <w:pPr>
        <w:autoSpaceDE w:val="0"/>
        <w:autoSpaceDN w:val="0"/>
        <w:adjustRightInd w:val="0"/>
        <w:rPr>
          <w:rFonts w:cstheme="minorHAnsi"/>
        </w:rPr>
      </w:pPr>
      <w:r w:rsidRPr="00FF151F">
        <w:rPr>
          <w:rFonts w:cstheme="minorHAnsi"/>
        </w:rPr>
        <w:t xml:space="preserve">The likelihoods of establishment and spread for </w:t>
      </w:r>
      <w:r w:rsidRPr="00FF159E">
        <w:t xml:space="preserve">Tobacco necrosis viruses </w:t>
      </w:r>
      <w:r w:rsidRPr="00FF151F">
        <w:rPr>
          <w:rFonts w:cstheme="minorHAnsi"/>
        </w:rPr>
        <w:t xml:space="preserve">are independent of the import pathway and are considered similar to those previously assessed for apples from </w:t>
      </w:r>
      <w:r>
        <w:rPr>
          <w:rFonts w:cstheme="minorHAnsi"/>
        </w:rPr>
        <w:t>China</w:t>
      </w:r>
      <w:r w:rsidRPr="00FF151F">
        <w:rPr>
          <w:rFonts w:cstheme="minorHAnsi"/>
        </w:rPr>
        <w:t xml:space="preserve"> </w:t>
      </w:r>
      <w:r>
        <w:t>and</w:t>
      </w:r>
      <w:r w:rsidRPr="002072FF">
        <w:rPr>
          <w:color w:val="000000" w:themeColor="text1"/>
        </w:rPr>
        <w:t xml:space="preserve"> </w:t>
      </w:r>
      <w:r w:rsidRPr="003719C3">
        <w:t>stone fruit from California, Idaho, Oregon and Washington</w:t>
      </w:r>
      <w:r>
        <w:t xml:space="preserve"> </w:t>
      </w:r>
      <w:r w:rsidRPr="00FF151F">
        <w:rPr>
          <w:rFonts w:cstheme="minorHAnsi"/>
        </w:rPr>
        <w:t>pathway</w:t>
      </w:r>
      <w:r>
        <w:rPr>
          <w:rFonts w:cstheme="minorHAnsi"/>
        </w:rPr>
        <w:t>s</w:t>
      </w:r>
      <w:r w:rsidRPr="00FF151F">
        <w:rPr>
          <w:rFonts w:cstheme="minorHAnsi"/>
        </w:rPr>
        <w:t>.</w:t>
      </w:r>
    </w:p>
    <w:p w14:paraId="487098E3" w14:textId="77777777" w:rsidR="003438A2" w:rsidRPr="00FF151F" w:rsidRDefault="003438A2" w:rsidP="00862DBA">
      <w:pPr>
        <w:autoSpaceDE w:val="0"/>
        <w:autoSpaceDN w:val="0"/>
        <w:adjustRightInd w:val="0"/>
      </w:pPr>
      <w:r w:rsidRPr="00FF151F">
        <w:rPr>
          <w:rFonts w:cstheme="minorHAnsi"/>
        </w:rPr>
        <w:t>Based on the previous assessment</w:t>
      </w:r>
      <w:r>
        <w:rPr>
          <w:rFonts w:cstheme="minorHAnsi"/>
        </w:rPr>
        <w:t>s,</w:t>
      </w:r>
      <w:r w:rsidRPr="00FF151F">
        <w:rPr>
          <w:rFonts w:cstheme="minorHAnsi"/>
        </w:rPr>
        <w:t xml:space="preserve"> likelihoods of establishment and spread for </w:t>
      </w:r>
      <w:r w:rsidRPr="00FF159E">
        <w:t xml:space="preserve">Tobacco necrosis viruses </w:t>
      </w:r>
      <w:r w:rsidRPr="00FF151F">
        <w:rPr>
          <w:rFonts w:cstheme="minorHAnsi"/>
        </w:rPr>
        <w:t xml:space="preserve">are assessed as </w:t>
      </w:r>
      <w:r>
        <w:rPr>
          <w:rFonts w:cstheme="minorHAnsi"/>
        </w:rPr>
        <w:t>High</w:t>
      </w:r>
      <w:r w:rsidRPr="00FF151F">
        <w:rPr>
          <w:rFonts w:cstheme="minorHAnsi"/>
        </w:rPr>
        <w:t xml:space="preserve"> and </w:t>
      </w:r>
      <w:r>
        <w:rPr>
          <w:rFonts w:cstheme="minorHAnsi"/>
        </w:rPr>
        <w:t>High</w:t>
      </w:r>
      <w:r w:rsidRPr="00FF151F">
        <w:rPr>
          <w:rFonts w:cstheme="minorHAnsi"/>
        </w:rPr>
        <w:t>, respectively.</w:t>
      </w:r>
    </w:p>
    <w:p w14:paraId="22A622AB" w14:textId="77777777" w:rsidR="003438A2" w:rsidRPr="00BC1B9F" w:rsidRDefault="003438A2" w:rsidP="003438A2">
      <w:pPr>
        <w:pStyle w:val="Heading4"/>
        <w:numPr>
          <w:ilvl w:val="2"/>
          <w:numId w:val="31"/>
        </w:numPr>
        <w:tabs>
          <w:tab w:val="clear" w:pos="1645"/>
          <w:tab w:val="num" w:pos="794"/>
        </w:tabs>
        <w:ind w:left="1786"/>
      </w:pPr>
      <w:r w:rsidRPr="00BC1B9F">
        <w:t>Overall likelihood of entry, establishment and spread</w:t>
      </w:r>
    </w:p>
    <w:p w14:paraId="5A8CCAAB" w14:textId="77777777" w:rsidR="003438A2" w:rsidRPr="00BC1B9F" w:rsidRDefault="003438A2" w:rsidP="00862DBA">
      <w:pPr>
        <w:autoSpaceDE w:val="0"/>
        <w:autoSpaceDN w:val="0"/>
        <w:adjustRightInd w:val="0"/>
      </w:pPr>
      <w:r w:rsidRPr="00BC1B9F">
        <w:t>The overall likelihood of entry, establishment and spread is determined by combining the likelihoods of entry, of establishment and of spread using the matrix of rules shown in</w:t>
      </w:r>
      <w:r>
        <w:t xml:space="preserve"> </w:t>
      </w:r>
      <w:r>
        <w:fldChar w:fldCharType="begin" w:fldLock="1"/>
      </w:r>
      <w:r>
        <w:instrText xml:space="preserve"> REF _Ref457826328 \h </w:instrText>
      </w:r>
      <w:r>
        <w:fldChar w:fldCharType="separate"/>
      </w:r>
      <w:r w:rsidRPr="00DB5F8D">
        <w:t xml:space="preserve">Table </w:t>
      </w:r>
      <w:r>
        <w:rPr>
          <w:noProof/>
        </w:rPr>
        <w:t>2</w:t>
      </w:r>
      <w:r>
        <w:t>.</w:t>
      </w:r>
      <w:r>
        <w:rPr>
          <w:noProof/>
        </w:rPr>
        <w:t>2</w:t>
      </w:r>
      <w:r>
        <w:fldChar w:fldCharType="end"/>
      </w:r>
      <w:r>
        <w:t>.</w:t>
      </w:r>
    </w:p>
    <w:p w14:paraId="6647E613" w14:textId="77777777" w:rsidR="003438A2" w:rsidRPr="00BC1B9F" w:rsidRDefault="003438A2" w:rsidP="00862DBA">
      <w:pPr>
        <w:autoSpaceDE w:val="0"/>
        <w:autoSpaceDN w:val="0"/>
        <w:adjustRightInd w:val="0"/>
        <w:rPr>
          <w:rFonts w:cstheme="minorHAnsi"/>
        </w:rPr>
      </w:pPr>
      <w:r w:rsidRPr="00BC1B9F">
        <w:t xml:space="preserve">The overall likelihood that </w:t>
      </w:r>
      <w:r w:rsidRPr="00FF159E">
        <w:t xml:space="preserve">Tobacco necrosis viruses </w:t>
      </w:r>
      <w:r w:rsidRPr="00BC1B9F">
        <w:t xml:space="preserve">will enter Australia as a result of trade in apples from the PNW-USA, be distributed in a viable state to a susceptible part of a host, establish in Australia and subsequently spread within Australia is assessed as </w:t>
      </w:r>
      <w:r>
        <w:t>L</w:t>
      </w:r>
      <w:r w:rsidRPr="00BC1B9F">
        <w:t>ow</w:t>
      </w:r>
      <w:r w:rsidRPr="00BC1B9F">
        <w:rPr>
          <w:rFonts w:cstheme="minorHAnsi"/>
        </w:rPr>
        <w:t>.</w:t>
      </w:r>
    </w:p>
    <w:p w14:paraId="6F524C94" w14:textId="77777777" w:rsidR="003438A2" w:rsidRPr="00FF151F" w:rsidRDefault="003438A2" w:rsidP="003438A2">
      <w:pPr>
        <w:pStyle w:val="Heading4"/>
        <w:numPr>
          <w:ilvl w:val="2"/>
          <w:numId w:val="31"/>
        </w:numPr>
        <w:tabs>
          <w:tab w:val="clear" w:pos="1645"/>
          <w:tab w:val="num" w:pos="794"/>
        </w:tabs>
        <w:ind w:left="1786"/>
      </w:pPr>
      <w:r w:rsidRPr="00FF151F">
        <w:t>Consequences</w:t>
      </w:r>
    </w:p>
    <w:p w14:paraId="4350B643" w14:textId="77777777" w:rsidR="003438A2" w:rsidRPr="00FF151F" w:rsidRDefault="003438A2" w:rsidP="00862DBA">
      <w:pPr>
        <w:autoSpaceDE w:val="0"/>
        <w:autoSpaceDN w:val="0"/>
        <w:adjustRightInd w:val="0"/>
        <w:rPr>
          <w:rFonts w:cstheme="minorHAnsi"/>
        </w:rPr>
      </w:pPr>
      <w:r w:rsidRPr="00FF151F">
        <w:t xml:space="preserve">The potential consequences of the entry, establishment and spread of </w:t>
      </w:r>
      <w:r w:rsidRPr="00FF159E">
        <w:t xml:space="preserve">Tobacco necrosis viruses </w:t>
      </w:r>
      <w:r w:rsidRPr="00FF151F">
        <w:t xml:space="preserve">in Australia are similar to those in the previous assessment for </w:t>
      </w:r>
      <w:r w:rsidRPr="00FF159E">
        <w:t xml:space="preserve">Tobacco necrosis viruses </w:t>
      </w:r>
      <w:r w:rsidRPr="00FF151F">
        <w:t xml:space="preserve">on </w:t>
      </w:r>
      <w:r>
        <w:t xml:space="preserve">the </w:t>
      </w:r>
      <w:r w:rsidRPr="00FF151F">
        <w:t xml:space="preserve">apples from </w:t>
      </w:r>
      <w:r>
        <w:t>China</w:t>
      </w:r>
      <w:r w:rsidRPr="00FF151F">
        <w:t xml:space="preserve"> </w:t>
      </w:r>
      <w:r>
        <w:t>and</w:t>
      </w:r>
      <w:r w:rsidRPr="002072FF">
        <w:rPr>
          <w:color w:val="000000" w:themeColor="text1"/>
        </w:rPr>
        <w:t xml:space="preserve"> </w:t>
      </w:r>
      <w:r w:rsidRPr="003719C3">
        <w:t>stone fruit from California, Idaho, Oregon and Washington</w:t>
      </w:r>
      <w:r>
        <w:t xml:space="preserve"> </w:t>
      </w:r>
      <w:r w:rsidRPr="00FF151F">
        <w:t>pathway</w:t>
      </w:r>
      <w:r>
        <w:t>s</w:t>
      </w:r>
      <w:r w:rsidRPr="00FF151F">
        <w:t xml:space="preserve">, which were assessed as </w:t>
      </w:r>
      <w:r>
        <w:t xml:space="preserve">Very </w:t>
      </w:r>
      <w:r w:rsidRPr="00FF151F">
        <w:t xml:space="preserve">Low. The overall consequences for </w:t>
      </w:r>
      <w:r w:rsidRPr="00FF159E">
        <w:t xml:space="preserve">Tobacco necrosis viruses </w:t>
      </w:r>
      <w:r w:rsidRPr="00FF151F">
        <w:t>on</w:t>
      </w:r>
      <w:r>
        <w:t xml:space="preserve"> the</w:t>
      </w:r>
      <w:r w:rsidRPr="00FF151F">
        <w:t xml:space="preserve"> apples from PNW-USA pathway are also assessed as </w:t>
      </w:r>
      <w:r>
        <w:t>Very Low</w:t>
      </w:r>
      <w:r w:rsidRPr="00FF151F">
        <w:t>.</w:t>
      </w:r>
    </w:p>
    <w:p w14:paraId="0A6D02C8" w14:textId="77777777" w:rsidR="003438A2" w:rsidRPr="00FF151F" w:rsidRDefault="003438A2" w:rsidP="003438A2">
      <w:pPr>
        <w:pStyle w:val="Heading4"/>
        <w:numPr>
          <w:ilvl w:val="2"/>
          <w:numId w:val="31"/>
        </w:numPr>
        <w:tabs>
          <w:tab w:val="clear" w:pos="1645"/>
          <w:tab w:val="num" w:pos="794"/>
        </w:tabs>
        <w:ind w:left="1786"/>
      </w:pPr>
      <w:r w:rsidRPr="00FF151F">
        <w:lastRenderedPageBreak/>
        <w:t>Unrestricted risk estimate</w:t>
      </w:r>
    </w:p>
    <w:p w14:paraId="13106F5A" w14:textId="77777777" w:rsidR="003438A2" w:rsidRPr="00FF151F" w:rsidRDefault="003438A2" w:rsidP="00862DBA">
      <w:r w:rsidRPr="00FF151F">
        <w:t xml:space="preserve">Unrestricted risk is the result of combining the </w:t>
      </w:r>
      <w:r>
        <w:t xml:space="preserve">overall </w:t>
      </w:r>
      <w:r w:rsidRPr="001A4104">
        <w:t>likelihood</w:t>
      </w:r>
      <w:r w:rsidRPr="00FF151F">
        <w:t xml:space="preserve"> of entry, establishment and spread with the outcome of overall consequences. </w:t>
      </w:r>
      <w:r>
        <w:t>The overall l</w:t>
      </w:r>
      <w:r w:rsidRPr="00FF151F">
        <w:t>ikelihood and consequences are combined using the risk estimation matrix shown in</w:t>
      </w:r>
      <w:r>
        <w:t xml:space="preserve"> </w:t>
      </w:r>
      <w:r>
        <w:fldChar w:fldCharType="begin" w:fldLock="1"/>
      </w:r>
      <w:r>
        <w:instrText xml:space="preserve"> REF _Ref457826369 \h </w:instrText>
      </w:r>
      <w:r>
        <w:fldChar w:fldCharType="separate"/>
      </w:r>
      <w:r>
        <w:t xml:space="preserve">Table </w:t>
      </w:r>
      <w:r>
        <w:rPr>
          <w:noProof/>
        </w:rPr>
        <w:t>2</w:t>
      </w:r>
      <w:r>
        <w:t>.</w:t>
      </w:r>
      <w:r>
        <w:rPr>
          <w:noProof/>
        </w:rPr>
        <w:t>5</w:t>
      </w:r>
      <w:r>
        <w:fldChar w:fldCharType="end"/>
      </w:r>
      <w:r>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3438A2" w:rsidRPr="00FF151F" w14:paraId="424EB81F" w14:textId="77777777" w:rsidTr="001A4104">
        <w:trPr>
          <w:trHeight w:val="423"/>
        </w:trPr>
        <w:tc>
          <w:tcPr>
            <w:tcW w:w="5000" w:type="pct"/>
            <w:gridSpan w:val="2"/>
            <w:tcBorders>
              <w:top w:val="single" w:sz="4" w:space="0" w:color="auto"/>
              <w:bottom w:val="single" w:sz="4" w:space="0" w:color="auto"/>
            </w:tcBorders>
            <w:shd w:val="clear" w:color="auto" w:fill="auto"/>
          </w:tcPr>
          <w:p w14:paraId="788C881D" w14:textId="77777777" w:rsidR="003438A2" w:rsidRPr="00FF151F" w:rsidRDefault="003438A2" w:rsidP="001A4104">
            <w:pPr>
              <w:pStyle w:val="TableHeading"/>
            </w:pPr>
            <w:r w:rsidRPr="00FF151F">
              <w:t xml:space="preserve">Unrestricted risk estimate for </w:t>
            </w:r>
            <w:r w:rsidRPr="00FF159E">
              <w:t>Tobacco necrosis viruses</w:t>
            </w:r>
          </w:p>
        </w:tc>
      </w:tr>
      <w:tr w:rsidR="003438A2" w:rsidRPr="00FF151F" w14:paraId="64C99FF9" w14:textId="77777777" w:rsidTr="001A4104">
        <w:trPr>
          <w:trHeight w:val="273"/>
        </w:trPr>
        <w:tc>
          <w:tcPr>
            <w:tcW w:w="3417" w:type="pct"/>
            <w:tcBorders>
              <w:top w:val="single" w:sz="4" w:space="0" w:color="auto"/>
              <w:bottom w:val="nil"/>
            </w:tcBorders>
            <w:shd w:val="clear" w:color="auto" w:fill="auto"/>
          </w:tcPr>
          <w:p w14:paraId="60FA5334" w14:textId="77777777" w:rsidR="003438A2" w:rsidRPr="00FF151F" w:rsidRDefault="003438A2" w:rsidP="001A4104">
            <w:pPr>
              <w:pStyle w:val="TableText"/>
            </w:pPr>
            <w:r w:rsidRPr="00FF151F">
              <w:t>Overall likelihood of entry, establishment and spread</w:t>
            </w:r>
          </w:p>
        </w:tc>
        <w:tc>
          <w:tcPr>
            <w:tcW w:w="1583" w:type="pct"/>
            <w:tcBorders>
              <w:top w:val="single" w:sz="4" w:space="0" w:color="auto"/>
              <w:bottom w:val="nil"/>
            </w:tcBorders>
            <w:shd w:val="clear" w:color="auto" w:fill="auto"/>
          </w:tcPr>
          <w:p w14:paraId="7E56D8D7" w14:textId="77777777" w:rsidR="003438A2" w:rsidRPr="00FF151F" w:rsidRDefault="003438A2" w:rsidP="001A4104">
            <w:pPr>
              <w:pStyle w:val="TableText"/>
            </w:pPr>
            <w:r>
              <w:t>L</w:t>
            </w:r>
            <w:r w:rsidRPr="00FF151F">
              <w:t>ow</w:t>
            </w:r>
          </w:p>
        </w:tc>
      </w:tr>
      <w:tr w:rsidR="003438A2" w:rsidRPr="00FF151F" w14:paraId="044282D6" w14:textId="77777777" w:rsidTr="001A4104">
        <w:trPr>
          <w:trHeight w:val="284"/>
        </w:trPr>
        <w:tc>
          <w:tcPr>
            <w:tcW w:w="3417" w:type="pct"/>
            <w:tcBorders>
              <w:top w:val="nil"/>
              <w:bottom w:val="nil"/>
            </w:tcBorders>
            <w:shd w:val="clear" w:color="auto" w:fill="auto"/>
          </w:tcPr>
          <w:p w14:paraId="260AF4A4" w14:textId="77777777" w:rsidR="003438A2" w:rsidRPr="00FF151F" w:rsidRDefault="003438A2" w:rsidP="001A4104">
            <w:pPr>
              <w:pStyle w:val="TableText"/>
            </w:pPr>
            <w:r w:rsidRPr="00FF151F">
              <w:t>Consequences</w:t>
            </w:r>
          </w:p>
        </w:tc>
        <w:tc>
          <w:tcPr>
            <w:tcW w:w="1583" w:type="pct"/>
            <w:tcBorders>
              <w:top w:val="nil"/>
              <w:bottom w:val="nil"/>
            </w:tcBorders>
            <w:shd w:val="clear" w:color="auto" w:fill="auto"/>
          </w:tcPr>
          <w:p w14:paraId="0D58019C" w14:textId="77777777" w:rsidR="003438A2" w:rsidRPr="00FF151F" w:rsidRDefault="003438A2" w:rsidP="001A4104">
            <w:pPr>
              <w:pStyle w:val="TableText"/>
            </w:pPr>
            <w:r>
              <w:t>Very Low</w:t>
            </w:r>
          </w:p>
        </w:tc>
      </w:tr>
      <w:tr w:rsidR="003438A2" w:rsidRPr="00FF151F" w14:paraId="688B1131" w14:textId="77777777" w:rsidTr="001A4104">
        <w:trPr>
          <w:trHeight w:val="284"/>
        </w:trPr>
        <w:tc>
          <w:tcPr>
            <w:tcW w:w="3417" w:type="pct"/>
            <w:tcBorders>
              <w:top w:val="nil"/>
              <w:bottom w:val="single" w:sz="4" w:space="0" w:color="auto"/>
            </w:tcBorders>
            <w:shd w:val="clear" w:color="auto" w:fill="auto"/>
          </w:tcPr>
          <w:p w14:paraId="06A1F1F6" w14:textId="77777777" w:rsidR="003438A2" w:rsidRPr="00FF151F" w:rsidRDefault="003438A2" w:rsidP="001A4104">
            <w:pPr>
              <w:pStyle w:val="TableText"/>
            </w:pPr>
            <w:r w:rsidRPr="00FF151F">
              <w:t>Unrestricted risk</w:t>
            </w:r>
          </w:p>
        </w:tc>
        <w:tc>
          <w:tcPr>
            <w:tcW w:w="1583" w:type="pct"/>
            <w:tcBorders>
              <w:top w:val="nil"/>
              <w:bottom w:val="single" w:sz="4" w:space="0" w:color="auto"/>
            </w:tcBorders>
            <w:shd w:val="clear" w:color="auto" w:fill="auto"/>
          </w:tcPr>
          <w:p w14:paraId="0DCC0FE9" w14:textId="77777777" w:rsidR="003438A2" w:rsidRPr="00FF151F" w:rsidRDefault="003438A2" w:rsidP="001A4104">
            <w:pPr>
              <w:pStyle w:val="TableText"/>
            </w:pPr>
            <w:r>
              <w:t>Negligible</w:t>
            </w:r>
          </w:p>
        </w:tc>
      </w:tr>
    </w:tbl>
    <w:p w14:paraId="3A1F83CE" w14:textId="77777777" w:rsidR="003438A2" w:rsidRDefault="003438A2" w:rsidP="00862DBA">
      <w:pPr>
        <w:spacing w:before="120"/>
      </w:pPr>
      <w:r>
        <w:t>T</w:t>
      </w:r>
      <w:r w:rsidRPr="0094682F">
        <w:t xml:space="preserve">he unrestricted risk estimate for </w:t>
      </w:r>
      <w:r w:rsidRPr="00FF159E">
        <w:t xml:space="preserve">Tobacco necrosis viruses </w:t>
      </w:r>
      <w:r>
        <w:t xml:space="preserve">on apples from the PNW-USA has been assessed </w:t>
      </w:r>
      <w:r w:rsidRPr="0094682F">
        <w:t xml:space="preserve">as </w:t>
      </w:r>
      <w:r>
        <w:t>Negligible</w:t>
      </w:r>
      <w:r w:rsidRPr="0094682F">
        <w:t xml:space="preserve">, which </w:t>
      </w:r>
      <w:r>
        <w:t xml:space="preserve">achieves the ALOP for </w:t>
      </w:r>
      <w:r w:rsidRPr="0094682F">
        <w:t xml:space="preserve">Australia. Therefore, </w:t>
      </w:r>
      <w:r>
        <w:t xml:space="preserve">no </w:t>
      </w:r>
      <w:r w:rsidRPr="0094682F">
        <w:t xml:space="preserve">specific risk management measures are required for </w:t>
      </w:r>
      <w:r w:rsidRPr="00FF159E">
        <w:t xml:space="preserve">Tobacco necrosis viruses </w:t>
      </w:r>
      <w:r>
        <w:t>on the PNW-USA apple pathway</w:t>
      </w:r>
      <w:r w:rsidRPr="0094682F">
        <w:t>.</w:t>
      </w:r>
    </w:p>
    <w:p w14:paraId="66104B1A" w14:textId="77777777" w:rsidR="003438A2" w:rsidRDefault="003438A2" w:rsidP="003B7637">
      <w:pPr>
        <w:spacing w:before="120"/>
      </w:pPr>
    </w:p>
    <w:bookmarkEnd w:id="387"/>
    <w:p w14:paraId="1A1E1969" w14:textId="77777777" w:rsidR="003438A2" w:rsidRDefault="003438A2" w:rsidP="002012B7">
      <w:pPr>
        <w:sectPr w:rsidR="003438A2" w:rsidSect="00E310DC">
          <w:headerReference w:type="even" r:id="rId72"/>
          <w:headerReference w:type="default" r:id="rId73"/>
          <w:headerReference w:type="first" r:id="rId74"/>
          <w:pgSz w:w="11906" w:h="16838"/>
          <w:pgMar w:top="1418" w:right="1418" w:bottom="1418" w:left="1418" w:header="567" w:footer="283" w:gutter="0"/>
          <w:cols w:space="708"/>
          <w:docGrid w:linePitch="360"/>
        </w:sectPr>
      </w:pPr>
    </w:p>
    <w:p w14:paraId="0FC19961" w14:textId="77777777" w:rsidR="003438A2" w:rsidRPr="003D2023" w:rsidRDefault="003438A2" w:rsidP="0011549E">
      <w:pPr>
        <w:pStyle w:val="Heading3"/>
        <w:keepNext w:val="0"/>
        <w:keepLines w:val="0"/>
      </w:pPr>
      <w:bookmarkStart w:id="467" w:name="_Toc389741455"/>
      <w:bookmarkStart w:id="468" w:name="_Toc497377932"/>
      <w:bookmarkStart w:id="469" w:name="_Toc112769027"/>
      <w:bookmarkStart w:id="470" w:name="_Hlk104385418"/>
      <w:bookmarkEnd w:id="78"/>
      <w:bookmarkEnd w:id="463"/>
      <w:r w:rsidRPr="003D2023">
        <w:lastRenderedPageBreak/>
        <w:t>Pest risk assessment conclusions</w:t>
      </w:r>
      <w:bookmarkEnd w:id="467"/>
      <w:bookmarkEnd w:id="468"/>
      <w:bookmarkEnd w:id="469"/>
    </w:p>
    <w:p w14:paraId="1125D59D" w14:textId="77777777" w:rsidR="003438A2" w:rsidRPr="00752411" w:rsidRDefault="003438A2" w:rsidP="000932EF">
      <w:pPr>
        <w:pStyle w:val="Caption"/>
      </w:pPr>
      <w:bookmarkStart w:id="471" w:name="_Ref45009512"/>
      <w:bookmarkStart w:id="472" w:name="_Toc384979285"/>
      <w:bookmarkStart w:id="473" w:name="_Toc389741477"/>
      <w:bookmarkStart w:id="474" w:name="_Toc497377963"/>
      <w:bookmarkStart w:id="475" w:name="_Toc16000303"/>
      <w:bookmarkStart w:id="476" w:name="_Ref108445844"/>
      <w:bookmarkStart w:id="477" w:name="_Toc112770169"/>
      <w:r>
        <w:t xml:space="preserve">Table </w:t>
      </w:r>
      <w:fldSimple w:instr=" STYLEREF 2 \s " w:fldLock="1">
        <w:r>
          <w:rPr>
            <w:noProof/>
          </w:rPr>
          <w:t>4</w:t>
        </w:r>
      </w:fldSimple>
      <w:r>
        <w:t>.</w:t>
      </w:r>
      <w:fldSimple w:instr=" SEQ Table \* ARABIC \s 2 " w:fldLock="1">
        <w:r>
          <w:rPr>
            <w:noProof/>
          </w:rPr>
          <w:t>8</w:t>
        </w:r>
      </w:fldSimple>
      <w:bookmarkEnd w:id="471"/>
      <w:r>
        <w:t xml:space="preserve"> </w:t>
      </w:r>
      <w:r w:rsidRPr="00752411">
        <w:t xml:space="preserve">Summary of unrestricted risk estimates for quarantine and regulated pests associated </w:t>
      </w:r>
      <w:bookmarkEnd w:id="472"/>
      <w:bookmarkEnd w:id="473"/>
      <w:bookmarkEnd w:id="474"/>
      <w:r w:rsidRPr="00752411">
        <w:t>with apples from the Pacific Northwest</w:t>
      </w:r>
      <w:bookmarkEnd w:id="475"/>
      <w:bookmarkEnd w:id="476"/>
      <w:bookmarkEnd w:id="477"/>
    </w:p>
    <w:tbl>
      <w:tblPr>
        <w:tblW w:w="4731" w:type="pct"/>
        <w:tblBorders>
          <w:top w:val="single" w:sz="4" w:space="0" w:color="auto"/>
          <w:left w:val="single" w:sz="4" w:space="0" w:color="auto"/>
          <w:bottom w:val="single" w:sz="4" w:space="0" w:color="auto"/>
          <w:right w:val="single" w:sz="4" w:space="0" w:color="auto"/>
          <w:insideH w:val="single" w:sz="4" w:space="0" w:color="BFBFBF" w:themeColor="background1" w:themeShade="BF"/>
        </w:tblBorders>
        <w:tblLayout w:type="fixed"/>
        <w:tblLook w:val="0000" w:firstRow="0" w:lastRow="0" w:firstColumn="0" w:lastColumn="0" w:noHBand="0" w:noVBand="0"/>
      </w:tblPr>
      <w:tblGrid>
        <w:gridCol w:w="2699"/>
        <w:gridCol w:w="1161"/>
        <w:gridCol w:w="1277"/>
        <w:gridCol w:w="1177"/>
        <w:gridCol w:w="1418"/>
        <w:gridCol w:w="986"/>
        <w:gridCol w:w="1487"/>
        <w:gridCol w:w="1558"/>
        <w:gridCol w:w="344"/>
        <w:gridCol w:w="933"/>
        <w:gridCol w:w="209"/>
      </w:tblGrid>
      <w:tr w:rsidR="003438A2" w:rsidRPr="00752411" w14:paraId="6AA3C528" w14:textId="77777777" w:rsidTr="005643E8">
        <w:trPr>
          <w:tblHeader/>
        </w:trPr>
        <w:tc>
          <w:tcPr>
            <w:tcW w:w="3851" w:type="pct"/>
            <w:gridSpan w:val="7"/>
            <w:tcBorders>
              <w:top w:val="single" w:sz="4" w:space="0" w:color="auto"/>
              <w:left w:val="nil"/>
              <w:bottom w:val="nil"/>
            </w:tcBorders>
          </w:tcPr>
          <w:p w14:paraId="7380A46D" w14:textId="77777777" w:rsidR="003438A2" w:rsidRPr="00752411" w:rsidRDefault="003438A2" w:rsidP="005643E8">
            <w:pPr>
              <w:pStyle w:val="TableHeading"/>
              <w:jc w:val="center"/>
            </w:pPr>
            <w:r w:rsidRPr="00752411">
              <w:t>Likelihood of</w:t>
            </w:r>
          </w:p>
        </w:tc>
        <w:tc>
          <w:tcPr>
            <w:tcW w:w="718" w:type="pct"/>
            <w:gridSpan w:val="2"/>
            <w:tcBorders>
              <w:top w:val="single" w:sz="4" w:space="0" w:color="auto"/>
            </w:tcBorders>
            <w:shd w:val="clear" w:color="auto" w:fill="auto"/>
          </w:tcPr>
          <w:p w14:paraId="2930D2E0" w14:textId="77777777" w:rsidR="003438A2" w:rsidRPr="00752411" w:rsidRDefault="003438A2" w:rsidP="005643E8">
            <w:pPr>
              <w:pStyle w:val="TableHeading"/>
            </w:pPr>
            <w:r w:rsidRPr="00752411">
              <w:t>Consequences</w:t>
            </w:r>
          </w:p>
        </w:tc>
        <w:tc>
          <w:tcPr>
            <w:tcW w:w="431" w:type="pct"/>
            <w:gridSpan w:val="2"/>
            <w:tcBorders>
              <w:top w:val="single" w:sz="4" w:space="0" w:color="auto"/>
              <w:right w:val="nil"/>
            </w:tcBorders>
            <w:shd w:val="clear" w:color="auto" w:fill="auto"/>
          </w:tcPr>
          <w:p w14:paraId="511696CB" w14:textId="77777777" w:rsidR="003438A2" w:rsidRPr="00752411" w:rsidRDefault="003438A2" w:rsidP="005643E8">
            <w:pPr>
              <w:pStyle w:val="TableHeading"/>
            </w:pPr>
            <w:r w:rsidRPr="00752411">
              <w:t>URE</w:t>
            </w:r>
          </w:p>
        </w:tc>
      </w:tr>
      <w:tr w:rsidR="003438A2" w:rsidRPr="00752411" w14:paraId="431A9968" w14:textId="77777777" w:rsidTr="005643E8">
        <w:trPr>
          <w:gridAfter w:val="1"/>
          <w:wAfter w:w="79" w:type="pct"/>
          <w:tblHeader/>
        </w:trPr>
        <w:tc>
          <w:tcPr>
            <w:tcW w:w="1019" w:type="pct"/>
            <w:vMerge w:val="restart"/>
            <w:tcBorders>
              <w:top w:val="nil"/>
              <w:left w:val="nil"/>
              <w:bottom w:val="nil"/>
              <w:right w:val="nil"/>
            </w:tcBorders>
          </w:tcPr>
          <w:p w14:paraId="27CF8073" w14:textId="77777777" w:rsidR="003438A2" w:rsidRPr="00752411" w:rsidRDefault="003438A2" w:rsidP="005643E8">
            <w:pPr>
              <w:pStyle w:val="TableHeading"/>
            </w:pPr>
            <w:r w:rsidRPr="00752411">
              <w:t>Pest name</w:t>
            </w:r>
          </w:p>
        </w:tc>
        <w:tc>
          <w:tcPr>
            <w:tcW w:w="1364" w:type="pct"/>
            <w:gridSpan w:val="3"/>
            <w:tcBorders>
              <w:top w:val="single" w:sz="4" w:space="0" w:color="BFBFBF" w:themeColor="background1" w:themeShade="BF"/>
              <w:left w:val="nil"/>
            </w:tcBorders>
            <w:shd w:val="clear" w:color="auto" w:fill="auto"/>
            <w:vAlign w:val="center"/>
          </w:tcPr>
          <w:p w14:paraId="5E7F8B5A" w14:textId="77777777" w:rsidR="003438A2" w:rsidRPr="00752411" w:rsidRDefault="003438A2" w:rsidP="005643E8">
            <w:pPr>
              <w:pStyle w:val="TableText"/>
              <w:rPr>
                <w:b/>
              </w:rPr>
            </w:pPr>
            <w:r w:rsidRPr="00752411">
              <w:rPr>
                <w:b/>
              </w:rPr>
              <w:t>Entry</w:t>
            </w:r>
          </w:p>
        </w:tc>
        <w:tc>
          <w:tcPr>
            <w:tcW w:w="535" w:type="pct"/>
            <w:vMerge w:val="restart"/>
            <w:tcBorders>
              <w:top w:val="single" w:sz="4" w:space="0" w:color="BFBFBF" w:themeColor="background1" w:themeShade="BF"/>
            </w:tcBorders>
            <w:shd w:val="clear" w:color="auto" w:fill="auto"/>
          </w:tcPr>
          <w:p w14:paraId="5E11D1C9" w14:textId="77777777" w:rsidR="003438A2" w:rsidRPr="00752411" w:rsidRDefault="003438A2" w:rsidP="005643E8">
            <w:pPr>
              <w:pStyle w:val="TableText"/>
              <w:rPr>
                <w:b/>
              </w:rPr>
            </w:pPr>
            <w:r w:rsidRPr="00752411">
              <w:rPr>
                <w:b/>
              </w:rPr>
              <w:t>Establishment</w:t>
            </w:r>
          </w:p>
        </w:tc>
        <w:tc>
          <w:tcPr>
            <w:tcW w:w="372" w:type="pct"/>
            <w:vMerge w:val="restart"/>
            <w:tcBorders>
              <w:top w:val="single" w:sz="4" w:space="0" w:color="BFBFBF" w:themeColor="background1" w:themeShade="BF"/>
            </w:tcBorders>
            <w:shd w:val="clear" w:color="auto" w:fill="auto"/>
          </w:tcPr>
          <w:p w14:paraId="6CAA00E8" w14:textId="77777777" w:rsidR="003438A2" w:rsidRPr="00752411" w:rsidRDefault="003438A2" w:rsidP="005643E8">
            <w:pPr>
              <w:pStyle w:val="TableText"/>
              <w:rPr>
                <w:b/>
              </w:rPr>
            </w:pPr>
            <w:r w:rsidRPr="00752411">
              <w:rPr>
                <w:b/>
              </w:rPr>
              <w:t>Spread</w:t>
            </w:r>
          </w:p>
        </w:tc>
        <w:tc>
          <w:tcPr>
            <w:tcW w:w="561" w:type="pct"/>
            <w:vMerge w:val="restart"/>
            <w:tcBorders>
              <w:top w:val="single" w:sz="4" w:space="0" w:color="BFBFBF" w:themeColor="background1" w:themeShade="BF"/>
            </w:tcBorders>
            <w:shd w:val="clear" w:color="auto" w:fill="auto"/>
          </w:tcPr>
          <w:p w14:paraId="50F1ABE8" w14:textId="77777777" w:rsidR="003438A2" w:rsidRPr="00752411" w:rsidRDefault="003438A2" w:rsidP="005643E8">
            <w:pPr>
              <w:pStyle w:val="TableText"/>
              <w:rPr>
                <w:b/>
              </w:rPr>
            </w:pPr>
            <w:r w:rsidRPr="00752411">
              <w:rPr>
                <w:b/>
              </w:rPr>
              <w:t>EES</w:t>
            </w:r>
          </w:p>
        </w:tc>
        <w:tc>
          <w:tcPr>
            <w:tcW w:w="588" w:type="pct"/>
            <w:shd w:val="clear" w:color="auto" w:fill="auto"/>
          </w:tcPr>
          <w:p w14:paraId="625CC536" w14:textId="77777777" w:rsidR="003438A2" w:rsidRPr="00752411" w:rsidRDefault="003438A2" w:rsidP="005643E8">
            <w:pPr>
              <w:pStyle w:val="TableText"/>
            </w:pPr>
          </w:p>
        </w:tc>
        <w:tc>
          <w:tcPr>
            <w:tcW w:w="482" w:type="pct"/>
            <w:gridSpan w:val="2"/>
            <w:vMerge w:val="restart"/>
            <w:tcBorders>
              <w:right w:val="nil"/>
            </w:tcBorders>
            <w:shd w:val="clear" w:color="auto" w:fill="auto"/>
          </w:tcPr>
          <w:p w14:paraId="1C0691F8" w14:textId="77777777" w:rsidR="003438A2" w:rsidRPr="00752411" w:rsidRDefault="003438A2" w:rsidP="005643E8">
            <w:pPr>
              <w:pStyle w:val="TableText"/>
            </w:pPr>
          </w:p>
        </w:tc>
      </w:tr>
      <w:tr w:rsidR="003438A2" w:rsidRPr="00752411" w14:paraId="5AD5EEEB" w14:textId="77777777" w:rsidTr="005643E8">
        <w:trPr>
          <w:gridAfter w:val="1"/>
          <w:wAfter w:w="79" w:type="pct"/>
          <w:trHeight w:val="382"/>
          <w:tblHeader/>
        </w:trPr>
        <w:tc>
          <w:tcPr>
            <w:tcW w:w="1019" w:type="pct"/>
            <w:vMerge/>
            <w:tcBorders>
              <w:top w:val="single" w:sz="4" w:space="0" w:color="BFBFBF" w:themeColor="background1" w:themeShade="BF"/>
              <w:left w:val="nil"/>
              <w:bottom w:val="nil"/>
              <w:right w:val="nil"/>
            </w:tcBorders>
          </w:tcPr>
          <w:p w14:paraId="6E7BFB1A" w14:textId="77777777" w:rsidR="003438A2" w:rsidRPr="00752411" w:rsidRDefault="003438A2" w:rsidP="005643E8">
            <w:pPr>
              <w:pStyle w:val="TableText"/>
            </w:pPr>
          </w:p>
        </w:tc>
        <w:tc>
          <w:tcPr>
            <w:tcW w:w="438" w:type="pct"/>
            <w:tcBorders>
              <w:left w:val="nil"/>
            </w:tcBorders>
            <w:shd w:val="clear" w:color="auto" w:fill="auto"/>
          </w:tcPr>
          <w:p w14:paraId="255D09DC" w14:textId="77777777" w:rsidR="003438A2" w:rsidRPr="00752411" w:rsidRDefault="003438A2" w:rsidP="005643E8">
            <w:pPr>
              <w:pStyle w:val="TableText"/>
            </w:pPr>
            <w:r w:rsidRPr="00752411">
              <w:t>Importation</w:t>
            </w:r>
          </w:p>
        </w:tc>
        <w:tc>
          <w:tcPr>
            <w:tcW w:w="482" w:type="pct"/>
            <w:shd w:val="clear" w:color="auto" w:fill="auto"/>
          </w:tcPr>
          <w:p w14:paraId="7D5008AC" w14:textId="77777777" w:rsidR="003438A2" w:rsidRPr="00752411" w:rsidRDefault="003438A2" w:rsidP="005643E8">
            <w:pPr>
              <w:pStyle w:val="TableText"/>
            </w:pPr>
            <w:r w:rsidRPr="00752411">
              <w:t>Distribution</w:t>
            </w:r>
          </w:p>
        </w:tc>
        <w:tc>
          <w:tcPr>
            <w:tcW w:w="444" w:type="pct"/>
            <w:shd w:val="clear" w:color="auto" w:fill="auto"/>
          </w:tcPr>
          <w:p w14:paraId="0269A0D4" w14:textId="77777777" w:rsidR="003438A2" w:rsidRPr="00752411" w:rsidRDefault="003438A2" w:rsidP="005643E8">
            <w:pPr>
              <w:pStyle w:val="TableText"/>
              <w:rPr>
                <w:b/>
              </w:rPr>
            </w:pPr>
            <w:r w:rsidRPr="00752411">
              <w:rPr>
                <w:b/>
              </w:rPr>
              <w:t>Overall</w:t>
            </w:r>
          </w:p>
        </w:tc>
        <w:tc>
          <w:tcPr>
            <w:tcW w:w="535" w:type="pct"/>
            <w:vMerge/>
            <w:shd w:val="clear" w:color="auto" w:fill="auto"/>
          </w:tcPr>
          <w:p w14:paraId="294B9FB0" w14:textId="77777777" w:rsidR="003438A2" w:rsidRPr="00752411" w:rsidRDefault="003438A2" w:rsidP="005643E8">
            <w:pPr>
              <w:pStyle w:val="TableText"/>
            </w:pPr>
          </w:p>
        </w:tc>
        <w:tc>
          <w:tcPr>
            <w:tcW w:w="372" w:type="pct"/>
            <w:vMerge/>
            <w:shd w:val="clear" w:color="auto" w:fill="auto"/>
          </w:tcPr>
          <w:p w14:paraId="5539DF08" w14:textId="77777777" w:rsidR="003438A2" w:rsidRPr="00752411" w:rsidRDefault="003438A2" w:rsidP="005643E8">
            <w:pPr>
              <w:pStyle w:val="TableText"/>
            </w:pPr>
          </w:p>
        </w:tc>
        <w:tc>
          <w:tcPr>
            <w:tcW w:w="561" w:type="pct"/>
            <w:vMerge/>
            <w:shd w:val="clear" w:color="auto" w:fill="auto"/>
          </w:tcPr>
          <w:p w14:paraId="282E1A50" w14:textId="77777777" w:rsidR="003438A2" w:rsidRPr="00752411" w:rsidRDefault="003438A2" w:rsidP="005643E8">
            <w:pPr>
              <w:pStyle w:val="TableText"/>
            </w:pPr>
          </w:p>
        </w:tc>
        <w:tc>
          <w:tcPr>
            <w:tcW w:w="588" w:type="pct"/>
            <w:shd w:val="clear" w:color="auto" w:fill="auto"/>
          </w:tcPr>
          <w:p w14:paraId="0BB431D4" w14:textId="77777777" w:rsidR="003438A2" w:rsidRPr="00752411" w:rsidRDefault="003438A2" w:rsidP="005643E8">
            <w:pPr>
              <w:pStyle w:val="TableText"/>
              <w:rPr>
                <w:b/>
              </w:rPr>
            </w:pPr>
            <w:r w:rsidRPr="00752411">
              <w:rPr>
                <w:b/>
              </w:rPr>
              <w:t>Overall</w:t>
            </w:r>
          </w:p>
        </w:tc>
        <w:tc>
          <w:tcPr>
            <w:tcW w:w="482" w:type="pct"/>
            <w:gridSpan w:val="2"/>
            <w:vMerge/>
            <w:tcBorders>
              <w:right w:val="nil"/>
            </w:tcBorders>
            <w:shd w:val="clear" w:color="auto" w:fill="auto"/>
          </w:tcPr>
          <w:p w14:paraId="1AE83F6D" w14:textId="77777777" w:rsidR="003438A2" w:rsidRPr="00752411" w:rsidRDefault="003438A2" w:rsidP="005643E8">
            <w:pPr>
              <w:pStyle w:val="TableText"/>
            </w:pPr>
          </w:p>
        </w:tc>
      </w:tr>
      <w:tr w:rsidR="003438A2" w:rsidRPr="00752411" w14:paraId="76B5A6A2" w14:textId="77777777" w:rsidTr="005643E8">
        <w:trPr>
          <w:gridAfter w:val="1"/>
          <w:wAfter w:w="79" w:type="pct"/>
        </w:trPr>
        <w:tc>
          <w:tcPr>
            <w:tcW w:w="4921" w:type="pct"/>
            <w:gridSpan w:val="10"/>
            <w:tcBorders>
              <w:top w:val="single" w:sz="4" w:space="0" w:color="BFBFBF" w:themeColor="background1" w:themeShade="BF"/>
              <w:left w:val="nil"/>
              <w:bottom w:val="nil"/>
              <w:right w:val="nil"/>
            </w:tcBorders>
            <w:shd w:val="clear" w:color="auto" w:fill="auto"/>
          </w:tcPr>
          <w:p w14:paraId="5C3BA1A9" w14:textId="77777777" w:rsidR="003438A2" w:rsidRPr="00752411" w:rsidRDefault="003438A2" w:rsidP="005643E8">
            <w:pPr>
              <w:pStyle w:val="TableText"/>
              <w:rPr>
                <w:b/>
              </w:rPr>
            </w:pPr>
            <w:r w:rsidRPr="00752411">
              <w:rPr>
                <w:b/>
              </w:rPr>
              <w:t xml:space="preserve">Flat </w:t>
            </w:r>
            <w:r>
              <w:rPr>
                <w:b/>
              </w:rPr>
              <w:t>m</w:t>
            </w:r>
            <w:r w:rsidRPr="00752411">
              <w:rPr>
                <w:b/>
              </w:rPr>
              <w:t>ites [Trombidiformes: Tenuipalpidae]</w:t>
            </w:r>
          </w:p>
        </w:tc>
      </w:tr>
      <w:tr w:rsidR="003438A2" w:rsidRPr="008A1C2E" w14:paraId="4C762CBF" w14:textId="77777777" w:rsidTr="005643E8">
        <w:trPr>
          <w:gridAfter w:val="1"/>
          <w:wAfter w:w="79" w:type="pct"/>
        </w:trPr>
        <w:tc>
          <w:tcPr>
            <w:tcW w:w="1019" w:type="pct"/>
            <w:tcBorders>
              <w:top w:val="nil"/>
              <w:left w:val="nil"/>
              <w:bottom w:val="single" w:sz="4" w:space="0" w:color="BFBFBF" w:themeColor="background1" w:themeShade="BF"/>
            </w:tcBorders>
          </w:tcPr>
          <w:p w14:paraId="31C697AD" w14:textId="77777777" w:rsidR="003438A2" w:rsidRPr="008A1C2E" w:rsidRDefault="003438A2" w:rsidP="005643E8">
            <w:pPr>
              <w:pStyle w:val="TableText"/>
              <w:rPr>
                <w:i/>
                <w:lang w:eastAsia="en-AU"/>
              </w:rPr>
            </w:pPr>
            <w:r w:rsidRPr="008A1C2E">
              <w:rPr>
                <w:i/>
                <w:lang w:eastAsia="en-AU"/>
              </w:rPr>
              <w:t xml:space="preserve">Cenopalpus pulcher </w:t>
            </w:r>
            <w:r w:rsidRPr="008A1C2E">
              <w:rPr>
                <w:lang w:eastAsia="en-AU"/>
              </w:rPr>
              <w:t>(EP)</w:t>
            </w:r>
          </w:p>
        </w:tc>
        <w:tc>
          <w:tcPr>
            <w:tcW w:w="438" w:type="pct"/>
            <w:tcBorders>
              <w:top w:val="nil"/>
              <w:bottom w:val="single" w:sz="4" w:space="0" w:color="BFBFBF" w:themeColor="background1" w:themeShade="BF"/>
            </w:tcBorders>
            <w:shd w:val="clear" w:color="auto" w:fill="auto"/>
          </w:tcPr>
          <w:p w14:paraId="2AB5A762" w14:textId="77777777" w:rsidR="003438A2" w:rsidRPr="008A1C2E" w:rsidRDefault="003438A2" w:rsidP="005643E8">
            <w:pPr>
              <w:pStyle w:val="TableText"/>
              <w:rPr>
                <w:bCs/>
                <w:strike/>
              </w:rPr>
            </w:pPr>
            <w:r w:rsidRPr="008A1C2E">
              <w:rPr>
                <w:bCs/>
              </w:rPr>
              <w:t>Low</w:t>
            </w:r>
          </w:p>
        </w:tc>
        <w:tc>
          <w:tcPr>
            <w:tcW w:w="482" w:type="pct"/>
            <w:tcBorders>
              <w:top w:val="nil"/>
              <w:bottom w:val="single" w:sz="4" w:space="0" w:color="BFBFBF" w:themeColor="background1" w:themeShade="BF"/>
            </w:tcBorders>
            <w:shd w:val="clear" w:color="auto" w:fill="auto"/>
          </w:tcPr>
          <w:p w14:paraId="15E324C9" w14:textId="77777777" w:rsidR="003438A2" w:rsidRPr="008A1C2E" w:rsidRDefault="003438A2" w:rsidP="005643E8">
            <w:pPr>
              <w:pStyle w:val="TableText"/>
            </w:pPr>
            <w:r w:rsidRPr="008A1C2E">
              <w:t>Moderate</w:t>
            </w:r>
          </w:p>
        </w:tc>
        <w:tc>
          <w:tcPr>
            <w:tcW w:w="444" w:type="pct"/>
            <w:tcBorders>
              <w:top w:val="nil"/>
              <w:bottom w:val="single" w:sz="4" w:space="0" w:color="BFBFBF" w:themeColor="background1" w:themeShade="BF"/>
            </w:tcBorders>
            <w:shd w:val="clear" w:color="auto" w:fill="auto"/>
          </w:tcPr>
          <w:p w14:paraId="4606DFC0" w14:textId="77777777" w:rsidR="003438A2" w:rsidRPr="008A1C2E" w:rsidRDefault="003438A2" w:rsidP="005643E8">
            <w:pPr>
              <w:pStyle w:val="TableText"/>
              <w:rPr>
                <w:b/>
                <w:strike/>
              </w:rPr>
            </w:pPr>
            <w:r w:rsidRPr="008A1C2E">
              <w:rPr>
                <w:b/>
              </w:rPr>
              <w:t>Low</w:t>
            </w:r>
          </w:p>
        </w:tc>
        <w:tc>
          <w:tcPr>
            <w:tcW w:w="535" w:type="pct"/>
            <w:tcBorders>
              <w:top w:val="nil"/>
              <w:bottom w:val="single" w:sz="4" w:space="0" w:color="BFBFBF" w:themeColor="background1" w:themeShade="BF"/>
            </w:tcBorders>
            <w:shd w:val="clear" w:color="auto" w:fill="auto"/>
          </w:tcPr>
          <w:p w14:paraId="10C2B373" w14:textId="77777777" w:rsidR="003438A2" w:rsidRPr="008A1C2E" w:rsidRDefault="003438A2" w:rsidP="005643E8">
            <w:pPr>
              <w:pStyle w:val="TableText"/>
            </w:pPr>
            <w:r w:rsidRPr="008A1C2E">
              <w:t>High</w:t>
            </w:r>
          </w:p>
        </w:tc>
        <w:tc>
          <w:tcPr>
            <w:tcW w:w="372" w:type="pct"/>
            <w:tcBorders>
              <w:top w:val="nil"/>
              <w:bottom w:val="single" w:sz="4" w:space="0" w:color="BFBFBF" w:themeColor="background1" w:themeShade="BF"/>
            </w:tcBorders>
            <w:shd w:val="clear" w:color="auto" w:fill="auto"/>
          </w:tcPr>
          <w:p w14:paraId="186B0F6F" w14:textId="77777777" w:rsidR="003438A2" w:rsidRPr="008A1C2E" w:rsidRDefault="003438A2" w:rsidP="005643E8">
            <w:pPr>
              <w:pStyle w:val="TableText"/>
            </w:pPr>
            <w:r w:rsidRPr="008A1C2E">
              <w:t>Moderate</w:t>
            </w:r>
          </w:p>
        </w:tc>
        <w:tc>
          <w:tcPr>
            <w:tcW w:w="561" w:type="pct"/>
            <w:tcBorders>
              <w:top w:val="nil"/>
              <w:bottom w:val="single" w:sz="4" w:space="0" w:color="BFBFBF" w:themeColor="background1" w:themeShade="BF"/>
            </w:tcBorders>
            <w:shd w:val="clear" w:color="auto" w:fill="auto"/>
          </w:tcPr>
          <w:p w14:paraId="5E3BC1D5" w14:textId="77777777" w:rsidR="003438A2" w:rsidRPr="008A1C2E" w:rsidRDefault="003438A2" w:rsidP="005643E8">
            <w:pPr>
              <w:pStyle w:val="TableText"/>
            </w:pPr>
            <w:r w:rsidRPr="008A1C2E">
              <w:t>Low</w:t>
            </w:r>
          </w:p>
        </w:tc>
        <w:tc>
          <w:tcPr>
            <w:tcW w:w="588" w:type="pct"/>
            <w:tcBorders>
              <w:top w:val="nil"/>
              <w:bottom w:val="single" w:sz="4" w:space="0" w:color="BFBFBF" w:themeColor="background1" w:themeShade="BF"/>
            </w:tcBorders>
            <w:shd w:val="clear" w:color="auto" w:fill="auto"/>
          </w:tcPr>
          <w:p w14:paraId="3587DE2C" w14:textId="77777777" w:rsidR="003438A2" w:rsidRPr="008A1C2E" w:rsidRDefault="003438A2" w:rsidP="005643E8">
            <w:pPr>
              <w:pStyle w:val="TableText"/>
            </w:pPr>
            <w:r w:rsidRPr="008A1C2E">
              <w:t>Moderate</w:t>
            </w:r>
          </w:p>
        </w:tc>
        <w:tc>
          <w:tcPr>
            <w:tcW w:w="482" w:type="pct"/>
            <w:gridSpan w:val="2"/>
            <w:tcBorders>
              <w:top w:val="nil"/>
              <w:bottom w:val="single" w:sz="4" w:space="0" w:color="BFBFBF" w:themeColor="background1" w:themeShade="BF"/>
              <w:right w:val="nil"/>
            </w:tcBorders>
            <w:shd w:val="clear" w:color="auto" w:fill="auto"/>
          </w:tcPr>
          <w:p w14:paraId="38631700" w14:textId="77777777" w:rsidR="003438A2" w:rsidRPr="008A1C2E" w:rsidRDefault="003438A2" w:rsidP="005643E8">
            <w:pPr>
              <w:pStyle w:val="TableText"/>
              <w:rPr>
                <w:b/>
              </w:rPr>
            </w:pPr>
            <w:r w:rsidRPr="008A1C2E">
              <w:rPr>
                <w:b/>
              </w:rPr>
              <w:t>Low</w:t>
            </w:r>
          </w:p>
        </w:tc>
      </w:tr>
      <w:tr w:rsidR="003438A2" w:rsidRPr="00752411" w14:paraId="3D5B187E" w14:textId="77777777" w:rsidTr="005643E8">
        <w:trPr>
          <w:gridAfter w:val="1"/>
          <w:wAfter w:w="79" w:type="pct"/>
        </w:trPr>
        <w:tc>
          <w:tcPr>
            <w:tcW w:w="4921" w:type="pct"/>
            <w:gridSpan w:val="10"/>
            <w:tcBorders>
              <w:top w:val="single" w:sz="4" w:space="0" w:color="BFBFBF" w:themeColor="background1" w:themeShade="BF"/>
              <w:left w:val="nil"/>
              <w:bottom w:val="nil"/>
              <w:right w:val="nil"/>
            </w:tcBorders>
          </w:tcPr>
          <w:p w14:paraId="6C9F7BBE" w14:textId="77777777" w:rsidR="003438A2" w:rsidRPr="00752411" w:rsidRDefault="003438A2" w:rsidP="005643E8">
            <w:pPr>
              <w:pStyle w:val="TableText"/>
              <w:rPr>
                <w:b/>
              </w:rPr>
            </w:pPr>
            <w:r w:rsidRPr="00752411">
              <w:rPr>
                <w:b/>
              </w:rPr>
              <w:t xml:space="preserve">Spider </w:t>
            </w:r>
            <w:r>
              <w:rPr>
                <w:b/>
              </w:rPr>
              <w:t>m</w:t>
            </w:r>
            <w:r w:rsidRPr="00752411">
              <w:rPr>
                <w:b/>
              </w:rPr>
              <w:t>ites [Trombidiformes: Tetranychidae]</w:t>
            </w:r>
          </w:p>
        </w:tc>
      </w:tr>
      <w:tr w:rsidR="003438A2" w:rsidRPr="008A1C2E" w14:paraId="5D7761F7" w14:textId="77777777" w:rsidTr="005643E8">
        <w:trPr>
          <w:gridAfter w:val="1"/>
          <w:wAfter w:w="79" w:type="pct"/>
        </w:trPr>
        <w:tc>
          <w:tcPr>
            <w:tcW w:w="1019" w:type="pct"/>
            <w:tcBorders>
              <w:top w:val="nil"/>
              <w:left w:val="nil"/>
              <w:bottom w:val="nil"/>
            </w:tcBorders>
          </w:tcPr>
          <w:p w14:paraId="6AC765F9" w14:textId="77777777" w:rsidR="003438A2" w:rsidRPr="008A1C2E" w:rsidRDefault="003438A2" w:rsidP="005643E8">
            <w:pPr>
              <w:pStyle w:val="TableText"/>
              <w:rPr>
                <w:i/>
              </w:rPr>
            </w:pPr>
            <w:r w:rsidRPr="008A1C2E">
              <w:rPr>
                <w:i/>
              </w:rPr>
              <w:t>Tetranychus mcdanieli</w:t>
            </w:r>
            <w:r w:rsidRPr="008A1C2E">
              <w:t xml:space="preserve"> (EP)</w:t>
            </w:r>
          </w:p>
        </w:tc>
        <w:tc>
          <w:tcPr>
            <w:tcW w:w="438" w:type="pct"/>
            <w:tcBorders>
              <w:top w:val="nil"/>
              <w:bottom w:val="nil"/>
            </w:tcBorders>
            <w:shd w:val="clear" w:color="auto" w:fill="auto"/>
          </w:tcPr>
          <w:p w14:paraId="7E9FF73E" w14:textId="77777777" w:rsidR="003438A2" w:rsidRPr="008A1C2E" w:rsidRDefault="003438A2" w:rsidP="005643E8">
            <w:pPr>
              <w:pStyle w:val="TableText"/>
              <w:rPr>
                <w:strike/>
              </w:rPr>
            </w:pPr>
            <w:r w:rsidRPr="008A1C2E">
              <w:t>High</w:t>
            </w:r>
          </w:p>
        </w:tc>
        <w:tc>
          <w:tcPr>
            <w:tcW w:w="482" w:type="pct"/>
            <w:tcBorders>
              <w:top w:val="nil"/>
              <w:bottom w:val="nil"/>
            </w:tcBorders>
            <w:shd w:val="clear" w:color="auto" w:fill="auto"/>
          </w:tcPr>
          <w:p w14:paraId="59DCF40B" w14:textId="77777777" w:rsidR="003438A2" w:rsidRPr="008A1C2E" w:rsidRDefault="003438A2" w:rsidP="005643E8">
            <w:pPr>
              <w:pStyle w:val="TableText"/>
            </w:pPr>
            <w:r w:rsidRPr="008A1C2E">
              <w:t>Moderate</w:t>
            </w:r>
          </w:p>
        </w:tc>
        <w:tc>
          <w:tcPr>
            <w:tcW w:w="444" w:type="pct"/>
            <w:tcBorders>
              <w:top w:val="nil"/>
              <w:bottom w:val="nil"/>
            </w:tcBorders>
            <w:shd w:val="clear" w:color="auto" w:fill="auto"/>
          </w:tcPr>
          <w:p w14:paraId="0C8B20D7" w14:textId="77777777" w:rsidR="003438A2" w:rsidRPr="008A1C2E" w:rsidRDefault="003438A2" w:rsidP="005643E8">
            <w:pPr>
              <w:pStyle w:val="TableText"/>
              <w:rPr>
                <w:b/>
                <w:strike/>
              </w:rPr>
            </w:pPr>
            <w:r w:rsidRPr="008A1C2E">
              <w:rPr>
                <w:b/>
              </w:rPr>
              <w:t>Moderate</w:t>
            </w:r>
          </w:p>
        </w:tc>
        <w:tc>
          <w:tcPr>
            <w:tcW w:w="535" w:type="pct"/>
            <w:tcBorders>
              <w:top w:val="nil"/>
              <w:bottom w:val="nil"/>
            </w:tcBorders>
            <w:shd w:val="clear" w:color="auto" w:fill="auto"/>
          </w:tcPr>
          <w:p w14:paraId="50779F96" w14:textId="77777777" w:rsidR="003438A2" w:rsidRPr="008A1C2E" w:rsidRDefault="003438A2" w:rsidP="005643E8">
            <w:pPr>
              <w:pStyle w:val="TableText"/>
            </w:pPr>
            <w:r w:rsidRPr="008A1C2E">
              <w:t>High</w:t>
            </w:r>
          </w:p>
        </w:tc>
        <w:tc>
          <w:tcPr>
            <w:tcW w:w="372" w:type="pct"/>
            <w:tcBorders>
              <w:top w:val="nil"/>
              <w:bottom w:val="nil"/>
            </w:tcBorders>
            <w:shd w:val="clear" w:color="auto" w:fill="auto"/>
          </w:tcPr>
          <w:p w14:paraId="18322246" w14:textId="77777777" w:rsidR="003438A2" w:rsidRPr="008A1C2E" w:rsidRDefault="003438A2" w:rsidP="005643E8">
            <w:pPr>
              <w:pStyle w:val="TableText"/>
            </w:pPr>
            <w:r w:rsidRPr="008A1C2E">
              <w:t>High</w:t>
            </w:r>
          </w:p>
        </w:tc>
        <w:tc>
          <w:tcPr>
            <w:tcW w:w="561" w:type="pct"/>
            <w:tcBorders>
              <w:top w:val="nil"/>
              <w:bottom w:val="nil"/>
            </w:tcBorders>
            <w:shd w:val="clear" w:color="auto" w:fill="auto"/>
          </w:tcPr>
          <w:p w14:paraId="565996AB" w14:textId="77777777" w:rsidR="003438A2" w:rsidRPr="008A1C2E" w:rsidRDefault="003438A2" w:rsidP="005643E8">
            <w:pPr>
              <w:pStyle w:val="TableText"/>
              <w:rPr>
                <w:strike/>
              </w:rPr>
            </w:pPr>
            <w:r w:rsidRPr="008A1C2E">
              <w:t>Moderate</w:t>
            </w:r>
          </w:p>
        </w:tc>
        <w:tc>
          <w:tcPr>
            <w:tcW w:w="588" w:type="pct"/>
            <w:tcBorders>
              <w:top w:val="nil"/>
              <w:bottom w:val="nil"/>
            </w:tcBorders>
            <w:shd w:val="clear" w:color="auto" w:fill="auto"/>
          </w:tcPr>
          <w:p w14:paraId="45F603A6" w14:textId="77777777" w:rsidR="003438A2" w:rsidRPr="008A1C2E" w:rsidRDefault="003438A2" w:rsidP="005643E8">
            <w:pPr>
              <w:pStyle w:val="TableText"/>
            </w:pPr>
            <w:r w:rsidRPr="008A1C2E">
              <w:t>Low</w:t>
            </w:r>
          </w:p>
        </w:tc>
        <w:tc>
          <w:tcPr>
            <w:tcW w:w="482" w:type="pct"/>
            <w:gridSpan w:val="2"/>
            <w:tcBorders>
              <w:top w:val="nil"/>
              <w:bottom w:val="nil"/>
              <w:right w:val="nil"/>
            </w:tcBorders>
            <w:shd w:val="clear" w:color="auto" w:fill="auto"/>
          </w:tcPr>
          <w:p w14:paraId="09F6D5DE" w14:textId="77777777" w:rsidR="003438A2" w:rsidRPr="008A1C2E" w:rsidRDefault="003438A2" w:rsidP="005643E8">
            <w:pPr>
              <w:pStyle w:val="TableText"/>
              <w:rPr>
                <w:b/>
                <w:strike/>
              </w:rPr>
            </w:pPr>
            <w:r w:rsidRPr="008A1C2E">
              <w:rPr>
                <w:b/>
              </w:rPr>
              <w:t>Low</w:t>
            </w:r>
          </w:p>
        </w:tc>
      </w:tr>
      <w:tr w:rsidR="003438A2" w:rsidRPr="00752411" w14:paraId="58DB3FB0" w14:textId="77777777" w:rsidTr="005643E8">
        <w:trPr>
          <w:gridAfter w:val="1"/>
          <w:wAfter w:w="79" w:type="pct"/>
        </w:trPr>
        <w:tc>
          <w:tcPr>
            <w:tcW w:w="1019" w:type="pct"/>
            <w:tcBorders>
              <w:top w:val="nil"/>
              <w:left w:val="nil"/>
              <w:bottom w:val="nil"/>
            </w:tcBorders>
          </w:tcPr>
          <w:p w14:paraId="47F62309" w14:textId="77777777" w:rsidR="003438A2" w:rsidRPr="00752411" w:rsidRDefault="003438A2" w:rsidP="005643E8">
            <w:pPr>
              <w:pStyle w:val="TableText"/>
              <w:rPr>
                <w:i/>
              </w:rPr>
            </w:pPr>
            <w:r w:rsidRPr="00752411">
              <w:rPr>
                <w:i/>
              </w:rPr>
              <w:t>Tetranychus pacificus</w:t>
            </w:r>
            <w:r w:rsidRPr="00752411">
              <w:t xml:space="preserve"> (EP)</w:t>
            </w:r>
          </w:p>
        </w:tc>
        <w:tc>
          <w:tcPr>
            <w:tcW w:w="438" w:type="pct"/>
            <w:tcBorders>
              <w:top w:val="nil"/>
              <w:bottom w:val="nil"/>
            </w:tcBorders>
            <w:shd w:val="clear" w:color="auto" w:fill="auto"/>
          </w:tcPr>
          <w:p w14:paraId="48AAF619" w14:textId="77777777" w:rsidR="003438A2" w:rsidRPr="00752411" w:rsidRDefault="003438A2" w:rsidP="005643E8">
            <w:pPr>
              <w:pStyle w:val="TableText"/>
            </w:pPr>
            <w:r w:rsidRPr="00752411">
              <w:t>Moderate</w:t>
            </w:r>
          </w:p>
        </w:tc>
        <w:tc>
          <w:tcPr>
            <w:tcW w:w="482" w:type="pct"/>
            <w:tcBorders>
              <w:top w:val="nil"/>
              <w:bottom w:val="nil"/>
            </w:tcBorders>
            <w:shd w:val="clear" w:color="auto" w:fill="auto"/>
          </w:tcPr>
          <w:p w14:paraId="61AFF126" w14:textId="77777777" w:rsidR="003438A2" w:rsidRPr="00752411" w:rsidRDefault="003438A2" w:rsidP="005643E8">
            <w:pPr>
              <w:pStyle w:val="TableText"/>
            </w:pPr>
            <w:r w:rsidRPr="00752411">
              <w:t>Moderate</w:t>
            </w:r>
          </w:p>
        </w:tc>
        <w:tc>
          <w:tcPr>
            <w:tcW w:w="444" w:type="pct"/>
            <w:tcBorders>
              <w:top w:val="nil"/>
              <w:bottom w:val="nil"/>
            </w:tcBorders>
            <w:shd w:val="clear" w:color="auto" w:fill="auto"/>
          </w:tcPr>
          <w:p w14:paraId="35C3375E" w14:textId="77777777" w:rsidR="003438A2" w:rsidRPr="00752411" w:rsidRDefault="003438A2" w:rsidP="005643E8">
            <w:pPr>
              <w:pStyle w:val="TableText"/>
              <w:rPr>
                <w:b/>
              </w:rPr>
            </w:pPr>
            <w:r w:rsidRPr="00752411">
              <w:rPr>
                <w:b/>
              </w:rPr>
              <w:t>Low</w:t>
            </w:r>
          </w:p>
        </w:tc>
        <w:tc>
          <w:tcPr>
            <w:tcW w:w="535" w:type="pct"/>
            <w:tcBorders>
              <w:top w:val="nil"/>
              <w:bottom w:val="nil"/>
            </w:tcBorders>
            <w:shd w:val="clear" w:color="auto" w:fill="auto"/>
          </w:tcPr>
          <w:p w14:paraId="1D2FCE98" w14:textId="77777777" w:rsidR="003438A2" w:rsidRPr="00752411" w:rsidRDefault="003438A2" w:rsidP="005643E8">
            <w:pPr>
              <w:pStyle w:val="TableText"/>
            </w:pPr>
            <w:r w:rsidRPr="00752411">
              <w:t>High</w:t>
            </w:r>
          </w:p>
        </w:tc>
        <w:tc>
          <w:tcPr>
            <w:tcW w:w="372" w:type="pct"/>
            <w:tcBorders>
              <w:top w:val="nil"/>
              <w:bottom w:val="nil"/>
            </w:tcBorders>
            <w:shd w:val="clear" w:color="auto" w:fill="auto"/>
          </w:tcPr>
          <w:p w14:paraId="4E154E99" w14:textId="77777777" w:rsidR="003438A2" w:rsidRPr="00752411" w:rsidRDefault="003438A2" w:rsidP="005643E8">
            <w:pPr>
              <w:pStyle w:val="TableText"/>
            </w:pPr>
            <w:r w:rsidRPr="00752411">
              <w:t>High</w:t>
            </w:r>
          </w:p>
        </w:tc>
        <w:tc>
          <w:tcPr>
            <w:tcW w:w="561" w:type="pct"/>
            <w:tcBorders>
              <w:top w:val="nil"/>
              <w:bottom w:val="nil"/>
            </w:tcBorders>
            <w:shd w:val="clear" w:color="auto" w:fill="auto"/>
          </w:tcPr>
          <w:p w14:paraId="227511F6" w14:textId="77777777" w:rsidR="003438A2" w:rsidRPr="00752411" w:rsidRDefault="003438A2" w:rsidP="005643E8">
            <w:pPr>
              <w:pStyle w:val="TableText"/>
            </w:pPr>
            <w:r w:rsidRPr="00752411">
              <w:t>Low</w:t>
            </w:r>
          </w:p>
        </w:tc>
        <w:tc>
          <w:tcPr>
            <w:tcW w:w="588" w:type="pct"/>
            <w:tcBorders>
              <w:top w:val="nil"/>
              <w:bottom w:val="nil"/>
            </w:tcBorders>
            <w:shd w:val="clear" w:color="auto" w:fill="auto"/>
          </w:tcPr>
          <w:p w14:paraId="003EBDB3" w14:textId="77777777" w:rsidR="003438A2" w:rsidRPr="00752411" w:rsidRDefault="003438A2" w:rsidP="005643E8">
            <w:pPr>
              <w:pStyle w:val="TableText"/>
            </w:pPr>
            <w:r w:rsidRPr="00752411">
              <w:t>Low</w:t>
            </w:r>
          </w:p>
        </w:tc>
        <w:tc>
          <w:tcPr>
            <w:tcW w:w="482" w:type="pct"/>
            <w:gridSpan w:val="2"/>
            <w:tcBorders>
              <w:top w:val="nil"/>
              <w:bottom w:val="nil"/>
              <w:right w:val="nil"/>
            </w:tcBorders>
            <w:shd w:val="clear" w:color="auto" w:fill="auto"/>
          </w:tcPr>
          <w:p w14:paraId="02001967" w14:textId="77777777" w:rsidR="003438A2" w:rsidRPr="00752411" w:rsidRDefault="003438A2" w:rsidP="005643E8">
            <w:pPr>
              <w:pStyle w:val="TableText"/>
              <w:rPr>
                <w:b/>
              </w:rPr>
            </w:pPr>
            <w:r w:rsidRPr="00752411">
              <w:rPr>
                <w:b/>
              </w:rPr>
              <w:t>Very Low</w:t>
            </w:r>
          </w:p>
        </w:tc>
      </w:tr>
      <w:tr w:rsidR="003438A2" w:rsidRPr="00752411" w14:paraId="179F3830" w14:textId="77777777" w:rsidTr="005643E8">
        <w:trPr>
          <w:gridAfter w:val="1"/>
          <w:wAfter w:w="79" w:type="pct"/>
        </w:trPr>
        <w:tc>
          <w:tcPr>
            <w:tcW w:w="1019" w:type="pct"/>
            <w:tcBorders>
              <w:top w:val="nil"/>
              <w:left w:val="nil"/>
              <w:bottom w:val="nil"/>
            </w:tcBorders>
          </w:tcPr>
          <w:p w14:paraId="6E271EC9" w14:textId="77777777" w:rsidR="003438A2" w:rsidRPr="00752411" w:rsidRDefault="003438A2" w:rsidP="005643E8">
            <w:pPr>
              <w:pStyle w:val="TableText"/>
            </w:pPr>
            <w:r w:rsidRPr="00752411">
              <w:rPr>
                <w:i/>
              </w:rPr>
              <w:t>Tetranychus turkestani</w:t>
            </w:r>
            <w:r w:rsidRPr="00752411">
              <w:t xml:space="preserve"> (EP)</w:t>
            </w:r>
          </w:p>
        </w:tc>
        <w:tc>
          <w:tcPr>
            <w:tcW w:w="438" w:type="pct"/>
            <w:tcBorders>
              <w:top w:val="nil"/>
              <w:bottom w:val="nil"/>
            </w:tcBorders>
            <w:shd w:val="clear" w:color="auto" w:fill="auto"/>
          </w:tcPr>
          <w:p w14:paraId="6DD4F975" w14:textId="77777777" w:rsidR="003438A2" w:rsidRPr="00752411" w:rsidRDefault="003438A2" w:rsidP="005643E8">
            <w:pPr>
              <w:pStyle w:val="TableText"/>
            </w:pPr>
            <w:r w:rsidRPr="00752411">
              <w:t>Moderate</w:t>
            </w:r>
          </w:p>
        </w:tc>
        <w:tc>
          <w:tcPr>
            <w:tcW w:w="482" w:type="pct"/>
            <w:tcBorders>
              <w:top w:val="nil"/>
              <w:bottom w:val="nil"/>
            </w:tcBorders>
            <w:shd w:val="clear" w:color="auto" w:fill="auto"/>
          </w:tcPr>
          <w:p w14:paraId="1E72E1D6" w14:textId="77777777" w:rsidR="003438A2" w:rsidRPr="00752411" w:rsidRDefault="003438A2" w:rsidP="005643E8">
            <w:pPr>
              <w:pStyle w:val="TableText"/>
            </w:pPr>
            <w:r w:rsidRPr="00752411">
              <w:t>Moderate</w:t>
            </w:r>
          </w:p>
        </w:tc>
        <w:tc>
          <w:tcPr>
            <w:tcW w:w="444" w:type="pct"/>
            <w:tcBorders>
              <w:top w:val="nil"/>
              <w:bottom w:val="nil"/>
            </w:tcBorders>
            <w:shd w:val="clear" w:color="auto" w:fill="auto"/>
          </w:tcPr>
          <w:p w14:paraId="384E8A9C" w14:textId="77777777" w:rsidR="003438A2" w:rsidRPr="00752411" w:rsidRDefault="003438A2" w:rsidP="005643E8">
            <w:pPr>
              <w:pStyle w:val="TableText"/>
              <w:rPr>
                <w:b/>
              </w:rPr>
            </w:pPr>
            <w:r w:rsidRPr="00752411">
              <w:rPr>
                <w:b/>
              </w:rPr>
              <w:t>Low</w:t>
            </w:r>
          </w:p>
        </w:tc>
        <w:tc>
          <w:tcPr>
            <w:tcW w:w="535" w:type="pct"/>
            <w:tcBorders>
              <w:top w:val="nil"/>
              <w:bottom w:val="nil"/>
            </w:tcBorders>
            <w:shd w:val="clear" w:color="auto" w:fill="auto"/>
          </w:tcPr>
          <w:p w14:paraId="38286188" w14:textId="77777777" w:rsidR="003438A2" w:rsidRPr="00752411" w:rsidRDefault="003438A2" w:rsidP="005643E8">
            <w:pPr>
              <w:pStyle w:val="TableText"/>
            </w:pPr>
            <w:r w:rsidRPr="00752411">
              <w:t>High</w:t>
            </w:r>
          </w:p>
        </w:tc>
        <w:tc>
          <w:tcPr>
            <w:tcW w:w="372" w:type="pct"/>
            <w:tcBorders>
              <w:top w:val="nil"/>
              <w:bottom w:val="nil"/>
            </w:tcBorders>
            <w:shd w:val="clear" w:color="auto" w:fill="auto"/>
          </w:tcPr>
          <w:p w14:paraId="0032769A" w14:textId="77777777" w:rsidR="003438A2" w:rsidRPr="00752411" w:rsidRDefault="003438A2" w:rsidP="005643E8">
            <w:pPr>
              <w:pStyle w:val="TableText"/>
            </w:pPr>
            <w:r w:rsidRPr="00752411">
              <w:t>High</w:t>
            </w:r>
          </w:p>
        </w:tc>
        <w:tc>
          <w:tcPr>
            <w:tcW w:w="561" w:type="pct"/>
            <w:tcBorders>
              <w:top w:val="nil"/>
              <w:bottom w:val="nil"/>
            </w:tcBorders>
            <w:shd w:val="clear" w:color="auto" w:fill="auto"/>
          </w:tcPr>
          <w:p w14:paraId="2AFC9D68" w14:textId="77777777" w:rsidR="003438A2" w:rsidRPr="00752411" w:rsidRDefault="003438A2" w:rsidP="005643E8">
            <w:pPr>
              <w:pStyle w:val="TableText"/>
            </w:pPr>
            <w:r w:rsidRPr="00752411">
              <w:t>Low</w:t>
            </w:r>
          </w:p>
        </w:tc>
        <w:tc>
          <w:tcPr>
            <w:tcW w:w="588" w:type="pct"/>
            <w:tcBorders>
              <w:top w:val="nil"/>
              <w:bottom w:val="nil"/>
            </w:tcBorders>
            <w:shd w:val="clear" w:color="auto" w:fill="auto"/>
          </w:tcPr>
          <w:p w14:paraId="382F5FBF" w14:textId="77777777" w:rsidR="003438A2" w:rsidRPr="00752411" w:rsidRDefault="003438A2" w:rsidP="005643E8">
            <w:pPr>
              <w:pStyle w:val="TableText"/>
            </w:pPr>
            <w:r w:rsidRPr="00752411">
              <w:t>Low</w:t>
            </w:r>
          </w:p>
        </w:tc>
        <w:tc>
          <w:tcPr>
            <w:tcW w:w="482" w:type="pct"/>
            <w:gridSpan w:val="2"/>
            <w:tcBorders>
              <w:top w:val="nil"/>
              <w:bottom w:val="nil"/>
              <w:right w:val="nil"/>
            </w:tcBorders>
            <w:shd w:val="clear" w:color="auto" w:fill="auto"/>
          </w:tcPr>
          <w:p w14:paraId="0C78F6C2" w14:textId="77777777" w:rsidR="003438A2" w:rsidRPr="00752411" w:rsidRDefault="003438A2" w:rsidP="005643E8">
            <w:pPr>
              <w:pStyle w:val="TableText"/>
              <w:rPr>
                <w:b/>
              </w:rPr>
            </w:pPr>
            <w:r w:rsidRPr="00752411">
              <w:rPr>
                <w:b/>
              </w:rPr>
              <w:t>Very Low</w:t>
            </w:r>
          </w:p>
        </w:tc>
      </w:tr>
      <w:tr w:rsidR="003438A2" w:rsidRPr="00752411" w14:paraId="44A299EE" w14:textId="77777777" w:rsidTr="005643E8">
        <w:trPr>
          <w:gridAfter w:val="1"/>
          <w:wAfter w:w="79" w:type="pct"/>
        </w:trPr>
        <w:tc>
          <w:tcPr>
            <w:tcW w:w="4921" w:type="pct"/>
            <w:gridSpan w:val="10"/>
            <w:tcBorders>
              <w:top w:val="single" w:sz="4" w:space="0" w:color="BFBFBF" w:themeColor="background1" w:themeShade="BF"/>
              <w:left w:val="nil"/>
              <w:bottom w:val="nil"/>
              <w:right w:val="nil"/>
            </w:tcBorders>
          </w:tcPr>
          <w:p w14:paraId="523B3665" w14:textId="77777777" w:rsidR="003438A2" w:rsidRPr="00752411" w:rsidRDefault="003438A2" w:rsidP="005643E8">
            <w:pPr>
              <w:pStyle w:val="TableText"/>
              <w:rPr>
                <w:b/>
              </w:rPr>
            </w:pPr>
            <w:r w:rsidRPr="00752411">
              <w:rPr>
                <w:b/>
              </w:rPr>
              <w:t>Weevils [Coleoptera: Curculionidae]</w:t>
            </w:r>
          </w:p>
        </w:tc>
      </w:tr>
      <w:tr w:rsidR="003438A2" w:rsidRPr="00752411" w14:paraId="1B28FC92" w14:textId="77777777" w:rsidTr="005643E8">
        <w:trPr>
          <w:gridAfter w:val="1"/>
          <w:wAfter w:w="79" w:type="pct"/>
        </w:trPr>
        <w:tc>
          <w:tcPr>
            <w:tcW w:w="1019" w:type="pct"/>
            <w:tcBorders>
              <w:top w:val="nil"/>
              <w:left w:val="nil"/>
              <w:bottom w:val="single" w:sz="4" w:space="0" w:color="BFBFBF" w:themeColor="background1" w:themeShade="BF"/>
              <w:right w:val="nil"/>
            </w:tcBorders>
          </w:tcPr>
          <w:p w14:paraId="2CF8261D" w14:textId="77777777" w:rsidR="003438A2" w:rsidRPr="00752411" w:rsidRDefault="003438A2" w:rsidP="005643E8">
            <w:pPr>
              <w:pStyle w:val="TableText"/>
              <w:rPr>
                <w:i/>
              </w:rPr>
            </w:pPr>
            <w:r w:rsidRPr="00752411">
              <w:rPr>
                <w:i/>
              </w:rPr>
              <w:t>Anthonomus quadrigibbus</w:t>
            </w:r>
          </w:p>
        </w:tc>
        <w:tc>
          <w:tcPr>
            <w:tcW w:w="438" w:type="pct"/>
            <w:tcBorders>
              <w:top w:val="nil"/>
              <w:left w:val="nil"/>
              <w:bottom w:val="single" w:sz="4" w:space="0" w:color="BFBFBF" w:themeColor="background1" w:themeShade="BF"/>
              <w:right w:val="nil"/>
            </w:tcBorders>
            <w:shd w:val="clear" w:color="auto" w:fill="auto"/>
          </w:tcPr>
          <w:p w14:paraId="46DAFA88" w14:textId="77777777" w:rsidR="003438A2" w:rsidRPr="00752411" w:rsidRDefault="003438A2" w:rsidP="005643E8">
            <w:pPr>
              <w:pStyle w:val="TableText"/>
            </w:pPr>
            <w:r w:rsidRPr="00752411">
              <w:t>Low</w:t>
            </w:r>
          </w:p>
        </w:tc>
        <w:tc>
          <w:tcPr>
            <w:tcW w:w="482" w:type="pct"/>
            <w:tcBorders>
              <w:top w:val="nil"/>
              <w:left w:val="nil"/>
              <w:bottom w:val="single" w:sz="4" w:space="0" w:color="BFBFBF" w:themeColor="background1" w:themeShade="BF"/>
              <w:right w:val="nil"/>
            </w:tcBorders>
            <w:shd w:val="clear" w:color="auto" w:fill="auto"/>
          </w:tcPr>
          <w:p w14:paraId="59C9FEA2" w14:textId="77777777" w:rsidR="003438A2" w:rsidRPr="00752411" w:rsidRDefault="003438A2" w:rsidP="005643E8">
            <w:pPr>
              <w:pStyle w:val="TableText"/>
            </w:pPr>
            <w:r w:rsidRPr="00752411">
              <w:t>Moderate</w:t>
            </w:r>
          </w:p>
        </w:tc>
        <w:tc>
          <w:tcPr>
            <w:tcW w:w="444" w:type="pct"/>
            <w:tcBorders>
              <w:top w:val="nil"/>
              <w:left w:val="nil"/>
              <w:bottom w:val="single" w:sz="4" w:space="0" w:color="BFBFBF" w:themeColor="background1" w:themeShade="BF"/>
              <w:right w:val="nil"/>
            </w:tcBorders>
            <w:shd w:val="clear" w:color="auto" w:fill="auto"/>
          </w:tcPr>
          <w:p w14:paraId="353A74C7" w14:textId="77777777" w:rsidR="003438A2" w:rsidRPr="00752411" w:rsidRDefault="003438A2" w:rsidP="005643E8">
            <w:pPr>
              <w:pStyle w:val="TableText"/>
              <w:rPr>
                <w:b/>
              </w:rPr>
            </w:pPr>
            <w:r w:rsidRPr="00752411">
              <w:rPr>
                <w:b/>
              </w:rPr>
              <w:t>Low</w:t>
            </w:r>
          </w:p>
        </w:tc>
        <w:tc>
          <w:tcPr>
            <w:tcW w:w="535" w:type="pct"/>
            <w:tcBorders>
              <w:top w:val="nil"/>
              <w:left w:val="nil"/>
              <w:bottom w:val="single" w:sz="4" w:space="0" w:color="BFBFBF" w:themeColor="background1" w:themeShade="BF"/>
              <w:right w:val="nil"/>
            </w:tcBorders>
            <w:shd w:val="clear" w:color="auto" w:fill="auto"/>
          </w:tcPr>
          <w:p w14:paraId="1E9ECDA9" w14:textId="77777777" w:rsidR="003438A2" w:rsidRPr="00752411" w:rsidRDefault="003438A2" w:rsidP="005643E8">
            <w:pPr>
              <w:pStyle w:val="TableText"/>
            </w:pPr>
            <w:r w:rsidRPr="00752411">
              <w:t>Moderate</w:t>
            </w:r>
          </w:p>
        </w:tc>
        <w:tc>
          <w:tcPr>
            <w:tcW w:w="372" w:type="pct"/>
            <w:tcBorders>
              <w:top w:val="nil"/>
              <w:left w:val="nil"/>
              <w:bottom w:val="single" w:sz="4" w:space="0" w:color="BFBFBF" w:themeColor="background1" w:themeShade="BF"/>
              <w:right w:val="nil"/>
            </w:tcBorders>
            <w:shd w:val="clear" w:color="auto" w:fill="auto"/>
          </w:tcPr>
          <w:p w14:paraId="4D449E4A" w14:textId="77777777" w:rsidR="003438A2" w:rsidRPr="00752411" w:rsidRDefault="003438A2" w:rsidP="005643E8">
            <w:pPr>
              <w:pStyle w:val="TableText"/>
            </w:pPr>
            <w:r w:rsidRPr="00752411">
              <w:t>Moderate</w:t>
            </w:r>
          </w:p>
        </w:tc>
        <w:tc>
          <w:tcPr>
            <w:tcW w:w="561" w:type="pct"/>
            <w:tcBorders>
              <w:top w:val="nil"/>
              <w:left w:val="nil"/>
              <w:bottom w:val="single" w:sz="4" w:space="0" w:color="BFBFBF" w:themeColor="background1" w:themeShade="BF"/>
              <w:right w:val="nil"/>
            </w:tcBorders>
            <w:shd w:val="clear" w:color="auto" w:fill="auto"/>
          </w:tcPr>
          <w:p w14:paraId="5C796B2D" w14:textId="77777777" w:rsidR="003438A2" w:rsidRPr="00752411" w:rsidRDefault="003438A2" w:rsidP="005643E8">
            <w:pPr>
              <w:pStyle w:val="TableText"/>
            </w:pPr>
            <w:r w:rsidRPr="00752411">
              <w:t>Low</w:t>
            </w:r>
          </w:p>
        </w:tc>
        <w:tc>
          <w:tcPr>
            <w:tcW w:w="588" w:type="pct"/>
            <w:tcBorders>
              <w:top w:val="nil"/>
              <w:left w:val="nil"/>
              <w:bottom w:val="single" w:sz="4" w:space="0" w:color="BFBFBF" w:themeColor="background1" w:themeShade="BF"/>
              <w:right w:val="nil"/>
            </w:tcBorders>
            <w:shd w:val="clear" w:color="auto" w:fill="auto"/>
          </w:tcPr>
          <w:p w14:paraId="39118593" w14:textId="77777777" w:rsidR="003438A2" w:rsidRPr="00752411" w:rsidRDefault="003438A2" w:rsidP="005643E8">
            <w:pPr>
              <w:pStyle w:val="TableText"/>
            </w:pPr>
            <w:r w:rsidRPr="00752411">
              <w:t>Low</w:t>
            </w:r>
          </w:p>
        </w:tc>
        <w:tc>
          <w:tcPr>
            <w:tcW w:w="482" w:type="pct"/>
            <w:gridSpan w:val="2"/>
            <w:tcBorders>
              <w:top w:val="nil"/>
              <w:left w:val="nil"/>
              <w:bottom w:val="single" w:sz="4" w:space="0" w:color="BFBFBF" w:themeColor="background1" w:themeShade="BF"/>
              <w:right w:val="nil"/>
            </w:tcBorders>
            <w:shd w:val="clear" w:color="auto" w:fill="auto"/>
          </w:tcPr>
          <w:p w14:paraId="703E2547" w14:textId="77777777" w:rsidR="003438A2" w:rsidRPr="00752411" w:rsidRDefault="003438A2" w:rsidP="005643E8">
            <w:pPr>
              <w:pStyle w:val="TableText"/>
              <w:rPr>
                <w:b/>
              </w:rPr>
            </w:pPr>
            <w:r w:rsidRPr="00752411">
              <w:rPr>
                <w:b/>
              </w:rPr>
              <w:t>Very Low</w:t>
            </w:r>
          </w:p>
        </w:tc>
      </w:tr>
      <w:tr w:rsidR="003438A2" w:rsidRPr="00752411" w14:paraId="352F539B" w14:textId="77777777" w:rsidTr="005643E8">
        <w:trPr>
          <w:gridAfter w:val="1"/>
          <w:wAfter w:w="79" w:type="pct"/>
        </w:trPr>
        <w:tc>
          <w:tcPr>
            <w:tcW w:w="4921" w:type="pct"/>
            <w:gridSpan w:val="10"/>
            <w:tcBorders>
              <w:top w:val="single" w:sz="4" w:space="0" w:color="BFBFBF" w:themeColor="background1" w:themeShade="BF"/>
              <w:left w:val="nil"/>
              <w:bottom w:val="nil"/>
              <w:right w:val="nil"/>
            </w:tcBorders>
            <w:shd w:val="clear" w:color="auto" w:fill="auto"/>
          </w:tcPr>
          <w:p w14:paraId="0E6E368C" w14:textId="77777777" w:rsidR="003438A2" w:rsidRPr="00752411" w:rsidRDefault="003438A2" w:rsidP="005643E8">
            <w:pPr>
              <w:pStyle w:val="TableText"/>
              <w:rPr>
                <w:b/>
              </w:rPr>
            </w:pPr>
            <w:r w:rsidRPr="00752411">
              <w:rPr>
                <w:b/>
              </w:rPr>
              <w:t xml:space="preserve">Gall midges [Diptera: </w:t>
            </w:r>
            <w:r w:rsidRPr="00752411">
              <w:rPr>
                <w:b/>
                <w:bCs/>
                <w:color w:val="000000"/>
              </w:rPr>
              <w:t>Cecidomyiidae</w:t>
            </w:r>
            <w:r w:rsidRPr="00752411">
              <w:rPr>
                <w:b/>
              </w:rPr>
              <w:t>]</w:t>
            </w:r>
          </w:p>
        </w:tc>
      </w:tr>
      <w:tr w:rsidR="003438A2" w:rsidRPr="00752411" w14:paraId="4B380FB5" w14:textId="77777777" w:rsidTr="005643E8">
        <w:trPr>
          <w:gridAfter w:val="1"/>
          <w:wAfter w:w="79" w:type="pct"/>
        </w:trPr>
        <w:tc>
          <w:tcPr>
            <w:tcW w:w="1019" w:type="pct"/>
            <w:tcBorders>
              <w:top w:val="nil"/>
              <w:left w:val="nil"/>
              <w:bottom w:val="single" w:sz="4" w:space="0" w:color="BFBFBF" w:themeColor="background1" w:themeShade="BF"/>
            </w:tcBorders>
          </w:tcPr>
          <w:p w14:paraId="73A7245E" w14:textId="77777777" w:rsidR="003438A2" w:rsidRPr="00752411" w:rsidRDefault="003438A2" w:rsidP="005643E8">
            <w:pPr>
              <w:pStyle w:val="TableText"/>
              <w:rPr>
                <w:i/>
                <w:lang w:eastAsia="en-AU"/>
              </w:rPr>
            </w:pPr>
            <w:r w:rsidRPr="00752411">
              <w:rPr>
                <w:bCs/>
                <w:i/>
                <w:iCs/>
                <w:lang w:eastAsia="en-AU"/>
              </w:rPr>
              <w:t xml:space="preserve">Dasineura mali </w:t>
            </w:r>
            <w:r w:rsidRPr="00752411">
              <w:rPr>
                <w:bCs/>
                <w:iCs/>
                <w:lang w:eastAsia="en-AU"/>
              </w:rPr>
              <w:t>(EP)</w:t>
            </w:r>
          </w:p>
        </w:tc>
        <w:tc>
          <w:tcPr>
            <w:tcW w:w="438" w:type="pct"/>
            <w:tcBorders>
              <w:top w:val="nil"/>
              <w:bottom w:val="single" w:sz="4" w:space="0" w:color="BFBFBF" w:themeColor="background1" w:themeShade="BF"/>
            </w:tcBorders>
            <w:shd w:val="clear" w:color="auto" w:fill="auto"/>
          </w:tcPr>
          <w:p w14:paraId="6E2B19CA" w14:textId="77777777" w:rsidR="003438A2" w:rsidRPr="00752411" w:rsidRDefault="003438A2" w:rsidP="005643E8">
            <w:pPr>
              <w:pStyle w:val="TableText"/>
            </w:pPr>
            <w:r w:rsidRPr="00752411">
              <w:t>Low</w:t>
            </w:r>
          </w:p>
        </w:tc>
        <w:tc>
          <w:tcPr>
            <w:tcW w:w="482" w:type="pct"/>
            <w:tcBorders>
              <w:top w:val="nil"/>
              <w:bottom w:val="single" w:sz="4" w:space="0" w:color="BFBFBF" w:themeColor="background1" w:themeShade="BF"/>
            </w:tcBorders>
            <w:shd w:val="clear" w:color="auto" w:fill="auto"/>
          </w:tcPr>
          <w:p w14:paraId="06894D1A" w14:textId="77777777" w:rsidR="003438A2" w:rsidRPr="00752411" w:rsidRDefault="003438A2" w:rsidP="005643E8">
            <w:pPr>
              <w:pStyle w:val="TableText"/>
            </w:pPr>
            <w:r w:rsidRPr="00752411">
              <w:t>Very Low</w:t>
            </w:r>
          </w:p>
        </w:tc>
        <w:tc>
          <w:tcPr>
            <w:tcW w:w="444" w:type="pct"/>
            <w:tcBorders>
              <w:top w:val="nil"/>
              <w:bottom w:val="single" w:sz="4" w:space="0" w:color="BFBFBF" w:themeColor="background1" w:themeShade="BF"/>
            </w:tcBorders>
            <w:shd w:val="clear" w:color="auto" w:fill="auto"/>
          </w:tcPr>
          <w:p w14:paraId="5C5F9584" w14:textId="77777777" w:rsidR="003438A2" w:rsidRPr="00752411" w:rsidRDefault="003438A2" w:rsidP="005643E8">
            <w:pPr>
              <w:pStyle w:val="TableText"/>
              <w:rPr>
                <w:b/>
              </w:rPr>
            </w:pPr>
            <w:r w:rsidRPr="00752411">
              <w:rPr>
                <w:b/>
              </w:rPr>
              <w:t>Very Low</w:t>
            </w:r>
          </w:p>
        </w:tc>
        <w:tc>
          <w:tcPr>
            <w:tcW w:w="535" w:type="pct"/>
            <w:tcBorders>
              <w:top w:val="nil"/>
              <w:bottom w:val="single" w:sz="4" w:space="0" w:color="BFBFBF" w:themeColor="background1" w:themeShade="BF"/>
            </w:tcBorders>
            <w:shd w:val="clear" w:color="auto" w:fill="auto"/>
          </w:tcPr>
          <w:p w14:paraId="59F7D633" w14:textId="77777777" w:rsidR="003438A2" w:rsidRPr="00752411" w:rsidRDefault="003438A2" w:rsidP="005643E8">
            <w:pPr>
              <w:pStyle w:val="TableText"/>
            </w:pPr>
            <w:r w:rsidRPr="00752411">
              <w:t>Moderate</w:t>
            </w:r>
          </w:p>
        </w:tc>
        <w:tc>
          <w:tcPr>
            <w:tcW w:w="372" w:type="pct"/>
            <w:tcBorders>
              <w:top w:val="nil"/>
              <w:bottom w:val="single" w:sz="4" w:space="0" w:color="BFBFBF" w:themeColor="background1" w:themeShade="BF"/>
            </w:tcBorders>
            <w:shd w:val="clear" w:color="auto" w:fill="auto"/>
          </w:tcPr>
          <w:p w14:paraId="13E135ED" w14:textId="77777777" w:rsidR="003438A2" w:rsidRPr="00752411" w:rsidRDefault="003438A2" w:rsidP="005643E8">
            <w:pPr>
              <w:pStyle w:val="TableText"/>
            </w:pPr>
            <w:r w:rsidRPr="00752411">
              <w:t>Moderate</w:t>
            </w:r>
          </w:p>
        </w:tc>
        <w:tc>
          <w:tcPr>
            <w:tcW w:w="561" w:type="pct"/>
            <w:tcBorders>
              <w:top w:val="nil"/>
              <w:bottom w:val="single" w:sz="4" w:space="0" w:color="BFBFBF" w:themeColor="background1" w:themeShade="BF"/>
            </w:tcBorders>
            <w:shd w:val="clear" w:color="auto" w:fill="auto"/>
          </w:tcPr>
          <w:p w14:paraId="41DE7EF1" w14:textId="77777777" w:rsidR="003438A2" w:rsidRPr="00752411" w:rsidRDefault="003438A2" w:rsidP="005643E8">
            <w:pPr>
              <w:pStyle w:val="TableText"/>
            </w:pPr>
            <w:r w:rsidRPr="00752411">
              <w:t>Very Low</w:t>
            </w:r>
          </w:p>
        </w:tc>
        <w:tc>
          <w:tcPr>
            <w:tcW w:w="588" w:type="pct"/>
            <w:tcBorders>
              <w:top w:val="nil"/>
              <w:bottom w:val="single" w:sz="4" w:space="0" w:color="BFBFBF" w:themeColor="background1" w:themeShade="BF"/>
            </w:tcBorders>
            <w:shd w:val="clear" w:color="auto" w:fill="auto"/>
          </w:tcPr>
          <w:p w14:paraId="0FB8C616" w14:textId="77777777" w:rsidR="003438A2" w:rsidRPr="00752411" w:rsidRDefault="003438A2" w:rsidP="005643E8">
            <w:pPr>
              <w:pStyle w:val="TableText"/>
            </w:pPr>
            <w:r w:rsidRPr="00752411">
              <w:t>Low</w:t>
            </w:r>
          </w:p>
        </w:tc>
        <w:tc>
          <w:tcPr>
            <w:tcW w:w="482" w:type="pct"/>
            <w:gridSpan w:val="2"/>
            <w:tcBorders>
              <w:top w:val="nil"/>
              <w:bottom w:val="single" w:sz="4" w:space="0" w:color="BFBFBF" w:themeColor="background1" w:themeShade="BF"/>
              <w:right w:val="nil"/>
            </w:tcBorders>
            <w:shd w:val="clear" w:color="auto" w:fill="auto"/>
          </w:tcPr>
          <w:p w14:paraId="3E93E800" w14:textId="77777777" w:rsidR="003438A2" w:rsidRPr="00752411" w:rsidRDefault="003438A2" w:rsidP="005643E8">
            <w:pPr>
              <w:pStyle w:val="TableText"/>
              <w:rPr>
                <w:b/>
              </w:rPr>
            </w:pPr>
            <w:r w:rsidRPr="00752411">
              <w:rPr>
                <w:b/>
              </w:rPr>
              <w:t>Negligible</w:t>
            </w:r>
          </w:p>
        </w:tc>
      </w:tr>
      <w:tr w:rsidR="003438A2" w:rsidRPr="00752411" w14:paraId="09BBC025" w14:textId="77777777" w:rsidTr="005643E8">
        <w:trPr>
          <w:gridAfter w:val="1"/>
          <w:wAfter w:w="79" w:type="pct"/>
        </w:trPr>
        <w:tc>
          <w:tcPr>
            <w:tcW w:w="4921" w:type="pct"/>
            <w:gridSpan w:val="10"/>
            <w:tcBorders>
              <w:top w:val="single" w:sz="4" w:space="0" w:color="BFBFBF" w:themeColor="background1" w:themeShade="BF"/>
              <w:left w:val="nil"/>
              <w:bottom w:val="single" w:sz="4" w:space="0" w:color="FFFFFF" w:themeColor="background1"/>
              <w:right w:val="nil"/>
            </w:tcBorders>
          </w:tcPr>
          <w:p w14:paraId="40BF6613" w14:textId="77777777" w:rsidR="003438A2" w:rsidRPr="00752411" w:rsidRDefault="003438A2" w:rsidP="005643E8">
            <w:pPr>
              <w:pStyle w:val="TableText"/>
              <w:rPr>
                <w:b/>
              </w:rPr>
            </w:pPr>
            <w:r w:rsidRPr="00752411">
              <w:rPr>
                <w:b/>
              </w:rPr>
              <w:t xml:space="preserve">Fruit </w:t>
            </w:r>
            <w:r>
              <w:rPr>
                <w:b/>
              </w:rPr>
              <w:t>f</w:t>
            </w:r>
            <w:r w:rsidRPr="00752411">
              <w:rPr>
                <w:b/>
              </w:rPr>
              <w:t>lies [Diptera: Tephritidae]</w:t>
            </w:r>
          </w:p>
        </w:tc>
      </w:tr>
      <w:tr w:rsidR="003438A2" w:rsidRPr="00752411" w14:paraId="35B719E1" w14:textId="77777777" w:rsidTr="005643E8">
        <w:trPr>
          <w:gridAfter w:val="1"/>
          <w:wAfter w:w="79" w:type="pct"/>
        </w:trPr>
        <w:tc>
          <w:tcPr>
            <w:tcW w:w="1019" w:type="pct"/>
            <w:tcBorders>
              <w:top w:val="single" w:sz="4" w:space="0" w:color="FFFFFF" w:themeColor="background1"/>
              <w:left w:val="nil"/>
              <w:bottom w:val="single" w:sz="4" w:space="0" w:color="BFBFBF" w:themeColor="background1" w:themeShade="BF"/>
            </w:tcBorders>
          </w:tcPr>
          <w:p w14:paraId="02C70BBC" w14:textId="77777777" w:rsidR="003438A2" w:rsidRPr="00752411" w:rsidRDefault="003438A2" w:rsidP="005643E8">
            <w:pPr>
              <w:pStyle w:val="TableText"/>
              <w:rPr>
                <w:i/>
                <w:lang w:eastAsia="en-AU"/>
              </w:rPr>
            </w:pPr>
            <w:r w:rsidRPr="00752411">
              <w:rPr>
                <w:i/>
              </w:rPr>
              <w:t xml:space="preserve">Rhagoletis pomonella </w:t>
            </w:r>
            <w:r w:rsidRPr="00752411">
              <w:t>(EP)</w:t>
            </w:r>
          </w:p>
        </w:tc>
        <w:tc>
          <w:tcPr>
            <w:tcW w:w="438" w:type="pct"/>
            <w:tcBorders>
              <w:top w:val="single" w:sz="4" w:space="0" w:color="FFFFFF" w:themeColor="background1"/>
              <w:bottom w:val="single" w:sz="4" w:space="0" w:color="BFBFBF" w:themeColor="background1" w:themeShade="BF"/>
            </w:tcBorders>
            <w:shd w:val="clear" w:color="auto" w:fill="auto"/>
          </w:tcPr>
          <w:p w14:paraId="2919D8EE" w14:textId="77777777" w:rsidR="003438A2" w:rsidRPr="00752411" w:rsidRDefault="003438A2" w:rsidP="005643E8">
            <w:pPr>
              <w:pStyle w:val="TableText"/>
            </w:pPr>
            <w:r w:rsidRPr="00752411">
              <w:t>High</w:t>
            </w:r>
          </w:p>
        </w:tc>
        <w:tc>
          <w:tcPr>
            <w:tcW w:w="482" w:type="pct"/>
            <w:tcBorders>
              <w:top w:val="single" w:sz="4" w:space="0" w:color="FFFFFF" w:themeColor="background1"/>
              <w:bottom w:val="single" w:sz="4" w:space="0" w:color="BFBFBF" w:themeColor="background1" w:themeShade="BF"/>
            </w:tcBorders>
            <w:shd w:val="clear" w:color="auto" w:fill="auto"/>
          </w:tcPr>
          <w:p w14:paraId="5FA3EDB1" w14:textId="77777777" w:rsidR="003438A2" w:rsidRPr="00752411" w:rsidRDefault="003438A2" w:rsidP="005643E8">
            <w:pPr>
              <w:pStyle w:val="TableText"/>
            </w:pPr>
            <w:r w:rsidRPr="00752411">
              <w:t>Moderate</w:t>
            </w:r>
          </w:p>
        </w:tc>
        <w:tc>
          <w:tcPr>
            <w:tcW w:w="444" w:type="pct"/>
            <w:tcBorders>
              <w:top w:val="single" w:sz="4" w:space="0" w:color="FFFFFF" w:themeColor="background1"/>
              <w:bottom w:val="single" w:sz="4" w:space="0" w:color="BFBFBF" w:themeColor="background1" w:themeShade="BF"/>
            </w:tcBorders>
            <w:shd w:val="clear" w:color="auto" w:fill="auto"/>
          </w:tcPr>
          <w:p w14:paraId="2EE277DE" w14:textId="77777777" w:rsidR="003438A2" w:rsidRPr="00752411" w:rsidRDefault="003438A2" w:rsidP="005643E8">
            <w:pPr>
              <w:pStyle w:val="TableText"/>
              <w:rPr>
                <w:b/>
                <w:i/>
              </w:rPr>
            </w:pPr>
            <w:r w:rsidRPr="00752411">
              <w:rPr>
                <w:b/>
              </w:rPr>
              <w:t>Moderate</w:t>
            </w:r>
          </w:p>
        </w:tc>
        <w:tc>
          <w:tcPr>
            <w:tcW w:w="535" w:type="pct"/>
            <w:tcBorders>
              <w:top w:val="single" w:sz="4" w:space="0" w:color="FFFFFF" w:themeColor="background1"/>
              <w:bottom w:val="single" w:sz="4" w:space="0" w:color="BFBFBF" w:themeColor="background1" w:themeShade="BF"/>
            </w:tcBorders>
            <w:shd w:val="clear" w:color="auto" w:fill="auto"/>
          </w:tcPr>
          <w:p w14:paraId="411D4DF3" w14:textId="77777777" w:rsidR="003438A2" w:rsidRPr="00752411" w:rsidRDefault="003438A2" w:rsidP="005643E8">
            <w:pPr>
              <w:pStyle w:val="TableText"/>
            </w:pPr>
            <w:r w:rsidRPr="00752411">
              <w:t>High</w:t>
            </w:r>
          </w:p>
        </w:tc>
        <w:tc>
          <w:tcPr>
            <w:tcW w:w="372" w:type="pct"/>
            <w:tcBorders>
              <w:top w:val="single" w:sz="4" w:space="0" w:color="FFFFFF" w:themeColor="background1"/>
              <w:bottom w:val="single" w:sz="4" w:space="0" w:color="BFBFBF" w:themeColor="background1" w:themeShade="BF"/>
            </w:tcBorders>
            <w:shd w:val="clear" w:color="auto" w:fill="auto"/>
          </w:tcPr>
          <w:p w14:paraId="1C443600" w14:textId="77777777" w:rsidR="003438A2" w:rsidRPr="00752411" w:rsidRDefault="003438A2" w:rsidP="005643E8">
            <w:pPr>
              <w:pStyle w:val="TableText"/>
            </w:pPr>
            <w:r w:rsidRPr="00752411">
              <w:t>Moderate</w:t>
            </w:r>
          </w:p>
        </w:tc>
        <w:tc>
          <w:tcPr>
            <w:tcW w:w="561" w:type="pct"/>
            <w:tcBorders>
              <w:top w:val="single" w:sz="4" w:space="0" w:color="FFFFFF" w:themeColor="background1"/>
              <w:bottom w:val="single" w:sz="4" w:space="0" w:color="BFBFBF" w:themeColor="background1" w:themeShade="BF"/>
            </w:tcBorders>
            <w:shd w:val="clear" w:color="auto" w:fill="auto"/>
          </w:tcPr>
          <w:p w14:paraId="7FD865DA" w14:textId="77777777" w:rsidR="003438A2" w:rsidRPr="00752411" w:rsidRDefault="003438A2" w:rsidP="005643E8">
            <w:pPr>
              <w:pStyle w:val="TableText"/>
            </w:pPr>
            <w:r w:rsidRPr="00752411">
              <w:t>Low</w:t>
            </w:r>
          </w:p>
        </w:tc>
        <w:tc>
          <w:tcPr>
            <w:tcW w:w="588" w:type="pct"/>
            <w:tcBorders>
              <w:top w:val="single" w:sz="4" w:space="0" w:color="FFFFFF" w:themeColor="background1"/>
              <w:bottom w:val="single" w:sz="4" w:space="0" w:color="BFBFBF" w:themeColor="background1" w:themeShade="BF"/>
            </w:tcBorders>
            <w:shd w:val="clear" w:color="auto" w:fill="auto"/>
          </w:tcPr>
          <w:p w14:paraId="2BC863D1" w14:textId="77777777" w:rsidR="003438A2" w:rsidRPr="00752411" w:rsidRDefault="003438A2" w:rsidP="005643E8">
            <w:pPr>
              <w:pStyle w:val="TableText"/>
            </w:pPr>
            <w:r w:rsidRPr="00752411">
              <w:t>High</w:t>
            </w:r>
          </w:p>
        </w:tc>
        <w:tc>
          <w:tcPr>
            <w:tcW w:w="482" w:type="pct"/>
            <w:gridSpan w:val="2"/>
            <w:tcBorders>
              <w:top w:val="single" w:sz="4" w:space="0" w:color="FFFFFF" w:themeColor="background1"/>
              <w:bottom w:val="single" w:sz="4" w:space="0" w:color="BFBFBF" w:themeColor="background1" w:themeShade="BF"/>
              <w:right w:val="nil"/>
            </w:tcBorders>
            <w:shd w:val="clear" w:color="auto" w:fill="auto"/>
          </w:tcPr>
          <w:p w14:paraId="41AA1A13" w14:textId="77777777" w:rsidR="003438A2" w:rsidRPr="00752411" w:rsidRDefault="003438A2" w:rsidP="005643E8">
            <w:pPr>
              <w:pStyle w:val="TableText"/>
              <w:rPr>
                <w:b/>
              </w:rPr>
            </w:pPr>
            <w:r w:rsidRPr="00752411">
              <w:rPr>
                <w:b/>
              </w:rPr>
              <w:t>Moderate</w:t>
            </w:r>
          </w:p>
        </w:tc>
      </w:tr>
      <w:tr w:rsidR="003438A2" w:rsidRPr="00752411" w14:paraId="62A0B1E8" w14:textId="77777777" w:rsidTr="005643E8">
        <w:trPr>
          <w:gridAfter w:val="1"/>
          <w:wAfter w:w="79" w:type="pct"/>
          <w:trHeight w:val="365"/>
        </w:trPr>
        <w:tc>
          <w:tcPr>
            <w:tcW w:w="4921" w:type="pct"/>
            <w:gridSpan w:val="10"/>
            <w:tcBorders>
              <w:top w:val="single" w:sz="4" w:space="0" w:color="A6A6A6" w:themeColor="background1" w:themeShade="A6"/>
              <w:left w:val="nil"/>
              <w:bottom w:val="nil"/>
              <w:right w:val="nil"/>
            </w:tcBorders>
          </w:tcPr>
          <w:p w14:paraId="4C689172" w14:textId="77777777" w:rsidR="003438A2" w:rsidRPr="00752411" w:rsidRDefault="003438A2" w:rsidP="005643E8">
            <w:pPr>
              <w:pStyle w:val="TableText"/>
              <w:rPr>
                <w:b/>
              </w:rPr>
            </w:pPr>
            <w:r w:rsidRPr="00752411">
              <w:rPr>
                <w:b/>
              </w:rPr>
              <w:t>Scale bugs [Hemiptera: Diaspididae]</w:t>
            </w:r>
          </w:p>
        </w:tc>
      </w:tr>
      <w:tr w:rsidR="003438A2" w:rsidRPr="008A1C2E" w14:paraId="34C9DB58" w14:textId="77777777" w:rsidTr="005643E8">
        <w:trPr>
          <w:gridAfter w:val="1"/>
          <w:wAfter w:w="79" w:type="pct"/>
        </w:trPr>
        <w:tc>
          <w:tcPr>
            <w:tcW w:w="1019" w:type="pct"/>
            <w:tcBorders>
              <w:top w:val="nil"/>
              <w:left w:val="nil"/>
              <w:bottom w:val="single" w:sz="4" w:space="0" w:color="BFBFBF" w:themeColor="background1" w:themeShade="BF"/>
            </w:tcBorders>
            <w:shd w:val="clear" w:color="auto" w:fill="auto"/>
          </w:tcPr>
          <w:p w14:paraId="49D5F5E9" w14:textId="77777777" w:rsidR="003438A2" w:rsidRPr="008A1C2E" w:rsidRDefault="003438A2" w:rsidP="005643E8">
            <w:pPr>
              <w:pStyle w:val="TableText"/>
              <w:rPr>
                <w:bCs/>
                <w:i/>
                <w:iCs/>
              </w:rPr>
            </w:pPr>
            <w:r w:rsidRPr="008A1C2E">
              <w:rPr>
                <w:bCs/>
                <w:i/>
                <w:iCs/>
              </w:rPr>
              <w:t xml:space="preserve">Parlatoria pergandii </w:t>
            </w:r>
            <w:r w:rsidRPr="008A1C2E">
              <w:rPr>
                <w:bCs/>
                <w:iCs/>
              </w:rPr>
              <w:t>(GP, WA)</w:t>
            </w:r>
          </w:p>
        </w:tc>
        <w:tc>
          <w:tcPr>
            <w:tcW w:w="438" w:type="pct"/>
            <w:tcBorders>
              <w:top w:val="nil"/>
              <w:bottom w:val="single" w:sz="4" w:space="0" w:color="BFBFBF" w:themeColor="background1" w:themeShade="BF"/>
            </w:tcBorders>
            <w:shd w:val="clear" w:color="auto" w:fill="auto"/>
          </w:tcPr>
          <w:p w14:paraId="3047C350" w14:textId="77777777" w:rsidR="003438A2" w:rsidRPr="008A1C2E" w:rsidRDefault="003438A2" w:rsidP="005643E8">
            <w:pPr>
              <w:pStyle w:val="TableText"/>
            </w:pPr>
            <w:r w:rsidRPr="008A1C2E">
              <w:t>Low</w:t>
            </w:r>
          </w:p>
        </w:tc>
        <w:tc>
          <w:tcPr>
            <w:tcW w:w="482" w:type="pct"/>
            <w:tcBorders>
              <w:top w:val="nil"/>
              <w:bottom w:val="single" w:sz="4" w:space="0" w:color="BFBFBF" w:themeColor="background1" w:themeShade="BF"/>
            </w:tcBorders>
            <w:shd w:val="clear" w:color="auto" w:fill="auto"/>
          </w:tcPr>
          <w:p w14:paraId="4C1C9B78" w14:textId="77777777" w:rsidR="003438A2" w:rsidRPr="008A1C2E" w:rsidRDefault="003438A2" w:rsidP="005643E8">
            <w:pPr>
              <w:pStyle w:val="TableText"/>
              <w:rPr>
                <w:strike/>
              </w:rPr>
            </w:pPr>
            <w:r w:rsidRPr="008A1C2E">
              <w:t>Moderate</w:t>
            </w:r>
          </w:p>
        </w:tc>
        <w:tc>
          <w:tcPr>
            <w:tcW w:w="444" w:type="pct"/>
            <w:tcBorders>
              <w:top w:val="nil"/>
              <w:bottom w:val="single" w:sz="4" w:space="0" w:color="BFBFBF" w:themeColor="background1" w:themeShade="BF"/>
            </w:tcBorders>
            <w:shd w:val="clear" w:color="auto" w:fill="auto"/>
          </w:tcPr>
          <w:p w14:paraId="00852868" w14:textId="77777777" w:rsidR="003438A2" w:rsidRPr="008A1C2E" w:rsidRDefault="003438A2" w:rsidP="005643E8">
            <w:pPr>
              <w:pStyle w:val="TableText"/>
              <w:rPr>
                <w:b/>
              </w:rPr>
            </w:pPr>
            <w:r w:rsidRPr="008A1C2E">
              <w:rPr>
                <w:b/>
              </w:rPr>
              <w:t xml:space="preserve"> Low</w:t>
            </w:r>
          </w:p>
        </w:tc>
        <w:tc>
          <w:tcPr>
            <w:tcW w:w="535" w:type="pct"/>
            <w:tcBorders>
              <w:top w:val="nil"/>
              <w:bottom w:val="single" w:sz="4" w:space="0" w:color="BFBFBF" w:themeColor="background1" w:themeShade="BF"/>
            </w:tcBorders>
            <w:shd w:val="clear" w:color="auto" w:fill="auto"/>
          </w:tcPr>
          <w:p w14:paraId="0F6BE125" w14:textId="77777777" w:rsidR="003438A2" w:rsidRPr="008A1C2E" w:rsidRDefault="003438A2" w:rsidP="005643E8">
            <w:pPr>
              <w:pStyle w:val="TableText"/>
            </w:pPr>
            <w:r w:rsidRPr="008A1C2E">
              <w:t>High</w:t>
            </w:r>
          </w:p>
        </w:tc>
        <w:tc>
          <w:tcPr>
            <w:tcW w:w="372" w:type="pct"/>
            <w:tcBorders>
              <w:top w:val="nil"/>
              <w:bottom w:val="single" w:sz="4" w:space="0" w:color="BFBFBF" w:themeColor="background1" w:themeShade="BF"/>
            </w:tcBorders>
            <w:shd w:val="clear" w:color="auto" w:fill="auto"/>
          </w:tcPr>
          <w:p w14:paraId="38A9073C" w14:textId="77777777" w:rsidR="003438A2" w:rsidRPr="008A1C2E" w:rsidRDefault="003438A2" w:rsidP="005643E8">
            <w:pPr>
              <w:pStyle w:val="TableText"/>
            </w:pPr>
            <w:r w:rsidRPr="005F4523">
              <w:t>High</w:t>
            </w:r>
          </w:p>
        </w:tc>
        <w:tc>
          <w:tcPr>
            <w:tcW w:w="561" w:type="pct"/>
            <w:tcBorders>
              <w:top w:val="nil"/>
              <w:bottom w:val="single" w:sz="4" w:space="0" w:color="BFBFBF" w:themeColor="background1" w:themeShade="BF"/>
            </w:tcBorders>
            <w:shd w:val="clear" w:color="auto" w:fill="auto"/>
          </w:tcPr>
          <w:p w14:paraId="47875004" w14:textId="77777777" w:rsidR="003438A2" w:rsidRPr="008A1C2E" w:rsidRDefault="003438A2" w:rsidP="005643E8">
            <w:pPr>
              <w:pStyle w:val="TableText"/>
            </w:pPr>
            <w:r w:rsidRPr="008A1C2E">
              <w:t>Low</w:t>
            </w:r>
          </w:p>
        </w:tc>
        <w:tc>
          <w:tcPr>
            <w:tcW w:w="588" w:type="pct"/>
            <w:tcBorders>
              <w:top w:val="nil"/>
              <w:bottom w:val="single" w:sz="4" w:space="0" w:color="BFBFBF" w:themeColor="background1" w:themeShade="BF"/>
            </w:tcBorders>
            <w:shd w:val="clear" w:color="auto" w:fill="auto"/>
          </w:tcPr>
          <w:p w14:paraId="2D158910" w14:textId="77777777" w:rsidR="003438A2" w:rsidRPr="008A1C2E" w:rsidRDefault="003438A2" w:rsidP="005643E8">
            <w:pPr>
              <w:pStyle w:val="TableText"/>
            </w:pPr>
            <w:r w:rsidRPr="008A1C2E">
              <w:t>Low</w:t>
            </w:r>
          </w:p>
        </w:tc>
        <w:tc>
          <w:tcPr>
            <w:tcW w:w="482" w:type="pct"/>
            <w:gridSpan w:val="2"/>
            <w:tcBorders>
              <w:top w:val="nil"/>
              <w:bottom w:val="single" w:sz="4" w:space="0" w:color="BFBFBF" w:themeColor="background1" w:themeShade="BF"/>
              <w:right w:val="nil"/>
            </w:tcBorders>
            <w:shd w:val="clear" w:color="auto" w:fill="auto"/>
          </w:tcPr>
          <w:p w14:paraId="2E37FBF6" w14:textId="77777777" w:rsidR="003438A2" w:rsidRPr="008A1C2E" w:rsidRDefault="003438A2" w:rsidP="005643E8">
            <w:pPr>
              <w:pStyle w:val="TableText"/>
              <w:rPr>
                <w:b/>
                <w:strike/>
              </w:rPr>
            </w:pPr>
            <w:r w:rsidRPr="008A1C2E">
              <w:rPr>
                <w:b/>
              </w:rPr>
              <w:t>Very Low</w:t>
            </w:r>
          </w:p>
        </w:tc>
      </w:tr>
      <w:tr w:rsidR="003438A2" w:rsidRPr="00752411" w14:paraId="2BF87358" w14:textId="77777777" w:rsidTr="005643E8">
        <w:trPr>
          <w:gridAfter w:val="1"/>
          <w:wAfter w:w="79" w:type="pct"/>
        </w:trPr>
        <w:tc>
          <w:tcPr>
            <w:tcW w:w="4921" w:type="pct"/>
            <w:gridSpan w:val="10"/>
            <w:tcBorders>
              <w:top w:val="single" w:sz="4" w:space="0" w:color="BFBFBF" w:themeColor="background1" w:themeShade="BF"/>
              <w:left w:val="nil"/>
              <w:bottom w:val="nil"/>
              <w:right w:val="nil"/>
            </w:tcBorders>
            <w:shd w:val="clear" w:color="auto" w:fill="auto"/>
          </w:tcPr>
          <w:p w14:paraId="3EF083AE" w14:textId="77777777" w:rsidR="003438A2" w:rsidRPr="00752411" w:rsidRDefault="003438A2" w:rsidP="005643E8">
            <w:pPr>
              <w:pStyle w:val="TableText"/>
              <w:rPr>
                <w:b/>
              </w:rPr>
            </w:pPr>
            <w:r>
              <w:rPr>
                <w:b/>
              </w:rPr>
              <w:t>Lygus</w:t>
            </w:r>
            <w:r w:rsidRPr="00752411">
              <w:rPr>
                <w:b/>
              </w:rPr>
              <w:t xml:space="preserve"> bugs [Hemiptera: Miridae]</w:t>
            </w:r>
          </w:p>
        </w:tc>
      </w:tr>
      <w:tr w:rsidR="003438A2" w:rsidRPr="00752411" w14:paraId="08C04A09" w14:textId="77777777" w:rsidTr="005643E8">
        <w:trPr>
          <w:gridAfter w:val="1"/>
          <w:wAfter w:w="79" w:type="pct"/>
          <w:trHeight w:val="365"/>
        </w:trPr>
        <w:tc>
          <w:tcPr>
            <w:tcW w:w="1019" w:type="pct"/>
            <w:tcBorders>
              <w:top w:val="nil"/>
              <w:left w:val="nil"/>
              <w:bottom w:val="nil"/>
            </w:tcBorders>
          </w:tcPr>
          <w:p w14:paraId="756DB53B" w14:textId="77777777" w:rsidR="003438A2" w:rsidRPr="00752411" w:rsidRDefault="003438A2" w:rsidP="005643E8">
            <w:pPr>
              <w:pStyle w:val="TableText"/>
            </w:pPr>
            <w:r w:rsidRPr="00752411">
              <w:rPr>
                <w:i/>
              </w:rPr>
              <w:t>Lygus elisus</w:t>
            </w:r>
            <w:r w:rsidRPr="00752411">
              <w:t xml:space="preserve"> (EP)</w:t>
            </w:r>
          </w:p>
        </w:tc>
        <w:tc>
          <w:tcPr>
            <w:tcW w:w="438" w:type="pct"/>
            <w:tcBorders>
              <w:top w:val="nil"/>
              <w:bottom w:val="nil"/>
            </w:tcBorders>
            <w:shd w:val="clear" w:color="auto" w:fill="auto"/>
          </w:tcPr>
          <w:p w14:paraId="0CCE9677" w14:textId="77777777" w:rsidR="003438A2" w:rsidRPr="00752411" w:rsidRDefault="003438A2" w:rsidP="005643E8">
            <w:pPr>
              <w:pStyle w:val="TableText"/>
            </w:pPr>
            <w:r w:rsidRPr="00752411">
              <w:t>Very Low</w:t>
            </w:r>
          </w:p>
        </w:tc>
        <w:tc>
          <w:tcPr>
            <w:tcW w:w="482" w:type="pct"/>
            <w:tcBorders>
              <w:top w:val="nil"/>
              <w:bottom w:val="nil"/>
            </w:tcBorders>
            <w:shd w:val="clear" w:color="auto" w:fill="auto"/>
          </w:tcPr>
          <w:p w14:paraId="6C6F1AC9" w14:textId="77777777" w:rsidR="003438A2" w:rsidRPr="00752411" w:rsidRDefault="003438A2" w:rsidP="005643E8">
            <w:pPr>
              <w:pStyle w:val="TableText"/>
            </w:pPr>
            <w:r w:rsidRPr="00752411">
              <w:t>Moderate</w:t>
            </w:r>
          </w:p>
        </w:tc>
        <w:tc>
          <w:tcPr>
            <w:tcW w:w="444" w:type="pct"/>
            <w:tcBorders>
              <w:top w:val="nil"/>
              <w:bottom w:val="nil"/>
            </w:tcBorders>
            <w:shd w:val="clear" w:color="auto" w:fill="auto"/>
          </w:tcPr>
          <w:p w14:paraId="7D637CC3" w14:textId="77777777" w:rsidR="003438A2" w:rsidRPr="00752411" w:rsidRDefault="003438A2" w:rsidP="005643E8">
            <w:pPr>
              <w:pStyle w:val="TableText"/>
              <w:rPr>
                <w:b/>
              </w:rPr>
            </w:pPr>
            <w:r w:rsidRPr="00752411">
              <w:rPr>
                <w:b/>
              </w:rPr>
              <w:t>Very Low</w:t>
            </w:r>
          </w:p>
        </w:tc>
        <w:tc>
          <w:tcPr>
            <w:tcW w:w="535" w:type="pct"/>
            <w:tcBorders>
              <w:top w:val="nil"/>
              <w:bottom w:val="nil"/>
            </w:tcBorders>
            <w:shd w:val="clear" w:color="auto" w:fill="auto"/>
          </w:tcPr>
          <w:p w14:paraId="6CB64CD5" w14:textId="77777777" w:rsidR="003438A2" w:rsidRPr="00752411" w:rsidRDefault="003438A2" w:rsidP="005643E8">
            <w:pPr>
              <w:pStyle w:val="TableText"/>
            </w:pPr>
            <w:r w:rsidRPr="00752411">
              <w:t>High</w:t>
            </w:r>
          </w:p>
        </w:tc>
        <w:tc>
          <w:tcPr>
            <w:tcW w:w="372" w:type="pct"/>
            <w:tcBorders>
              <w:top w:val="nil"/>
              <w:bottom w:val="nil"/>
            </w:tcBorders>
            <w:shd w:val="clear" w:color="auto" w:fill="auto"/>
          </w:tcPr>
          <w:p w14:paraId="28AE7B4B" w14:textId="77777777" w:rsidR="003438A2" w:rsidRPr="00752411" w:rsidRDefault="003438A2" w:rsidP="005643E8">
            <w:pPr>
              <w:pStyle w:val="TableText"/>
            </w:pPr>
            <w:r w:rsidRPr="00752411">
              <w:t>Moderate</w:t>
            </w:r>
          </w:p>
        </w:tc>
        <w:tc>
          <w:tcPr>
            <w:tcW w:w="561" w:type="pct"/>
            <w:tcBorders>
              <w:top w:val="nil"/>
              <w:bottom w:val="nil"/>
            </w:tcBorders>
            <w:shd w:val="clear" w:color="auto" w:fill="auto"/>
          </w:tcPr>
          <w:p w14:paraId="48BCC616" w14:textId="77777777" w:rsidR="003438A2" w:rsidRPr="00752411" w:rsidRDefault="003438A2" w:rsidP="005643E8">
            <w:pPr>
              <w:pStyle w:val="TableText"/>
            </w:pPr>
            <w:r w:rsidRPr="00752411">
              <w:t>Very Low</w:t>
            </w:r>
          </w:p>
        </w:tc>
        <w:tc>
          <w:tcPr>
            <w:tcW w:w="588" w:type="pct"/>
            <w:tcBorders>
              <w:top w:val="nil"/>
              <w:bottom w:val="nil"/>
            </w:tcBorders>
            <w:shd w:val="clear" w:color="auto" w:fill="auto"/>
          </w:tcPr>
          <w:p w14:paraId="0D080BAB" w14:textId="77777777" w:rsidR="003438A2" w:rsidRPr="00752411" w:rsidRDefault="003438A2" w:rsidP="005643E8">
            <w:pPr>
              <w:pStyle w:val="TableText"/>
            </w:pPr>
            <w:r w:rsidRPr="00752411">
              <w:t>Moderate</w:t>
            </w:r>
          </w:p>
        </w:tc>
        <w:tc>
          <w:tcPr>
            <w:tcW w:w="482" w:type="pct"/>
            <w:gridSpan w:val="2"/>
            <w:tcBorders>
              <w:top w:val="nil"/>
              <w:bottom w:val="nil"/>
              <w:right w:val="nil"/>
            </w:tcBorders>
            <w:shd w:val="clear" w:color="auto" w:fill="auto"/>
          </w:tcPr>
          <w:p w14:paraId="08B45227" w14:textId="77777777" w:rsidR="003438A2" w:rsidRPr="00752411" w:rsidRDefault="003438A2" w:rsidP="005643E8">
            <w:pPr>
              <w:pStyle w:val="TableText"/>
              <w:rPr>
                <w:b/>
              </w:rPr>
            </w:pPr>
            <w:r w:rsidRPr="00752411">
              <w:rPr>
                <w:b/>
              </w:rPr>
              <w:t>Very Low</w:t>
            </w:r>
          </w:p>
        </w:tc>
      </w:tr>
      <w:tr w:rsidR="003438A2" w:rsidRPr="00752411" w14:paraId="1C4BC6F8" w14:textId="77777777" w:rsidTr="005643E8">
        <w:trPr>
          <w:gridAfter w:val="1"/>
          <w:wAfter w:w="79" w:type="pct"/>
          <w:trHeight w:val="365"/>
        </w:trPr>
        <w:tc>
          <w:tcPr>
            <w:tcW w:w="1019" w:type="pct"/>
            <w:tcBorders>
              <w:top w:val="nil"/>
              <w:left w:val="nil"/>
              <w:bottom w:val="nil"/>
            </w:tcBorders>
          </w:tcPr>
          <w:p w14:paraId="53E4E0A8" w14:textId="77777777" w:rsidR="003438A2" w:rsidRPr="00752411" w:rsidRDefault="003438A2" w:rsidP="005643E8">
            <w:pPr>
              <w:pStyle w:val="TableText"/>
            </w:pPr>
            <w:r w:rsidRPr="00752411">
              <w:rPr>
                <w:i/>
              </w:rPr>
              <w:t>Lygus hesperus</w:t>
            </w:r>
            <w:r w:rsidRPr="00752411">
              <w:t xml:space="preserve"> (EP)</w:t>
            </w:r>
          </w:p>
        </w:tc>
        <w:tc>
          <w:tcPr>
            <w:tcW w:w="438" w:type="pct"/>
            <w:tcBorders>
              <w:top w:val="nil"/>
              <w:bottom w:val="nil"/>
            </w:tcBorders>
            <w:shd w:val="clear" w:color="auto" w:fill="auto"/>
          </w:tcPr>
          <w:p w14:paraId="0E8B7F60" w14:textId="77777777" w:rsidR="003438A2" w:rsidRPr="00752411" w:rsidRDefault="003438A2" w:rsidP="005643E8">
            <w:pPr>
              <w:pStyle w:val="TableText"/>
            </w:pPr>
            <w:r w:rsidRPr="00752411">
              <w:t>Very Low</w:t>
            </w:r>
          </w:p>
        </w:tc>
        <w:tc>
          <w:tcPr>
            <w:tcW w:w="482" w:type="pct"/>
            <w:tcBorders>
              <w:top w:val="nil"/>
              <w:bottom w:val="nil"/>
            </w:tcBorders>
            <w:shd w:val="clear" w:color="auto" w:fill="auto"/>
          </w:tcPr>
          <w:p w14:paraId="18A24066" w14:textId="77777777" w:rsidR="003438A2" w:rsidRPr="00752411" w:rsidRDefault="003438A2" w:rsidP="005643E8">
            <w:pPr>
              <w:pStyle w:val="TableText"/>
            </w:pPr>
            <w:r w:rsidRPr="00752411">
              <w:t>Moderate</w:t>
            </w:r>
          </w:p>
        </w:tc>
        <w:tc>
          <w:tcPr>
            <w:tcW w:w="444" w:type="pct"/>
            <w:tcBorders>
              <w:top w:val="nil"/>
              <w:bottom w:val="nil"/>
            </w:tcBorders>
            <w:shd w:val="clear" w:color="auto" w:fill="auto"/>
          </w:tcPr>
          <w:p w14:paraId="238D3736" w14:textId="77777777" w:rsidR="003438A2" w:rsidRPr="00752411" w:rsidRDefault="003438A2" w:rsidP="005643E8">
            <w:pPr>
              <w:pStyle w:val="TableText"/>
              <w:rPr>
                <w:b/>
              </w:rPr>
            </w:pPr>
            <w:r w:rsidRPr="00752411">
              <w:rPr>
                <w:b/>
              </w:rPr>
              <w:t>Very Low</w:t>
            </w:r>
          </w:p>
        </w:tc>
        <w:tc>
          <w:tcPr>
            <w:tcW w:w="535" w:type="pct"/>
            <w:tcBorders>
              <w:top w:val="nil"/>
              <w:bottom w:val="nil"/>
            </w:tcBorders>
            <w:shd w:val="clear" w:color="auto" w:fill="auto"/>
          </w:tcPr>
          <w:p w14:paraId="7B8BE842" w14:textId="77777777" w:rsidR="003438A2" w:rsidRPr="00752411" w:rsidRDefault="003438A2" w:rsidP="005643E8">
            <w:pPr>
              <w:pStyle w:val="TableText"/>
            </w:pPr>
            <w:r w:rsidRPr="00752411">
              <w:t>High</w:t>
            </w:r>
          </w:p>
        </w:tc>
        <w:tc>
          <w:tcPr>
            <w:tcW w:w="372" w:type="pct"/>
            <w:tcBorders>
              <w:top w:val="nil"/>
              <w:bottom w:val="nil"/>
            </w:tcBorders>
            <w:shd w:val="clear" w:color="auto" w:fill="auto"/>
          </w:tcPr>
          <w:p w14:paraId="415A1D6B" w14:textId="77777777" w:rsidR="003438A2" w:rsidRPr="00752411" w:rsidRDefault="003438A2" w:rsidP="005643E8">
            <w:pPr>
              <w:pStyle w:val="TableText"/>
            </w:pPr>
            <w:r w:rsidRPr="00752411">
              <w:t>Moderate</w:t>
            </w:r>
          </w:p>
        </w:tc>
        <w:tc>
          <w:tcPr>
            <w:tcW w:w="561" w:type="pct"/>
            <w:tcBorders>
              <w:top w:val="nil"/>
              <w:bottom w:val="nil"/>
            </w:tcBorders>
            <w:shd w:val="clear" w:color="auto" w:fill="auto"/>
          </w:tcPr>
          <w:p w14:paraId="39276C03" w14:textId="77777777" w:rsidR="003438A2" w:rsidRPr="00752411" w:rsidRDefault="003438A2" w:rsidP="005643E8">
            <w:pPr>
              <w:pStyle w:val="TableText"/>
            </w:pPr>
            <w:r w:rsidRPr="00752411">
              <w:t>Very Low</w:t>
            </w:r>
          </w:p>
        </w:tc>
        <w:tc>
          <w:tcPr>
            <w:tcW w:w="588" w:type="pct"/>
            <w:tcBorders>
              <w:top w:val="nil"/>
              <w:bottom w:val="nil"/>
            </w:tcBorders>
            <w:shd w:val="clear" w:color="auto" w:fill="auto"/>
          </w:tcPr>
          <w:p w14:paraId="38677646" w14:textId="77777777" w:rsidR="003438A2" w:rsidRPr="00752411" w:rsidRDefault="003438A2" w:rsidP="005643E8">
            <w:pPr>
              <w:pStyle w:val="TableText"/>
            </w:pPr>
            <w:r w:rsidRPr="00752411">
              <w:t>Moderate</w:t>
            </w:r>
          </w:p>
        </w:tc>
        <w:tc>
          <w:tcPr>
            <w:tcW w:w="482" w:type="pct"/>
            <w:gridSpan w:val="2"/>
            <w:tcBorders>
              <w:top w:val="nil"/>
              <w:bottom w:val="nil"/>
              <w:right w:val="nil"/>
            </w:tcBorders>
            <w:shd w:val="clear" w:color="auto" w:fill="auto"/>
          </w:tcPr>
          <w:p w14:paraId="74312455" w14:textId="77777777" w:rsidR="003438A2" w:rsidRPr="00752411" w:rsidRDefault="003438A2" w:rsidP="005643E8">
            <w:pPr>
              <w:pStyle w:val="TableText"/>
              <w:rPr>
                <w:b/>
              </w:rPr>
            </w:pPr>
            <w:r w:rsidRPr="00752411">
              <w:rPr>
                <w:b/>
              </w:rPr>
              <w:t>Very Low</w:t>
            </w:r>
          </w:p>
        </w:tc>
      </w:tr>
      <w:tr w:rsidR="003438A2" w:rsidRPr="00752411" w14:paraId="2F3928AD" w14:textId="77777777" w:rsidTr="005643E8">
        <w:trPr>
          <w:gridAfter w:val="1"/>
          <w:wAfter w:w="79" w:type="pct"/>
          <w:trHeight w:val="365"/>
        </w:trPr>
        <w:tc>
          <w:tcPr>
            <w:tcW w:w="1019" w:type="pct"/>
            <w:tcBorders>
              <w:top w:val="nil"/>
              <w:left w:val="nil"/>
              <w:bottom w:val="nil"/>
            </w:tcBorders>
          </w:tcPr>
          <w:p w14:paraId="221CD5C3" w14:textId="77777777" w:rsidR="003438A2" w:rsidRPr="00752411" w:rsidRDefault="003438A2" w:rsidP="005643E8">
            <w:pPr>
              <w:pStyle w:val="TableText"/>
            </w:pPr>
            <w:r w:rsidRPr="00752411">
              <w:rPr>
                <w:i/>
              </w:rPr>
              <w:t>Lygus lineolaris</w:t>
            </w:r>
            <w:r w:rsidRPr="00752411">
              <w:t xml:space="preserve"> (EP)</w:t>
            </w:r>
          </w:p>
        </w:tc>
        <w:tc>
          <w:tcPr>
            <w:tcW w:w="438" w:type="pct"/>
            <w:tcBorders>
              <w:top w:val="nil"/>
              <w:bottom w:val="nil"/>
            </w:tcBorders>
            <w:shd w:val="clear" w:color="auto" w:fill="auto"/>
          </w:tcPr>
          <w:p w14:paraId="4741601F" w14:textId="77777777" w:rsidR="003438A2" w:rsidRPr="00752411" w:rsidRDefault="003438A2" w:rsidP="005643E8">
            <w:pPr>
              <w:pStyle w:val="TableText"/>
            </w:pPr>
            <w:r w:rsidRPr="00752411">
              <w:t>Very Low</w:t>
            </w:r>
          </w:p>
        </w:tc>
        <w:tc>
          <w:tcPr>
            <w:tcW w:w="482" w:type="pct"/>
            <w:tcBorders>
              <w:top w:val="nil"/>
              <w:bottom w:val="nil"/>
            </w:tcBorders>
            <w:shd w:val="clear" w:color="auto" w:fill="auto"/>
          </w:tcPr>
          <w:p w14:paraId="32116DA3" w14:textId="77777777" w:rsidR="003438A2" w:rsidRPr="00752411" w:rsidRDefault="003438A2" w:rsidP="005643E8">
            <w:pPr>
              <w:pStyle w:val="TableText"/>
            </w:pPr>
            <w:r w:rsidRPr="00752411">
              <w:t>Moderate</w:t>
            </w:r>
          </w:p>
        </w:tc>
        <w:tc>
          <w:tcPr>
            <w:tcW w:w="444" w:type="pct"/>
            <w:tcBorders>
              <w:top w:val="nil"/>
              <w:bottom w:val="nil"/>
            </w:tcBorders>
            <w:shd w:val="clear" w:color="auto" w:fill="auto"/>
          </w:tcPr>
          <w:p w14:paraId="61A7E107" w14:textId="77777777" w:rsidR="003438A2" w:rsidRPr="00752411" w:rsidRDefault="003438A2" w:rsidP="005643E8">
            <w:pPr>
              <w:pStyle w:val="TableText"/>
              <w:rPr>
                <w:b/>
              </w:rPr>
            </w:pPr>
            <w:r w:rsidRPr="00752411">
              <w:rPr>
                <w:b/>
              </w:rPr>
              <w:t>Very Low</w:t>
            </w:r>
          </w:p>
        </w:tc>
        <w:tc>
          <w:tcPr>
            <w:tcW w:w="535" w:type="pct"/>
            <w:tcBorders>
              <w:top w:val="nil"/>
              <w:bottom w:val="nil"/>
            </w:tcBorders>
            <w:shd w:val="clear" w:color="auto" w:fill="auto"/>
          </w:tcPr>
          <w:p w14:paraId="0070A915" w14:textId="77777777" w:rsidR="003438A2" w:rsidRPr="00752411" w:rsidRDefault="003438A2" w:rsidP="005643E8">
            <w:pPr>
              <w:pStyle w:val="TableText"/>
            </w:pPr>
            <w:r w:rsidRPr="00752411">
              <w:t>High</w:t>
            </w:r>
          </w:p>
        </w:tc>
        <w:tc>
          <w:tcPr>
            <w:tcW w:w="372" w:type="pct"/>
            <w:tcBorders>
              <w:top w:val="nil"/>
              <w:bottom w:val="nil"/>
            </w:tcBorders>
            <w:shd w:val="clear" w:color="auto" w:fill="auto"/>
          </w:tcPr>
          <w:p w14:paraId="7D132E71" w14:textId="77777777" w:rsidR="003438A2" w:rsidRPr="00752411" w:rsidRDefault="003438A2" w:rsidP="005643E8">
            <w:pPr>
              <w:pStyle w:val="TableText"/>
            </w:pPr>
            <w:r w:rsidRPr="00752411">
              <w:t>Moderate</w:t>
            </w:r>
          </w:p>
        </w:tc>
        <w:tc>
          <w:tcPr>
            <w:tcW w:w="561" w:type="pct"/>
            <w:tcBorders>
              <w:top w:val="nil"/>
              <w:bottom w:val="nil"/>
            </w:tcBorders>
            <w:shd w:val="clear" w:color="auto" w:fill="auto"/>
          </w:tcPr>
          <w:p w14:paraId="63E99E82" w14:textId="77777777" w:rsidR="003438A2" w:rsidRPr="00752411" w:rsidRDefault="003438A2" w:rsidP="005643E8">
            <w:pPr>
              <w:pStyle w:val="TableText"/>
            </w:pPr>
            <w:r w:rsidRPr="00752411">
              <w:t>Very Low</w:t>
            </w:r>
          </w:p>
        </w:tc>
        <w:tc>
          <w:tcPr>
            <w:tcW w:w="588" w:type="pct"/>
            <w:tcBorders>
              <w:top w:val="nil"/>
              <w:bottom w:val="nil"/>
            </w:tcBorders>
            <w:shd w:val="clear" w:color="auto" w:fill="auto"/>
          </w:tcPr>
          <w:p w14:paraId="1472D78B" w14:textId="77777777" w:rsidR="003438A2" w:rsidRPr="00752411" w:rsidRDefault="003438A2" w:rsidP="005643E8">
            <w:pPr>
              <w:pStyle w:val="TableText"/>
            </w:pPr>
            <w:r w:rsidRPr="00752411">
              <w:t>Moderate</w:t>
            </w:r>
          </w:p>
        </w:tc>
        <w:tc>
          <w:tcPr>
            <w:tcW w:w="482" w:type="pct"/>
            <w:gridSpan w:val="2"/>
            <w:tcBorders>
              <w:top w:val="nil"/>
              <w:bottom w:val="nil"/>
              <w:right w:val="nil"/>
            </w:tcBorders>
            <w:shd w:val="clear" w:color="auto" w:fill="auto"/>
          </w:tcPr>
          <w:p w14:paraId="14C39BB5" w14:textId="77777777" w:rsidR="003438A2" w:rsidRPr="00752411" w:rsidRDefault="003438A2" w:rsidP="005643E8">
            <w:pPr>
              <w:pStyle w:val="TableText"/>
              <w:rPr>
                <w:b/>
              </w:rPr>
            </w:pPr>
            <w:r w:rsidRPr="00752411">
              <w:rPr>
                <w:b/>
              </w:rPr>
              <w:t>Very Low</w:t>
            </w:r>
          </w:p>
        </w:tc>
      </w:tr>
      <w:tr w:rsidR="003438A2" w:rsidRPr="00752411" w14:paraId="54A28ECB" w14:textId="77777777" w:rsidTr="005643E8">
        <w:trPr>
          <w:gridAfter w:val="1"/>
          <w:wAfter w:w="79" w:type="pct"/>
        </w:trPr>
        <w:tc>
          <w:tcPr>
            <w:tcW w:w="4921" w:type="pct"/>
            <w:gridSpan w:val="10"/>
            <w:tcBorders>
              <w:top w:val="single" w:sz="4" w:space="0" w:color="BFBFBF" w:themeColor="background1" w:themeShade="BF"/>
              <w:left w:val="nil"/>
              <w:bottom w:val="nil"/>
              <w:right w:val="nil"/>
            </w:tcBorders>
            <w:shd w:val="clear" w:color="auto" w:fill="auto"/>
          </w:tcPr>
          <w:p w14:paraId="3EDA37FC" w14:textId="77777777" w:rsidR="003438A2" w:rsidRPr="00752411" w:rsidRDefault="003438A2" w:rsidP="005643E8">
            <w:pPr>
              <w:pStyle w:val="TableText"/>
              <w:rPr>
                <w:b/>
              </w:rPr>
            </w:pPr>
            <w:r w:rsidRPr="00752411">
              <w:rPr>
                <w:b/>
              </w:rPr>
              <w:t>Mealybugs [Hemiptera: Pseudococcidae]</w:t>
            </w:r>
          </w:p>
        </w:tc>
      </w:tr>
      <w:tr w:rsidR="003438A2" w:rsidRPr="00752411" w14:paraId="5B24F094" w14:textId="77777777" w:rsidTr="005643E8">
        <w:trPr>
          <w:gridAfter w:val="1"/>
          <w:wAfter w:w="79" w:type="pct"/>
          <w:trHeight w:val="365"/>
        </w:trPr>
        <w:tc>
          <w:tcPr>
            <w:tcW w:w="1019" w:type="pct"/>
            <w:tcBorders>
              <w:top w:val="nil"/>
              <w:left w:val="nil"/>
              <w:bottom w:val="nil"/>
            </w:tcBorders>
          </w:tcPr>
          <w:p w14:paraId="7B4CF030" w14:textId="77777777" w:rsidR="003438A2" w:rsidRPr="00752411" w:rsidRDefault="003438A2" w:rsidP="005643E8">
            <w:pPr>
              <w:pStyle w:val="TableText"/>
            </w:pPr>
            <w:r w:rsidRPr="00752411">
              <w:rPr>
                <w:i/>
              </w:rPr>
              <w:t>Phenacoccus aceris</w:t>
            </w:r>
            <w:r w:rsidRPr="00752411">
              <w:t xml:space="preserve"> (GP)</w:t>
            </w:r>
          </w:p>
        </w:tc>
        <w:tc>
          <w:tcPr>
            <w:tcW w:w="438" w:type="pct"/>
            <w:tcBorders>
              <w:top w:val="nil"/>
              <w:bottom w:val="nil"/>
            </w:tcBorders>
            <w:shd w:val="clear" w:color="auto" w:fill="auto"/>
          </w:tcPr>
          <w:p w14:paraId="51A75799" w14:textId="77777777" w:rsidR="003438A2" w:rsidRPr="00752411" w:rsidRDefault="003438A2" w:rsidP="005643E8">
            <w:pPr>
              <w:pStyle w:val="TableText"/>
            </w:pPr>
            <w:r w:rsidRPr="00752411">
              <w:t>High</w:t>
            </w:r>
          </w:p>
        </w:tc>
        <w:tc>
          <w:tcPr>
            <w:tcW w:w="482" w:type="pct"/>
            <w:tcBorders>
              <w:top w:val="nil"/>
              <w:bottom w:val="nil"/>
            </w:tcBorders>
            <w:shd w:val="clear" w:color="auto" w:fill="auto"/>
          </w:tcPr>
          <w:p w14:paraId="1BD873A8" w14:textId="77777777" w:rsidR="003438A2" w:rsidRPr="00752411" w:rsidRDefault="003438A2" w:rsidP="005643E8">
            <w:pPr>
              <w:pStyle w:val="TableText"/>
            </w:pPr>
            <w:r w:rsidRPr="00752411">
              <w:t>Moderate</w:t>
            </w:r>
          </w:p>
        </w:tc>
        <w:tc>
          <w:tcPr>
            <w:tcW w:w="444" w:type="pct"/>
            <w:tcBorders>
              <w:top w:val="nil"/>
              <w:bottom w:val="nil"/>
            </w:tcBorders>
            <w:shd w:val="clear" w:color="auto" w:fill="auto"/>
          </w:tcPr>
          <w:p w14:paraId="59D9BD29" w14:textId="77777777" w:rsidR="003438A2" w:rsidRPr="00752411" w:rsidRDefault="003438A2" w:rsidP="005643E8">
            <w:pPr>
              <w:pStyle w:val="TableText"/>
              <w:rPr>
                <w:b/>
              </w:rPr>
            </w:pPr>
            <w:r w:rsidRPr="00752411">
              <w:rPr>
                <w:b/>
              </w:rPr>
              <w:t>Moderate</w:t>
            </w:r>
          </w:p>
        </w:tc>
        <w:tc>
          <w:tcPr>
            <w:tcW w:w="535" w:type="pct"/>
            <w:tcBorders>
              <w:top w:val="nil"/>
              <w:bottom w:val="nil"/>
            </w:tcBorders>
            <w:shd w:val="clear" w:color="auto" w:fill="auto"/>
          </w:tcPr>
          <w:p w14:paraId="113AB287" w14:textId="77777777" w:rsidR="003438A2" w:rsidRPr="00752411" w:rsidRDefault="003438A2" w:rsidP="005643E8">
            <w:pPr>
              <w:pStyle w:val="TableText"/>
            </w:pPr>
            <w:r w:rsidRPr="00752411">
              <w:t>High</w:t>
            </w:r>
          </w:p>
        </w:tc>
        <w:tc>
          <w:tcPr>
            <w:tcW w:w="372" w:type="pct"/>
            <w:tcBorders>
              <w:top w:val="nil"/>
              <w:bottom w:val="nil"/>
            </w:tcBorders>
            <w:shd w:val="clear" w:color="auto" w:fill="auto"/>
          </w:tcPr>
          <w:p w14:paraId="13DF9659" w14:textId="77777777" w:rsidR="003438A2" w:rsidRPr="00752411" w:rsidRDefault="003438A2" w:rsidP="005643E8">
            <w:pPr>
              <w:pStyle w:val="TableText"/>
            </w:pPr>
            <w:r w:rsidRPr="00752411">
              <w:t>High</w:t>
            </w:r>
          </w:p>
        </w:tc>
        <w:tc>
          <w:tcPr>
            <w:tcW w:w="561" w:type="pct"/>
            <w:tcBorders>
              <w:top w:val="nil"/>
              <w:bottom w:val="nil"/>
            </w:tcBorders>
            <w:shd w:val="clear" w:color="auto" w:fill="auto"/>
          </w:tcPr>
          <w:p w14:paraId="03979BBE" w14:textId="77777777" w:rsidR="003438A2" w:rsidRPr="00752411" w:rsidRDefault="003438A2" w:rsidP="005643E8">
            <w:pPr>
              <w:pStyle w:val="TableText"/>
            </w:pPr>
            <w:r w:rsidRPr="00752411">
              <w:t>Moderate</w:t>
            </w:r>
          </w:p>
        </w:tc>
        <w:tc>
          <w:tcPr>
            <w:tcW w:w="588" w:type="pct"/>
            <w:tcBorders>
              <w:top w:val="nil"/>
              <w:bottom w:val="nil"/>
            </w:tcBorders>
            <w:shd w:val="clear" w:color="auto" w:fill="auto"/>
          </w:tcPr>
          <w:p w14:paraId="6A3E7F78" w14:textId="77777777" w:rsidR="003438A2" w:rsidRPr="00752411" w:rsidRDefault="003438A2" w:rsidP="005643E8">
            <w:pPr>
              <w:pStyle w:val="TableText"/>
            </w:pPr>
            <w:r w:rsidRPr="00752411">
              <w:t>Low</w:t>
            </w:r>
          </w:p>
        </w:tc>
        <w:tc>
          <w:tcPr>
            <w:tcW w:w="482" w:type="pct"/>
            <w:gridSpan w:val="2"/>
            <w:tcBorders>
              <w:top w:val="nil"/>
              <w:bottom w:val="nil"/>
              <w:right w:val="nil"/>
            </w:tcBorders>
            <w:shd w:val="clear" w:color="auto" w:fill="auto"/>
          </w:tcPr>
          <w:p w14:paraId="7AAD0850" w14:textId="77777777" w:rsidR="003438A2" w:rsidRPr="00752411" w:rsidRDefault="003438A2" w:rsidP="005643E8">
            <w:pPr>
              <w:pStyle w:val="TableText"/>
              <w:rPr>
                <w:b/>
              </w:rPr>
            </w:pPr>
            <w:r w:rsidRPr="00752411">
              <w:rPr>
                <w:b/>
              </w:rPr>
              <w:t>Low</w:t>
            </w:r>
          </w:p>
        </w:tc>
      </w:tr>
      <w:tr w:rsidR="003438A2" w:rsidRPr="00752411" w14:paraId="71D94845" w14:textId="77777777" w:rsidTr="005643E8">
        <w:trPr>
          <w:gridAfter w:val="1"/>
          <w:wAfter w:w="79" w:type="pct"/>
          <w:trHeight w:val="365"/>
        </w:trPr>
        <w:tc>
          <w:tcPr>
            <w:tcW w:w="1019" w:type="pct"/>
            <w:tcBorders>
              <w:top w:val="nil"/>
              <w:left w:val="nil"/>
              <w:bottom w:val="nil"/>
            </w:tcBorders>
          </w:tcPr>
          <w:p w14:paraId="332E3FFF" w14:textId="77777777" w:rsidR="003438A2" w:rsidRPr="00752411" w:rsidRDefault="003438A2" w:rsidP="005643E8">
            <w:pPr>
              <w:pStyle w:val="TableText"/>
            </w:pPr>
            <w:r w:rsidRPr="00752411">
              <w:rPr>
                <w:i/>
              </w:rPr>
              <w:t>Pseudococcus maritimus</w:t>
            </w:r>
            <w:r w:rsidRPr="00752411">
              <w:t xml:space="preserve"> (GP)</w:t>
            </w:r>
          </w:p>
        </w:tc>
        <w:tc>
          <w:tcPr>
            <w:tcW w:w="438" w:type="pct"/>
            <w:tcBorders>
              <w:top w:val="nil"/>
              <w:bottom w:val="nil"/>
            </w:tcBorders>
            <w:shd w:val="clear" w:color="auto" w:fill="auto"/>
          </w:tcPr>
          <w:p w14:paraId="1059F880" w14:textId="77777777" w:rsidR="003438A2" w:rsidRPr="00752411" w:rsidRDefault="003438A2" w:rsidP="005643E8">
            <w:pPr>
              <w:pStyle w:val="TableText"/>
            </w:pPr>
            <w:r w:rsidRPr="00752411">
              <w:t>High</w:t>
            </w:r>
          </w:p>
        </w:tc>
        <w:tc>
          <w:tcPr>
            <w:tcW w:w="482" w:type="pct"/>
            <w:tcBorders>
              <w:top w:val="nil"/>
              <w:bottom w:val="nil"/>
            </w:tcBorders>
            <w:shd w:val="clear" w:color="auto" w:fill="auto"/>
          </w:tcPr>
          <w:p w14:paraId="669EF853" w14:textId="77777777" w:rsidR="003438A2" w:rsidRPr="00752411" w:rsidRDefault="003438A2" w:rsidP="005643E8">
            <w:pPr>
              <w:pStyle w:val="TableText"/>
            </w:pPr>
            <w:r w:rsidRPr="00752411">
              <w:t>Moderate</w:t>
            </w:r>
          </w:p>
        </w:tc>
        <w:tc>
          <w:tcPr>
            <w:tcW w:w="444" w:type="pct"/>
            <w:tcBorders>
              <w:top w:val="nil"/>
              <w:bottom w:val="nil"/>
            </w:tcBorders>
            <w:shd w:val="clear" w:color="auto" w:fill="auto"/>
          </w:tcPr>
          <w:p w14:paraId="7BA98056" w14:textId="77777777" w:rsidR="003438A2" w:rsidRPr="00752411" w:rsidRDefault="003438A2" w:rsidP="005643E8">
            <w:pPr>
              <w:pStyle w:val="TableText"/>
              <w:rPr>
                <w:b/>
              </w:rPr>
            </w:pPr>
            <w:r w:rsidRPr="00752411">
              <w:rPr>
                <w:b/>
              </w:rPr>
              <w:t>Moderate</w:t>
            </w:r>
          </w:p>
        </w:tc>
        <w:tc>
          <w:tcPr>
            <w:tcW w:w="535" w:type="pct"/>
            <w:tcBorders>
              <w:top w:val="nil"/>
              <w:bottom w:val="nil"/>
            </w:tcBorders>
            <w:shd w:val="clear" w:color="auto" w:fill="auto"/>
          </w:tcPr>
          <w:p w14:paraId="30AD4A92" w14:textId="77777777" w:rsidR="003438A2" w:rsidRPr="00752411" w:rsidRDefault="003438A2" w:rsidP="005643E8">
            <w:pPr>
              <w:pStyle w:val="TableText"/>
            </w:pPr>
            <w:r w:rsidRPr="00752411">
              <w:t>High</w:t>
            </w:r>
          </w:p>
        </w:tc>
        <w:tc>
          <w:tcPr>
            <w:tcW w:w="372" w:type="pct"/>
            <w:tcBorders>
              <w:top w:val="nil"/>
              <w:bottom w:val="nil"/>
            </w:tcBorders>
            <w:shd w:val="clear" w:color="auto" w:fill="auto"/>
          </w:tcPr>
          <w:p w14:paraId="0312891A" w14:textId="77777777" w:rsidR="003438A2" w:rsidRPr="00752411" w:rsidRDefault="003438A2" w:rsidP="005643E8">
            <w:pPr>
              <w:pStyle w:val="TableText"/>
            </w:pPr>
            <w:r w:rsidRPr="00752411">
              <w:t>High</w:t>
            </w:r>
          </w:p>
        </w:tc>
        <w:tc>
          <w:tcPr>
            <w:tcW w:w="561" w:type="pct"/>
            <w:tcBorders>
              <w:top w:val="nil"/>
              <w:bottom w:val="nil"/>
            </w:tcBorders>
            <w:shd w:val="clear" w:color="auto" w:fill="auto"/>
          </w:tcPr>
          <w:p w14:paraId="7922578D" w14:textId="77777777" w:rsidR="003438A2" w:rsidRPr="00752411" w:rsidRDefault="003438A2" w:rsidP="005643E8">
            <w:pPr>
              <w:pStyle w:val="TableText"/>
            </w:pPr>
            <w:r w:rsidRPr="00752411">
              <w:t>Moderate</w:t>
            </w:r>
          </w:p>
        </w:tc>
        <w:tc>
          <w:tcPr>
            <w:tcW w:w="588" w:type="pct"/>
            <w:tcBorders>
              <w:top w:val="nil"/>
              <w:bottom w:val="nil"/>
            </w:tcBorders>
            <w:shd w:val="clear" w:color="auto" w:fill="auto"/>
          </w:tcPr>
          <w:p w14:paraId="3585A367" w14:textId="77777777" w:rsidR="003438A2" w:rsidRPr="00752411" w:rsidRDefault="003438A2" w:rsidP="005643E8">
            <w:pPr>
              <w:pStyle w:val="TableText"/>
            </w:pPr>
            <w:r w:rsidRPr="00752411">
              <w:t>Low</w:t>
            </w:r>
          </w:p>
        </w:tc>
        <w:tc>
          <w:tcPr>
            <w:tcW w:w="482" w:type="pct"/>
            <w:gridSpan w:val="2"/>
            <w:tcBorders>
              <w:top w:val="nil"/>
              <w:bottom w:val="nil"/>
              <w:right w:val="nil"/>
            </w:tcBorders>
            <w:shd w:val="clear" w:color="auto" w:fill="auto"/>
          </w:tcPr>
          <w:p w14:paraId="62DA7577" w14:textId="77777777" w:rsidR="003438A2" w:rsidRPr="00752411" w:rsidRDefault="003438A2" w:rsidP="005643E8">
            <w:pPr>
              <w:pStyle w:val="TableText"/>
              <w:rPr>
                <w:b/>
              </w:rPr>
            </w:pPr>
            <w:r w:rsidRPr="00752411">
              <w:rPr>
                <w:b/>
              </w:rPr>
              <w:t>Low</w:t>
            </w:r>
          </w:p>
        </w:tc>
      </w:tr>
      <w:tr w:rsidR="003438A2" w:rsidRPr="00752411" w14:paraId="6C1E2FC3" w14:textId="77777777" w:rsidTr="005643E8">
        <w:trPr>
          <w:gridAfter w:val="1"/>
          <w:wAfter w:w="79" w:type="pct"/>
        </w:trPr>
        <w:tc>
          <w:tcPr>
            <w:tcW w:w="4921" w:type="pct"/>
            <w:gridSpan w:val="10"/>
            <w:tcBorders>
              <w:top w:val="single" w:sz="4" w:space="0" w:color="BFBFBF" w:themeColor="background1" w:themeShade="BF"/>
              <w:left w:val="nil"/>
              <w:bottom w:val="nil"/>
              <w:right w:val="nil"/>
            </w:tcBorders>
          </w:tcPr>
          <w:p w14:paraId="37B66A71" w14:textId="77777777" w:rsidR="003438A2" w:rsidRPr="00752411" w:rsidRDefault="003438A2" w:rsidP="005643E8">
            <w:pPr>
              <w:pStyle w:val="TableText"/>
              <w:rPr>
                <w:b/>
              </w:rPr>
            </w:pPr>
            <w:r w:rsidRPr="00752411">
              <w:rPr>
                <w:b/>
              </w:rPr>
              <w:lastRenderedPageBreak/>
              <w:t>Cutworms [Lepidoptera: Noctuidae]</w:t>
            </w:r>
          </w:p>
        </w:tc>
      </w:tr>
      <w:tr w:rsidR="003438A2" w:rsidRPr="00752411" w14:paraId="7114126F" w14:textId="77777777" w:rsidTr="005643E8">
        <w:trPr>
          <w:gridAfter w:val="1"/>
          <w:wAfter w:w="79" w:type="pct"/>
        </w:trPr>
        <w:tc>
          <w:tcPr>
            <w:tcW w:w="1019" w:type="pct"/>
            <w:tcBorders>
              <w:top w:val="nil"/>
              <w:left w:val="nil"/>
              <w:bottom w:val="single" w:sz="4" w:space="0" w:color="BFBFBF" w:themeColor="background1" w:themeShade="BF"/>
            </w:tcBorders>
          </w:tcPr>
          <w:p w14:paraId="5D1B4D51" w14:textId="77777777" w:rsidR="003438A2" w:rsidRPr="00752411" w:rsidRDefault="003438A2" w:rsidP="005643E8">
            <w:pPr>
              <w:pStyle w:val="TableText"/>
              <w:rPr>
                <w:rFonts w:asciiTheme="majorHAnsi" w:hAnsiTheme="majorHAnsi"/>
                <w:i/>
                <w:iCs/>
                <w:color w:val="000000"/>
                <w:szCs w:val="18"/>
              </w:rPr>
            </w:pPr>
            <w:r w:rsidRPr="00752411">
              <w:rPr>
                <w:i/>
              </w:rPr>
              <w:t>Lacanobia subjuncta</w:t>
            </w:r>
          </w:p>
        </w:tc>
        <w:tc>
          <w:tcPr>
            <w:tcW w:w="438" w:type="pct"/>
            <w:tcBorders>
              <w:top w:val="nil"/>
              <w:bottom w:val="single" w:sz="4" w:space="0" w:color="BFBFBF" w:themeColor="background1" w:themeShade="BF"/>
            </w:tcBorders>
            <w:shd w:val="clear" w:color="auto" w:fill="auto"/>
          </w:tcPr>
          <w:p w14:paraId="7B71F177" w14:textId="77777777" w:rsidR="003438A2" w:rsidRPr="00752411" w:rsidRDefault="003438A2" w:rsidP="005643E8">
            <w:pPr>
              <w:pStyle w:val="TableText"/>
            </w:pPr>
            <w:r>
              <w:t>Low</w:t>
            </w:r>
          </w:p>
        </w:tc>
        <w:tc>
          <w:tcPr>
            <w:tcW w:w="482" w:type="pct"/>
            <w:tcBorders>
              <w:top w:val="nil"/>
              <w:bottom w:val="single" w:sz="4" w:space="0" w:color="BFBFBF" w:themeColor="background1" w:themeShade="BF"/>
            </w:tcBorders>
            <w:shd w:val="clear" w:color="auto" w:fill="auto"/>
          </w:tcPr>
          <w:p w14:paraId="5D4968A6" w14:textId="77777777" w:rsidR="003438A2" w:rsidRPr="00752411" w:rsidRDefault="003438A2" w:rsidP="005643E8">
            <w:pPr>
              <w:pStyle w:val="TableText"/>
            </w:pPr>
            <w:r w:rsidRPr="00752411">
              <w:t>Moderate</w:t>
            </w:r>
          </w:p>
        </w:tc>
        <w:tc>
          <w:tcPr>
            <w:tcW w:w="444" w:type="pct"/>
            <w:tcBorders>
              <w:top w:val="nil"/>
              <w:bottom w:val="single" w:sz="4" w:space="0" w:color="BFBFBF" w:themeColor="background1" w:themeShade="BF"/>
            </w:tcBorders>
            <w:shd w:val="clear" w:color="auto" w:fill="auto"/>
          </w:tcPr>
          <w:p w14:paraId="6440A369" w14:textId="77777777" w:rsidR="003438A2" w:rsidRPr="00752411" w:rsidRDefault="003438A2" w:rsidP="005643E8">
            <w:pPr>
              <w:pStyle w:val="TableText"/>
              <w:rPr>
                <w:b/>
              </w:rPr>
            </w:pPr>
            <w:r>
              <w:rPr>
                <w:b/>
              </w:rPr>
              <w:t>Low</w:t>
            </w:r>
          </w:p>
        </w:tc>
        <w:tc>
          <w:tcPr>
            <w:tcW w:w="535" w:type="pct"/>
            <w:tcBorders>
              <w:top w:val="nil"/>
              <w:bottom w:val="single" w:sz="4" w:space="0" w:color="BFBFBF" w:themeColor="background1" w:themeShade="BF"/>
            </w:tcBorders>
            <w:shd w:val="clear" w:color="auto" w:fill="auto"/>
          </w:tcPr>
          <w:p w14:paraId="1EC9DDB2" w14:textId="77777777" w:rsidR="003438A2" w:rsidRPr="00752411" w:rsidRDefault="003438A2" w:rsidP="005643E8">
            <w:pPr>
              <w:pStyle w:val="TableText"/>
            </w:pPr>
            <w:r w:rsidRPr="00752411">
              <w:t>High</w:t>
            </w:r>
          </w:p>
        </w:tc>
        <w:tc>
          <w:tcPr>
            <w:tcW w:w="372" w:type="pct"/>
            <w:tcBorders>
              <w:top w:val="nil"/>
              <w:bottom w:val="single" w:sz="4" w:space="0" w:color="BFBFBF" w:themeColor="background1" w:themeShade="BF"/>
            </w:tcBorders>
            <w:shd w:val="clear" w:color="auto" w:fill="auto"/>
          </w:tcPr>
          <w:p w14:paraId="414AB461" w14:textId="77777777" w:rsidR="003438A2" w:rsidRPr="00752411" w:rsidRDefault="003438A2" w:rsidP="005643E8">
            <w:pPr>
              <w:pStyle w:val="TableText"/>
            </w:pPr>
            <w:r w:rsidRPr="00752411">
              <w:t>High</w:t>
            </w:r>
          </w:p>
        </w:tc>
        <w:tc>
          <w:tcPr>
            <w:tcW w:w="561" w:type="pct"/>
            <w:tcBorders>
              <w:top w:val="nil"/>
              <w:bottom w:val="single" w:sz="4" w:space="0" w:color="BFBFBF" w:themeColor="background1" w:themeShade="BF"/>
            </w:tcBorders>
            <w:shd w:val="clear" w:color="auto" w:fill="auto"/>
          </w:tcPr>
          <w:p w14:paraId="69F6C859" w14:textId="77777777" w:rsidR="003438A2" w:rsidRPr="00752411" w:rsidRDefault="003438A2" w:rsidP="005643E8">
            <w:pPr>
              <w:pStyle w:val="TableText"/>
            </w:pPr>
            <w:r w:rsidRPr="00752411">
              <w:t>Low</w:t>
            </w:r>
          </w:p>
        </w:tc>
        <w:tc>
          <w:tcPr>
            <w:tcW w:w="588" w:type="pct"/>
            <w:tcBorders>
              <w:top w:val="nil"/>
              <w:bottom w:val="single" w:sz="4" w:space="0" w:color="BFBFBF" w:themeColor="background1" w:themeShade="BF"/>
            </w:tcBorders>
            <w:shd w:val="clear" w:color="auto" w:fill="auto"/>
          </w:tcPr>
          <w:p w14:paraId="3B70F9BD" w14:textId="77777777" w:rsidR="003438A2" w:rsidRPr="00752411" w:rsidRDefault="003438A2" w:rsidP="005643E8">
            <w:pPr>
              <w:pStyle w:val="TableText"/>
            </w:pPr>
            <w:r w:rsidRPr="00752411">
              <w:t>Low</w:t>
            </w:r>
          </w:p>
        </w:tc>
        <w:tc>
          <w:tcPr>
            <w:tcW w:w="482" w:type="pct"/>
            <w:gridSpan w:val="2"/>
            <w:tcBorders>
              <w:top w:val="nil"/>
              <w:bottom w:val="single" w:sz="4" w:space="0" w:color="BFBFBF" w:themeColor="background1" w:themeShade="BF"/>
              <w:right w:val="nil"/>
            </w:tcBorders>
            <w:shd w:val="clear" w:color="auto" w:fill="auto"/>
          </w:tcPr>
          <w:p w14:paraId="7829A7B7" w14:textId="77777777" w:rsidR="003438A2" w:rsidRPr="00752411" w:rsidRDefault="003438A2" w:rsidP="005643E8">
            <w:pPr>
              <w:pStyle w:val="TableText"/>
              <w:rPr>
                <w:b/>
              </w:rPr>
            </w:pPr>
            <w:r w:rsidRPr="00752411">
              <w:rPr>
                <w:b/>
              </w:rPr>
              <w:t>Very Low</w:t>
            </w:r>
          </w:p>
        </w:tc>
      </w:tr>
      <w:tr w:rsidR="003438A2" w:rsidRPr="00752411" w14:paraId="636A43E0" w14:textId="77777777" w:rsidTr="005643E8">
        <w:trPr>
          <w:gridAfter w:val="1"/>
          <w:wAfter w:w="79" w:type="pct"/>
        </w:trPr>
        <w:tc>
          <w:tcPr>
            <w:tcW w:w="4921" w:type="pct"/>
            <w:gridSpan w:val="10"/>
            <w:tcBorders>
              <w:top w:val="single" w:sz="4" w:space="0" w:color="BFBFBF" w:themeColor="background1" w:themeShade="BF"/>
              <w:left w:val="nil"/>
              <w:bottom w:val="nil"/>
              <w:right w:val="nil"/>
            </w:tcBorders>
            <w:shd w:val="clear" w:color="auto" w:fill="auto"/>
          </w:tcPr>
          <w:p w14:paraId="2A142F60" w14:textId="77777777" w:rsidR="003438A2" w:rsidRPr="00752411" w:rsidRDefault="003438A2" w:rsidP="005643E8">
            <w:pPr>
              <w:pStyle w:val="TableText"/>
              <w:rPr>
                <w:b/>
              </w:rPr>
            </w:pPr>
            <w:r w:rsidRPr="00752411">
              <w:rPr>
                <w:b/>
              </w:rPr>
              <w:t xml:space="preserve">Leafroller and fruit </w:t>
            </w:r>
            <w:r>
              <w:rPr>
                <w:b/>
              </w:rPr>
              <w:t>m</w:t>
            </w:r>
            <w:r w:rsidRPr="00752411">
              <w:rPr>
                <w:b/>
              </w:rPr>
              <w:t>oths [Lepidoptera: Tortricidae]</w:t>
            </w:r>
          </w:p>
        </w:tc>
      </w:tr>
      <w:tr w:rsidR="003438A2" w:rsidRPr="00752411" w14:paraId="52904737" w14:textId="77777777" w:rsidTr="005643E8">
        <w:trPr>
          <w:gridAfter w:val="1"/>
          <w:wAfter w:w="79" w:type="pct"/>
        </w:trPr>
        <w:tc>
          <w:tcPr>
            <w:tcW w:w="1019" w:type="pct"/>
            <w:tcBorders>
              <w:top w:val="nil"/>
              <w:left w:val="nil"/>
              <w:bottom w:val="nil"/>
            </w:tcBorders>
          </w:tcPr>
          <w:p w14:paraId="7EBAC595" w14:textId="77777777" w:rsidR="003438A2" w:rsidRPr="00752411" w:rsidRDefault="003438A2" w:rsidP="005643E8">
            <w:pPr>
              <w:pStyle w:val="TableText"/>
              <w:rPr>
                <w:i/>
                <w:iCs/>
              </w:rPr>
            </w:pPr>
            <w:r w:rsidRPr="00752411">
              <w:rPr>
                <w:i/>
                <w:iCs/>
              </w:rPr>
              <w:t xml:space="preserve">Archips argyrospila </w:t>
            </w:r>
            <w:r w:rsidRPr="00752411">
              <w:t>(EP)</w:t>
            </w:r>
          </w:p>
        </w:tc>
        <w:tc>
          <w:tcPr>
            <w:tcW w:w="438" w:type="pct"/>
            <w:tcBorders>
              <w:top w:val="nil"/>
              <w:bottom w:val="nil"/>
            </w:tcBorders>
            <w:shd w:val="clear" w:color="auto" w:fill="auto"/>
          </w:tcPr>
          <w:p w14:paraId="5E3AE3D5" w14:textId="77777777" w:rsidR="003438A2" w:rsidRPr="00752411" w:rsidRDefault="003438A2" w:rsidP="005643E8">
            <w:pPr>
              <w:pStyle w:val="TableText"/>
            </w:pPr>
            <w:r w:rsidRPr="00752411">
              <w:t>Moderate</w:t>
            </w:r>
          </w:p>
        </w:tc>
        <w:tc>
          <w:tcPr>
            <w:tcW w:w="482" w:type="pct"/>
            <w:tcBorders>
              <w:top w:val="nil"/>
              <w:bottom w:val="nil"/>
            </w:tcBorders>
            <w:shd w:val="clear" w:color="auto" w:fill="auto"/>
          </w:tcPr>
          <w:p w14:paraId="14434237" w14:textId="77777777" w:rsidR="003438A2" w:rsidRPr="00752411" w:rsidRDefault="003438A2" w:rsidP="005643E8">
            <w:pPr>
              <w:pStyle w:val="TableText"/>
            </w:pPr>
            <w:r w:rsidRPr="00752411">
              <w:t>Moderate</w:t>
            </w:r>
          </w:p>
        </w:tc>
        <w:tc>
          <w:tcPr>
            <w:tcW w:w="444" w:type="pct"/>
            <w:tcBorders>
              <w:top w:val="nil"/>
              <w:bottom w:val="nil"/>
            </w:tcBorders>
            <w:shd w:val="clear" w:color="auto" w:fill="auto"/>
          </w:tcPr>
          <w:p w14:paraId="734FF7AB" w14:textId="77777777" w:rsidR="003438A2" w:rsidRPr="00752411" w:rsidRDefault="003438A2" w:rsidP="005643E8">
            <w:pPr>
              <w:pStyle w:val="TableText"/>
              <w:rPr>
                <w:b/>
              </w:rPr>
            </w:pPr>
            <w:r w:rsidRPr="00752411">
              <w:rPr>
                <w:b/>
              </w:rPr>
              <w:t>Low</w:t>
            </w:r>
          </w:p>
        </w:tc>
        <w:tc>
          <w:tcPr>
            <w:tcW w:w="535" w:type="pct"/>
            <w:tcBorders>
              <w:top w:val="nil"/>
              <w:bottom w:val="nil"/>
            </w:tcBorders>
            <w:shd w:val="clear" w:color="auto" w:fill="auto"/>
          </w:tcPr>
          <w:p w14:paraId="5DDD4418" w14:textId="77777777" w:rsidR="003438A2" w:rsidRPr="00752411" w:rsidRDefault="003438A2" w:rsidP="005643E8">
            <w:pPr>
              <w:pStyle w:val="TableText"/>
            </w:pPr>
            <w:r w:rsidRPr="00752411">
              <w:t>High</w:t>
            </w:r>
          </w:p>
        </w:tc>
        <w:tc>
          <w:tcPr>
            <w:tcW w:w="372" w:type="pct"/>
            <w:tcBorders>
              <w:top w:val="nil"/>
              <w:bottom w:val="nil"/>
            </w:tcBorders>
            <w:shd w:val="clear" w:color="auto" w:fill="auto"/>
          </w:tcPr>
          <w:p w14:paraId="0C8A38FE" w14:textId="77777777" w:rsidR="003438A2" w:rsidRPr="00752411" w:rsidRDefault="003438A2" w:rsidP="005643E8">
            <w:pPr>
              <w:pStyle w:val="TableText"/>
            </w:pPr>
            <w:r w:rsidRPr="00752411">
              <w:t>High</w:t>
            </w:r>
          </w:p>
        </w:tc>
        <w:tc>
          <w:tcPr>
            <w:tcW w:w="561" w:type="pct"/>
            <w:tcBorders>
              <w:top w:val="nil"/>
              <w:bottom w:val="nil"/>
            </w:tcBorders>
            <w:shd w:val="clear" w:color="auto" w:fill="auto"/>
          </w:tcPr>
          <w:p w14:paraId="2DB92DCF" w14:textId="77777777" w:rsidR="003438A2" w:rsidRPr="00752411" w:rsidRDefault="003438A2" w:rsidP="005643E8">
            <w:pPr>
              <w:pStyle w:val="TableText"/>
            </w:pPr>
            <w:r w:rsidRPr="00752411">
              <w:t>Low</w:t>
            </w:r>
          </w:p>
        </w:tc>
        <w:tc>
          <w:tcPr>
            <w:tcW w:w="588" w:type="pct"/>
            <w:tcBorders>
              <w:top w:val="nil"/>
              <w:bottom w:val="nil"/>
            </w:tcBorders>
            <w:shd w:val="clear" w:color="auto" w:fill="auto"/>
          </w:tcPr>
          <w:p w14:paraId="341F2741" w14:textId="77777777" w:rsidR="003438A2" w:rsidRPr="00752411" w:rsidRDefault="003438A2" w:rsidP="005643E8">
            <w:pPr>
              <w:pStyle w:val="TableText"/>
            </w:pPr>
            <w:r w:rsidRPr="00752411">
              <w:t>Moderate</w:t>
            </w:r>
          </w:p>
        </w:tc>
        <w:tc>
          <w:tcPr>
            <w:tcW w:w="482" w:type="pct"/>
            <w:gridSpan w:val="2"/>
            <w:tcBorders>
              <w:top w:val="nil"/>
              <w:bottom w:val="nil"/>
              <w:right w:val="nil"/>
            </w:tcBorders>
            <w:shd w:val="clear" w:color="auto" w:fill="auto"/>
          </w:tcPr>
          <w:p w14:paraId="2A31C646" w14:textId="77777777" w:rsidR="003438A2" w:rsidRPr="00752411" w:rsidRDefault="003438A2" w:rsidP="005643E8">
            <w:pPr>
              <w:pStyle w:val="TableText"/>
              <w:rPr>
                <w:b/>
              </w:rPr>
            </w:pPr>
            <w:r w:rsidRPr="00752411">
              <w:rPr>
                <w:b/>
              </w:rPr>
              <w:t>Low</w:t>
            </w:r>
          </w:p>
        </w:tc>
      </w:tr>
      <w:tr w:rsidR="003438A2" w:rsidRPr="00752411" w14:paraId="774EF105" w14:textId="77777777" w:rsidTr="005643E8">
        <w:trPr>
          <w:gridAfter w:val="1"/>
          <w:wAfter w:w="79" w:type="pct"/>
        </w:trPr>
        <w:tc>
          <w:tcPr>
            <w:tcW w:w="1019" w:type="pct"/>
            <w:tcBorders>
              <w:top w:val="nil"/>
              <w:left w:val="nil"/>
              <w:bottom w:val="nil"/>
            </w:tcBorders>
          </w:tcPr>
          <w:p w14:paraId="0408F661" w14:textId="77777777" w:rsidR="003438A2" w:rsidRPr="00752411" w:rsidRDefault="003438A2" w:rsidP="005643E8">
            <w:pPr>
              <w:pStyle w:val="TableText"/>
              <w:rPr>
                <w:i/>
                <w:iCs/>
              </w:rPr>
            </w:pPr>
            <w:r w:rsidRPr="00752411">
              <w:rPr>
                <w:i/>
                <w:iCs/>
              </w:rPr>
              <w:t xml:space="preserve">Archips podana </w:t>
            </w:r>
            <w:r w:rsidRPr="00752411">
              <w:t>(EP)</w:t>
            </w:r>
          </w:p>
        </w:tc>
        <w:tc>
          <w:tcPr>
            <w:tcW w:w="438" w:type="pct"/>
            <w:tcBorders>
              <w:top w:val="nil"/>
              <w:bottom w:val="nil"/>
            </w:tcBorders>
            <w:shd w:val="clear" w:color="auto" w:fill="auto"/>
          </w:tcPr>
          <w:p w14:paraId="66E0A234" w14:textId="77777777" w:rsidR="003438A2" w:rsidRPr="00752411" w:rsidRDefault="003438A2" w:rsidP="005643E8">
            <w:pPr>
              <w:pStyle w:val="TableText"/>
            </w:pPr>
            <w:r w:rsidRPr="00752411">
              <w:t>Moderate</w:t>
            </w:r>
          </w:p>
        </w:tc>
        <w:tc>
          <w:tcPr>
            <w:tcW w:w="482" w:type="pct"/>
            <w:tcBorders>
              <w:top w:val="nil"/>
              <w:bottom w:val="nil"/>
            </w:tcBorders>
            <w:shd w:val="clear" w:color="auto" w:fill="auto"/>
          </w:tcPr>
          <w:p w14:paraId="52BBA338" w14:textId="77777777" w:rsidR="003438A2" w:rsidRPr="00752411" w:rsidRDefault="003438A2" w:rsidP="005643E8">
            <w:pPr>
              <w:pStyle w:val="TableText"/>
            </w:pPr>
            <w:r w:rsidRPr="00752411">
              <w:t>Moderate</w:t>
            </w:r>
          </w:p>
        </w:tc>
        <w:tc>
          <w:tcPr>
            <w:tcW w:w="444" w:type="pct"/>
            <w:tcBorders>
              <w:top w:val="nil"/>
              <w:bottom w:val="nil"/>
            </w:tcBorders>
            <w:shd w:val="clear" w:color="auto" w:fill="auto"/>
          </w:tcPr>
          <w:p w14:paraId="03717EA1" w14:textId="77777777" w:rsidR="003438A2" w:rsidRPr="00752411" w:rsidRDefault="003438A2" w:rsidP="005643E8">
            <w:pPr>
              <w:pStyle w:val="TableText"/>
              <w:rPr>
                <w:b/>
              </w:rPr>
            </w:pPr>
            <w:r w:rsidRPr="00752411">
              <w:rPr>
                <w:b/>
              </w:rPr>
              <w:t>Low</w:t>
            </w:r>
          </w:p>
        </w:tc>
        <w:tc>
          <w:tcPr>
            <w:tcW w:w="535" w:type="pct"/>
            <w:tcBorders>
              <w:top w:val="nil"/>
              <w:bottom w:val="nil"/>
            </w:tcBorders>
            <w:shd w:val="clear" w:color="auto" w:fill="auto"/>
          </w:tcPr>
          <w:p w14:paraId="34138D74" w14:textId="77777777" w:rsidR="003438A2" w:rsidRPr="00752411" w:rsidRDefault="003438A2" w:rsidP="005643E8">
            <w:pPr>
              <w:pStyle w:val="TableText"/>
            </w:pPr>
            <w:r w:rsidRPr="00752411">
              <w:t>High</w:t>
            </w:r>
          </w:p>
        </w:tc>
        <w:tc>
          <w:tcPr>
            <w:tcW w:w="372" w:type="pct"/>
            <w:tcBorders>
              <w:top w:val="nil"/>
              <w:bottom w:val="nil"/>
            </w:tcBorders>
            <w:shd w:val="clear" w:color="auto" w:fill="auto"/>
          </w:tcPr>
          <w:p w14:paraId="6D265FFF" w14:textId="77777777" w:rsidR="003438A2" w:rsidRPr="00752411" w:rsidRDefault="003438A2" w:rsidP="005643E8">
            <w:pPr>
              <w:pStyle w:val="TableText"/>
            </w:pPr>
            <w:r w:rsidRPr="00752411">
              <w:t>High</w:t>
            </w:r>
          </w:p>
        </w:tc>
        <w:tc>
          <w:tcPr>
            <w:tcW w:w="561" w:type="pct"/>
            <w:tcBorders>
              <w:top w:val="nil"/>
              <w:bottom w:val="nil"/>
            </w:tcBorders>
            <w:shd w:val="clear" w:color="auto" w:fill="auto"/>
          </w:tcPr>
          <w:p w14:paraId="743DB710" w14:textId="77777777" w:rsidR="003438A2" w:rsidRPr="00752411" w:rsidRDefault="003438A2" w:rsidP="005643E8">
            <w:pPr>
              <w:pStyle w:val="TableText"/>
            </w:pPr>
            <w:r w:rsidRPr="00752411">
              <w:t>Low</w:t>
            </w:r>
          </w:p>
        </w:tc>
        <w:tc>
          <w:tcPr>
            <w:tcW w:w="588" w:type="pct"/>
            <w:tcBorders>
              <w:top w:val="nil"/>
              <w:bottom w:val="nil"/>
            </w:tcBorders>
            <w:shd w:val="clear" w:color="auto" w:fill="auto"/>
          </w:tcPr>
          <w:p w14:paraId="7EA4E3B5" w14:textId="77777777" w:rsidR="003438A2" w:rsidRPr="00752411" w:rsidRDefault="003438A2" w:rsidP="005643E8">
            <w:pPr>
              <w:pStyle w:val="TableText"/>
            </w:pPr>
            <w:r w:rsidRPr="00752411">
              <w:t>Moderate</w:t>
            </w:r>
          </w:p>
        </w:tc>
        <w:tc>
          <w:tcPr>
            <w:tcW w:w="482" w:type="pct"/>
            <w:gridSpan w:val="2"/>
            <w:tcBorders>
              <w:top w:val="nil"/>
              <w:bottom w:val="nil"/>
              <w:right w:val="nil"/>
            </w:tcBorders>
            <w:shd w:val="clear" w:color="auto" w:fill="auto"/>
          </w:tcPr>
          <w:p w14:paraId="16C0A38C" w14:textId="77777777" w:rsidR="003438A2" w:rsidRPr="00752411" w:rsidRDefault="003438A2" w:rsidP="005643E8">
            <w:pPr>
              <w:pStyle w:val="TableText"/>
              <w:rPr>
                <w:b/>
              </w:rPr>
            </w:pPr>
            <w:r w:rsidRPr="00752411">
              <w:rPr>
                <w:b/>
              </w:rPr>
              <w:t>Low</w:t>
            </w:r>
          </w:p>
        </w:tc>
      </w:tr>
      <w:tr w:rsidR="003438A2" w:rsidRPr="00752411" w14:paraId="68C405A9" w14:textId="77777777" w:rsidTr="005643E8">
        <w:trPr>
          <w:gridAfter w:val="1"/>
          <w:wAfter w:w="79" w:type="pct"/>
        </w:trPr>
        <w:tc>
          <w:tcPr>
            <w:tcW w:w="1019" w:type="pct"/>
            <w:tcBorders>
              <w:top w:val="nil"/>
              <w:left w:val="nil"/>
              <w:bottom w:val="nil"/>
            </w:tcBorders>
          </w:tcPr>
          <w:p w14:paraId="2A8151BE" w14:textId="77777777" w:rsidR="003438A2" w:rsidRPr="00752411" w:rsidRDefault="003438A2" w:rsidP="005643E8">
            <w:pPr>
              <w:pStyle w:val="TableText"/>
              <w:rPr>
                <w:i/>
                <w:iCs/>
              </w:rPr>
            </w:pPr>
            <w:r w:rsidRPr="00752411">
              <w:rPr>
                <w:i/>
                <w:iCs/>
              </w:rPr>
              <w:t xml:space="preserve">Archips rosana </w:t>
            </w:r>
            <w:r w:rsidRPr="00752411">
              <w:t>(EP)</w:t>
            </w:r>
          </w:p>
        </w:tc>
        <w:tc>
          <w:tcPr>
            <w:tcW w:w="438" w:type="pct"/>
            <w:tcBorders>
              <w:top w:val="nil"/>
              <w:bottom w:val="nil"/>
            </w:tcBorders>
            <w:shd w:val="clear" w:color="auto" w:fill="auto"/>
          </w:tcPr>
          <w:p w14:paraId="3E29A27E" w14:textId="77777777" w:rsidR="003438A2" w:rsidRPr="00752411" w:rsidRDefault="003438A2" w:rsidP="005643E8">
            <w:pPr>
              <w:pStyle w:val="TableText"/>
            </w:pPr>
            <w:r w:rsidRPr="00752411">
              <w:t>Moderate</w:t>
            </w:r>
          </w:p>
        </w:tc>
        <w:tc>
          <w:tcPr>
            <w:tcW w:w="482" w:type="pct"/>
            <w:tcBorders>
              <w:top w:val="nil"/>
              <w:bottom w:val="nil"/>
            </w:tcBorders>
            <w:shd w:val="clear" w:color="auto" w:fill="auto"/>
          </w:tcPr>
          <w:p w14:paraId="5E4B85A7" w14:textId="77777777" w:rsidR="003438A2" w:rsidRPr="00752411" w:rsidRDefault="003438A2" w:rsidP="005643E8">
            <w:pPr>
              <w:pStyle w:val="TableText"/>
            </w:pPr>
            <w:r w:rsidRPr="00752411">
              <w:t>Moderate</w:t>
            </w:r>
          </w:p>
        </w:tc>
        <w:tc>
          <w:tcPr>
            <w:tcW w:w="444" w:type="pct"/>
            <w:tcBorders>
              <w:top w:val="nil"/>
              <w:bottom w:val="nil"/>
            </w:tcBorders>
            <w:shd w:val="clear" w:color="auto" w:fill="auto"/>
          </w:tcPr>
          <w:p w14:paraId="12533542" w14:textId="77777777" w:rsidR="003438A2" w:rsidRPr="00752411" w:rsidRDefault="003438A2" w:rsidP="005643E8">
            <w:pPr>
              <w:pStyle w:val="TableText"/>
              <w:rPr>
                <w:b/>
              </w:rPr>
            </w:pPr>
            <w:r w:rsidRPr="00752411">
              <w:rPr>
                <w:b/>
              </w:rPr>
              <w:t>Low</w:t>
            </w:r>
          </w:p>
        </w:tc>
        <w:tc>
          <w:tcPr>
            <w:tcW w:w="535" w:type="pct"/>
            <w:tcBorders>
              <w:top w:val="nil"/>
              <w:bottom w:val="nil"/>
            </w:tcBorders>
            <w:shd w:val="clear" w:color="auto" w:fill="auto"/>
          </w:tcPr>
          <w:p w14:paraId="1D2ED36F" w14:textId="77777777" w:rsidR="003438A2" w:rsidRPr="00752411" w:rsidRDefault="003438A2" w:rsidP="005643E8">
            <w:pPr>
              <w:pStyle w:val="TableText"/>
            </w:pPr>
            <w:r w:rsidRPr="00752411">
              <w:t>High</w:t>
            </w:r>
          </w:p>
        </w:tc>
        <w:tc>
          <w:tcPr>
            <w:tcW w:w="372" w:type="pct"/>
            <w:tcBorders>
              <w:top w:val="nil"/>
              <w:bottom w:val="nil"/>
            </w:tcBorders>
            <w:shd w:val="clear" w:color="auto" w:fill="auto"/>
          </w:tcPr>
          <w:p w14:paraId="2872147B" w14:textId="77777777" w:rsidR="003438A2" w:rsidRPr="00752411" w:rsidRDefault="003438A2" w:rsidP="005643E8">
            <w:pPr>
              <w:pStyle w:val="TableText"/>
            </w:pPr>
            <w:r w:rsidRPr="00752411">
              <w:t>High</w:t>
            </w:r>
          </w:p>
        </w:tc>
        <w:tc>
          <w:tcPr>
            <w:tcW w:w="561" w:type="pct"/>
            <w:tcBorders>
              <w:top w:val="nil"/>
              <w:bottom w:val="nil"/>
            </w:tcBorders>
            <w:shd w:val="clear" w:color="auto" w:fill="auto"/>
          </w:tcPr>
          <w:p w14:paraId="3B886D47" w14:textId="77777777" w:rsidR="003438A2" w:rsidRPr="00752411" w:rsidRDefault="003438A2" w:rsidP="005643E8">
            <w:pPr>
              <w:pStyle w:val="TableText"/>
            </w:pPr>
            <w:r w:rsidRPr="00752411">
              <w:t>Low</w:t>
            </w:r>
          </w:p>
        </w:tc>
        <w:tc>
          <w:tcPr>
            <w:tcW w:w="588" w:type="pct"/>
            <w:tcBorders>
              <w:top w:val="nil"/>
              <w:bottom w:val="nil"/>
            </w:tcBorders>
            <w:shd w:val="clear" w:color="auto" w:fill="auto"/>
          </w:tcPr>
          <w:p w14:paraId="7BD51847" w14:textId="77777777" w:rsidR="003438A2" w:rsidRPr="00752411" w:rsidRDefault="003438A2" w:rsidP="005643E8">
            <w:pPr>
              <w:pStyle w:val="TableText"/>
            </w:pPr>
            <w:r w:rsidRPr="00752411">
              <w:t>Moderate</w:t>
            </w:r>
          </w:p>
        </w:tc>
        <w:tc>
          <w:tcPr>
            <w:tcW w:w="482" w:type="pct"/>
            <w:gridSpan w:val="2"/>
            <w:tcBorders>
              <w:top w:val="nil"/>
              <w:bottom w:val="nil"/>
              <w:right w:val="nil"/>
            </w:tcBorders>
            <w:shd w:val="clear" w:color="auto" w:fill="auto"/>
          </w:tcPr>
          <w:p w14:paraId="391153AE" w14:textId="77777777" w:rsidR="003438A2" w:rsidRPr="00752411" w:rsidRDefault="003438A2" w:rsidP="005643E8">
            <w:pPr>
              <w:pStyle w:val="TableText"/>
              <w:rPr>
                <w:b/>
              </w:rPr>
            </w:pPr>
            <w:r w:rsidRPr="00752411">
              <w:rPr>
                <w:b/>
              </w:rPr>
              <w:t>Low</w:t>
            </w:r>
          </w:p>
        </w:tc>
      </w:tr>
      <w:tr w:rsidR="003438A2" w:rsidRPr="00752411" w14:paraId="43996A31" w14:textId="77777777" w:rsidTr="005643E8">
        <w:trPr>
          <w:gridAfter w:val="1"/>
          <w:wAfter w:w="79" w:type="pct"/>
        </w:trPr>
        <w:tc>
          <w:tcPr>
            <w:tcW w:w="1019" w:type="pct"/>
            <w:tcBorders>
              <w:top w:val="nil"/>
              <w:left w:val="nil"/>
              <w:bottom w:val="nil"/>
            </w:tcBorders>
          </w:tcPr>
          <w:p w14:paraId="431A213A" w14:textId="77777777" w:rsidR="003438A2" w:rsidRPr="00752411" w:rsidRDefault="003438A2" w:rsidP="005643E8">
            <w:pPr>
              <w:pStyle w:val="TableText"/>
              <w:rPr>
                <w:i/>
                <w:iCs/>
              </w:rPr>
            </w:pPr>
            <w:r w:rsidRPr="00752411">
              <w:rPr>
                <w:i/>
              </w:rPr>
              <w:t xml:space="preserve">Argyrotaenia franciscana </w:t>
            </w:r>
            <w:r w:rsidRPr="00752411">
              <w:t>(EP)</w:t>
            </w:r>
          </w:p>
        </w:tc>
        <w:tc>
          <w:tcPr>
            <w:tcW w:w="438" w:type="pct"/>
            <w:tcBorders>
              <w:top w:val="nil"/>
              <w:bottom w:val="nil"/>
            </w:tcBorders>
            <w:shd w:val="clear" w:color="auto" w:fill="auto"/>
          </w:tcPr>
          <w:p w14:paraId="5C797912" w14:textId="77777777" w:rsidR="003438A2" w:rsidRPr="00752411" w:rsidRDefault="003438A2" w:rsidP="005643E8">
            <w:pPr>
              <w:pStyle w:val="TableText"/>
            </w:pPr>
            <w:r w:rsidRPr="00752411">
              <w:t>Moderate</w:t>
            </w:r>
          </w:p>
        </w:tc>
        <w:tc>
          <w:tcPr>
            <w:tcW w:w="482" w:type="pct"/>
            <w:tcBorders>
              <w:top w:val="nil"/>
              <w:bottom w:val="nil"/>
            </w:tcBorders>
            <w:shd w:val="clear" w:color="auto" w:fill="auto"/>
          </w:tcPr>
          <w:p w14:paraId="3B26A0EC" w14:textId="77777777" w:rsidR="003438A2" w:rsidRPr="00752411" w:rsidRDefault="003438A2" w:rsidP="005643E8">
            <w:pPr>
              <w:pStyle w:val="TableText"/>
            </w:pPr>
            <w:r w:rsidRPr="00752411">
              <w:t>Moderate</w:t>
            </w:r>
          </w:p>
        </w:tc>
        <w:tc>
          <w:tcPr>
            <w:tcW w:w="444" w:type="pct"/>
            <w:tcBorders>
              <w:top w:val="nil"/>
              <w:bottom w:val="nil"/>
            </w:tcBorders>
            <w:shd w:val="clear" w:color="auto" w:fill="auto"/>
          </w:tcPr>
          <w:p w14:paraId="53F86177" w14:textId="77777777" w:rsidR="003438A2" w:rsidRPr="00752411" w:rsidRDefault="003438A2" w:rsidP="005643E8">
            <w:pPr>
              <w:pStyle w:val="TableText"/>
              <w:rPr>
                <w:b/>
              </w:rPr>
            </w:pPr>
            <w:r w:rsidRPr="00752411">
              <w:rPr>
                <w:b/>
              </w:rPr>
              <w:t>Low</w:t>
            </w:r>
          </w:p>
        </w:tc>
        <w:tc>
          <w:tcPr>
            <w:tcW w:w="535" w:type="pct"/>
            <w:tcBorders>
              <w:top w:val="nil"/>
              <w:bottom w:val="nil"/>
            </w:tcBorders>
            <w:shd w:val="clear" w:color="auto" w:fill="auto"/>
          </w:tcPr>
          <w:p w14:paraId="7ABFE300" w14:textId="77777777" w:rsidR="003438A2" w:rsidRPr="00752411" w:rsidRDefault="003438A2" w:rsidP="005643E8">
            <w:pPr>
              <w:pStyle w:val="TableText"/>
            </w:pPr>
            <w:r w:rsidRPr="00752411">
              <w:t>High</w:t>
            </w:r>
          </w:p>
        </w:tc>
        <w:tc>
          <w:tcPr>
            <w:tcW w:w="372" w:type="pct"/>
            <w:tcBorders>
              <w:top w:val="nil"/>
              <w:bottom w:val="nil"/>
            </w:tcBorders>
            <w:shd w:val="clear" w:color="auto" w:fill="auto"/>
          </w:tcPr>
          <w:p w14:paraId="2E746FDC" w14:textId="77777777" w:rsidR="003438A2" w:rsidRPr="00752411" w:rsidRDefault="003438A2" w:rsidP="005643E8">
            <w:pPr>
              <w:pStyle w:val="TableText"/>
            </w:pPr>
            <w:r w:rsidRPr="00752411">
              <w:t>High</w:t>
            </w:r>
          </w:p>
        </w:tc>
        <w:tc>
          <w:tcPr>
            <w:tcW w:w="561" w:type="pct"/>
            <w:tcBorders>
              <w:top w:val="nil"/>
              <w:bottom w:val="nil"/>
            </w:tcBorders>
            <w:shd w:val="clear" w:color="auto" w:fill="auto"/>
          </w:tcPr>
          <w:p w14:paraId="43F42450" w14:textId="77777777" w:rsidR="003438A2" w:rsidRPr="00752411" w:rsidRDefault="003438A2" w:rsidP="005643E8">
            <w:pPr>
              <w:pStyle w:val="TableText"/>
            </w:pPr>
            <w:r w:rsidRPr="00752411">
              <w:t>Low</w:t>
            </w:r>
          </w:p>
        </w:tc>
        <w:tc>
          <w:tcPr>
            <w:tcW w:w="588" w:type="pct"/>
            <w:tcBorders>
              <w:top w:val="nil"/>
              <w:bottom w:val="nil"/>
            </w:tcBorders>
            <w:shd w:val="clear" w:color="auto" w:fill="auto"/>
          </w:tcPr>
          <w:p w14:paraId="0821DF4B" w14:textId="77777777" w:rsidR="003438A2" w:rsidRPr="00752411" w:rsidRDefault="003438A2" w:rsidP="005643E8">
            <w:pPr>
              <w:pStyle w:val="TableText"/>
            </w:pPr>
            <w:r w:rsidRPr="00752411">
              <w:t>Moderate</w:t>
            </w:r>
          </w:p>
        </w:tc>
        <w:tc>
          <w:tcPr>
            <w:tcW w:w="482" w:type="pct"/>
            <w:gridSpan w:val="2"/>
            <w:tcBorders>
              <w:top w:val="nil"/>
              <w:bottom w:val="nil"/>
              <w:right w:val="nil"/>
            </w:tcBorders>
            <w:shd w:val="clear" w:color="auto" w:fill="auto"/>
          </w:tcPr>
          <w:p w14:paraId="167FE5A3" w14:textId="77777777" w:rsidR="003438A2" w:rsidRPr="00752411" w:rsidRDefault="003438A2" w:rsidP="005643E8">
            <w:pPr>
              <w:pStyle w:val="TableText"/>
              <w:rPr>
                <w:b/>
              </w:rPr>
            </w:pPr>
            <w:r w:rsidRPr="00752411">
              <w:rPr>
                <w:b/>
              </w:rPr>
              <w:t>Low</w:t>
            </w:r>
          </w:p>
        </w:tc>
      </w:tr>
      <w:tr w:rsidR="003438A2" w:rsidRPr="00752411" w14:paraId="39BF8071" w14:textId="77777777" w:rsidTr="00831C44">
        <w:trPr>
          <w:gridAfter w:val="1"/>
          <w:wAfter w:w="79" w:type="pct"/>
        </w:trPr>
        <w:tc>
          <w:tcPr>
            <w:tcW w:w="1019" w:type="pct"/>
            <w:tcBorders>
              <w:top w:val="nil"/>
              <w:left w:val="nil"/>
              <w:bottom w:val="nil"/>
            </w:tcBorders>
          </w:tcPr>
          <w:p w14:paraId="6F8BBAAE" w14:textId="77777777" w:rsidR="003438A2" w:rsidRPr="00752411" w:rsidRDefault="003438A2" w:rsidP="005643E8">
            <w:pPr>
              <w:pStyle w:val="TableText"/>
              <w:rPr>
                <w:i/>
                <w:iCs/>
              </w:rPr>
            </w:pPr>
            <w:r w:rsidRPr="00752411">
              <w:rPr>
                <w:i/>
                <w:iCs/>
              </w:rPr>
              <w:t xml:space="preserve">Choristoneura rosaceana </w:t>
            </w:r>
            <w:r w:rsidRPr="00752411">
              <w:t>(EP)</w:t>
            </w:r>
          </w:p>
        </w:tc>
        <w:tc>
          <w:tcPr>
            <w:tcW w:w="438" w:type="pct"/>
            <w:tcBorders>
              <w:top w:val="nil"/>
              <w:bottom w:val="nil"/>
            </w:tcBorders>
            <w:shd w:val="clear" w:color="auto" w:fill="auto"/>
          </w:tcPr>
          <w:p w14:paraId="5E85A017" w14:textId="77777777" w:rsidR="003438A2" w:rsidRPr="00752411" w:rsidRDefault="003438A2" w:rsidP="005643E8">
            <w:pPr>
              <w:pStyle w:val="TableText"/>
            </w:pPr>
            <w:r w:rsidRPr="00752411">
              <w:t>Moderate</w:t>
            </w:r>
          </w:p>
        </w:tc>
        <w:tc>
          <w:tcPr>
            <w:tcW w:w="482" w:type="pct"/>
            <w:tcBorders>
              <w:top w:val="nil"/>
              <w:bottom w:val="nil"/>
            </w:tcBorders>
            <w:shd w:val="clear" w:color="auto" w:fill="auto"/>
          </w:tcPr>
          <w:p w14:paraId="475B8E5D" w14:textId="77777777" w:rsidR="003438A2" w:rsidRPr="00752411" w:rsidRDefault="003438A2" w:rsidP="005643E8">
            <w:pPr>
              <w:pStyle w:val="TableText"/>
            </w:pPr>
            <w:r w:rsidRPr="00752411">
              <w:t>Moderate</w:t>
            </w:r>
          </w:p>
        </w:tc>
        <w:tc>
          <w:tcPr>
            <w:tcW w:w="444" w:type="pct"/>
            <w:tcBorders>
              <w:top w:val="nil"/>
              <w:bottom w:val="nil"/>
            </w:tcBorders>
            <w:shd w:val="clear" w:color="auto" w:fill="auto"/>
          </w:tcPr>
          <w:p w14:paraId="1E7150DE" w14:textId="77777777" w:rsidR="003438A2" w:rsidRPr="00752411" w:rsidRDefault="003438A2" w:rsidP="005643E8">
            <w:pPr>
              <w:pStyle w:val="TableText"/>
              <w:rPr>
                <w:b/>
              </w:rPr>
            </w:pPr>
            <w:r w:rsidRPr="00752411">
              <w:rPr>
                <w:b/>
              </w:rPr>
              <w:t>Low</w:t>
            </w:r>
          </w:p>
        </w:tc>
        <w:tc>
          <w:tcPr>
            <w:tcW w:w="535" w:type="pct"/>
            <w:tcBorders>
              <w:top w:val="nil"/>
              <w:bottom w:val="nil"/>
            </w:tcBorders>
            <w:shd w:val="clear" w:color="auto" w:fill="auto"/>
          </w:tcPr>
          <w:p w14:paraId="7C380845" w14:textId="77777777" w:rsidR="003438A2" w:rsidRPr="00752411" w:rsidRDefault="003438A2" w:rsidP="005643E8">
            <w:pPr>
              <w:pStyle w:val="TableText"/>
            </w:pPr>
            <w:r w:rsidRPr="00752411">
              <w:t>High</w:t>
            </w:r>
          </w:p>
        </w:tc>
        <w:tc>
          <w:tcPr>
            <w:tcW w:w="372" w:type="pct"/>
            <w:tcBorders>
              <w:top w:val="nil"/>
              <w:bottom w:val="nil"/>
            </w:tcBorders>
            <w:shd w:val="clear" w:color="auto" w:fill="auto"/>
          </w:tcPr>
          <w:p w14:paraId="0CA2450B" w14:textId="77777777" w:rsidR="003438A2" w:rsidRPr="00752411" w:rsidRDefault="003438A2" w:rsidP="005643E8">
            <w:pPr>
              <w:pStyle w:val="TableText"/>
            </w:pPr>
            <w:r w:rsidRPr="00752411">
              <w:t>High</w:t>
            </w:r>
          </w:p>
        </w:tc>
        <w:tc>
          <w:tcPr>
            <w:tcW w:w="561" w:type="pct"/>
            <w:tcBorders>
              <w:top w:val="nil"/>
              <w:bottom w:val="nil"/>
            </w:tcBorders>
            <w:shd w:val="clear" w:color="auto" w:fill="auto"/>
          </w:tcPr>
          <w:p w14:paraId="483F61C8" w14:textId="77777777" w:rsidR="003438A2" w:rsidRPr="00752411" w:rsidRDefault="003438A2" w:rsidP="005643E8">
            <w:pPr>
              <w:pStyle w:val="TableText"/>
            </w:pPr>
            <w:r w:rsidRPr="00752411">
              <w:t>Low</w:t>
            </w:r>
          </w:p>
        </w:tc>
        <w:tc>
          <w:tcPr>
            <w:tcW w:w="588" w:type="pct"/>
            <w:tcBorders>
              <w:top w:val="nil"/>
              <w:bottom w:val="nil"/>
            </w:tcBorders>
            <w:shd w:val="clear" w:color="auto" w:fill="auto"/>
          </w:tcPr>
          <w:p w14:paraId="429704A1" w14:textId="77777777" w:rsidR="003438A2" w:rsidRPr="00752411" w:rsidRDefault="003438A2" w:rsidP="005643E8">
            <w:pPr>
              <w:pStyle w:val="TableText"/>
            </w:pPr>
            <w:r w:rsidRPr="00752411">
              <w:t>Moderate</w:t>
            </w:r>
          </w:p>
        </w:tc>
        <w:tc>
          <w:tcPr>
            <w:tcW w:w="482" w:type="pct"/>
            <w:gridSpan w:val="2"/>
            <w:tcBorders>
              <w:top w:val="nil"/>
              <w:bottom w:val="nil"/>
              <w:right w:val="nil"/>
            </w:tcBorders>
            <w:shd w:val="clear" w:color="auto" w:fill="auto"/>
          </w:tcPr>
          <w:p w14:paraId="36997F90" w14:textId="77777777" w:rsidR="003438A2" w:rsidRPr="00752411" w:rsidRDefault="003438A2" w:rsidP="005643E8">
            <w:pPr>
              <w:pStyle w:val="TableText"/>
              <w:rPr>
                <w:b/>
              </w:rPr>
            </w:pPr>
            <w:r w:rsidRPr="00752411">
              <w:rPr>
                <w:b/>
              </w:rPr>
              <w:t>Low</w:t>
            </w:r>
          </w:p>
        </w:tc>
      </w:tr>
      <w:tr w:rsidR="003438A2" w:rsidRPr="00752411" w14:paraId="511C4266" w14:textId="77777777" w:rsidTr="00831C44">
        <w:trPr>
          <w:gridAfter w:val="1"/>
          <w:wAfter w:w="79" w:type="pct"/>
        </w:trPr>
        <w:tc>
          <w:tcPr>
            <w:tcW w:w="1019" w:type="pct"/>
            <w:tcBorders>
              <w:top w:val="nil"/>
              <w:left w:val="nil"/>
              <w:bottom w:val="nil"/>
            </w:tcBorders>
          </w:tcPr>
          <w:p w14:paraId="02AF53AF" w14:textId="77777777" w:rsidR="003438A2" w:rsidRPr="00752411" w:rsidRDefault="003438A2" w:rsidP="005643E8">
            <w:pPr>
              <w:pStyle w:val="TableText"/>
              <w:rPr>
                <w:i/>
                <w:iCs/>
              </w:rPr>
            </w:pPr>
            <w:r w:rsidRPr="00752411">
              <w:rPr>
                <w:i/>
              </w:rPr>
              <w:t>Pandemis pyrusana</w:t>
            </w:r>
            <w:r w:rsidRPr="00752411">
              <w:rPr>
                <w:rFonts w:asciiTheme="majorHAnsi" w:hAnsiTheme="majorHAnsi"/>
                <w:i/>
                <w:iCs/>
                <w:color w:val="000000"/>
                <w:szCs w:val="18"/>
              </w:rPr>
              <w:t xml:space="preserve"> </w:t>
            </w:r>
            <w:r w:rsidRPr="00752411">
              <w:t>(EP)</w:t>
            </w:r>
          </w:p>
        </w:tc>
        <w:tc>
          <w:tcPr>
            <w:tcW w:w="438" w:type="pct"/>
            <w:tcBorders>
              <w:top w:val="nil"/>
              <w:bottom w:val="nil"/>
            </w:tcBorders>
            <w:shd w:val="clear" w:color="auto" w:fill="auto"/>
          </w:tcPr>
          <w:p w14:paraId="1B2A11E1" w14:textId="77777777" w:rsidR="003438A2" w:rsidRPr="00752411" w:rsidRDefault="003438A2" w:rsidP="005643E8">
            <w:pPr>
              <w:pStyle w:val="TableText"/>
            </w:pPr>
            <w:r w:rsidRPr="00752411">
              <w:t>Moderate</w:t>
            </w:r>
          </w:p>
        </w:tc>
        <w:tc>
          <w:tcPr>
            <w:tcW w:w="482" w:type="pct"/>
            <w:tcBorders>
              <w:top w:val="nil"/>
              <w:bottom w:val="nil"/>
            </w:tcBorders>
            <w:shd w:val="clear" w:color="auto" w:fill="auto"/>
          </w:tcPr>
          <w:p w14:paraId="37FCAC26" w14:textId="77777777" w:rsidR="003438A2" w:rsidRPr="00752411" w:rsidRDefault="003438A2" w:rsidP="005643E8">
            <w:pPr>
              <w:pStyle w:val="TableText"/>
            </w:pPr>
            <w:r w:rsidRPr="00752411">
              <w:t>Moderate</w:t>
            </w:r>
          </w:p>
        </w:tc>
        <w:tc>
          <w:tcPr>
            <w:tcW w:w="444" w:type="pct"/>
            <w:tcBorders>
              <w:top w:val="nil"/>
              <w:bottom w:val="nil"/>
            </w:tcBorders>
            <w:shd w:val="clear" w:color="auto" w:fill="auto"/>
          </w:tcPr>
          <w:p w14:paraId="7364FC40" w14:textId="77777777" w:rsidR="003438A2" w:rsidRPr="00752411" w:rsidRDefault="003438A2" w:rsidP="005643E8">
            <w:pPr>
              <w:pStyle w:val="TableText"/>
              <w:rPr>
                <w:b/>
              </w:rPr>
            </w:pPr>
            <w:r w:rsidRPr="00752411">
              <w:rPr>
                <w:b/>
              </w:rPr>
              <w:t>Low</w:t>
            </w:r>
          </w:p>
        </w:tc>
        <w:tc>
          <w:tcPr>
            <w:tcW w:w="535" w:type="pct"/>
            <w:tcBorders>
              <w:top w:val="nil"/>
              <w:bottom w:val="nil"/>
            </w:tcBorders>
            <w:shd w:val="clear" w:color="auto" w:fill="auto"/>
          </w:tcPr>
          <w:p w14:paraId="042E2A46" w14:textId="77777777" w:rsidR="003438A2" w:rsidRPr="00752411" w:rsidRDefault="003438A2" w:rsidP="005643E8">
            <w:pPr>
              <w:pStyle w:val="TableText"/>
            </w:pPr>
            <w:r w:rsidRPr="00752411">
              <w:t>High</w:t>
            </w:r>
          </w:p>
        </w:tc>
        <w:tc>
          <w:tcPr>
            <w:tcW w:w="372" w:type="pct"/>
            <w:tcBorders>
              <w:top w:val="nil"/>
              <w:bottom w:val="nil"/>
            </w:tcBorders>
            <w:shd w:val="clear" w:color="auto" w:fill="auto"/>
          </w:tcPr>
          <w:p w14:paraId="7A187F31" w14:textId="77777777" w:rsidR="003438A2" w:rsidRPr="00752411" w:rsidRDefault="003438A2" w:rsidP="005643E8">
            <w:pPr>
              <w:pStyle w:val="TableText"/>
            </w:pPr>
            <w:r w:rsidRPr="00752411">
              <w:t>High</w:t>
            </w:r>
          </w:p>
        </w:tc>
        <w:tc>
          <w:tcPr>
            <w:tcW w:w="561" w:type="pct"/>
            <w:tcBorders>
              <w:top w:val="nil"/>
              <w:bottom w:val="nil"/>
            </w:tcBorders>
            <w:shd w:val="clear" w:color="auto" w:fill="auto"/>
          </w:tcPr>
          <w:p w14:paraId="18D46ABF" w14:textId="77777777" w:rsidR="003438A2" w:rsidRPr="00752411" w:rsidRDefault="003438A2" w:rsidP="005643E8">
            <w:pPr>
              <w:pStyle w:val="TableText"/>
            </w:pPr>
            <w:r w:rsidRPr="00752411">
              <w:t>Low</w:t>
            </w:r>
          </w:p>
        </w:tc>
        <w:tc>
          <w:tcPr>
            <w:tcW w:w="588" w:type="pct"/>
            <w:tcBorders>
              <w:top w:val="nil"/>
              <w:bottom w:val="nil"/>
            </w:tcBorders>
            <w:shd w:val="clear" w:color="auto" w:fill="auto"/>
          </w:tcPr>
          <w:p w14:paraId="280FE340" w14:textId="77777777" w:rsidR="003438A2" w:rsidRPr="00752411" w:rsidRDefault="003438A2" w:rsidP="005643E8">
            <w:pPr>
              <w:pStyle w:val="TableText"/>
            </w:pPr>
            <w:r w:rsidRPr="00752411">
              <w:t>Moderate</w:t>
            </w:r>
          </w:p>
        </w:tc>
        <w:tc>
          <w:tcPr>
            <w:tcW w:w="482" w:type="pct"/>
            <w:gridSpan w:val="2"/>
            <w:tcBorders>
              <w:top w:val="nil"/>
              <w:bottom w:val="nil"/>
              <w:right w:val="nil"/>
            </w:tcBorders>
            <w:shd w:val="clear" w:color="auto" w:fill="auto"/>
          </w:tcPr>
          <w:p w14:paraId="048DDB21" w14:textId="77777777" w:rsidR="003438A2" w:rsidRPr="00752411" w:rsidRDefault="003438A2" w:rsidP="005643E8">
            <w:pPr>
              <w:pStyle w:val="TableText"/>
              <w:rPr>
                <w:b/>
              </w:rPr>
            </w:pPr>
            <w:r w:rsidRPr="00752411">
              <w:rPr>
                <w:b/>
              </w:rPr>
              <w:t>Low</w:t>
            </w:r>
          </w:p>
        </w:tc>
      </w:tr>
      <w:tr w:rsidR="003438A2" w:rsidRPr="007B1F1F" w14:paraId="1D639ED7" w14:textId="77777777" w:rsidTr="00831C44">
        <w:trPr>
          <w:gridAfter w:val="1"/>
          <w:wAfter w:w="79" w:type="pct"/>
        </w:trPr>
        <w:tc>
          <w:tcPr>
            <w:tcW w:w="1019" w:type="pct"/>
            <w:tcBorders>
              <w:top w:val="nil"/>
              <w:left w:val="nil"/>
              <w:bottom w:val="nil"/>
            </w:tcBorders>
          </w:tcPr>
          <w:p w14:paraId="442C32D9" w14:textId="77777777" w:rsidR="003438A2" w:rsidRPr="007B1F1F" w:rsidRDefault="003438A2" w:rsidP="005643E8">
            <w:pPr>
              <w:pStyle w:val="TableText"/>
              <w:rPr>
                <w:i/>
                <w:iCs/>
              </w:rPr>
            </w:pPr>
            <w:r w:rsidRPr="007B1F1F">
              <w:rPr>
                <w:i/>
                <w:iCs/>
              </w:rPr>
              <w:t xml:space="preserve">Cydia pomonella </w:t>
            </w:r>
            <w:r w:rsidRPr="007B1F1F">
              <w:t>(EP, WA)</w:t>
            </w:r>
          </w:p>
        </w:tc>
        <w:tc>
          <w:tcPr>
            <w:tcW w:w="438" w:type="pct"/>
            <w:tcBorders>
              <w:top w:val="nil"/>
              <w:bottom w:val="nil"/>
            </w:tcBorders>
            <w:shd w:val="clear" w:color="auto" w:fill="auto"/>
          </w:tcPr>
          <w:p w14:paraId="6EA788F8" w14:textId="77777777" w:rsidR="003438A2" w:rsidRPr="007B1F1F" w:rsidRDefault="003438A2" w:rsidP="005643E8">
            <w:pPr>
              <w:pStyle w:val="TableText"/>
            </w:pPr>
            <w:r w:rsidRPr="007B1F1F">
              <w:t>Moderate</w:t>
            </w:r>
          </w:p>
        </w:tc>
        <w:tc>
          <w:tcPr>
            <w:tcW w:w="482" w:type="pct"/>
            <w:tcBorders>
              <w:top w:val="nil"/>
              <w:bottom w:val="nil"/>
            </w:tcBorders>
            <w:shd w:val="clear" w:color="auto" w:fill="auto"/>
          </w:tcPr>
          <w:p w14:paraId="2C3E7FA4" w14:textId="77777777" w:rsidR="003438A2" w:rsidRPr="007B1F1F" w:rsidRDefault="003438A2" w:rsidP="005643E8">
            <w:pPr>
              <w:pStyle w:val="TableText"/>
            </w:pPr>
            <w:r w:rsidRPr="007B1F1F">
              <w:t>Moderate</w:t>
            </w:r>
          </w:p>
        </w:tc>
        <w:tc>
          <w:tcPr>
            <w:tcW w:w="444" w:type="pct"/>
            <w:tcBorders>
              <w:top w:val="nil"/>
              <w:bottom w:val="nil"/>
            </w:tcBorders>
            <w:shd w:val="clear" w:color="auto" w:fill="auto"/>
          </w:tcPr>
          <w:p w14:paraId="74B37FA1" w14:textId="77777777" w:rsidR="003438A2" w:rsidRPr="007B1F1F" w:rsidRDefault="003438A2" w:rsidP="005643E8">
            <w:pPr>
              <w:pStyle w:val="TableText"/>
              <w:rPr>
                <w:b/>
              </w:rPr>
            </w:pPr>
            <w:r w:rsidRPr="007B1F1F">
              <w:rPr>
                <w:b/>
              </w:rPr>
              <w:t>Low</w:t>
            </w:r>
          </w:p>
        </w:tc>
        <w:tc>
          <w:tcPr>
            <w:tcW w:w="535" w:type="pct"/>
            <w:tcBorders>
              <w:top w:val="nil"/>
              <w:bottom w:val="nil"/>
            </w:tcBorders>
            <w:shd w:val="clear" w:color="auto" w:fill="auto"/>
          </w:tcPr>
          <w:p w14:paraId="25344784" w14:textId="77777777" w:rsidR="003438A2" w:rsidRPr="007B1F1F" w:rsidRDefault="003438A2" w:rsidP="005643E8">
            <w:pPr>
              <w:pStyle w:val="TableText"/>
            </w:pPr>
            <w:r w:rsidRPr="007B1F1F">
              <w:t>High</w:t>
            </w:r>
          </w:p>
        </w:tc>
        <w:tc>
          <w:tcPr>
            <w:tcW w:w="372" w:type="pct"/>
            <w:tcBorders>
              <w:top w:val="nil"/>
              <w:bottom w:val="nil"/>
            </w:tcBorders>
            <w:shd w:val="clear" w:color="auto" w:fill="auto"/>
          </w:tcPr>
          <w:p w14:paraId="61A84886" w14:textId="77777777" w:rsidR="003438A2" w:rsidRPr="007B1F1F" w:rsidRDefault="003438A2" w:rsidP="005643E8">
            <w:pPr>
              <w:pStyle w:val="TableText"/>
            </w:pPr>
            <w:r w:rsidRPr="007B1F1F">
              <w:t>High</w:t>
            </w:r>
          </w:p>
        </w:tc>
        <w:tc>
          <w:tcPr>
            <w:tcW w:w="561" w:type="pct"/>
            <w:tcBorders>
              <w:top w:val="nil"/>
              <w:bottom w:val="nil"/>
            </w:tcBorders>
            <w:shd w:val="clear" w:color="auto" w:fill="auto"/>
          </w:tcPr>
          <w:p w14:paraId="0FF33804" w14:textId="77777777" w:rsidR="003438A2" w:rsidRPr="007B1F1F" w:rsidRDefault="003438A2" w:rsidP="005643E8">
            <w:pPr>
              <w:pStyle w:val="TableText"/>
            </w:pPr>
            <w:r w:rsidRPr="007B1F1F">
              <w:t>Low</w:t>
            </w:r>
          </w:p>
        </w:tc>
        <w:tc>
          <w:tcPr>
            <w:tcW w:w="588" w:type="pct"/>
            <w:tcBorders>
              <w:top w:val="nil"/>
              <w:bottom w:val="nil"/>
            </w:tcBorders>
            <w:shd w:val="clear" w:color="auto" w:fill="auto"/>
          </w:tcPr>
          <w:p w14:paraId="00B8A42F" w14:textId="77777777" w:rsidR="003438A2" w:rsidRPr="007B1F1F" w:rsidRDefault="003438A2" w:rsidP="005643E8">
            <w:pPr>
              <w:pStyle w:val="TableText"/>
            </w:pPr>
            <w:r w:rsidRPr="007B1F1F">
              <w:t>Moderate</w:t>
            </w:r>
          </w:p>
        </w:tc>
        <w:tc>
          <w:tcPr>
            <w:tcW w:w="482" w:type="pct"/>
            <w:gridSpan w:val="2"/>
            <w:tcBorders>
              <w:top w:val="nil"/>
              <w:bottom w:val="nil"/>
              <w:right w:val="nil"/>
            </w:tcBorders>
            <w:shd w:val="clear" w:color="auto" w:fill="auto"/>
          </w:tcPr>
          <w:p w14:paraId="467F516D" w14:textId="77777777" w:rsidR="003438A2" w:rsidRPr="007B1F1F" w:rsidRDefault="003438A2" w:rsidP="005643E8">
            <w:pPr>
              <w:pStyle w:val="TableText"/>
              <w:rPr>
                <w:b/>
              </w:rPr>
            </w:pPr>
            <w:r w:rsidRPr="007B1F1F">
              <w:rPr>
                <w:b/>
              </w:rPr>
              <w:t>Low</w:t>
            </w:r>
          </w:p>
        </w:tc>
      </w:tr>
      <w:tr w:rsidR="003438A2" w:rsidRPr="007B1F1F" w14:paraId="5E7D97F6" w14:textId="77777777" w:rsidTr="005643E8">
        <w:trPr>
          <w:gridAfter w:val="1"/>
          <w:wAfter w:w="79" w:type="pct"/>
        </w:trPr>
        <w:tc>
          <w:tcPr>
            <w:tcW w:w="1019" w:type="pct"/>
            <w:tcBorders>
              <w:top w:val="nil"/>
              <w:left w:val="nil"/>
              <w:bottom w:val="nil"/>
            </w:tcBorders>
          </w:tcPr>
          <w:p w14:paraId="11D14DB0" w14:textId="77777777" w:rsidR="003438A2" w:rsidRPr="007B1F1F" w:rsidRDefault="003438A2" w:rsidP="005643E8">
            <w:pPr>
              <w:pStyle w:val="TableText"/>
              <w:rPr>
                <w:i/>
                <w:iCs/>
              </w:rPr>
            </w:pPr>
            <w:r w:rsidRPr="007B1F1F">
              <w:rPr>
                <w:bCs/>
                <w:i/>
                <w:iCs/>
              </w:rPr>
              <w:t>Grapholita molesta</w:t>
            </w:r>
            <w:r w:rsidRPr="007B1F1F">
              <w:rPr>
                <w:i/>
              </w:rPr>
              <w:t xml:space="preserve"> </w:t>
            </w:r>
            <w:r w:rsidRPr="007B1F1F">
              <w:t>(EP, WA)</w:t>
            </w:r>
          </w:p>
        </w:tc>
        <w:tc>
          <w:tcPr>
            <w:tcW w:w="438" w:type="pct"/>
            <w:tcBorders>
              <w:top w:val="nil"/>
              <w:bottom w:val="nil"/>
            </w:tcBorders>
            <w:shd w:val="clear" w:color="auto" w:fill="auto"/>
          </w:tcPr>
          <w:p w14:paraId="259E1987" w14:textId="77777777" w:rsidR="003438A2" w:rsidRPr="007B1F1F" w:rsidRDefault="003438A2" w:rsidP="005643E8">
            <w:pPr>
              <w:pStyle w:val="TableText"/>
            </w:pPr>
            <w:r w:rsidRPr="007B1F1F">
              <w:t>Very Low</w:t>
            </w:r>
          </w:p>
        </w:tc>
        <w:tc>
          <w:tcPr>
            <w:tcW w:w="482" w:type="pct"/>
            <w:tcBorders>
              <w:top w:val="nil"/>
              <w:bottom w:val="nil"/>
            </w:tcBorders>
            <w:shd w:val="clear" w:color="auto" w:fill="auto"/>
          </w:tcPr>
          <w:p w14:paraId="3D46198C" w14:textId="77777777" w:rsidR="003438A2" w:rsidRPr="007B1F1F" w:rsidRDefault="003438A2" w:rsidP="005643E8">
            <w:pPr>
              <w:pStyle w:val="TableText"/>
            </w:pPr>
            <w:r w:rsidRPr="007B1F1F">
              <w:t>Moderate</w:t>
            </w:r>
          </w:p>
        </w:tc>
        <w:tc>
          <w:tcPr>
            <w:tcW w:w="444" w:type="pct"/>
            <w:tcBorders>
              <w:top w:val="nil"/>
              <w:bottom w:val="nil"/>
            </w:tcBorders>
            <w:shd w:val="clear" w:color="auto" w:fill="auto"/>
          </w:tcPr>
          <w:p w14:paraId="454EF0F7" w14:textId="77777777" w:rsidR="003438A2" w:rsidRPr="007B1F1F" w:rsidRDefault="003438A2" w:rsidP="005643E8">
            <w:pPr>
              <w:pStyle w:val="TableText"/>
              <w:rPr>
                <w:b/>
              </w:rPr>
            </w:pPr>
            <w:r w:rsidRPr="007B1F1F">
              <w:rPr>
                <w:b/>
              </w:rPr>
              <w:t>Very Low</w:t>
            </w:r>
          </w:p>
        </w:tc>
        <w:tc>
          <w:tcPr>
            <w:tcW w:w="535" w:type="pct"/>
            <w:tcBorders>
              <w:top w:val="nil"/>
              <w:bottom w:val="nil"/>
            </w:tcBorders>
            <w:shd w:val="clear" w:color="auto" w:fill="auto"/>
          </w:tcPr>
          <w:p w14:paraId="007F1D29" w14:textId="77777777" w:rsidR="003438A2" w:rsidRPr="007B1F1F" w:rsidRDefault="003438A2" w:rsidP="005643E8">
            <w:pPr>
              <w:pStyle w:val="TableText"/>
            </w:pPr>
            <w:r w:rsidRPr="007B1F1F">
              <w:t>High</w:t>
            </w:r>
          </w:p>
        </w:tc>
        <w:tc>
          <w:tcPr>
            <w:tcW w:w="372" w:type="pct"/>
            <w:tcBorders>
              <w:top w:val="nil"/>
              <w:bottom w:val="nil"/>
            </w:tcBorders>
            <w:shd w:val="clear" w:color="auto" w:fill="auto"/>
          </w:tcPr>
          <w:p w14:paraId="278E50D0" w14:textId="77777777" w:rsidR="003438A2" w:rsidRPr="007B1F1F" w:rsidRDefault="003438A2" w:rsidP="005643E8">
            <w:pPr>
              <w:pStyle w:val="TableText"/>
            </w:pPr>
            <w:r w:rsidRPr="007B1F1F">
              <w:t>High</w:t>
            </w:r>
          </w:p>
        </w:tc>
        <w:tc>
          <w:tcPr>
            <w:tcW w:w="561" w:type="pct"/>
            <w:tcBorders>
              <w:top w:val="nil"/>
              <w:bottom w:val="nil"/>
            </w:tcBorders>
            <w:shd w:val="clear" w:color="auto" w:fill="auto"/>
          </w:tcPr>
          <w:p w14:paraId="19BF07C5" w14:textId="77777777" w:rsidR="003438A2" w:rsidRPr="007B1F1F" w:rsidRDefault="003438A2" w:rsidP="005643E8">
            <w:pPr>
              <w:pStyle w:val="TableText"/>
            </w:pPr>
            <w:r w:rsidRPr="007B1F1F">
              <w:t>Very Low</w:t>
            </w:r>
          </w:p>
        </w:tc>
        <w:tc>
          <w:tcPr>
            <w:tcW w:w="588" w:type="pct"/>
            <w:tcBorders>
              <w:top w:val="nil"/>
              <w:bottom w:val="nil"/>
            </w:tcBorders>
            <w:shd w:val="clear" w:color="auto" w:fill="auto"/>
          </w:tcPr>
          <w:p w14:paraId="5099C521" w14:textId="77777777" w:rsidR="003438A2" w:rsidRPr="007B1F1F" w:rsidRDefault="003438A2" w:rsidP="005643E8">
            <w:pPr>
              <w:pStyle w:val="TableText"/>
            </w:pPr>
            <w:r w:rsidRPr="007B1F1F">
              <w:t>Moderate</w:t>
            </w:r>
          </w:p>
        </w:tc>
        <w:tc>
          <w:tcPr>
            <w:tcW w:w="482" w:type="pct"/>
            <w:gridSpan w:val="2"/>
            <w:tcBorders>
              <w:top w:val="nil"/>
              <w:bottom w:val="nil"/>
              <w:right w:val="nil"/>
            </w:tcBorders>
            <w:shd w:val="clear" w:color="auto" w:fill="auto"/>
          </w:tcPr>
          <w:p w14:paraId="362C59CB" w14:textId="77777777" w:rsidR="003438A2" w:rsidRPr="007B1F1F" w:rsidRDefault="003438A2" w:rsidP="005643E8">
            <w:pPr>
              <w:pStyle w:val="TableText"/>
              <w:rPr>
                <w:b/>
              </w:rPr>
            </w:pPr>
            <w:r w:rsidRPr="007B1F1F">
              <w:rPr>
                <w:b/>
              </w:rPr>
              <w:t>Very Low</w:t>
            </w:r>
          </w:p>
        </w:tc>
      </w:tr>
      <w:tr w:rsidR="003438A2" w:rsidRPr="00752411" w14:paraId="7A06893E" w14:textId="77777777" w:rsidTr="005643E8">
        <w:trPr>
          <w:gridAfter w:val="1"/>
          <w:wAfter w:w="79" w:type="pct"/>
        </w:trPr>
        <w:tc>
          <w:tcPr>
            <w:tcW w:w="1019" w:type="pct"/>
            <w:tcBorders>
              <w:top w:val="nil"/>
              <w:left w:val="nil"/>
              <w:bottom w:val="nil"/>
            </w:tcBorders>
          </w:tcPr>
          <w:p w14:paraId="133BA2B2" w14:textId="77777777" w:rsidR="003438A2" w:rsidRPr="007B1F1F" w:rsidRDefault="003438A2" w:rsidP="005643E8">
            <w:pPr>
              <w:pStyle w:val="TableText"/>
              <w:rPr>
                <w:i/>
                <w:iCs/>
              </w:rPr>
            </w:pPr>
            <w:r w:rsidRPr="007B1F1F">
              <w:rPr>
                <w:i/>
              </w:rPr>
              <w:t xml:space="preserve">Grapholita packardi </w:t>
            </w:r>
            <w:r w:rsidRPr="007B1F1F">
              <w:t>(EP)</w:t>
            </w:r>
          </w:p>
        </w:tc>
        <w:tc>
          <w:tcPr>
            <w:tcW w:w="438" w:type="pct"/>
            <w:tcBorders>
              <w:top w:val="nil"/>
              <w:bottom w:val="nil"/>
            </w:tcBorders>
            <w:shd w:val="clear" w:color="auto" w:fill="auto"/>
          </w:tcPr>
          <w:p w14:paraId="71DD3079" w14:textId="77777777" w:rsidR="003438A2" w:rsidRPr="007B1F1F" w:rsidRDefault="003438A2" w:rsidP="005643E8">
            <w:pPr>
              <w:pStyle w:val="TableText"/>
            </w:pPr>
            <w:r w:rsidRPr="007B1F1F">
              <w:t>Very Low</w:t>
            </w:r>
          </w:p>
        </w:tc>
        <w:tc>
          <w:tcPr>
            <w:tcW w:w="482" w:type="pct"/>
            <w:tcBorders>
              <w:top w:val="nil"/>
              <w:bottom w:val="nil"/>
            </w:tcBorders>
            <w:shd w:val="clear" w:color="auto" w:fill="auto"/>
          </w:tcPr>
          <w:p w14:paraId="4D99796F" w14:textId="77777777" w:rsidR="003438A2" w:rsidRPr="007B1F1F" w:rsidRDefault="003438A2" w:rsidP="005643E8">
            <w:pPr>
              <w:pStyle w:val="TableText"/>
            </w:pPr>
            <w:r w:rsidRPr="007B1F1F">
              <w:t>Moderate</w:t>
            </w:r>
          </w:p>
        </w:tc>
        <w:tc>
          <w:tcPr>
            <w:tcW w:w="444" w:type="pct"/>
            <w:tcBorders>
              <w:top w:val="nil"/>
              <w:bottom w:val="nil"/>
            </w:tcBorders>
            <w:shd w:val="clear" w:color="auto" w:fill="auto"/>
          </w:tcPr>
          <w:p w14:paraId="13D46B52" w14:textId="77777777" w:rsidR="003438A2" w:rsidRPr="007B1F1F" w:rsidRDefault="003438A2" w:rsidP="005643E8">
            <w:pPr>
              <w:pStyle w:val="TableText"/>
              <w:rPr>
                <w:b/>
              </w:rPr>
            </w:pPr>
            <w:r w:rsidRPr="007B1F1F">
              <w:rPr>
                <w:b/>
              </w:rPr>
              <w:t>Very Low</w:t>
            </w:r>
          </w:p>
        </w:tc>
        <w:tc>
          <w:tcPr>
            <w:tcW w:w="535" w:type="pct"/>
            <w:tcBorders>
              <w:top w:val="nil"/>
              <w:bottom w:val="nil"/>
            </w:tcBorders>
            <w:shd w:val="clear" w:color="auto" w:fill="auto"/>
          </w:tcPr>
          <w:p w14:paraId="5725F404" w14:textId="77777777" w:rsidR="003438A2" w:rsidRPr="007B1F1F" w:rsidRDefault="003438A2" w:rsidP="005643E8">
            <w:pPr>
              <w:pStyle w:val="TableText"/>
            </w:pPr>
            <w:r w:rsidRPr="007B1F1F">
              <w:t>High</w:t>
            </w:r>
          </w:p>
        </w:tc>
        <w:tc>
          <w:tcPr>
            <w:tcW w:w="372" w:type="pct"/>
            <w:tcBorders>
              <w:top w:val="nil"/>
              <w:bottom w:val="nil"/>
            </w:tcBorders>
            <w:shd w:val="clear" w:color="auto" w:fill="auto"/>
          </w:tcPr>
          <w:p w14:paraId="660F2560" w14:textId="77777777" w:rsidR="003438A2" w:rsidRPr="007B1F1F" w:rsidRDefault="003438A2" w:rsidP="005643E8">
            <w:pPr>
              <w:pStyle w:val="TableText"/>
            </w:pPr>
            <w:r w:rsidRPr="007B1F1F">
              <w:t>High</w:t>
            </w:r>
          </w:p>
        </w:tc>
        <w:tc>
          <w:tcPr>
            <w:tcW w:w="561" w:type="pct"/>
            <w:tcBorders>
              <w:top w:val="nil"/>
              <w:bottom w:val="nil"/>
            </w:tcBorders>
            <w:shd w:val="clear" w:color="auto" w:fill="auto"/>
          </w:tcPr>
          <w:p w14:paraId="6E19D19A" w14:textId="77777777" w:rsidR="003438A2" w:rsidRPr="007B1F1F" w:rsidRDefault="003438A2" w:rsidP="005643E8">
            <w:pPr>
              <w:pStyle w:val="TableText"/>
            </w:pPr>
            <w:r w:rsidRPr="007B1F1F">
              <w:t>Very Low</w:t>
            </w:r>
          </w:p>
        </w:tc>
        <w:tc>
          <w:tcPr>
            <w:tcW w:w="588" w:type="pct"/>
            <w:tcBorders>
              <w:top w:val="nil"/>
              <w:bottom w:val="nil"/>
            </w:tcBorders>
            <w:shd w:val="clear" w:color="auto" w:fill="auto"/>
          </w:tcPr>
          <w:p w14:paraId="6F8AF934" w14:textId="77777777" w:rsidR="003438A2" w:rsidRPr="007B1F1F" w:rsidRDefault="003438A2" w:rsidP="005643E8">
            <w:pPr>
              <w:pStyle w:val="TableText"/>
            </w:pPr>
            <w:r w:rsidRPr="007B1F1F">
              <w:t>Moderate</w:t>
            </w:r>
          </w:p>
        </w:tc>
        <w:tc>
          <w:tcPr>
            <w:tcW w:w="482" w:type="pct"/>
            <w:gridSpan w:val="2"/>
            <w:tcBorders>
              <w:top w:val="nil"/>
              <w:bottom w:val="nil"/>
              <w:right w:val="nil"/>
            </w:tcBorders>
            <w:shd w:val="clear" w:color="auto" w:fill="auto"/>
          </w:tcPr>
          <w:p w14:paraId="41872E43" w14:textId="77777777" w:rsidR="003438A2" w:rsidRPr="00752411" w:rsidRDefault="003438A2" w:rsidP="005643E8">
            <w:pPr>
              <w:pStyle w:val="TableText"/>
              <w:rPr>
                <w:b/>
              </w:rPr>
            </w:pPr>
            <w:r w:rsidRPr="007B1F1F">
              <w:rPr>
                <w:b/>
              </w:rPr>
              <w:t>Very Low</w:t>
            </w:r>
          </w:p>
        </w:tc>
      </w:tr>
      <w:tr w:rsidR="003438A2" w:rsidRPr="00752411" w14:paraId="7FAD9E50" w14:textId="77777777" w:rsidTr="005643E8">
        <w:trPr>
          <w:gridAfter w:val="1"/>
          <w:wAfter w:w="79" w:type="pct"/>
        </w:trPr>
        <w:tc>
          <w:tcPr>
            <w:tcW w:w="1019" w:type="pct"/>
            <w:tcBorders>
              <w:top w:val="nil"/>
              <w:left w:val="nil"/>
              <w:bottom w:val="nil"/>
            </w:tcBorders>
          </w:tcPr>
          <w:p w14:paraId="67CC059C" w14:textId="77777777" w:rsidR="003438A2" w:rsidRPr="00752411" w:rsidRDefault="003438A2" w:rsidP="005643E8">
            <w:pPr>
              <w:pStyle w:val="TableText"/>
              <w:rPr>
                <w:i/>
                <w:iCs/>
              </w:rPr>
            </w:pPr>
            <w:r w:rsidRPr="00752411">
              <w:rPr>
                <w:i/>
              </w:rPr>
              <w:t xml:space="preserve">Grapholita prunivora </w:t>
            </w:r>
            <w:r w:rsidRPr="00752411">
              <w:t>(EP)</w:t>
            </w:r>
          </w:p>
        </w:tc>
        <w:tc>
          <w:tcPr>
            <w:tcW w:w="438" w:type="pct"/>
            <w:tcBorders>
              <w:top w:val="nil"/>
              <w:bottom w:val="nil"/>
            </w:tcBorders>
            <w:shd w:val="clear" w:color="auto" w:fill="auto"/>
          </w:tcPr>
          <w:p w14:paraId="190015B4" w14:textId="77777777" w:rsidR="003438A2" w:rsidRPr="00752411" w:rsidRDefault="003438A2" w:rsidP="005643E8">
            <w:pPr>
              <w:pStyle w:val="TableText"/>
            </w:pPr>
            <w:r>
              <w:t xml:space="preserve">Very </w:t>
            </w:r>
            <w:r w:rsidRPr="00752411">
              <w:t>Low</w:t>
            </w:r>
          </w:p>
        </w:tc>
        <w:tc>
          <w:tcPr>
            <w:tcW w:w="482" w:type="pct"/>
            <w:tcBorders>
              <w:top w:val="nil"/>
              <w:bottom w:val="nil"/>
            </w:tcBorders>
            <w:shd w:val="clear" w:color="auto" w:fill="auto"/>
          </w:tcPr>
          <w:p w14:paraId="334D60AD" w14:textId="77777777" w:rsidR="003438A2" w:rsidRPr="00752411" w:rsidRDefault="003438A2" w:rsidP="005643E8">
            <w:pPr>
              <w:pStyle w:val="TableText"/>
            </w:pPr>
            <w:r w:rsidRPr="00752411">
              <w:t>Moderate</w:t>
            </w:r>
          </w:p>
        </w:tc>
        <w:tc>
          <w:tcPr>
            <w:tcW w:w="444" w:type="pct"/>
            <w:tcBorders>
              <w:top w:val="nil"/>
              <w:bottom w:val="nil"/>
            </w:tcBorders>
            <w:shd w:val="clear" w:color="auto" w:fill="auto"/>
          </w:tcPr>
          <w:p w14:paraId="3A828EDC" w14:textId="77777777" w:rsidR="003438A2" w:rsidRPr="00752411" w:rsidRDefault="003438A2" w:rsidP="005643E8">
            <w:pPr>
              <w:pStyle w:val="TableText"/>
              <w:rPr>
                <w:b/>
              </w:rPr>
            </w:pPr>
            <w:r>
              <w:rPr>
                <w:b/>
              </w:rPr>
              <w:t xml:space="preserve">Very </w:t>
            </w:r>
            <w:r w:rsidRPr="00752411">
              <w:rPr>
                <w:b/>
              </w:rPr>
              <w:t>Low</w:t>
            </w:r>
          </w:p>
        </w:tc>
        <w:tc>
          <w:tcPr>
            <w:tcW w:w="535" w:type="pct"/>
            <w:tcBorders>
              <w:top w:val="nil"/>
              <w:bottom w:val="nil"/>
            </w:tcBorders>
            <w:shd w:val="clear" w:color="auto" w:fill="auto"/>
          </w:tcPr>
          <w:p w14:paraId="3DAF68BC" w14:textId="77777777" w:rsidR="003438A2" w:rsidRPr="00752411" w:rsidRDefault="003438A2" w:rsidP="005643E8">
            <w:pPr>
              <w:pStyle w:val="TableText"/>
            </w:pPr>
            <w:r w:rsidRPr="00752411">
              <w:t>High</w:t>
            </w:r>
          </w:p>
        </w:tc>
        <w:tc>
          <w:tcPr>
            <w:tcW w:w="372" w:type="pct"/>
            <w:tcBorders>
              <w:top w:val="nil"/>
              <w:bottom w:val="nil"/>
            </w:tcBorders>
            <w:shd w:val="clear" w:color="auto" w:fill="auto"/>
          </w:tcPr>
          <w:p w14:paraId="0D51D3D5" w14:textId="77777777" w:rsidR="003438A2" w:rsidRPr="00752411" w:rsidRDefault="003438A2" w:rsidP="005643E8">
            <w:pPr>
              <w:pStyle w:val="TableText"/>
            </w:pPr>
            <w:r w:rsidRPr="00752411">
              <w:t>High</w:t>
            </w:r>
          </w:p>
        </w:tc>
        <w:tc>
          <w:tcPr>
            <w:tcW w:w="561" w:type="pct"/>
            <w:tcBorders>
              <w:top w:val="nil"/>
              <w:bottom w:val="nil"/>
            </w:tcBorders>
            <w:shd w:val="clear" w:color="auto" w:fill="auto"/>
          </w:tcPr>
          <w:p w14:paraId="17385C90" w14:textId="77777777" w:rsidR="003438A2" w:rsidRPr="00752411" w:rsidRDefault="003438A2" w:rsidP="005643E8">
            <w:pPr>
              <w:pStyle w:val="TableText"/>
            </w:pPr>
            <w:r>
              <w:t xml:space="preserve">Very </w:t>
            </w:r>
            <w:r w:rsidRPr="00752411">
              <w:t>Low</w:t>
            </w:r>
          </w:p>
        </w:tc>
        <w:tc>
          <w:tcPr>
            <w:tcW w:w="588" w:type="pct"/>
            <w:tcBorders>
              <w:top w:val="nil"/>
              <w:bottom w:val="nil"/>
            </w:tcBorders>
            <w:shd w:val="clear" w:color="auto" w:fill="auto"/>
          </w:tcPr>
          <w:p w14:paraId="6843AD0B" w14:textId="77777777" w:rsidR="003438A2" w:rsidRPr="00752411" w:rsidRDefault="003438A2" w:rsidP="005643E8">
            <w:pPr>
              <w:pStyle w:val="TableText"/>
            </w:pPr>
            <w:r w:rsidRPr="00752411">
              <w:t>Moderate</w:t>
            </w:r>
          </w:p>
        </w:tc>
        <w:tc>
          <w:tcPr>
            <w:tcW w:w="482" w:type="pct"/>
            <w:gridSpan w:val="2"/>
            <w:tcBorders>
              <w:top w:val="nil"/>
              <w:bottom w:val="nil"/>
              <w:right w:val="nil"/>
            </w:tcBorders>
            <w:shd w:val="clear" w:color="auto" w:fill="auto"/>
          </w:tcPr>
          <w:p w14:paraId="075269B3" w14:textId="77777777" w:rsidR="003438A2" w:rsidRPr="00752411" w:rsidRDefault="003438A2" w:rsidP="005643E8">
            <w:pPr>
              <w:pStyle w:val="TableText"/>
              <w:rPr>
                <w:b/>
              </w:rPr>
            </w:pPr>
            <w:r w:rsidRPr="00752411">
              <w:rPr>
                <w:b/>
              </w:rPr>
              <w:t>Very Low</w:t>
            </w:r>
          </w:p>
        </w:tc>
      </w:tr>
      <w:tr w:rsidR="003438A2" w:rsidRPr="00752411" w14:paraId="76A4A58D" w14:textId="77777777" w:rsidTr="005643E8">
        <w:trPr>
          <w:gridAfter w:val="1"/>
          <w:wAfter w:w="79" w:type="pct"/>
        </w:trPr>
        <w:tc>
          <w:tcPr>
            <w:tcW w:w="4921" w:type="pct"/>
            <w:gridSpan w:val="10"/>
            <w:tcBorders>
              <w:top w:val="single" w:sz="4" w:space="0" w:color="BFBFBF" w:themeColor="background1" w:themeShade="BF"/>
              <w:left w:val="nil"/>
              <w:bottom w:val="nil"/>
              <w:right w:val="nil"/>
            </w:tcBorders>
          </w:tcPr>
          <w:p w14:paraId="429F5C4C" w14:textId="77777777" w:rsidR="003438A2" w:rsidRPr="00752411" w:rsidRDefault="003438A2" w:rsidP="005643E8">
            <w:pPr>
              <w:pStyle w:val="TableText"/>
              <w:rPr>
                <w:b/>
              </w:rPr>
            </w:pPr>
            <w:r w:rsidRPr="00752411">
              <w:rPr>
                <w:b/>
              </w:rPr>
              <w:t xml:space="preserve">Ermine </w:t>
            </w:r>
            <w:r>
              <w:rPr>
                <w:b/>
              </w:rPr>
              <w:t>m</w:t>
            </w:r>
            <w:r w:rsidRPr="00752411">
              <w:rPr>
                <w:b/>
              </w:rPr>
              <w:t>oths [Lepidoptera: Yponomeutidae]</w:t>
            </w:r>
          </w:p>
        </w:tc>
      </w:tr>
      <w:tr w:rsidR="003438A2" w:rsidRPr="00752411" w14:paraId="5E98AB47" w14:textId="77777777" w:rsidTr="005643E8">
        <w:trPr>
          <w:gridAfter w:val="1"/>
          <w:wAfter w:w="79" w:type="pct"/>
        </w:trPr>
        <w:tc>
          <w:tcPr>
            <w:tcW w:w="1019" w:type="pct"/>
            <w:tcBorders>
              <w:top w:val="nil"/>
              <w:left w:val="nil"/>
              <w:bottom w:val="nil"/>
            </w:tcBorders>
          </w:tcPr>
          <w:p w14:paraId="256FF92D" w14:textId="77777777" w:rsidR="003438A2" w:rsidRPr="00752411" w:rsidRDefault="003438A2" w:rsidP="005643E8">
            <w:pPr>
              <w:pStyle w:val="TableText"/>
            </w:pPr>
            <w:r w:rsidRPr="00752411">
              <w:rPr>
                <w:i/>
                <w:iCs/>
              </w:rPr>
              <w:t xml:space="preserve">Argyresthia conjugella </w:t>
            </w:r>
            <w:r w:rsidRPr="00752411">
              <w:t>(EP)</w:t>
            </w:r>
          </w:p>
        </w:tc>
        <w:tc>
          <w:tcPr>
            <w:tcW w:w="438" w:type="pct"/>
            <w:tcBorders>
              <w:top w:val="nil"/>
              <w:bottom w:val="nil"/>
            </w:tcBorders>
            <w:shd w:val="clear" w:color="auto" w:fill="auto"/>
          </w:tcPr>
          <w:p w14:paraId="53B6FD00" w14:textId="77777777" w:rsidR="003438A2" w:rsidRPr="00752411" w:rsidRDefault="003438A2" w:rsidP="005643E8">
            <w:pPr>
              <w:pStyle w:val="TableText"/>
            </w:pPr>
            <w:r w:rsidRPr="00752411">
              <w:t>Low</w:t>
            </w:r>
          </w:p>
        </w:tc>
        <w:tc>
          <w:tcPr>
            <w:tcW w:w="482" w:type="pct"/>
            <w:tcBorders>
              <w:top w:val="nil"/>
              <w:bottom w:val="single" w:sz="4" w:space="0" w:color="BFBFBF" w:themeColor="background1" w:themeShade="BF"/>
            </w:tcBorders>
            <w:shd w:val="clear" w:color="auto" w:fill="auto"/>
          </w:tcPr>
          <w:p w14:paraId="2E14D80C" w14:textId="77777777" w:rsidR="003438A2" w:rsidRPr="00752411" w:rsidRDefault="003438A2" w:rsidP="005643E8">
            <w:pPr>
              <w:pStyle w:val="TableText"/>
            </w:pPr>
            <w:r w:rsidRPr="00752411">
              <w:t>Moderate</w:t>
            </w:r>
          </w:p>
        </w:tc>
        <w:tc>
          <w:tcPr>
            <w:tcW w:w="444" w:type="pct"/>
            <w:tcBorders>
              <w:top w:val="nil"/>
              <w:bottom w:val="single" w:sz="4" w:space="0" w:color="BFBFBF" w:themeColor="background1" w:themeShade="BF"/>
            </w:tcBorders>
            <w:shd w:val="clear" w:color="auto" w:fill="auto"/>
          </w:tcPr>
          <w:p w14:paraId="70B0FF2D" w14:textId="77777777" w:rsidR="003438A2" w:rsidRPr="00752411" w:rsidRDefault="003438A2" w:rsidP="005643E8">
            <w:pPr>
              <w:pStyle w:val="TableText"/>
              <w:rPr>
                <w:b/>
              </w:rPr>
            </w:pPr>
            <w:r w:rsidRPr="00752411">
              <w:rPr>
                <w:b/>
              </w:rPr>
              <w:t>Low</w:t>
            </w:r>
          </w:p>
        </w:tc>
        <w:tc>
          <w:tcPr>
            <w:tcW w:w="535" w:type="pct"/>
            <w:tcBorders>
              <w:top w:val="nil"/>
              <w:bottom w:val="single" w:sz="4" w:space="0" w:color="BFBFBF" w:themeColor="background1" w:themeShade="BF"/>
            </w:tcBorders>
            <w:shd w:val="clear" w:color="auto" w:fill="auto"/>
          </w:tcPr>
          <w:p w14:paraId="513A51BD" w14:textId="77777777" w:rsidR="003438A2" w:rsidRPr="00752411" w:rsidRDefault="003438A2" w:rsidP="005643E8">
            <w:pPr>
              <w:pStyle w:val="TableText"/>
            </w:pPr>
            <w:r w:rsidRPr="00752411">
              <w:t>High</w:t>
            </w:r>
          </w:p>
        </w:tc>
        <w:tc>
          <w:tcPr>
            <w:tcW w:w="372" w:type="pct"/>
            <w:tcBorders>
              <w:top w:val="nil"/>
              <w:bottom w:val="single" w:sz="4" w:space="0" w:color="BFBFBF" w:themeColor="background1" w:themeShade="BF"/>
            </w:tcBorders>
            <w:shd w:val="clear" w:color="auto" w:fill="auto"/>
          </w:tcPr>
          <w:p w14:paraId="455EAB2F" w14:textId="77777777" w:rsidR="003438A2" w:rsidRPr="00752411" w:rsidRDefault="003438A2" w:rsidP="005643E8">
            <w:pPr>
              <w:pStyle w:val="TableText"/>
            </w:pPr>
            <w:r w:rsidRPr="00752411">
              <w:t>Moderate</w:t>
            </w:r>
          </w:p>
        </w:tc>
        <w:tc>
          <w:tcPr>
            <w:tcW w:w="561" w:type="pct"/>
            <w:tcBorders>
              <w:top w:val="nil"/>
              <w:bottom w:val="single" w:sz="4" w:space="0" w:color="BFBFBF" w:themeColor="background1" w:themeShade="BF"/>
            </w:tcBorders>
            <w:shd w:val="clear" w:color="auto" w:fill="auto"/>
          </w:tcPr>
          <w:p w14:paraId="5BD9F6A6" w14:textId="77777777" w:rsidR="003438A2" w:rsidRPr="00752411" w:rsidRDefault="003438A2" w:rsidP="005643E8">
            <w:pPr>
              <w:pStyle w:val="TableText"/>
            </w:pPr>
            <w:r w:rsidRPr="00752411">
              <w:t>Low</w:t>
            </w:r>
          </w:p>
        </w:tc>
        <w:tc>
          <w:tcPr>
            <w:tcW w:w="588" w:type="pct"/>
            <w:tcBorders>
              <w:top w:val="nil"/>
              <w:bottom w:val="single" w:sz="4" w:space="0" w:color="BFBFBF" w:themeColor="background1" w:themeShade="BF"/>
            </w:tcBorders>
            <w:shd w:val="clear" w:color="auto" w:fill="auto"/>
          </w:tcPr>
          <w:p w14:paraId="53D83092" w14:textId="77777777" w:rsidR="003438A2" w:rsidRPr="00752411" w:rsidRDefault="003438A2" w:rsidP="005643E8">
            <w:pPr>
              <w:pStyle w:val="TableText"/>
            </w:pPr>
            <w:r w:rsidRPr="00752411">
              <w:t>Low</w:t>
            </w:r>
          </w:p>
        </w:tc>
        <w:tc>
          <w:tcPr>
            <w:tcW w:w="482" w:type="pct"/>
            <w:gridSpan w:val="2"/>
            <w:tcBorders>
              <w:top w:val="nil"/>
              <w:bottom w:val="single" w:sz="4" w:space="0" w:color="BFBFBF" w:themeColor="background1" w:themeShade="BF"/>
              <w:right w:val="nil"/>
            </w:tcBorders>
            <w:shd w:val="clear" w:color="auto" w:fill="auto"/>
          </w:tcPr>
          <w:p w14:paraId="27CC2AF4" w14:textId="77777777" w:rsidR="003438A2" w:rsidRPr="00752411" w:rsidRDefault="003438A2" w:rsidP="005643E8">
            <w:pPr>
              <w:pStyle w:val="TableText"/>
              <w:rPr>
                <w:b/>
              </w:rPr>
            </w:pPr>
            <w:r w:rsidRPr="00752411">
              <w:rPr>
                <w:b/>
              </w:rPr>
              <w:t>Very Low</w:t>
            </w:r>
          </w:p>
        </w:tc>
      </w:tr>
      <w:tr w:rsidR="003438A2" w:rsidRPr="00752411" w14:paraId="05692A34" w14:textId="77777777" w:rsidTr="005643E8">
        <w:trPr>
          <w:gridAfter w:val="1"/>
          <w:wAfter w:w="79" w:type="pct"/>
        </w:trPr>
        <w:tc>
          <w:tcPr>
            <w:tcW w:w="4921" w:type="pct"/>
            <w:gridSpan w:val="10"/>
            <w:tcBorders>
              <w:top w:val="single" w:sz="4" w:space="0" w:color="BFBFBF" w:themeColor="background1" w:themeShade="BF"/>
              <w:left w:val="nil"/>
              <w:bottom w:val="nil"/>
              <w:right w:val="nil"/>
            </w:tcBorders>
          </w:tcPr>
          <w:p w14:paraId="21EFBE6D" w14:textId="77777777" w:rsidR="003438A2" w:rsidRPr="00752411" w:rsidRDefault="003438A2" w:rsidP="005643E8">
            <w:pPr>
              <w:pStyle w:val="TableText"/>
              <w:rPr>
                <w:b/>
              </w:rPr>
            </w:pPr>
            <w:r w:rsidRPr="00752411">
              <w:rPr>
                <w:b/>
              </w:rPr>
              <w:t>Thrips [Thysanoptera: Thripidae]</w:t>
            </w:r>
          </w:p>
        </w:tc>
      </w:tr>
      <w:tr w:rsidR="003438A2" w:rsidRPr="00752411" w14:paraId="0D53A1D6" w14:textId="77777777" w:rsidTr="005643E8">
        <w:trPr>
          <w:gridAfter w:val="1"/>
          <w:wAfter w:w="79" w:type="pct"/>
        </w:trPr>
        <w:tc>
          <w:tcPr>
            <w:tcW w:w="1019" w:type="pct"/>
            <w:tcBorders>
              <w:top w:val="nil"/>
              <w:left w:val="nil"/>
              <w:bottom w:val="single" w:sz="4" w:space="0" w:color="BFBFBF" w:themeColor="background1" w:themeShade="BF"/>
            </w:tcBorders>
          </w:tcPr>
          <w:p w14:paraId="2E84AEC2" w14:textId="77777777" w:rsidR="003438A2" w:rsidRPr="00752411" w:rsidRDefault="003438A2" w:rsidP="005643E8">
            <w:pPr>
              <w:pStyle w:val="TableText"/>
            </w:pPr>
            <w:r w:rsidRPr="00752411">
              <w:rPr>
                <w:i/>
              </w:rPr>
              <w:t>Frankliniella occidentalis</w:t>
            </w:r>
            <w:r w:rsidRPr="00752411">
              <w:t> (GP, RA, NT)</w:t>
            </w:r>
          </w:p>
        </w:tc>
        <w:tc>
          <w:tcPr>
            <w:tcW w:w="438" w:type="pct"/>
            <w:tcBorders>
              <w:top w:val="nil"/>
              <w:bottom w:val="single" w:sz="4" w:space="0" w:color="BFBFBF" w:themeColor="background1" w:themeShade="BF"/>
            </w:tcBorders>
            <w:shd w:val="clear" w:color="auto" w:fill="auto"/>
          </w:tcPr>
          <w:p w14:paraId="33312637" w14:textId="77777777" w:rsidR="003438A2" w:rsidRPr="00752411" w:rsidRDefault="003438A2" w:rsidP="005643E8">
            <w:pPr>
              <w:pStyle w:val="TableText"/>
            </w:pPr>
            <w:r w:rsidRPr="00752411">
              <w:t>High</w:t>
            </w:r>
          </w:p>
        </w:tc>
        <w:tc>
          <w:tcPr>
            <w:tcW w:w="482" w:type="pct"/>
            <w:tcBorders>
              <w:top w:val="nil"/>
              <w:bottom w:val="single" w:sz="4" w:space="0" w:color="BFBFBF" w:themeColor="background1" w:themeShade="BF"/>
            </w:tcBorders>
            <w:shd w:val="clear" w:color="auto" w:fill="auto"/>
          </w:tcPr>
          <w:p w14:paraId="7F93C85E" w14:textId="77777777" w:rsidR="003438A2" w:rsidRPr="00752411" w:rsidRDefault="003438A2" w:rsidP="005643E8">
            <w:pPr>
              <w:pStyle w:val="TableText"/>
            </w:pPr>
            <w:r w:rsidRPr="00752411">
              <w:t>Moderate</w:t>
            </w:r>
          </w:p>
        </w:tc>
        <w:tc>
          <w:tcPr>
            <w:tcW w:w="444" w:type="pct"/>
            <w:tcBorders>
              <w:top w:val="nil"/>
              <w:bottom w:val="single" w:sz="4" w:space="0" w:color="BFBFBF" w:themeColor="background1" w:themeShade="BF"/>
            </w:tcBorders>
            <w:shd w:val="clear" w:color="auto" w:fill="auto"/>
          </w:tcPr>
          <w:p w14:paraId="637ACDC9" w14:textId="77777777" w:rsidR="003438A2" w:rsidRPr="00752411" w:rsidRDefault="003438A2" w:rsidP="005643E8">
            <w:pPr>
              <w:pStyle w:val="TableText"/>
              <w:rPr>
                <w:b/>
              </w:rPr>
            </w:pPr>
            <w:r w:rsidRPr="00752411">
              <w:rPr>
                <w:b/>
              </w:rPr>
              <w:t>Moderate</w:t>
            </w:r>
          </w:p>
        </w:tc>
        <w:tc>
          <w:tcPr>
            <w:tcW w:w="535" w:type="pct"/>
            <w:tcBorders>
              <w:top w:val="nil"/>
              <w:bottom w:val="single" w:sz="4" w:space="0" w:color="BFBFBF" w:themeColor="background1" w:themeShade="BF"/>
            </w:tcBorders>
            <w:shd w:val="clear" w:color="auto" w:fill="auto"/>
          </w:tcPr>
          <w:p w14:paraId="793579CC" w14:textId="77777777" w:rsidR="003438A2" w:rsidRPr="00752411" w:rsidRDefault="003438A2" w:rsidP="005643E8">
            <w:pPr>
              <w:pStyle w:val="TableText"/>
            </w:pPr>
            <w:r w:rsidRPr="00752411">
              <w:t>High</w:t>
            </w:r>
          </w:p>
        </w:tc>
        <w:tc>
          <w:tcPr>
            <w:tcW w:w="372" w:type="pct"/>
            <w:tcBorders>
              <w:top w:val="nil"/>
              <w:bottom w:val="single" w:sz="4" w:space="0" w:color="BFBFBF" w:themeColor="background1" w:themeShade="BF"/>
            </w:tcBorders>
            <w:shd w:val="clear" w:color="auto" w:fill="auto"/>
          </w:tcPr>
          <w:p w14:paraId="138E88E3" w14:textId="77777777" w:rsidR="003438A2" w:rsidRPr="00752411" w:rsidRDefault="003438A2" w:rsidP="005643E8">
            <w:pPr>
              <w:pStyle w:val="TableText"/>
            </w:pPr>
            <w:r w:rsidRPr="00752411">
              <w:t>High</w:t>
            </w:r>
          </w:p>
        </w:tc>
        <w:tc>
          <w:tcPr>
            <w:tcW w:w="561" w:type="pct"/>
            <w:tcBorders>
              <w:top w:val="nil"/>
              <w:bottom w:val="single" w:sz="4" w:space="0" w:color="BFBFBF" w:themeColor="background1" w:themeShade="BF"/>
            </w:tcBorders>
            <w:shd w:val="clear" w:color="auto" w:fill="auto"/>
          </w:tcPr>
          <w:p w14:paraId="5E263704" w14:textId="77777777" w:rsidR="003438A2" w:rsidRPr="00752411" w:rsidRDefault="003438A2" w:rsidP="005643E8">
            <w:pPr>
              <w:pStyle w:val="TableText"/>
            </w:pPr>
            <w:r w:rsidRPr="00752411">
              <w:t>Moderate</w:t>
            </w:r>
          </w:p>
        </w:tc>
        <w:tc>
          <w:tcPr>
            <w:tcW w:w="588" w:type="pct"/>
            <w:tcBorders>
              <w:top w:val="nil"/>
              <w:bottom w:val="single" w:sz="4" w:space="0" w:color="BFBFBF" w:themeColor="background1" w:themeShade="BF"/>
            </w:tcBorders>
            <w:shd w:val="clear" w:color="auto" w:fill="auto"/>
          </w:tcPr>
          <w:p w14:paraId="7B198A63" w14:textId="77777777" w:rsidR="003438A2" w:rsidRPr="00752411" w:rsidRDefault="003438A2" w:rsidP="005643E8">
            <w:pPr>
              <w:pStyle w:val="TableText"/>
            </w:pPr>
            <w:r w:rsidRPr="00752411">
              <w:t>Low</w:t>
            </w:r>
          </w:p>
        </w:tc>
        <w:tc>
          <w:tcPr>
            <w:tcW w:w="482" w:type="pct"/>
            <w:gridSpan w:val="2"/>
            <w:tcBorders>
              <w:top w:val="nil"/>
              <w:bottom w:val="single" w:sz="4" w:space="0" w:color="BFBFBF" w:themeColor="background1" w:themeShade="BF"/>
              <w:right w:val="nil"/>
            </w:tcBorders>
            <w:shd w:val="clear" w:color="auto" w:fill="auto"/>
          </w:tcPr>
          <w:p w14:paraId="1DDEF46C" w14:textId="77777777" w:rsidR="003438A2" w:rsidRPr="00752411" w:rsidRDefault="003438A2" w:rsidP="005643E8">
            <w:pPr>
              <w:pStyle w:val="TableText"/>
              <w:rPr>
                <w:b/>
              </w:rPr>
            </w:pPr>
            <w:r w:rsidRPr="00752411">
              <w:rPr>
                <w:b/>
              </w:rPr>
              <w:t>Low</w:t>
            </w:r>
          </w:p>
        </w:tc>
      </w:tr>
      <w:tr w:rsidR="003438A2" w:rsidRPr="00752411" w14:paraId="1799AA05" w14:textId="77777777" w:rsidTr="005643E8">
        <w:trPr>
          <w:gridAfter w:val="1"/>
          <w:wAfter w:w="79" w:type="pct"/>
        </w:trPr>
        <w:tc>
          <w:tcPr>
            <w:tcW w:w="1019" w:type="pct"/>
            <w:tcBorders>
              <w:top w:val="nil"/>
              <w:left w:val="nil"/>
              <w:bottom w:val="nil"/>
            </w:tcBorders>
          </w:tcPr>
          <w:p w14:paraId="5C7456F9" w14:textId="77777777" w:rsidR="003438A2" w:rsidRPr="00752411" w:rsidRDefault="003438A2" w:rsidP="005643E8">
            <w:pPr>
              <w:pStyle w:val="TableText"/>
              <w:rPr>
                <w:i/>
              </w:rPr>
            </w:pPr>
            <w:r w:rsidRPr="00752411">
              <w:rPr>
                <w:i/>
              </w:rPr>
              <w:t>Frankliniella tritici</w:t>
            </w:r>
            <w:r w:rsidRPr="00752411">
              <w:t xml:space="preserve"> (GP)</w:t>
            </w:r>
          </w:p>
        </w:tc>
        <w:tc>
          <w:tcPr>
            <w:tcW w:w="438" w:type="pct"/>
            <w:tcBorders>
              <w:top w:val="nil"/>
              <w:bottom w:val="nil"/>
            </w:tcBorders>
            <w:shd w:val="clear" w:color="auto" w:fill="auto"/>
          </w:tcPr>
          <w:p w14:paraId="76396C30" w14:textId="77777777" w:rsidR="003438A2" w:rsidRPr="00752411" w:rsidRDefault="003438A2" w:rsidP="005643E8">
            <w:pPr>
              <w:pStyle w:val="TableText"/>
            </w:pPr>
            <w:r w:rsidRPr="00752411">
              <w:t>High</w:t>
            </w:r>
          </w:p>
        </w:tc>
        <w:tc>
          <w:tcPr>
            <w:tcW w:w="482" w:type="pct"/>
            <w:tcBorders>
              <w:top w:val="nil"/>
              <w:bottom w:val="nil"/>
            </w:tcBorders>
            <w:shd w:val="clear" w:color="auto" w:fill="auto"/>
          </w:tcPr>
          <w:p w14:paraId="13F8768F" w14:textId="77777777" w:rsidR="003438A2" w:rsidRPr="00752411" w:rsidRDefault="003438A2" w:rsidP="005643E8">
            <w:pPr>
              <w:pStyle w:val="TableText"/>
            </w:pPr>
            <w:r w:rsidRPr="00752411">
              <w:t>Moderate</w:t>
            </w:r>
          </w:p>
        </w:tc>
        <w:tc>
          <w:tcPr>
            <w:tcW w:w="444" w:type="pct"/>
            <w:tcBorders>
              <w:top w:val="nil"/>
              <w:bottom w:val="nil"/>
            </w:tcBorders>
            <w:shd w:val="clear" w:color="auto" w:fill="auto"/>
          </w:tcPr>
          <w:p w14:paraId="3DE90F03" w14:textId="77777777" w:rsidR="003438A2" w:rsidRPr="00752411" w:rsidRDefault="003438A2" w:rsidP="005643E8">
            <w:pPr>
              <w:pStyle w:val="TableText"/>
              <w:rPr>
                <w:b/>
              </w:rPr>
            </w:pPr>
            <w:r w:rsidRPr="00752411">
              <w:rPr>
                <w:b/>
              </w:rPr>
              <w:t>Moderate</w:t>
            </w:r>
          </w:p>
        </w:tc>
        <w:tc>
          <w:tcPr>
            <w:tcW w:w="535" w:type="pct"/>
            <w:tcBorders>
              <w:top w:val="nil"/>
              <w:bottom w:val="nil"/>
            </w:tcBorders>
            <w:shd w:val="clear" w:color="auto" w:fill="auto"/>
          </w:tcPr>
          <w:p w14:paraId="30F1AF5F" w14:textId="77777777" w:rsidR="003438A2" w:rsidRPr="00752411" w:rsidRDefault="003438A2" w:rsidP="005643E8">
            <w:pPr>
              <w:pStyle w:val="TableText"/>
            </w:pPr>
            <w:r w:rsidRPr="00752411">
              <w:t>High</w:t>
            </w:r>
          </w:p>
        </w:tc>
        <w:tc>
          <w:tcPr>
            <w:tcW w:w="372" w:type="pct"/>
            <w:tcBorders>
              <w:top w:val="nil"/>
              <w:bottom w:val="nil"/>
            </w:tcBorders>
            <w:shd w:val="clear" w:color="auto" w:fill="auto"/>
          </w:tcPr>
          <w:p w14:paraId="42E19BB7" w14:textId="77777777" w:rsidR="003438A2" w:rsidRPr="00752411" w:rsidRDefault="003438A2" w:rsidP="005643E8">
            <w:pPr>
              <w:pStyle w:val="TableText"/>
            </w:pPr>
            <w:r w:rsidRPr="00752411">
              <w:t>High</w:t>
            </w:r>
          </w:p>
        </w:tc>
        <w:tc>
          <w:tcPr>
            <w:tcW w:w="561" w:type="pct"/>
            <w:tcBorders>
              <w:top w:val="nil"/>
              <w:bottom w:val="nil"/>
            </w:tcBorders>
            <w:shd w:val="clear" w:color="auto" w:fill="auto"/>
          </w:tcPr>
          <w:p w14:paraId="641F8AE7" w14:textId="77777777" w:rsidR="003438A2" w:rsidRPr="00752411" w:rsidRDefault="003438A2" w:rsidP="005643E8">
            <w:pPr>
              <w:pStyle w:val="TableText"/>
            </w:pPr>
            <w:r w:rsidRPr="00752411">
              <w:t>Moderate</w:t>
            </w:r>
          </w:p>
        </w:tc>
        <w:tc>
          <w:tcPr>
            <w:tcW w:w="588" w:type="pct"/>
            <w:tcBorders>
              <w:top w:val="nil"/>
              <w:bottom w:val="nil"/>
            </w:tcBorders>
            <w:shd w:val="clear" w:color="auto" w:fill="auto"/>
          </w:tcPr>
          <w:p w14:paraId="2920AE70" w14:textId="77777777" w:rsidR="003438A2" w:rsidRPr="00752411" w:rsidRDefault="003438A2" w:rsidP="005643E8">
            <w:pPr>
              <w:pStyle w:val="TableText"/>
            </w:pPr>
            <w:r w:rsidRPr="00752411">
              <w:t>Low</w:t>
            </w:r>
          </w:p>
        </w:tc>
        <w:tc>
          <w:tcPr>
            <w:tcW w:w="482" w:type="pct"/>
            <w:gridSpan w:val="2"/>
            <w:tcBorders>
              <w:top w:val="nil"/>
              <w:bottom w:val="nil"/>
              <w:right w:val="nil"/>
            </w:tcBorders>
            <w:shd w:val="clear" w:color="auto" w:fill="auto"/>
          </w:tcPr>
          <w:p w14:paraId="65D0D574" w14:textId="77777777" w:rsidR="003438A2" w:rsidRPr="00752411" w:rsidRDefault="003438A2" w:rsidP="005643E8">
            <w:pPr>
              <w:pStyle w:val="TableText"/>
              <w:rPr>
                <w:b/>
              </w:rPr>
            </w:pPr>
            <w:r w:rsidRPr="00752411">
              <w:rPr>
                <w:b/>
              </w:rPr>
              <w:t>Low</w:t>
            </w:r>
          </w:p>
        </w:tc>
      </w:tr>
      <w:tr w:rsidR="003438A2" w:rsidRPr="00752411" w14:paraId="407715EC" w14:textId="77777777" w:rsidTr="005643E8">
        <w:trPr>
          <w:gridAfter w:val="1"/>
          <w:wAfter w:w="79" w:type="pct"/>
        </w:trPr>
        <w:tc>
          <w:tcPr>
            <w:tcW w:w="4921" w:type="pct"/>
            <w:gridSpan w:val="10"/>
            <w:tcBorders>
              <w:top w:val="single" w:sz="4" w:space="0" w:color="BFBFBF" w:themeColor="background1" w:themeShade="BF"/>
              <w:left w:val="nil"/>
              <w:bottom w:val="nil"/>
              <w:right w:val="nil"/>
            </w:tcBorders>
          </w:tcPr>
          <w:p w14:paraId="7D1C4459" w14:textId="77777777" w:rsidR="003438A2" w:rsidRPr="00752411" w:rsidRDefault="003438A2" w:rsidP="005643E8">
            <w:pPr>
              <w:pStyle w:val="TableText"/>
              <w:rPr>
                <w:b/>
              </w:rPr>
            </w:pPr>
            <w:r w:rsidRPr="00752411">
              <w:rPr>
                <w:b/>
              </w:rPr>
              <w:t>Bacteria</w:t>
            </w:r>
          </w:p>
        </w:tc>
      </w:tr>
      <w:tr w:rsidR="003438A2" w:rsidRPr="00752411" w14:paraId="6DBFEDEA" w14:textId="77777777" w:rsidTr="005643E8">
        <w:trPr>
          <w:gridAfter w:val="1"/>
          <w:wAfter w:w="79" w:type="pct"/>
        </w:trPr>
        <w:tc>
          <w:tcPr>
            <w:tcW w:w="1019" w:type="pct"/>
            <w:tcBorders>
              <w:top w:val="nil"/>
              <w:left w:val="nil"/>
              <w:bottom w:val="single" w:sz="4" w:space="0" w:color="BFBFBF" w:themeColor="background1" w:themeShade="BF"/>
            </w:tcBorders>
          </w:tcPr>
          <w:p w14:paraId="3390E7DC" w14:textId="77777777" w:rsidR="003438A2" w:rsidRPr="00752411" w:rsidRDefault="003438A2" w:rsidP="005643E8">
            <w:pPr>
              <w:pStyle w:val="TableText"/>
              <w:rPr>
                <w:bCs/>
                <w:i/>
                <w:iCs/>
              </w:rPr>
            </w:pPr>
            <w:r w:rsidRPr="00752411">
              <w:rPr>
                <w:bCs/>
                <w:i/>
                <w:iCs/>
              </w:rPr>
              <w:t xml:space="preserve">Erwinia amylovora </w:t>
            </w:r>
            <w:r w:rsidRPr="00752411">
              <w:rPr>
                <w:bCs/>
                <w:iCs/>
              </w:rPr>
              <w:t>(EP)</w:t>
            </w:r>
          </w:p>
        </w:tc>
        <w:tc>
          <w:tcPr>
            <w:tcW w:w="438" w:type="pct"/>
            <w:tcBorders>
              <w:top w:val="nil"/>
              <w:bottom w:val="single" w:sz="4" w:space="0" w:color="BFBFBF" w:themeColor="background1" w:themeShade="BF"/>
            </w:tcBorders>
            <w:shd w:val="clear" w:color="auto" w:fill="auto"/>
          </w:tcPr>
          <w:p w14:paraId="591BB6B1" w14:textId="77777777" w:rsidR="003438A2" w:rsidRPr="00752411" w:rsidRDefault="003438A2" w:rsidP="005643E8">
            <w:pPr>
              <w:pStyle w:val="TableText"/>
            </w:pPr>
            <w:r>
              <w:t>Moderate</w:t>
            </w:r>
          </w:p>
        </w:tc>
        <w:tc>
          <w:tcPr>
            <w:tcW w:w="482" w:type="pct"/>
            <w:tcBorders>
              <w:top w:val="nil"/>
              <w:bottom w:val="single" w:sz="4" w:space="0" w:color="BFBFBF" w:themeColor="background1" w:themeShade="BF"/>
            </w:tcBorders>
            <w:shd w:val="clear" w:color="auto" w:fill="auto"/>
          </w:tcPr>
          <w:p w14:paraId="173C80FD" w14:textId="77777777" w:rsidR="003438A2" w:rsidRPr="00752411" w:rsidRDefault="003438A2" w:rsidP="005643E8">
            <w:pPr>
              <w:pStyle w:val="TableText"/>
            </w:pPr>
            <w:r w:rsidRPr="00752411">
              <w:t>Extremely Low</w:t>
            </w:r>
          </w:p>
        </w:tc>
        <w:tc>
          <w:tcPr>
            <w:tcW w:w="444" w:type="pct"/>
            <w:tcBorders>
              <w:top w:val="nil"/>
              <w:bottom w:val="single" w:sz="4" w:space="0" w:color="BFBFBF" w:themeColor="background1" w:themeShade="BF"/>
            </w:tcBorders>
            <w:shd w:val="clear" w:color="auto" w:fill="auto"/>
          </w:tcPr>
          <w:p w14:paraId="072D37D7" w14:textId="77777777" w:rsidR="003438A2" w:rsidRPr="00752411" w:rsidRDefault="003438A2" w:rsidP="005643E8">
            <w:pPr>
              <w:pStyle w:val="TableText"/>
              <w:rPr>
                <w:b/>
              </w:rPr>
            </w:pPr>
            <w:r w:rsidRPr="00752411">
              <w:rPr>
                <w:b/>
              </w:rPr>
              <w:t>Extremely Low</w:t>
            </w:r>
          </w:p>
        </w:tc>
        <w:tc>
          <w:tcPr>
            <w:tcW w:w="535" w:type="pct"/>
            <w:tcBorders>
              <w:top w:val="nil"/>
              <w:bottom w:val="single" w:sz="4" w:space="0" w:color="BFBFBF" w:themeColor="background1" w:themeShade="BF"/>
            </w:tcBorders>
            <w:shd w:val="clear" w:color="auto" w:fill="auto"/>
          </w:tcPr>
          <w:p w14:paraId="6CC3E2FB" w14:textId="77777777" w:rsidR="003438A2" w:rsidRPr="00752411" w:rsidRDefault="003438A2" w:rsidP="005643E8">
            <w:pPr>
              <w:pStyle w:val="TableText"/>
            </w:pPr>
            <w:r w:rsidRPr="00752411">
              <w:t>High</w:t>
            </w:r>
          </w:p>
        </w:tc>
        <w:tc>
          <w:tcPr>
            <w:tcW w:w="372" w:type="pct"/>
            <w:tcBorders>
              <w:top w:val="nil"/>
              <w:bottom w:val="single" w:sz="4" w:space="0" w:color="BFBFBF" w:themeColor="background1" w:themeShade="BF"/>
            </w:tcBorders>
            <w:shd w:val="clear" w:color="auto" w:fill="auto"/>
          </w:tcPr>
          <w:p w14:paraId="31E7BA02" w14:textId="77777777" w:rsidR="003438A2" w:rsidRPr="00752411" w:rsidRDefault="003438A2" w:rsidP="005643E8">
            <w:pPr>
              <w:pStyle w:val="TableText"/>
            </w:pPr>
            <w:r w:rsidRPr="00752411">
              <w:t>High</w:t>
            </w:r>
          </w:p>
        </w:tc>
        <w:tc>
          <w:tcPr>
            <w:tcW w:w="561" w:type="pct"/>
            <w:tcBorders>
              <w:top w:val="nil"/>
              <w:bottom w:val="single" w:sz="4" w:space="0" w:color="BFBFBF" w:themeColor="background1" w:themeShade="BF"/>
            </w:tcBorders>
            <w:shd w:val="clear" w:color="auto" w:fill="auto"/>
          </w:tcPr>
          <w:p w14:paraId="21D7BE43" w14:textId="77777777" w:rsidR="003438A2" w:rsidRPr="00752411" w:rsidRDefault="003438A2" w:rsidP="005643E8">
            <w:pPr>
              <w:pStyle w:val="TableText"/>
            </w:pPr>
            <w:r w:rsidRPr="00752411">
              <w:t>Extremely Low</w:t>
            </w:r>
          </w:p>
        </w:tc>
        <w:tc>
          <w:tcPr>
            <w:tcW w:w="588" w:type="pct"/>
            <w:tcBorders>
              <w:top w:val="nil"/>
              <w:bottom w:val="single" w:sz="4" w:space="0" w:color="BFBFBF" w:themeColor="background1" w:themeShade="BF"/>
            </w:tcBorders>
            <w:shd w:val="clear" w:color="auto" w:fill="auto"/>
          </w:tcPr>
          <w:p w14:paraId="6CAADA84" w14:textId="77777777" w:rsidR="003438A2" w:rsidRPr="00752411" w:rsidRDefault="003438A2" w:rsidP="005643E8">
            <w:pPr>
              <w:pStyle w:val="TableText"/>
            </w:pPr>
            <w:r w:rsidRPr="00752411">
              <w:t>High</w:t>
            </w:r>
          </w:p>
        </w:tc>
        <w:tc>
          <w:tcPr>
            <w:tcW w:w="482" w:type="pct"/>
            <w:gridSpan w:val="2"/>
            <w:tcBorders>
              <w:top w:val="nil"/>
              <w:bottom w:val="single" w:sz="4" w:space="0" w:color="BFBFBF" w:themeColor="background1" w:themeShade="BF"/>
              <w:right w:val="nil"/>
            </w:tcBorders>
            <w:shd w:val="clear" w:color="auto" w:fill="auto"/>
          </w:tcPr>
          <w:p w14:paraId="718DF369" w14:textId="77777777" w:rsidR="003438A2" w:rsidRPr="00752411" w:rsidRDefault="003438A2" w:rsidP="005643E8">
            <w:pPr>
              <w:pStyle w:val="TableText"/>
              <w:rPr>
                <w:b/>
              </w:rPr>
            </w:pPr>
            <w:r w:rsidRPr="00752411">
              <w:rPr>
                <w:b/>
              </w:rPr>
              <w:t>Very Low</w:t>
            </w:r>
          </w:p>
        </w:tc>
      </w:tr>
      <w:tr w:rsidR="003438A2" w:rsidRPr="00752411" w14:paraId="4DCF75F8" w14:textId="77777777" w:rsidTr="005643E8">
        <w:trPr>
          <w:gridAfter w:val="1"/>
          <w:wAfter w:w="79" w:type="pct"/>
        </w:trPr>
        <w:tc>
          <w:tcPr>
            <w:tcW w:w="4921" w:type="pct"/>
            <w:gridSpan w:val="10"/>
            <w:tcBorders>
              <w:top w:val="single" w:sz="4" w:space="0" w:color="BFBFBF" w:themeColor="background1" w:themeShade="BF"/>
              <w:left w:val="nil"/>
              <w:bottom w:val="nil"/>
              <w:right w:val="nil"/>
            </w:tcBorders>
          </w:tcPr>
          <w:p w14:paraId="77172410" w14:textId="77777777" w:rsidR="003438A2" w:rsidRPr="00752411" w:rsidRDefault="003438A2" w:rsidP="005643E8">
            <w:pPr>
              <w:pStyle w:val="TableText"/>
              <w:rPr>
                <w:b/>
              </w:rPr>
            </w:pPr>
            <w:r w:rsidRPr="00752411">
              <w:rPr>
                <w:b/>
              </w:rPr>
              <w:t>Fungi</w:t>
            </w:r>
          </w:p>
        </w:tc>
      </w:tr>
      <w:tr w:rsidR="003438A2" w:rsidRPr="00752411" w14:paraId="5C172366" w14:textId="77777777" w:rsidTr="005643E8">
        <w:trPr>
          <w:gridAfter w:val="1"/>
          <w:wAfter w:w="79" w:type="pct"/>
        </w:trPr>
        <w:tc>
          <w:tcPr>
            <w:tcW w:w="1019" w:type="pct"/>
            <w:tcBorders>
              <w:top w:val="nil"/>
              <w:left w:val="nil"/>
              <w:bottom w:val="nil"/>
              <w:right w:val="nil"/>
            </w:tcBorders>
          </w:tcPr>
          <w:p w14:paraId="2AED842F" w14:textId="77777777" w:rsidR="003438A2" w:rsidRPr="00065199" w:rsidRDefault="003438A2" w:rsidP="005643E8">
            <w:pPr>
              <w:pStyle w:val="TableText"/>
              <w:rPr>
                <w:bCs/>
                <w:i/>
                <w:iCs/>
              </w:rPr>
            </w:pPr>
            <w:r w:rsidRPr="00065199">
              <w:rPr>
                <w:rFonts w:eastAsia="Calibri" w:cs="Times New Roman"/>
                <w:bCs/>
                <w:i/>
                <w:iCs/>
              </w:rPr>
              <w:t>Coprinopsis psychromorbida</w:t>
            </w:r>
          </w:p>
        </w:tc>
        <w:tc>
          <w:tcPr>
            <w:tcW w:w="438" w:type="pct"/>
            <w:tcBorders>
              <w:top w:val="nil"/>
              <w:left w:val="nil"/>
              <w:bottom w:val="nil"/>
              <w:right w:val="nil"/>
            </w:tcBorders>
            <w:shd w:val="clear" w:color="auto" w:fill="auto"/>
          </w:tcPr>
          <w:p w14:paraId="74F4D7C9" w14:textId="77777777" w:rsidR="003438A2" w:rsidRPr="00065199" w:rsidRDefault="003438A2" w:rsidP="005643E8">
            <w:pPr>
              <w:pStyle w:val="TableText"/>
            </w:pPr>
            <w:r w:rsidRPr="00065199">
              <w:t>Low</w:t>
            </w:r>
          </w:p>
        </w:tc>
        <w:tc>
          <w:tcPr>
            <w:tcW w:w="482" w:type="pct"/>
            <w:tcBorders>
              <w:top w:val="nil"/>
              <w:left w:val="nil"/>
              <w:bottom w:val="nil"/>
              <w:right w:val="nil"/>
            </w:tcBorders>
            <w:shd w:val="clear" w:color="auto" w:fill="auto"/>
          </w:tcPr>
          <w:p w14:paraId="70073C9E" w14:textId="77777777" w:rsidR="003438A2" w:rsidRPr="00065199" w:rsidRDefault="003438A2" w:rsidP="005643E8">
            <w:pPr>
              <w:pStyle w:val="TableText"/>
            </w:pPr>
            <w:r w:rsidRPr="00065199">
              <w:t>Very Low</w:t>
            </w:r>
          </w:p>
        </w:tc>
        <w:tc>
          <w:tcPr>
            <w:tcW w:w="444" w:type="pct"/>
            <w:tcBorders>
              <w:top w:val="nil"/>
              <w:left w:val="nil"/>
              <w:bottom w:val="nil"/>
              <w:right w:val="nil"/>
            </w:tcBorders>
            <w:shd w:val="clear" w:color="auto" w:fill="auto"/>
          </w:tcPr>
          <w:p w14:paraId="60AD6A50" w14:textId="77777777" w:rsidR="003438A2" w:rsidRPr="00065199" w:rsidRDefault="003438A2" w:rsidP="005643E8">
            <w:pPr>
              <w:pStyle w:val="TableText"/>
              <w:rPr>
                <w:b/>
              </w:rPr>
            </w:pPr>
            <w:r w:rsidRPr="00065199">
              <w:rPr>
                <w:b/>
              </w:rPr>
              <w:t>Very Low</w:t>
            </w:r>
          </w:p>
        </w:tc>
        <w:tc>
          <w:tcPr>
            <w:tcW w:w="535" w:type="pct"/>
            <w:tcBorders>
              <w:top w:val="nil"/>
              <w:left w:val="nil"/>
              <w:bottom w:val="nil"/>
              <w:right w:val="nil"/>
            </w:tcBorders>
            <w:shd w:val="clear" w:color="auto" w:fill="auto"/>
          </w:tcPr>
          <w:p w14:paraId="77D47512" w14:textId="77777777" w:rsidR="003438A2" w:rsidRPr="00065199" w:rsidRDefault="003438A2" w:rsidP="005643E8">
            <w:pPr>
              <w:pStyle w:val="TableText"/>
            </w:pPr>
            <w:r w:rsidRPr="00065199">
              <w:t>Moderate</w:t>
            </w:r>
          </w:p>
        </w:tc>
        <w:tc>
          <w:tcPr>
            <w:tcW w:w="372" w:type="pct"/>
            <w:tcBorders>
              <w:top w:val="nil"/>
              <w:left w:val="nil"/>
              <w:bottom w:val="nil"/>
              <w:right w:val="nil"/>
            </w:tcBorders>
            <w:shd w:val="clear" w:color="auto" w:fill="auto"/>
          </w:tcPr>
          <w:p w14:paraId="2C9C36F7" w14:textId="77777777" w:rsidR="003438A2" w:rsidRPr="00065199" w:rsidRDefault="003438A2" w:rsidP="005643E8">
            <w:pPr>
              <w:pStyle w:val="TableText"/>
              <w:rPr>
                <w:strike/>
              </w:rPr>
            </w:pPr>
            <w:r w:rsidRPr="00065199">
              <w:t>Moderate</w:t>
            </w:r>
          </w:p>
          <w:p w14:paraId="7FF56C48" w14:textId="77777777" w:rsidR="003438A2" w:rsidRPr="00065199" w:rsidRDefault="003438A2" w:rsidP="005643E8">
            <w:pPr>
              <w:pStyle w:val="TableText"/>
              <w:rPr>
                <w:strike/>
              </w:rPr>
            </w:pPr>
          </w:p>
        </w:tc>
        <w:tc>
          <w:tcPr>
            <w:tcW w:w="561" w:type="pct"/>
            <w:tcBorders>
              <w:top w:val="nil"/>
              <w:left w:val="nil"/>
              <w:bottom w:val="nil"/>
              <w:right w:val="nil"/>
            </w:tcBorders>
            <w:shd w:val="clear" w:color="auto" w:fill="auto"/>
          </w:tcPr>
          <w:p w14:paraId="0547FC19" w14:textId="77777777" w:rsidR="003438A2" w:rsidRPr="00065199" w:rsidRDefault="003438A2" w:rsidP="005643E8">
            <w:pPr>
              <w:pStyle w:val="TableText"/>
            </w:pPr>
            <w:r w:rsidRPr="00065199">
              <w:lastRenderedPageBreak/>
              <w:t>Very Low</w:t>
            </w:r>
          </w:p>
        </w:tc>
        <w:tc>
          <w:tcPr>
            <w:tcW w:w="588" w:type="pct"/>
            <w:tcBorders>
              <w:top w:val="nil"/>
              <w:left w:val="nil"/>
              <w:bottom w:val="nil"/>
              <w:right w:val="nil"/>
            </w:tcBorders>
            <w:shd w:val="clear" w:color="auto" w:fill="auto"/>
          </w:tcPr>
          <w:p w14:paraId="359EFAF6" w14:textId="77777777" w:rsidR="003438A2" w:rsidRPr="00065199" w:rsidRDefault="003438A2" w:rsidP="005643E8">
            <w:pPr>
              <w:pStyle w:val="TableText"/>
            </w:pPr>
            <w:r w:rsidRPr="00065199">
              <w:t>Low</w:t>
            </w:r>
          </w:p>
        </w:tc>
        <w:tc>
          <w:tcPr>
            <w:tcW w:w="482" w:type="pct"/>
            <w:gridSpan w:val="2"/>
            <w:tcBorders>
              <w:top w:val="nil"/>
              <w:left w:val="nil"/>
              <w:bottom w:val="nil"/>
              <w:right w:val="nil"/>
            </w:tcBorders>
            <w:shd w:val="clear" w:color="auto" w:fill="auto"/>
          </w:tcPr>
          <w:p w14:paraId="2F0E8BD4" w14:textId="77777777" w:rsidR="003438A2" w:rsidRPr="00752411" w:rsidRDefault="003438A2" w:rsidP="005643E8">
            <w:pPr>
              <w:pStyle w:val="TableText"/>
              <w:rPr>
                <w:b/>
              </w:rPr>
            </w:pPr>
            <w:r w:rsidRPr="00065199">
              <w:rPr>
                <w:b/>
              </w:rPr>
              <w:t>Negligible</w:t>
            </w:r>
          </w:p>
        </w:tc>
      </w:tr>
      <w:tr w:rsidR="003438A2" w:rsidRPr="00752411" w14:paraId="7A64D209" w14:textId="77777777" w:rsidTr="005643E8">
        <w:trPr>
          <w:gridAfter w:val="1"/>
          <w:wAfter w:w="79" w:type="pct"/>
        </w:trPr>
        <w:tc>
          <w:tcPr>
            <w:tcW w:w="1019" w:type="pct"/>
            <w:tcBorders>
              <w:top w:val="nil"/>
              <w:left w:val="nil"/>
              <w:bottom w:val="nil"/>
              <w:right w:val="nil"/>
            </w:tcBorders>
          </w:tcPr>
          <w:p w14:paraId="7EB5E2A8" w14:textId="77777777" w:rsidR="003438A2" w:rsidRPr="00752411" w:rsidRDefault="003438A2" w:rsidP="005643E8">
            <w:pPr>
              <w:pStyle w:val="TableText"/>
              <w:rPr>
                <w:bCs/>
                <w:i/>
                <w:iCs/>
              </w:rPr>
            </w:pPr>
            <w:r w:rsidRPr="00752411">
              <w:rPr>
                <w:rFonts w:eastAsia="Calibri" w:cs="Times New Roman"/>
                <w:bCs/>
                <w:i/>
                <w:iCs/>
                <w:lang w:val="en"/>
              </w:rPr>
              <w:t>Discula pyri</w:t>
            </w:r>
          </w:p>
        </w:tc>
        <w:tc>
          <w:tcPr>
            <w:tcW w:w="438" w:type="pct"/>
            <w:tcBorders>
              <w:top w:val="nil"/>
              <w:left w:val="nil"/>
              <w:bottom w:val="nil"/>
              <w:right w:val="nil"/>
            </w:tcBorders>
            <w:shd w:val="clear" w:color="auto" w:fill="auto"/>
          </w:tcPr>
          <w:p w14:paraId="22C548BC" w14:textId="77777777" w:rsidR="003438A2" w:rsidRPr="00752411" w:rsidRDefault="003438A2" w:rsidP="005643E8">
            <w:pPr>
              <w:pStyle w:val="TableText"/>
            </w:pPr>
            <w:r w:rsidRPr="00752411">
              <w:t>Low</w:t>
            </w:r>
          </w:p>
        </w:tc>
        <w:tc>
          <w:tcPr>
            <w:tcW w:w="482" w:type="pct"/>
            <w:tcBorders>
              <w:top w:val="nil"/>
              <w:left w:val="nil"/>
              <w:bottom w:val="nil"/>
              <w:right w:val="nil"/>
            </w:tcBorders>
            <w:shd w:val="clear" w:color="auto" w:fill="auto"/>
          </w:tcPr>
          <w:p w14:paraId="058417F6" w14:textId="77777777" w:rsidR="003438A2" w:rsidRPr="00752411" w:rsidRDefault="003438A2" w:rsidP="005643E8">
            <w:pPr>
              <w:pStyle w:val="TableText"/>
            </w:pPr>
            <w:r w:rsidRPr="00752411">
              <w:t>Low</w:t>
            </w:r>
          </w:p>
        </w:tc>
        <w:tc>
          <w:tcPr>
            <w:tcW w:w="444" w:type="pct"/>
            <w:tcBorders>
              <w:top w:val="nil"/>
              <w:left w:val="nil"/>
              <w:bottom w:val="nil"/>
              <w:right w:val="nil"/>
            </w:tcBorders>
            <w:shd w:val="clear" w:color="auto" w:fill="auto"/>
          </w:tcPr>
          <w:p w14:paraId="3797ECAB" w14:textId="77777777" w:rsidR="003438A2" w:rsidRPr="00752411" w:rsidRDefault="003438A2" w:rsidP="005643E8">
            <w:pPr>
              <w:pStyle w:val="TableText"/>
              <w:rPr>
                <w:b/>
              </w:rPr>
            </w:pPr>
            <w:r w:rsidRPr="00752411">
              <w:rPr>
                <w:b/>
              </w:rPr>
              <w:t>Very Low</w:t>
            </w:r>
          </w:p>
        </w:tc>
        <w:tc>
          <w:tcPr>
            <w:tcW w:w="535" w:type="pct"/>
            <w:tcBorders>
              <w:top w:val="nil"/>
              <w:left w:val="nil"/>
              <w:bottom w:val="nil"/>
              <w:right w:val="nil"/>
            </w:tcBorders>
            <w:shd w:val="clear" w:color="auto" w:fill="auto"/>
          </w:tcPr>
          <w:p w14:paraId="5A5F2DB7" w14:textId="77777777" w:rsidR="003438A2" w:rsidRPr="00752411" w:rsidRDefault="003438A2" w:rsidP="005643E8">
            <w:pPr>
              <w:pStyle w:val="TableText"/>
            </w:pPr>
            <w:r w:rsidRPr="00752411">
              <w:t>Moderate</w:t>
            </w:r>
          </w:p>
        </w:tc>
        <w:tc>
          <w:tcPr>
            <w:tcW w:w="372" w:type="pct"/>
            <w:tcBorders>
              <w:top w:val="nil"/>
              <w:left w:val="nil"/>
              <w:bottom w:val="nil"/>
              <w:right w:val="nil"/>
            </w:tcBorders>
            <w:shd w:val="clear" w:color="auto" w:fill="auto"/>
          </w:tcPr>
          <w:p w14:paraId="1069BE45" w14:textId="77777777" w:rsidR="003438A2" w:rsidRPr="00752411" w:rsidRDefault="003438A2" w:rsidP="005643E8">
            <w:pPr>
              <w:pStyle w:val="TableText"/>
            </w:pPr>
            <w:r w:rsidRPr="00752411">
              <w:t>Moderate</w:t>
            </w:r>
          </w:p>
        </w:tc>
        <w:tc>
          <w:tcPr>
            <w:tcW w:w="561" w:type="pct"/>
            <w:tcBorders>
              <w:top w:val="nil"/>
              <w:left w:val="nil"/>
              <w:bottom w:val="nil"/>
              <w:right w:val="nil"/>
            </w:tcBorders>
            <w:shd w:val="clear" w:color="auto" w:fill="auto"/>
          </w:tcPr>
          <w:p w14:paraId="43B5090D" w14:textId="77777777" w:rsidR="003438A2" w:rsidRPr="00752411" w:rsidRDefault="003438A2" w:rsidP="005643E8">
            <w:pPr>
              <w:pStyle w:val="TableText"/>
            </w:pPr>
            <w:r w:rsidRPr="00752411">
              <w:t>Very Low</w:t>
            </w:r>
          </w:p>
        </w:tc>
        <w:tc>
          <w:tcPr>
            <w:tcW w:w="588" w:type="pct"/>
            <w:tcBorders>
              <w:top w:val="nil"/>
              <w:left w:val="nil"/>
              <w:bottom w:val="nil"/>
              <w:right w:val="nil"/>
            </w:tcBorders>
            <w:shd w:val="clear" w:color="auto" w:fill="auto"/>
          </w:tcPr>
          <w:p w14:paraId="1329031B" w14:textId="77777777" w:rsidR="003438A2" w:rsidRPr="00752411" w:rsidRDefault="003438A2" w:rsidP="005643E8">
            <w:pPr>
              <w:pStyle w:val="TableText"/>
            </w:pPr>
            <w:r w:rsidRPr="00752411">
              <w:t>Moderate</w:t>
            </w:r>
          </w:p>
        </w:tc>
        <w:tc>
          <w:tcPr>
            <w:tcW w:w="482" w:type="pct"/>
            <w:gridSpan w:val="2"/>
            <w:tcBorders>
              <w:top w:val="nil"/>
              <w:left w:val="nil"/>
              <w:bottom w:val="nil"/>
              <w:right w:val="nil"/>
            </w:tcBorders>
            <w:shd w:val="clear" w:color="auto" w:fill="auto"/>
          </w:tcPr>
          <w:p w14:paraId="2768CBF2" w14:textId="77777777" w:rsidR="003438A2" w:rsidRPr="00752411" w:rsidRDefault="003438A2" w:rsidP="005643E8">
            <w:pPr>
              <w:pStyle w:val="TableText"/>
              <w:rPr>
                <w:b/>
              </w:rPr>
            </w:pPr>
            <w:r w:rsidRPr="00752411">
              <w:rPr>
                <w:b/>
              </w:rPr>
              <w:t>Very Low</w:t>
            </w:r>
          </w:p>
        </w:tc>
      </w:tr>
      <w:tr w:rsidR="003438A2" w:rsidRPr="00752411" w14:paraId="09D336EB" w14:textId="77777777" w:rsidTr="005643E8">
        <w:trPr>
          <w:gridAfter w:val="1"/>
          <w:wAfter w:w="79" w:type="pct"/>
        </w:trPr>
        <w:tc>
          <w:tcPr>
            <w:tcW w:w="1019" w:type="pct"/>
            <w:tcBorders>
              <w:top w:val="nil"/>
              <w:left w:val="nil"/>
              <w:bottom w:val="nil"/>
              <w:right w:val="nil"/>
            </w:tcBorders>
          </w:tcPr>
          <w:p w14:paraId="08DA9C48" w14:textId="77777777" w:rsidR="003438A2" w:rsidRPr="00752411" w:rsidRDefault="003438A2" w:rsidP="005643E8">
            <w:pPr>
              <w:pStyle w:val="TableText"/>
              <w:rPr>
                <w:rFonts w:eastAsia="Calibri" w:cs="Times New Roman"/>
                <w:i/>
              </w:rPr>
            </w:pPr>
            <w:r w:rsidRPr="00752411">
              <w:rPr>
                <w:rFonts w:eastAsia="Calibri" w:cs="Times New Roman"/>
                <w:bCs/>
                <w:i/>
                <w:iCs/>
              </w:rPr>
              <w:t>Gymnosporangium clavipes</w:t>
            </w:r>
          </w:p>
        </w:tc>
        <w:tc>
          <w:tcPr>
            <w:tcW w:w="438" w:type="pct"/>
            <w:tcBorders>
              <w:top w:val="nil"/>
              <w:left w:val="nil"/>
              <w:bottom w:val="nil"/>
              <w:right w:val="nil"/>
            </w:tcBorders>
            <w:shd w:val="clear" w:color="auto" w:fill="auto"/>
          </w:tcPr>
          <w:p w14:paraId="45AA371E" w14:textId="77777777" w:rsidR="003438A2" w:rsidRPr="00752411" w:rsidRDefault="003438A2" w:rsidP="005643E8">
            <w:pPr>
              <w:pStyle w:val="TableText"/>
            </w:pPr>
            <w:r w:rsidRPr="00752411">
              <w:t>Low</w:t>
            </w:r>
          </w:p>
        </w:tc>
        <w:tc>
          <w:tcPr>
            <w:tcW w:w="482" w:type="pct"/>
            <w:tcBorders>
              <w:top w:val="nil"/>
              <w:left w:val="nil"/>
              <w:bottom w:val="nil"/>
              <w:right w:val="nil"/>
            </w:tcBorders>
            <w:shd w:val="clear" w:color="auto" w:fill="auto"/>
          </w:tcPr>
          <w:p w14:paraId="2E11663F" w14:textId="77777777" w:rsidR="003438A2" w:rsidRPr="00752411" w:rsidRDefault="003438A2" w:rsidP="005643E8">
            <w:pPr>
              <w:pStyle w:val="TableText"/>
              <w:rPr>
                <w:color w:val="00B050"/>
              </w:rPr>
            </w:pPr>
            <w:r w:rsidRPr="00752411">
              <w:t>Moderate</w:t>
            </w:r>
          </w:p>
        </w:tc>
        <w:tc>
          <w:tcPr>
            <w:tcW w:w="444" w:type="pct"/>
            <w:tcBorders>
              <w:top w:val="nil"/>
              <w:left w:val="nil"/>
              <w:bottom w:val="nil"/>
              <w:right w:val="nil"/>
            </w:tcBorders>
            <w:shd w:val="clear" w:color="auto" w:fill="auto"/>
          </w:tcPr>
          <w:p w14:paraId="6C8C4B63" w14:textId="77777777" w:rsidR="003438A2" w:rsidRPr="00752411" w:rsidRDefault="003438A2" w:rsidP="005643E8">
            <w:pPr>
              <w:pStyle w:val="TableText"/>
              <w:rPr>
                <w:b/>
              </w:rPr>
            </w:pPr>
            <w:r w:rsidRPr="00752411">
              <w:rPr>
                <w:b/>
              </w:rPr>
              <w:t>Low</w:t>
            </w:r>
          </w:p>
        </w:tc>
        <w:tc>
          <w:tcPr>
            <w:tcW w:w="535" w:type="pct"/>
            <w:tcBorders>
              <w:top w:val="nil"/>
              <w:left w:val="nil"/>
              <w:bottom w:val="nil"/>
              <w:right w:val="nil"/>
            </w:tcBorders>
            <w:shd w:val="clear" w:color="auto" w:fill="auto"/>
          </w:tcPr>
          <w:p w14:paraId="5D350043" w14:textId="77777777" w:rsidR="003438A2" w:rsidRPr="00752411" w:rsidRDefault="003438A2" w:rsidP="005643E8">
            <w:pPr>
              <w:pStyle w:val="TableText"/>
            </w:pPr>
            <w:r w:rsidRPr="00752411">
              <w:t>Moderate</w:t>
            </w:r>
          </w:p>
        </w:tc>
        <w:tc>
          <w:tcPr>
            <w:tcW w:w="372" w:type="pct"/>
            <w:tcBorders>
              <w:top w:val="nil"/>
              <w:left w:val="nil"/>
              <w:bottom w:val="nil"/>
              <w:right w:val="nil"/>
            </w:tcBorders>
            <w:shd w:val="clear" w:color="auto" w:fill="auto"/>
          </w:tcPr>
          <w:p w14:paraId="5557E860" w14:textId="77777777" w:rsidR="003438A2" w:rsidRPr="00752411" w:rsidRDefault="003438A2" w:rsidP="005643E8">
            <w:pPr>
              <w:pStyle w:val="TableText"/>
            </w:pPr>
            <w:r w:rsidRPr="00752411">
              <w:t>High</w:t>
            </w:r>
          </w:p>
        </w:tc>
        <w:tc>
          <w:tcPr>
            <w:tcW w:w="561" w:type="pct"/>
            <w:tcBorders>
              <w:top w:val="nil"/>
              <w:left w:val="nil"/>
              <w:bottom w:val="nil"/>
              <w:right w:val="nil"/>
            </w:tcBorders>
            <w:shd w:val="clear" w:color="auto" w:fill="auto"/>
          </w:tcPr>
          <w:p w14:paraId="287A8324" w14:textId="77777777" w:rsidR="003438A2" w:rsidRPr="00752411" w:rsidRDefault="003438A2" w:rsidP="005643E8">
            <w:pPr>
              <w:pStyle w:val="TableText"/>
            </w:pPr>
            <w:r w:rsidRPr="00752411">
              <w:t>Low</w:t>
            </w:r>
          </w:p>
        </w:tc>
        <w:tc>
          <w:tcPr>
            <w:tcW w:w="588" w:type="pct"/>
            <w:tcBorders>
              <w:top w:val="nil"/>
              <w:left w:val="nil"/>
              <w:bottom w:val="nil"/>
              <w:right w:val="nil"/>
            </w:tcBorders>
            <w:shd w:val="clear" w:color="auto" w:fill="auto"/>
          </w:tcPr>
          <w:p w14:paraId="7F05D4DD" w14:textId="77777777" w:rsidR="003438A2" w:rsidRPr="00752411" w:rsidRDefault="003438A2" w:rsidP="005643E8">
            <w:pPr>
              <w:pStyle w:val="TableText"/>
            </w:pPr>
            <w:r w:rsidRPr="00752411">
              <w:t>Moderate</w:t>
            </w:r>
          </w:p>
        </w:tc>
        <w:tc>
          <w:tcPr>
            <w:tcW w:w="482" w:type="pct"/>
            <w:gridSpan w:val="2"/>
            <w:tcBorders>
              <w:top w:val="nil"/>
              <w:left w:val="nil"/>
              <w:bottom w:val="nil"/>
              <w:right w:val="nil"/>
            </w:tcBorders>
            <w:shd w:val="clear" w:color="auto" w:fill="auto"/>
          </w:tcPr>
          <w:p w14:paraId="1DC42BDB" w14:textId="77777777" w:rsidR="003438A2" w:rsidRPr="00752411" w:rsidRDefault="003438A2" w:rsidP="005643E8">
            <w:pPr>
              <w:rPr>
                <w:sz w:val="18"/>
                <w:szCs w:val="18"/>
              </w:rPr>
            </w:pPr>
            <w:r w:rsidRPr="00752411">
              <w:rPr>
                <w:b/>
                <w:sz w:val="18"/>
                <w:szCs w:val="18"/>
              </w:rPr>
              <w:t>Low</w:t>
            </w:r>
          </w:p>
        </w:tc>
      </w:tr>
      <w:tr w:rsidR="003438A2" w:rsidRPr="00752411" w14:paraId="4796E9D0" w14:textId="77777777" w:rsidTr="005643E8">
        <w:trPr>
          <w:gridAfter w:val="1"/>
          <w:wAfter w:w="79" w:type="pct"/>
        </w:trPr>
        <w:tc>
          <w:tcPr>
            <w:tcW w:w="1019" w:type="pct"/>
            <w:tcBorders>
              <w:top w:val="nil"/>
              <w:left w:val="nil"/>
              <w:bottom w:val="nil"/>
              <w:right w:val="nil"/>
            </w:tcBorders>
          </w:tcPr>
          <w:p w14:paraId="06EE9E5B" w14:textId="77777777" w:rsidR="003438A2" w:rsidRPr="00752411" w:rsidRDefault="003438A2" w:rsidP="005643E8">
            <w:pPr>
              <w:pStyle w:val="TableText"/>
              <w:rPr>
                <w:rFonts w:eastAsia="Calibri" w:cs="Times New Roman"/>
                <w:i/>
              </w:rPr>
            </w:pPr>
            <w:r w:rsidRPr="00752411">
              <w:rPr>
                <w:rFonts w:eastAsia="Calibri" w:cs="Times New Roman"/>
                <w:bCs/>
                <w:i/>
                <w:iCs/>
              </w:rPr>
              <w:t xml:space="preserve">Gymnosporangium juniperi-virginianae </w:t>
            </w:r>
          </w:p>
        </w:tc>
        <w:tc>
          <w:tcPr>
            <w:tcW w:w="438" w:type="pct"/>
            <w:tcBorders>
              <w:top w:val="nil"/>
              <w:left w:val="nil"/>
              <w:bottom w:val="nil"/>
              <w:right w:val="nil"/>
            </w:tcBorders>
            <w:shd w:val="clear" w:color="auto" w:fill="auto"/>
          </w:tcPr>
          <w:p w14:paraId="0B3DB964" w14:textId="77777777" w:rsidR="003438A2" w:rsidRPr="00752411" w:rsidRDefault="003438A2" w:rsidP="005643E8">
            <w:pPr>
              <w:pStyle w:val="TableText"/>
            </w:pPr>
            <w:r w:rsidRPr="00752411">
              <w:t>Low</w:t>
            </w:r>
          </w:p>
        </w:tc>
        <w:tc>
          <w:tcPr>
            <w:tcW w:w="482" w:type="pct"/>
            <w:tcBorders>
              <w:top w:val="nil"/>
              <w:left w:val="nil"/>
              <w:bottom w:val="nil"/>
              <w:right w:val="nil"/>
            </w:tcBorders>
            <w:shd w:val="clear" w:color="auto" w:fill="auto"/>
          </w:tcPr>
          <w:p w14:paraId="59FDEADF" w14:textId="77777777" w:rsidR="003438A2" w:rsidRPr="00752411" w:rsidRDefault="003438A2" w:rsidP="005643E8">
            <w:pPr>
              <w:rPr>
                <w:sz w:val="18"/>
                <w:szCs w:val="18"/>
              </w:rPr>
            </w:pPr>
            <w:r w:rsidRPr="00752411">
              <w:rPr>
                <w:sz w:val="18"/>
                <w:szCs w:val="18"/>
              </w:rPr>
              <w:t>Moderate</w:t>
            </w:r>
          </w:p>
        </w:tc>
        <w:tc>
          <w:tcPr>
            <w:tcW w:w="444" w:type="pct"/>
            <w:tcBorders>
              <w:top w:val="nil"/>
              <w:left w:val="nil"/>
              <w:bottom w:val="nil"/>
              <w:right w:val="nil"/>
            </w:tcBorders>
            <w:shd w:val="clear" w:color="auto" w:fill="auto"/>
          </w:tcPr>
          <w:p w14:paraId="7D285A07" w14:textId="77777777" w:rsidR="003438A2" w:rsidRPr="00752411" w:rsidRDefault="003438A2" w:rsidP="005643E8">
            <w:pPr>
              <w:pStyle w:val="TableText"/>
              <w:rPr>
                <w:b/>
              </w:rPr>
            </w:pPr>
            <w:r w:rsidRPr="00752411">
              <w:rPr>
                <w:b/>
              </w:rPr>
              <w:t>Low</w:t>
            </w:r>
          </w:p>
        </w:tc>
        <w:tc>
          <w:tcPr>
            <w:tcW w:w="535" w:type="pct"/>
            <w:tcBorders>
              <w:top w:val="nil"/>
              <w:left w:val="nil"/>
              <w:bottom w:val="nil"/>
              <w:right w:val="nil"/>
            </w:tcBorders>
            <w:shd w:val="clear" w:color="auto" w:fill="auto"/>
          </w:tcPr>
          <w:p w14:paraId="1012C9C3" w14:textId="77777777" w:rsidR="003438A2" w:rsidRPr="00752411" w:rsidRDefault="003438A2" w:rsidP="005643E8">
            <w:pPr>
              <w:pStyle w:val="TableText"/>
            </w:pPr>
            <w:r w:rsidRPr="00752411">
              <w:t>Moderate</w:t>
            </w:r>
          </w:p>
        </w:tc>
        <w:tc>
          <w:tcPr>
            <w:tcW w:w="372" w:type="pct"/>
            <w:tcBorders>
              <w:top w:val="nil"/>
              <w:left w:val="nil"/>
              <w:bottom w:val="nil"/>
              <w:right w:val="nil"/>
            </w:tcBorders>
            <w:shd w:val="clear" w:color="auto" w:fill="auto"/>
          </w:tcPr>
          <w:p w14:paraId="3BD30433" w14:textId="77777777" w:rsidR="003438A2" w:rsidRPr="00752411" w:rsidRDefault="003438A2" w:rsidP="005643E8">
            <w:pPr>
              <w:pStyle w:val="TableText"/>
            </w:pPr>
            <w:r w:rsidRPr="00752411">
              <w:t>High</w:t>
            </w:r>
          </w:p>
        </w:tc>
        <w:tc>
          <w:tcPr>
            <w:tcW w:w="561" w:type="pct"/>
            <w:tcBorders>
              <w:top w:val="nil"/>
              <w:left w:val="nil"/>
              <w:bottom w:val="nil"/>
              <w:right w:val="nil"/>
            </w:tcBorders>
            <w:shd w:val="clear" w:color="auto" w:fill="auto"/>
          </w:tcPr>
          <w:p w14:paraId="2954E182" w14:textId="77777777" w:rsidR="003438A2" w:rsidRPr="00752411" w:rsidRDefault="003438A2" w:rsidP="005643E8">
            <w:pPr>
              <w:pStyle w:val="TableText"/>
            </w:pPr>
            <w:r w:rsidRPr="00752411">
              <w:t>Low</w:t>
            </w:r>
          </w:p>
        </w:tc>
        <w:tc>
          <w:tcPr>
            <w:tcW w:w="588" w:type="pct"/>
            <w:tcBorders>
              <w:top w:val="nil"/>
              <w:left w:val="nil"/>
              <w:bottom w:val="nil"/>
              <w:right w:val="nil"/>
            </w:tcBorders>
            <w:shd w:val="clear" w:color="auto" w:fill="auto"/>
          </w:tcPr>
          <w:p w14:paraId="385C0EEB" w14:textId="77777777" w:rsidR="003438A2" w:rsidRPr="00752411" w:rsidRDefault="003438A2" w:rsidP="005643E8">
            <w:pPr>
              <w:pStyle w:val="TableText"/>
            </w:pPr>
            <w:r w:rsidRPr="00752411">
              <w:t>Moderate</w:t>
            </w:r>
          </w:p>
        </w:tc>
        <w:tc>
          <w:tcPr>
            <w:tcW w:w="482" w:type="pct"/>
            <w:gridSpan w:val="2"/>
            <w:tcBorders>
              <w:top w:val="nil"/>
              <w:left w:val="nil"/>
              <w:bottom w:val="nil"/>
              <w:right w:val="nil"/>
            </w:tcBorders>
            <w:shd w:val="clear" w:color="auto" w:fill="auto"/>
          </w:tcPr>
          <w:p w14:paraId="3EB52D48" w14:textId="77777777" w:rsidR="003438A2" w:rsidRPr="00752411" w:rsidRDefault="003438A2" w:rsidP="005643E8">
            <w:pPr>
              <w:rPr>
                <w:sz w:val="18"/>
                <w:szCs w:val="18"/>
              </w:rPr>
            </w:pPr>
            <w:r w:rsidRPr="00752411">
              <w:rPr>
                <w:b/>
                <w:sz w:val="18"/>
                <w:szCs w:val="18"/>
              </w:rPr>
              <w:t>Low</w:t>
            </w:r>
          </w:p>
        </w:tc>
      </w:tr>
      <w:tr w:rsidR="003438A2" w:rsidRPr="00752411" w14:paraId="58C61ADA" w14:textId="77777777" w:rsidTr="005643E8">
        <w:trPr>
          <w:gridAfter w:val="1"/>
          <w:wAfter w:w="79" w:type="pct"/>
        </w:trPr>
        <w:tc>
          <w:tcPr>
            <w:tcW w:w="1019" w:type="pct"/>
            <w:tcBorders>
              <w:top w:val="nil"/>
              <w:left w:val="nil"/>
              <w:bottom w:val="nil"/>
              <w:right w:val="nil"/>
            </w:tcBorders>
          </w:tcPr>
          <w:p w14:paraId="0394B56C" w14:textId="77777777" w:rsidR="003438A2" w:rsidRPr="00752411" w:rsidRDefault="003438A2" w:rsidP="005643E8">
            <w:pPr>
              <w:pStyle w:val="TableText"/>
              <w:rPr>
                <w:rFonts w:eastAsia="Calibri" w:cs="Times New Roman"/>
                <w:bCs/>
                <w:i/>
                <w:iCs/>
              </w:rPr>
            </w:pPr>
            <w:r w:rsidRPr="00752411">
              <w:rPr>
                <w:rFonts w:eastAsia="Calibri" w:cs="Times New Roman"/>
                <w:bCs/>
                <w:i/>
                <w:iCs/>
              </w:rPr>
              <w:t>Gymnosporangium libocedri</w:t>
            </w:r>
          </w:p>
        </w:tc>
        <w:tc>
          <w:tcPr>
            <w:tcW w:w="438" w:type="pct"/>
            <w:tcBorders>
              <w:top w:val="nil"/>
              <w:left w:val="nil"/>
              <w:bottom w:val="nil"/>
              <w:right w:val="nil"/>
            </w:tcBorders>
            <w:shd w:val="clear" w:color="auto" w:fill="auto"/>
          </w:tcPr>
          <w:p w14:paraId="7B009013" w14:textId="77777777" w:rsidR="003438A2" w:rsidRPr="00752411" w:rsidRDefault="003438A2" w:rsidP="005643E8">
            <w:pPr>
              <w:pStyle w:val="TableText"/>
            </w:pPr>
            <w:r w:rsidRPr="00752411">
              <w:t>Low</w:t>
            </w:r>
          </w:p>
        </w:tc>
        <w:tc>
          <w:tcPr>
            <w:tcW w:w="482" w:type="pct"/>
            <w:tcBorders>
              <w:top w:val="nil"/>
              <w:left w:val="nil"/>
              <w:bottom w:val="nil"/>
              <w:right w:val="nil"/>
            </w:tcBorders>
            <w:shd w:val="clear" w:color="auto" w:fill="auto"/>
          </w:tcPr>
          <w:p w14:paraId="5FA430AC" w14:textId="77777777" w:rsidR="003438A2" w:rsidRPr="00752411" w:rsidRDefault="003438A2" w:rsidP="005643E8">
            <w:pPr>
              <w:rPr>
                <w:sz w:val="18"/>
                <w:szCs w:val="18"/>
              </w:rPr>
            </w:pPr>
            <w:r w:rsidRPr="00752411">
              <w:rPr>
                <w:sz w:val="18"/>
                <w:szCs w:val="18"/>
              </w:rPr>
              <w:t>Moderate</w:t>
            </w:r>
          </w:p>
        </w:tc>
        <w:tc>
          <w:tcPr>
            <w:tcW w:w="444" w:type="pct"/>
            <w:tcBorders>
              <w:top w:val="nil"/>
              <w:left w:val="nil"/>
              <w:bottom w:val="nil"/>
              <w:right w:val="nil"/>
            </w:tcBorders>
            <w:shd w:val="clear" w:color="auto" w:fill="auto"/>
          </w:tcPr>
          <w:p w14:paraId="38EC156B" w14:textId="77777777" w:rsidR="003438A2" w:rsidRPr="00752411" w:rsidRDefault="003438A2" w:rsidP="005643E8">
            <w:pPr>
              <w:pStyle w:val="TableText"/>
              <w:rPr>
                <w:b/>
              </w:rPr>
            </w:pPr>
            <w:r w:rsidRPr="00752411">
              <w:rPr>
                <w:b/>
              </w:rPr>
              <w:t>Low</w:t>
            </w:r>
          </w:p>
        </w:tc>
        <w:tc>
          <w:tcPr>
            <w:tcW w:w="535" w:type="pct"/>
            <w:tcBorders>
              <w:top w:val="nil"/>
              <w:left w:val="nil"/>
              <w:bottom w:val="nil"/>
              <w:right w:val="nil"/>
            </w:tcBorders>
            <w:shd w:val="clear" w:color="auto" w:fill="auto"/>
          </w:tcPr>
          <w:p w14:paraId="53FE8907" w14:textId="77777777" w:rsidR="003438A2" w:rsidRPr="00752411" w:rsidRDefault="003438A2" w:rsidP="005643E8">
            <w:pPr>
              <w:pStyle w:val="TableText"/>
            </w:pPr>
            <w:r w:rsidRPr="00752411">
              <w:t>Moderate</w:t>
            </w:r>
          </w:p>
        </w:tc>
        <w:tc>
          <w:tcPr>
            <w:tcW w:w="372" w:type="pct"/>
            <w:tcBorders>
              <w:top w:val="nil"/>
              <w:left w:val="nil"/>
              <w:bottom w:val="nil"/>
              <w:right w:val="nil"/>
            </w:tcBorders>
            <w:shd w:val="clear" w:color="auto" w:fill="auto"/>
          </w:tcPr>
          <w:p w14:paraId="66DBC59B" w14:textId="77777777" w:rsidR="003438A2" w:rsidRPr="00752411" w:rsidRDefault="003438A2" w:rsidP="005643E8">
            <w:pPr>
              <w:pStyle w:val="TableText"/>
            </w:pPr>
            <w:r w:rsidRPr="00752411">
              <w:t>High</w:t>
            </w:r>
          </w:p>
        </w:tc>
        <w:tc>
          <w:tcPr>
            <w:tcW w:w="561" w:type="pct"/>
            <w:tcBorders>
              <w:top w:val="nil"/>
              <w:left w:val="nil"/>
              <w:bottom w:val="nil"/>
              <w:right w:val="nil"/>
            </w:tcBorders>
            <w:shd w:val="clear" w:color="auto" w:fill="auto"/>
          </w:tcPr>
          <w:p w14:paraId="1838B303" w14:textId="77777777" w:rsidR="003438A2" w:rsidRPr="00752411" w:rsidRDefault="003438A2" w:rsidP="005643E8">
            <w:pPr>
              <w:pStyle w:val="TableText"/>
            </w:pPr>
            <w:r w:rsidRPr="00752411">
              <w:t>Low</w:t>
            </w:r>
          </w:p>
        </w:tc>
        <w:tc>
          <w:tcPr>
            <w:tcW w:w="588" w:type="pct"/>
            <w:tcBorders>
              <w:top w:val="nil"/>
              <w:left w:val="nil"/>
              <w:bottom w:val="nil"/>
              <w:right w:val="nil"/>
            </w:tcBorders>
            <w:shd w:val="clear" w:color="auto" w:fill="auto"/>
          </w:tcPr>
          <w:p w14:paraId="52383C8D" w14:textId="77777777" w:rsidR="003438A2" w:rsidRPr="00752411" w:rsidRDefault="003438A2" w:rsidP="005643E8">
            <w:pPr>
              <w:pStyle w:val="TableText"/>
            </w:pPr>
            <w:r w:rsidRPr="00752411">
              <w:t>Moderate</w:t>
            </w:r>
          </w:p>
        </w:tc>
        <w:tc>
          <w:tcPr>
            <w:tcW w:w="482" w:type="pct"/>
            <w:gridSpan w:val="2"/>
            <w:tcBorders>
              <w:top w:val="nil"/>
              <w:left w:val="nil"/>
              <w:bottom w:val="nil"/>
              <w:right w:val="nil"/>
            </w:tcBorders>
            <w:shd w:val="clear" w:color="auto" w:fill="auto"/>
          </w:tcPr>
          <w:p w14:paraId="5277CB7B" w14:textId="77777777" w:rsidR="003438A2" w:rsidRPr="00752411" w:rsidRDefault="003438A2" w:rsidP="005643E8">
            <w:pPr>
              <w:rPr>
                <w:sz w:val="18"/>
                <w:szCs w:val="18"/>
              </w:rPr>
            </w:pPr>
            <w:r w:rsidRPr="00752411">
              <w:rPr>
                <w:b/>
                <w:sz w:val="18"/>
                <w:szCs w:val="18"/>
              </w:rPr>
              <w:t>Low</w:t>
            </w:r>
          </w:p>
        </w:tc>
      </w:tr>
      <w:tr w:rsidR="003438A2" w:rsidRPr="00752411" w14:paraId="5EDD1A29" w14:textId="77777777" w:rsidTr="005643E8">
        <w:trPr>
          <w:gridAfter w:val="1"/>
          <w:wAfter w:w="79" w:type="pct"/>
        </w:trPr>
        <w:tc>
          <w:tcPr>
            <w:tcW w:w="1019" w:type="pct"/>
            <w:tcBorders>
              <w:top w:val="nil"/>
              <w:left w:val="nil"/>
              <w:bottom w:val="nil"/>
              <w:right w:val="nil"/>
            </w:tcBorders>
          </w:tcPr>
          <w:p w14:paraId="43010FFC" w14:textId="77777777" w:rsidR="003438A2" w:rsidRPr="00752411" w:rsidRDefault="003438A2" w:rsidP="005643E8">
            <w:pPr>
              <w:pStyle w:val="TableText"/>
              <w:rPr>
                <w:rFonts w:eastAsia="Calibri" w:cs="Times New Roman"/>
                <w:bCs/>
                <w:i/>
                <w:iCs/>
              </w:rPr>
            </w:pPr>
            <w:r w:rsidRPr="00752411">
              <w:rPr>
                <w:i/>
              </w:rPr>
              <w:t xml:space="preserve">Neofabraea malicorticis </w:t>
            </w:r>
            <w:r w:rsidRPr="00752411">
              <w:t>(EP)</w:t>
            </w:r>
          </w:p>
        </w:tc>
        <w:tc>
          <w:tcPr>
            <w:tcW w:w="438" w:type="pct"/>
            <w:tcBorders>
              <w:top w:val="nil"/>
              <w:left w:val="nil"/>
              <w:bottom w:val="nil"/>
              <w:right w:val="nil"/>
            </w:tcBorders>
            <w:shd w:val="clear" w:color="auto" w:fill="auto"/>
          </w:tcPr>
          <w:p w14:paraId="1ACF1AE1" w14:textId="77777777" w:rsidR="003438A2" w:rsidRPr="00752411" w:rsidRDefault="003438A2" w:rsidP="005643E8">
            <w:pPr>
              <w:pStyle w:val="TableText"/>
            </w:pPr>
            <w:r w:rsidRPr="00752411">
              <w:t>High</w:t>
            </w:r>
          </w:p>
        </w:tc>
        <w:tc>
          <w:tcPr>
            <w:tcW w:w="482" w:type="pct"/>
            <w:tcBorders>
              <w:top w:val="nil"/>
              <w:left w:val="nil"/>
              <w:bottom w:val="nil"/>
              <w:right w:val="nil"/>
            </w:tcBorders>
            <w:shd w:val="clear" w:color="auto" w:fill="auto"/>
          </w:tcPr>
          <w:p w14:paraId="1646E589" w14:textId="77777777" w:rsidR="003438A2" w:rsidRPr="00752411" w:rsidRDefault="003438A2" w:rsidP="005643E8">
            <w:pPr>
              <w:pStyle w:val="TableText"/>
            </w:pPr>
            <w:r w:rsidRPr="00752411">
              <w:t>High</w:t>
            </w:r>
          </w:p>
        </w:tc>
        <w:tc>
          <w:tcPr>
            <w:tcW w:w="444" w:type="pct"/>
            <w:tcBorders>
              <w:top w:val="nil"/>
              <w:left w:val="nil"/>
              <w:bottom w:val="nil"/>
              <w:right w:val="nil"/>
            </w:tcBorders>
            <w:shd w:val="clear" w:color="auto" w:fill="auto"/>
          </w:tcPr>
          <w:p w14:paraId="38E06A4C" w14:textId="77777777" w:rsidR="003438A2" w:rsidRPr="00752411" w:rsidRDefault="003438A2" w:rsidP="005643E8">
            <w:pPr>
              <w:pStyle w:val="TableText"/>
              <w:rPr>
                <w:b/>
              </w:rPr>
            </w:pPr>
            <w:r w:rsidRPr="00752411">
              <w:rPr>
                <w:b/>
              </w:rPr>
              <w:t>High</w:t>
            </w:r>
          </w:p>
        </w:tc>
        <w:tc>
          <w:tcPr>
            <w:tcW w:w="535" w:type="pct"/>
            <w:tcBorders>
              <w:top w:val="nil"/>
              <w:left w:val="nil"/>
              <w:bottom w:val="nil"/>
              <w:right w:val="nil"/>
            </w:tcBorders>
            <w:shd w:val="clear" w:color="auto" w:fill="auto"/>
          </w:tcPr>
          <w:p w14:paraId="145AC1ED" w14:textId="77777777" w:rsidR="003438A2" w:rsidRPr="00752411" w:rsidRDefault="003438A2" w:rsidP="005643E8">
            <w:pPr>
              <w:pStyle w:val="TableText"/>
            </w:pPr>
            <w:r w:rsidRPr="00752411">
              <w:t>Moderate</w:t>
            </w:r>
          </w:p>
        </w:tc>
        <w:tc>
          <w:tcPr>
            <w:tcW w:w="372" w:type="pct"/>
            <w:tcBorders>
              <w:top w:val="nil"/>
              <w:left w:val="nil"/>
              <w:bottom w:val="nil"/>
              <w:right w:val="nil"/>
            </w:tcBorders>
            <w:shd w:val="clear" w:color="auto" w:fill="auto"/>
          </w:tcPr>
          <w:p w14:paraId="78CE4C2E" w14:textId="77777777" w:rsidR="003438A2" w:rsidRPr="00752411" w:rsidRDefault="003438A2" w:rsidP="005643E8">
            <w:pPr>
              <w:pStyle w:val="TableText"/>
            </w:pPr>
            <w:r w:rsidRPr="00752411">
              <w:t>Moderate</w:t>
            </w:r>
          </w:p>
        </w:tc>
        <w:tc>
          <w:tcPr>
            <w:tcW w:w="561" w:type="pct"/>
            <w:tcBorders>
              <w:top w:val="nil"/>
              <w:left w:val="nil"/>
              <w:bottom w:val="nil"/>
              <w:right w:val="nil"/>
            </w:tcBorders>
            <w:shd w:val="clear" w:color="auto" w:fill="auto"/>
          </w:tcPr>
          <w:p w14:paraId="1D4D6B90" w14:textId="77777777" w:rsidR="003438A2" w:rsidRPr="00752411" w:rsidRDefault="003438A2" w:rsidP="005643E8">
            <w:pPr>
              <w:pStyle w:val="TableText"/>
            </w:pPr>
            <w:r w:rsidRPr="00752411">
              <w:t>Low</w:t>
            </w:r>
          </w:p>
        </w:tc>
        <w:tc>
          <w:tcPr>
            <w:tcW w:w="588" w:type="pct"/>
            <w:tcBorders>
              <w:top w:val="nil"/>
              <w:left w:val="nil"/>
              <w:bottom w:val="nil"/>
              <w:right w:val="nil"/>
            </w:tcBorders>
            <w:shd w:val="clear" w:color="auto" w:fill="auto"/>
          </w:tcPr>
          <w:p w14:paraId="3E2427B0" w14:textId="77777777" w:rsidR="003438A2" w:rsidRPr="00752411" w:rsidRDefault="003438A2" w:rsidP="005643E8">
            <w:pPr>
              <w:pStyle w:val="TableText"/>
            </w:pPr>
            <w:r w:rsidRPr="00752411">
              <w:t>Low</w:t>
            </w:r>
          </w:p>
        </w:tc>
        <w:tc>
          <w:tcPr>
            <w:tcW w:w="482" w:type="pct"/>
            <w:gridSpan w:val="2"/>
            <w:tcBorders>
              <w:top w:val="nil"/>
              <w:left w:val="nil"/>
              <w:bottom w:val="nil"/>
              <w:right w:val="nil"/>
            </w:tcBorders>
            <w:shd w:val="clear" w:color="auto" w:fill="auto"/>
          </w:tcPr>
          <w:p w14:paraId="0C136382" w14:textId="77777777" w:rsidR="003438A2" w:rsidRPr="00752411" w:rsidRDefault="003438A2" w:rsidP="005643E8">
            <w:pPr>
              <w:pStyle w:val="TableText"/>
              <w:rPr>
                <w:b/>
              </w:rPr>
            </w:pPr>
            <w:r w:rsidRPr="00752411">
              <w:rPr>
                <w:b/>
              </w:rPr>
              <w:t>Very Low</w:t>
            </w:r>
          </w:p>
        </w:tc>
      </w:tr>
      <w:tr w:rsidR="003438A2" w:rsidRPr="00752411" w14:paraId="6B2044CC" w14:textId="77777777" w:rsidTr="005643E8">
        <w:trPr>
          <w:gridAfter w:val="1"/>
          <w:wAfter w:w="79" w:type="pct"/>
        </w:trPr>
        <w:tc>
          <w:tcPr>
            <w:tcW w:w="1019" w:type="pct"/>
            <w:tcBorders>
              <w:top w:val="nil"/>
              <w:left w:val="nil"/>
              <w:bottom w:val="nil"/>
              <w:right w:val="nil"/>
            </w:tcBorders>
          </w:tcPr>
          <w:p w14:paraId="63418FFA" w14:textId="77777777" w:rsidR="003438A2" w:rsidRPr="00752411" w:rsidRDefault="003438A2" w:rsidP="005643E8">
            <w:pPr>
              <w:pStyle w:val="TableText"/>
              <w:rPr>
                <w:rFonts w:eastAsia="Calibri" w:cs="Times New Roman"/>
              </w:rPr>
            </w:pPr>
            <w:r w:rsidRPr="00752411">
              <w:rPr>
                <w:i/>
              </w:rPr>
              <w:t xml:space="preserve">Neonectria ditissima </w:t>
            </w:r>
            <w:r w:rsidRPr="00752411">
              <w:t>(EP)</w:t>
            </w:r>
          </w:p>
        </w:tc>
        <w:tc>
          <w:tcPr>
            <w:tcW w:w="438" w:type="pct"/>
            <w:tcBorders>
              <w:top w:val="nil"/>
              <w:left w:val="nil"/>
              <w:bottom w:val="nil"/>
              <w:right w:val="nil"/>
            </w:tcBorders>
            <w:shd w:val="clear" w:color="auto" w:fill="auto"/>
          </w:tcPr>
          <w:p w14:paraId="653D580A" w14:textId="77777777" w:rsidR="003438A2" w:rsidRPr="00752411" w:rsidRDefault="003438A2" w:rsidP="005643E8">
            <w:pPr>
              <w:pStyle w:val="TableText"/>
            </w:pPr>
            <w:r w:rsidRPr="00752411">
              <w:t>Very Low</w:t>
            </w:r>
          </w:p>
        </w:tc>
        <w:tc>
          <w:tcPr>
            <w:tcW w:w="482" w:type="pct"/>
            <w:tcBorders>
              <w:top w:val="nil"/>
              <w:left w:val="nil"/>
              <w:bottom w:val="nil"/>
              <w:right w:val="nil"/>
            </w:tcBorders>
            <w:shd w:val="clear" w:color="auto" w:fill="auto"/>
          </w:tcPr>
          <w:p w14:paraId="7D6758E3" w14:textId="77777777" w:rsidR="003438A2" w:rsidRPr="00752411" w:rsidRDefault="003438A2" w:rsidP="005643E8">
            <w:pPr>
              <w:pStyle w:val="TableText"/>
            </w:pPr>
            <w:r w:rsidRPr="00752411">
              <w:t>Very Low</w:t>
            </w:r>
          </w:p>
        </w:tc>
        <w:tc>
          <w:tcPr>
            <w:tcW w:w="444" w:type="pct"/>
            <w:tcBorders>
              <w:top w:val="nil"/>
              <w:left w:val="nil"/>
              <w:bottom w:val="nil"/>
              <w:right w:val="nil"/>
            </w:tcBorders>
            <w:shd w:val="clear" w:color="auto" w:fill="auto"/>
          </w:tcPr>
          <w:p w14:paraId="00C9F3D4" w14:textId="77777777" w:rsidR="003438A2" w:rsidRPr="00752411" w:rsidRDefault="003438A2" w:rsidP="005643E8">
            <w:pPr>
              <w:pStyle w:val="TableText"/>
              <w:rPr>
                <w:b/>
              </w:rPr>
            </w:pPr>
            <w:r w:rsidRPr="00752411">
              <w:rPr>
                <w:b/>
              </w:rPr>
              <w:t>Extremely Low</w:t>
            </w:r>
          </w:p>
        </w:tc>
        <w:tc>
          <w:tcPr>
            <w:tcW w:w="535" w:type="pct"/>
            <w:tcBorders>
              <w:top w:val="nil"/>
              <w:left w:val="nil"/>
              <w:bottom w:val="nil"/>
              <w:right w:val="nil"/>
            </w:tcBorders>
            <w:shd w:val="clear" w:color="auto" w:fill="auto"/>
          </w:tcPr>
          <w:p w14:paraId="5E9BCD20" w14:textId="77777777" w:rsidR="003438A2" w:rsidRPr="00752411" w:rsidRDefault="003438A2" w:rsidP="005643E8">
            <w:pPr>
              <w:pStyle w:val="TableText"/>
            </w:pPr>
            <w:r w:rsidRPr="00752411">
              <w:t>Moderate</w:t>
            </w:r>
          </w:p>
        </w:tc>
        <w:tc>
          <w:tcPr>
            <w:tcW w:w="372" w:type="pct"/>
            <w:tcBorders>
              <w:top w:val="nil"/>
              <w:left w:val="nil"/>
              <w:bottom w:val="nil"/>
              <w:right w:val="nil"/>
            </w:tcBorders>
            <w:shd w:val="clear" w:color="auto" w:fill="auto"/>
          </w:tcPr>
          <w:p w14:paraId="1A193EE9" w14:textId="77777777" w:rsidR="003438A2" w:rsidRPr="00752411" w:rsidRDefault="003438A2" w:rsidP="005643E8">
            <w:pPr>
              <w:pStyle w:val="TableText"/>
            </w:pPr>
            <w:r w:rsidRPr="00752411">
              <w:t>Moderate</w:t>
            </w:r>
          </w:p>
        </w:tc>
        <w:tc>
          <w:tcPr>
            <w:tcW w:w="561" w:type="pct"/>
            <w:tcBorders>
              <w:top w:val="nil"/>
              <w:left w:val="nil"/>
              <w:bottom w:val="nil"/>
              <w:right w:val="nil"/>
            </w:tcBorders>
            <w:shd w:val="clear" w:color="auto" w:fill="auto"/>
          </w:tcPr>
          <w:p w14:paraId="558F405E" w14:textId="77777777" w:rsidR="003438A2" w:rsidRPr="00752411" w:rsidRDefault="003438A2" w:rsidP="005643E8">
            <w:pPr>
              <w:pStyle w:val="TableText"/>
            </w:pPr>
            <w:r w:rsidRPr="00752411">
              <w:t>Extremely Low</w:t>
            </w:r>
          </w:p>
        </w:tc>
        <w:tc>
          <w:tcPr>
            <w:tcW w:w="588" w:type="pct"/>
            <w:tcBorders>
              <w:top w:val="nil"/>
              <w:left w:val="nil"/>
              <w:bottom w:val="nil"/>
              <w:right w:val="nil"/>
            </w:tcBorders>
            <w:shd w:val="clear" w:color="auto" w:fill="auto"/>
          </w:tcPr>
          <w:p w14:paraId="73A53A2D" w14:textId="77777777" w:rsidR="003438A2" w:rsidRPr="00752411" w:rsidRDefault="003438A2" w:rsidP="005643E8">
            <w:pPr>
              <w:pStyle w:val="TableText"/>
            </w:pPr>
            <w:r w:rsidRPr="00752411">
              <w:t>Low</w:t>
            </w:r>
          </w:p>
        </w:tc>
        <w:tc>
          <w:tcPr>
            <w:tcW w:w="482" w:type="pct"/>
            <w:gridSpan w:val="2"/>
            <w:tcBorders>
              <w:top w:val="nil"/>
              <w:left w:val="nil"/>
              <w:bottom w:val="nil"/>
              <w:right w:val="nil"/>
            </w:tcBorders>
            <w:shd w:val="clear" w:color="auto" w:fill="auto"/>
          </w:tcPr>
          <w:p w14:paraId="24B5BCFF" w14:textId="77777777" w:rsidR="003438A2" w:rsidRPr="00752411" w:rsidRDefault="003438A2" w:rsidP="005643E8">
            <w:pPr>
              <w:pStyle w:val="TableText"/>
              <w:rPr>
                <w:b/>
              </w:rPr>
            </w:pPr>
            <w:r w:rsidRPr="00752411">
              <w:rPr>
                <w:b/>
              </w:rPr>
              <w:t>Negligible</w:t>
            </w:r>
          </w:p>
        </w:tc>
      </w:tr>
      <w:tr w:rsidR="003438A2" w:rsidRPr="00752411" w14:paraId="7078F487" w14:textId="77777777" w:rsidTr="005643E8">
        <w:trPr>
          <w:gridAfter w:val="1"/>
          <w:wAfter w:w="79" w:type="pct"/>
        </w:trPr>
        <w:tc>
          <w:tcPr>
            <w:tcW w:w="1019" w:type="pct"/>
            <w:tcBorders>
              <w:top w:val="nil"/>
              <w:left w:val="nil"/>
              <w:bottom w:val="nil"/>
              <w:right w:val="nil"/>
            </w:tcBorders>
          </w:tcPr>
          <w:p w14:paraId="4FFC2EDC" w14:textId="77777777" w:rsidR="003438A2" w:rsidRPr="00752411" w:rsidRDefault="003438A2" w:rsidP="005643E8">
            <w:pPr>
              <w:pStyle w:val="TableText"/>
              <w:rPr>
                <w:i/>
              </w:rPr>
            </w:pPr>
            <w:r w:rsidRPr="00752411">
              <w:rPr>
                <w:rFonts w:eastAsia="Calibri" w:cs="Times New Roman"/>
                <w:bCs/>
                <w:i/>
                <w:iCs/>
              </w:rPr>
              <w:t>Phacidiopycnis washingtonensis</w:t>
            </w:r>
          </w:p>
        </w:tc>
        <w:tc>
          <w:tcPr>
            <w:tcW w:w="438" w:type="pct"/>
            <w:tcBorders>
              <w:top w:val="nil"/>
              <w:left w:val="nil"/>
              <w:bottom w:val="nil"/>
              <w:right w:val="nil"/>
            </w:tcBorders>
            <w:shd w:val="clear" w:color="auto" w:fill="auto"/>
          </w:tcPr>
          <w:p w14:paraId="189E855E" w14:textId="77777777" w:rsidR="003438A2" w:rsidRPr="00752411" w:rsidRDefault="003438A2" w:rsidP="005643E8">
            <w:pPr>
              <w:pStyle w:val="TableText"/>
            </w:pPr>
            <w:r w:rsidRPr="00752411">
              <w:t>High</w:t>
            </w:r>
          </w:p>
        </w:tc>
        <w:tc>
          <w:tcPr>
            <w:tcW w:w="482" w:type="pct"/>
            <w:tcBorders>
              <w:top w:val="nil"/>
              <w:left w:val="nil"/>
              <w:bottom w:val="nil"/>
              <w:right w:val="nil"/>
            </w:tcBorders>
            <w:shd w:val="clear" w:color="auto" w:fill="auto"/>
          </w:tcPr>
          <w:p w14:paraId="146F19A7" w14:textId="77777777" w:rsidR="003438A2" w:rsidRPr="00752411" w:rsidRDefault="003438A2" w:rsidP="005643E8">
            <w:pPr>
              <w:pStyle w:val="TableText"/>
            </w:pPr>
            <w:r w:rsidRPr="00752411">
              <w:t>Low</w:t>
            </w:r>
          </w:p>
        </w:tc>
        <w:tc>
          <w:tcPr>
            <w:tcW w:w="444" w:type="pct"/>
            <w:tcBorders>
              <w:top w:val="nil"/>
              <w:left w:val="nil"/>
              <w:bottom w:val="nil"/>
              <w:right w:val="nil"/>
            </w:tcBorders>
            <w:shd w:val="clear" w:color="auto" w:fill="auto"/>
          </w:tcPr>
          <w:p w14:paraId="0537DF7B" w14:textId="77777777" w:rsidR="003438A2" w:rsidRPr="00752411" w:rsidRDefault="003438A2" w:rsidP="005643E8">
            <w:pPr>
              <w:pStyle w:val="TableText"/>
              <w:rPr>
                <w:b/>
              </w:rPr>
            </w:pPr>
            <w:r w:rsidRPr="00752411">
              <w:rPr>
                <w:b/>
              </w:rPr>
              <w:t>Low</w:t>
            </w:r>
          </w:p>
        </w:tc>
        <w:tc>
          <w:tcPr>
            <w:tcW w:w="535" w:type="pct"/>
            <w:tcBorders>
              <w:top w:val="nil"/>
              <w:left w:val="nil"/>
              <w:bottom w:val="nil"/>
              <w:right w:val="nil"/>
            </w:tcBorders>
            <w:shd w:val="clear" w:color="auto" w:fill="auto"/>
          </w:tcPr>
          <w:p w14:paraId="4B8533EB" w14:textId="77777777" w:rsidR="003438A2" w:rsidRPr="00752411" w:rsidRDefault="003438A2" w:rsidP="005643E8">
            <w:pPr>
              <w:pStyle w:val="TableText"/>
            </w:pPr>
            <w:r w:rsidRPr="00752411">
              <w:t>Moderate</w:t>
            </w:r>
          </w:p>
        </w:tc>
        <w:tc>
          <w:tcPr>
            <w:tcW w:w="372" w:type="pct"/>
            <w:tcBorders>
              <w:top w:val="nil"/>
              <w:left w:val="nil"/>
              <w:bottom w:val="nil"/>
              <w:right w:val="nil"/>
            </w:tcBorders>
            <w:shd w:val="clear" w:color="auto" w:fill="auto"/>
          </w:tcPr>
          <w:p w14:paraId="5025AE17" w14:textId="77777777" w:rsidR="003438A2" w:rsidRPr="00752411" w:rsidRDefault="003438A2" w:rsidP="005643E8">
            <w:pPr>
              <w:pStyle w:val="TableText"/>
            </w:pPr>
            <w:r w:rsidRPr="00752411">
              <w:t>Moderate</w:t>
            </w:r>
          </w:p>
        </w:tc>
        <w:tc>
          <w:tcPr>
            <w:tcW w:w="561" w:type="pct"/>
            <w:tcBorders>
              <w:top w:val="nil"/>
              <w:left w:val="nil"/>
              <w:bottom w:val="nil"/>
              <w:right w:val="nil"/>
            </w:tcBorders>
            <w:shd w:val="clear" w:color="auto" w:fill="auto"/>
          </w:tcPr>
          <w:p w14:paraId="50947B86" w14:textId="77777777" w:rsidR="003438A2" w:rsidRPr="00752411" w:rsidRDefault="003438A2" w:rsidP="005643E8">
            <w:pPr>
              <w:pStyle w:val="TableText"/>
            </w:pPr>
            <w:r w:rsidRPr="00752411">
              <w:t>Low</w:t>
            </w:r>
          </w:p>
        </w:tc>
        <w:tc>
          <w:tcPr>
            <w:tcW w:w="588" w:type="pct"/>
            <w:tcBorders>
              <w:top w:val="nil"/>
              <w:left w:val="nil"/>
              <w:bottom w:val="nil"/>
              <w:right w:val="nil"/>
            </w:tcBorders>
            <w:shd w:val="clear" w:color="auto" w:fill="auto"/>
          </w:tcPr>
          <w:p w14:paraId="6B53B558" w14:textId="77777777" w:rsidR="003438A2" w:rsidRPr="00752411" w:rsidRDefault="003438A2" w:rsidP="005643E8">
            <w:pPr>
              <w:pStyle w:val="TableText"/>
            </w:pPr>
            <w:r w:rsidRPr="00752411">
              <w:t>Moderate</w:t>
            </w:r>
          </w:p>
        </w:tc>
        <w:tc>
          <w:tcPr>
            <w:tcW w:w="482" w:type="pct"/>
            <w:gridSpan w:val="2"/>
            <w:tcBorders>
              <w:top w:val="nil"/>
              <w:left w:val="nil"/>
              <w:bottom w:val="nil"/>
              <w:right w:val="nil"/>
            </w:tcBorders>
            <w:shd w:val="clear" w:color="auto" w:fill="auto"/>
          </w:tcPr>
          <w:p w14:paraId="0560DFDE" w14:textId="77777777" w:rsidR="003438A2" w:rsidRPr="00752411" w:rsidRDefault="003438A2" w:rsidP="005643E8">
            <w:pPr>
              <w:pStyle w:val="TableText"/>
              <w:rPr>
                <w:b/>
              </w:rPr>
            </w:pPr>
            <w:r w:rsidRPr="00752411">
              <w:rPr>
                <w:b/>
              </w:rPr>
              <w:t>Low</w:t>
            </w:r>
          </w:p>
        </w:tc>
      </w:tr>
      <w:tr w:rsidR="003438A2" w:rsidRPr="00752411" w14:paraId="51C48AF0" w14:textId="77777777" w:rsidTr="005643E8">
        <w:trPr>
          <w:gridAfter w:val="1"/>
          <w:wAfter w:w="79" w:type="pct"/>
        </w:trPr>
        <w:tc>
          <w:tcPr>
            <w:tcW w:w="1019" w:type="pct"/>
            <w:tcBorders>
              <w:top w:val="nil"/>
              <w:left w:val="nil"/>
              <w:bottom w:val="nil"/>
              <w:right w:val="nil"/>
            </w:tcBorders>
          </w:tcPr>
          <w:p w14:paraId="6B49D7AD" w14:textId="77777777" w:rsidR="003438A2" w:rsidRPr="00752411" w:rsidRDefault="003438A2" w:rsidP="005643E8">
            <w:pPr>
              <w:pStyle w:val="TableText"/>
              <w:rPr>
                <w:rFonts w:eastAsia="Calibri" w:cs="Times New Roman"/>
                <w:bCs/>
                <w:i/>
                <w:iCs/>
              </w:rPr>
            </w:pPr>
            <w:r w:rsidRPr="00752411">
              <w:rPr>
                <w:bCs/>
                <w:i/>
                <w:iCs/>
              </w:rPr>
              <w:t xml:space="preserve">Phyllosticta arbutifolia </w:t>
            </w:r>
            <w:r w:rsidRPr="00752411">
              <w:rPr>
                <w:bCs/>
                <w:iCs/>
              </w:rPr>
              <w:t>(EP)</w:t>
            </w:r>
          </w:p>
        </w:tc>
        <w:tc>
          <w:tcPr>
            <w:tcW w:w="438" w:type="pct"/>
            <w:tcBorders>
              <w:top w:val="nil"/>
              <w:left w:val="nil"/>
              <w:bottom w:val="nil"/>
              <w:right w:val="nil"/>
            </w:tcBorders>
            <w:shd w:val="clear" w:color="auto" w:fill="auto"/>
          </w:tcPr>
          <w:p w14:paraId="0AE3F2C6" w14:textId="77777777" w:rsidR="003438A2" w:rsidRPr="00752411" w:rsidRDefault="003438A2" w:rsidP="005643E8">
            <w:pPr>
              <w:pStyle w:val="TableText"/>
            </w:pPr>
            <w:r w:rsidRPr="00752411">
              <w:t>Low</w:t>
            </w:r>
          </w:p>
        </w:tc>
        <w:tc>
          <w:tcPr>
            <w:tcW w:w="482" w:type="pct"/>
            <w:tcBorders>
              <w:top w:val="nil"/>
              <w:left w:val="nil"/>
              <w:bottom w:val="nil"/>
              <w:right w:val="nil"/>
            </w:tcBorders>
            <w:shd w:val="clear" w:color="auto" w:fill="auto"/>
          </w:tcPr>
          <w:p w14:paraId="65E55132" w14:textId="77777777" w:rsidR="003438A2" w:rsidRPr="00752411" w:rsidRDefault="003438A2" w:rsidP="005643E8">
            <w:pPr>
              <w:pStyle w:val="TableText"/>
            </w:pPr>
            <w:r w:rsidRPr="00752411">
              <w:t>Moderate</w:t>
            </w:r>
          </w:p>
        </w:tc>
        <w:tc>
          <w:tcPr>
            <w:tcW w:w="444" w:type="pct"/>
            <w:tcBorders>
              <w:top w:val="nil"/>
              <w:left w:val="nil"/>
              <w:bottom w:val="nil"/>
              <w:right w:val="nil"/>
            </w:tcBorders>
            <w:shd w:val="clear" w:color="auto" w:fill="auto"/>
          </w:tcPr>
          <w:p w14:paraId="2968DF01" w14:textId="77777777" w:rsidR="003438A2" w:rsidRPr="00752411" w:rsidRDefault="003438A2" w:rsidP="005643E8">
            <w:pPr>
              <w:pStyle w:val="TableText"/>
              <w:rPr>
                <w:b/>
              </w:rPr>
            </w:pPr>
            <w:r w:rsidRPr="00752411">
              <w:rPr>
                <w:b/>
              </w:rPr>
              <w:t>Low</w:t>
            </w:r>
          </w:p>
        </w:tc>
        <w:tc>
          <w:tcPr>
            <w:tcW w:w="535" w:type="pct"/>
            <w:tcBorders>
              <w:top w:val="nil"/>
              <w:left w:val="nil"/>
              <w:bottom w:val="nil"/>
              <w:right w:val="nil"/>
            </w:tcBorders>
            <w:shd w:val="clear" w:color="auto" w:fill="auto"/>
          </w:tcPr>
          <w:p w14:paraId="373FFC29" w14:textId="77777777" w:rsidR="003438A2" w:rsidRPr="00752411" w:rsidRDefault="003438A2" w:rsidP="005643E8">
            <w:pPr>
              <w:pStyle w:val="TableText"/>
            </w:pPr>
            <w:r w:rsidRPr="00752411">
              <w:t>Moderate</w:t>
            </w:r>
          </w:p>
        </w:tc>
        <w:tc>
          <w:tcPr>
            <w:tcW w:w="372" w:type="pct"/>
            <w:tcBorders>
              <w:top w:val="nil"/>
              <w:left w:val="nil"/>
              <w:bottom w:val="nil"/>
              <w:right w:val="nil"/>
            </w:tcBorders>
            <w:shd w:val="clear" w:color="auto" w:fill="auto"/>
          </w:tcPr>
          <w:p w14:paraId="2CB97FB8" w14:textId="77777777" w:rsidR="003438A2" w:rsidRPr="00752411" w:rsidRDefault="003438A2" w:rsidP="005643E8">
            <w:pPr>
              <w:pStyle w:val="TableText"/>
            </w:pPr>
            <w:r w:rsidRPr="00752411">
              <w:t>Moderate</w:t>
            </w:r>
          </w:p>
        </w:tc>
        <w:tc>
          <w:tcPr>
            <w:tcW w:w="561" w:type="pct"/>
            <w:tcBorders>
              <w:top w:val="nil"/>
              <w:left w:val="nil"/>
              <w:bottom w:val="nil"/>
              <w:right w:val="nil"/>
            </w:tcBorders>
            <w:shd w:val="clear" w:color="auto" w:fill="auto"/>
          </w:tcPr>
          <w:p w14:paraId="636592FA" w14:textId="77777777" w:rsidR="003438A2" w:rsidRPr="00752411" w:rsidRDefault="003438A2" w:rsidP="005643E8">
            <w:pPr>
              <w:pStyle w:val="TableText"/>
            </w:pPr>
            <w:r w:rsidRPr="00752411">
              <w:t>Low</w:t>
            </w:r>
          </w:p>
        </w:tc>
        <w:tc>
          <w:tcPr>
            <w:tcW w:w="588" w:type="pct"/>
            <w:tcBorders>
              <w:top w:val="nil"/>
              <w:left w:val="nil"/>
              <w:bottom w:val="nil"/>
              <w:right w:val="nil"/>
            </w:tcBorders>
            <w:shd w:val="clear" w:color="auto" w:fill="auto"/>
          </w:tcPr>
          <w:p w14:paraId="4AC4788E" w14:textId="77777777" w:rsidR="003438A2" w:rsidRPr="00752411" w:rsidRDefault="003438A2" w:rsidP="005643E8">
            <w:pPr>
              <w:pStyle w:val="TableText"/>
            </w:pPr>
            <w:r w:rsidRPr="00752411">
              <w:t>Moderate</w:t>
            </w:r>
          </w:p>
        </w:tc>
        <w:tc>
          <w:tcPr>
            <w:tcW w:w="482" w:type="pct"/>
            <w:gridSpan w:val="2"/>
            <w:tcBorders>
              <w:top w:val="nil"/>
              <w:left w:val="nil"/>
              <w:bottom w:val="nil"/>
              <w:right w:val="nil"/>
            </w:tcBorders>
            <w:shd w:val="clear" w:color="auto" w:fill="auto"/>
          </w:tcPr>
          <w:p w14:paraId="6E51C376" w14:textId="77777777" w:rsidR="003438A2" w:rsidRPr="00752411" w:rsidRDefault="003438A2" w:rsidP="005643E8">
            <w:pPr>
              <w:pStyle w:val="TableText"/>
              <w:rPr>
                <w:b/>
              </w:rPr>
            </w:pPr>
            <w:r w:rsidRPr="00752411">
              <w:rPr>
                <w:b/>
              </w:rPr>
              <w:t>Low</w:t>
            </w:r>
          </w:p>
        </w:tc>
      </w:tr>
      <w:tr w:rsidR="003438A2" w:rsidRPr="00752411" w14:paraId="1C0547A8" w14:textId="77777777" w:rsidTr="005643E8">
        <w:trPr>
          <w:gridAfter w:val="1"/>
          <w:wAfter w:w="79" w:type="pct"/>
        </w:trPr>
        <w:tc>
          <w:tcPr>
            <w:tcW w:w="1019" w:type="pct"/>
            <w:tcBorders>
              <w:top w:val="nil"/>
              <w:left w:val="nil"/>
              <w:bottom w:val="nil"/>
              <w:right w:val="nil"/>
            </w:tcBorders>
          </w:tcPr>
          <w:p w14:paraId="7C1309CD" w14:textId="77777777" w:rsidR="003438A2" w:rsidRPr="00752411" w:rsidRDefault="003438A2" w:rsidP="005643E8">
            <w:pPr>
              <w:pStyle w:val="TableText"/>
              <w:rPr>
                <w:rFonts w:eastAsia="Calibri" w:cs="Times New Roman"/>
                <w:bCs/>
                <w:i/>
                <w:iCs/>
              </w:rPr>
            </w:pPr>
            <w:r w:rsidRPr="00752411">
              <w:rPr>
                <w:rFonts w:eastAsia="Calibri" w:cs="Times New Roman"/>
                <w:bCs/>
                <w:i/>
                <w:iCs/>
              </w:rPr>
              <w:t>Sphaeropsis pyriputrescens</w:t>
            </w:r>
          </w:p>
        </w:tc>
        <w:tc>
          <w:tcPr>
            <w:tcW w:w="438" w:type="pct"/>
            <w:tcBorders>
              <w:top w:val="nil"/>
              <w:left w:val="nil"/>
              <w:bottom w:val="nil"/>
              <w:right w:val="nil"/>
            </w:tcBorders>
            <w:shd w:val="clear" w:color="auto" w:fill="auto"/>
          </w:tcPr>
          <w:p w14:paraId="016BFDE7" w14:textId="77777777" w:rsidR="003438A2" w:rsidRPr="00752411" w:rsidRDefault="003438A2" w:rsidP="005643E8">
            <w:pPr>
              <w:pStyle w:val="TableText"/>
            </w:pPr>
            <w:r w:rsidRPr="00752411">
              <w:t>High</w:t>
            </w:r>
          </w:p>
        </w:tc>
        <w:tc>
          <w:tcPr>
            <w:tcW w:w="482" w:type="pct"/>
            <w:tcBorders>
              <w:top w:val="nil"/>
              <w:left w:val="nil"/>
              <w:bottom w:val="nil"/>
              <w:right w:val="nil"/>
            </w:tcBorders>
            <w:shd w:val="clear" w:color="auto" w:fill="auto"/>
          </w:tcPr>
          <w:p w14:paraId="26F84749" w14:textId="77777777" w:rsidR="003438A2" w:rsidRPr="00752411" w:rsidRDefault="003438A2" w:rsidP="005643E8">
            <w:pPr>
              <w:pStyle w:val="TableText"/>
            </w:pPr>
            <w:r w:rsidRPr="00752411">
              <w:t>Low</w:t>
            </w:r>
          </w:p>
        </w:tc>
        <w:tc>
          <w:tcPr>
            <w:tcW w:w="444" w:type="pct"/>
            <w:tcBorders>
              <w:top w:val="nil"/>
              <w:left w:val="nil"/>
              <w:bottom w:val="nil"/>
              <w:right w:val="nil"/>
            </w:tcBorders>
            <w:shd w:val="clear" w:color="auto" w:fill="auto"/>
          </w:tcPr>
          <w:p w14:paraId="1DD3701F" w14:textId="77777777" w:rsidR="003438A2" w:rsidRPr="00752411" w:rsidRDefault="003438A2" w:rsidP="005643E8">
            <w:pPr>
              <w:pStyle w:val="TableText"/>
              <w:rPr>
                <w:b/>
              </w:rPr>
            </w:pPr>
            <w:r w:rsidRPr="00752411">
              <w:rPr>
                <w:b/>
              </w:rPr>
              <w:t>Low</w:t>
            </w:r>
          </w:p>
        </w:tc>
        <w:tc>
          <w:tcPr>
            <w:tcW w:w="535" w:type="pct"/>
            <w:tcBorders>
              <w:top w:val="nil"/>
              <w:left w:val="nil"/>
              <w:bottom w:val="nil"/>
              <w:right w:val="nil"/>
            </w:tcBorders>
            <w:shd w:val="clear" w:color="auto" w:fill="auto"/>
          </w:tcPr>
          <w:p w14:paraId="538127DF" w14:textId="77777777" w:rsidR="003438A2" w:rsidRPr="00752411" w:rsidRDefault="003438A2" w:rsidP="005643E8">
            <w:pPr>
              <w:pStyle w:val="TableText"/>
            </w:pPr>
            <w:r w:rsidRPr="00752411">
              <w:t>Moderate</w:t>
            </w:r>
          </w:p>
        </w:tc>
        <w:tc>
          <w:tcPr>
            <w:tcW w:w="372" w:type="pct"/>
            <w:tcBorders>
              <w:top w:val="nil"/>
              <w:left w:val="nil"/>
              <w:bottom w:val="nil"/>
              <w:right w:val="nil"/>
            </w:tcBorders>
            <w:shd w:val="clear" w:color="auto" w:fill="auto"/>
          </w:tcPr>
          <w:p w14:paraId="1CE36699" w14:textId="77777777" w:rsidR="003438A2" w:rsidRPr="00752411" w:rsidRDefault="003438A2" w:rsidP="005643E8">
            <w:pPr>
              <w:pStyle w:val="TableText"/>
            </w:pPr>
            <w:r w:rsidRPr="00752411">
              <w:t>Moderate</w:t>
            </w:r>
          </w:p>
        </w:tc>
        <w:tc>
          <w:tcPr>
            <w:tcW w:w="561" w:type="pct"/>
            <w:tcBorders>
              <w:top w:val="nil"/>
              <w:left w:val="nil"/>
              <w:bottom w:val="nil"/>
              <w:right w:val="nil"/>
            </w:tcBorders>
            <w:shd w:val="clear" w:color="auto" w:fill="auto"/>
          </w:tcPr>
          <w:p w14:paraId="5AE3CFCD" w14:textId="77777777" w:rsidR="003438A2" w:rsidRPr="00752411" w:rsidRDefault="003438A2" w:rsidP="005643E8">
            <w:pPr>
              <w:pStyle w:val="TableText"/>
            </w:pPr>
            <w:r w:rsidRPr="00752411">
              <w:t>Low</w:t>
            </w:r>
          </w:p>
        </w:tc>
        <w:tc>
          <w:tcPr>
            <w:tcW w:w="588" w:type="pct"/>
            <w:tcBorders>
              <w:top w:val="nil"/>
              <w:left w:val="nil"/>
              <w:bottom w:val="nil"/>
              <w:right w:val="nil"/>
            </w:tcBorders>
            <w:shd w:val="clear" w:color="auto" w:fill="auto"/>
          </w:tcPr>
          <w:p w14:paraId="70A7CB9A" w14:textId="77777777" w:rsidR="003438A2" w:rsidRPr="00752411" w:rsidRDefault="003438A2" w:rsidP="005643E8">
            <w:pPr>
              <w:pStyle w:val="TableText"/>
            </w:pPr>
            <w:r w:rsidRPr="00752411">
              <w:t>Moderate</w:t>
            </w:r>
          </w:p>
        </w:tc>
        <w:tc>
          <w:tcPr>
            <w:tcW w:w="482" w:type="pct"/>
            <w:gridSpan w:val="2"/>
            <w:tcBorders>
              <w:top w:val="nil"/>
              <w:left w:val="nil"/>
              <w:bottom w:val="nil"/>
              <w:right w:val="nil"/>
            </w:tcBorders>
            <w:shd w:val="clear" w:color="auto" w:fill="auto"/>
          </w:tcPr>
          <w:p w14:paraId="703AD4DE" w14:textId="77777777" w:rsidR="003438A2" w:rsidRPr="00752411" w:rsidRDefault="003438A2" w:rsidP="005643E8">
            <w:pPr>
              <w:pStyle w:val="TableText"/>
              <w:rPr>
                <w:b/>
              </w:rPr>
            </w:pPr>
            <w:r w:rsidRPr="00752411">
              <w:rPr>
                <w:b/>
              </w:rPr>
              <w:t>Low</w:t>
            </w:r>
          </w:p>
        </w:tc>
      </w:tr>
      <w:tr w:rsidR="003438A2" w:rsidRPr="00752411" w14:paraId="1AC47D81" w14:textId="77777777" w:rsidTr="005643E8">
        <w:trPr>
          <w:gridAfter w:val="1"/>
          <w:wAfter w:w="79" w:type="pct"/>
        </w:trPr>
        <w:tc>
          <w:tcPr>
            <w:tcW w:w="1019" w:type="pct"/>
            <w:tcBorders>
              <w:top w:val="nil"/>
              <w:left w:val="nil"/>
              <w:bottom w:val="single" w:sz="4" w:space="0" w:color="BFBFBF" w:themeColor="background1" w:themeShade="BF"/>
              <w:right w:val="nil"/>
            </w:tcBorders>
          </w:tcPr>
          <w:p w14:paraId="119AA704" w14:textId="77777777" w:rsidR="003438A2" w:rsidRPr="00752411" w:rsidRDefault="003438A2" w:rsidP="005643E8">
            <w:pPr>
              <w:pStyle w:val="TableText"/>
              <w:rPr>
                <w:rFonts w:eastAsia="Calibri" w:cs="Times New Roman"/>
                <w:bCs/>
                <w:i/>
                <w:iCs/>
              </w:rPr>
            </w:pPr>
            <w:r w:rsidRPr="00752411">
              <w:rPr>
                <w:rFonts w:eastAsia="Calibri" w:cs="Times New Roman"/>
                <w:bCs/>
                <w:i/>
                <w:iCs/>
              </w:rPr>
              <w:t xml:space="preserve">Truncatella hartigii </w:t>
            </w:r>
            <w:r w:rsidRPr="00752411">
              <w:rPr>
                <w:rFonts w:eastAsia="Calibri" w:cs="Times New Roman"/>
                <w:bCs/>
                <w:iCs/>
              </w:rPr>
              <w:t>(EP)</w:t>
            </w:r>
          </w:p>
        </w:tc>
        <w:tc>
          <w:tcPr>
            <w:tcW w:w="438" w:type="pct"/>
            <w:tcBorders>
              <w:top w:val="nil"/>
              <w:left w:val="nil"/>
              <w:bottom w:val="single" w:sz="4" w:space="0" w:color="BFBFBF" w:themeColor="background1" w:themeShade="BF"/>
              <w:right w:val="nil"/>
            </w:tcBorders>
            <w:shd w:val="clear" w:color="auto" w:fill="auto"/>
          </w:tcPr>
          <w:p w14:paraId="7505F3A8" w14:textId="77777777" w:rsidR="003438A2" w:rsidRPr="00752411" w:rsidRDefault="003438A2" w:rsidP="005643E8">
            <w:pPr>
              <w:pStyle w:val="TableText"/>
            </w:pPr>
            <w:r w:rsidRPr="00752411">
              <w:t>Low</w:t>
            </w:r>
          </w:p>
        </w:tc>
        <w:tc>
          <w:tcPr>
            <w:tcW w:w="482" w:type="pct"/>
            <w:tcBorders>
              <w:top w:val="nil"/>
              <w:left w:val="nil"/>
              <w:bottom w:val="single" w:sz="4" w:space="0" w:color="BFBFBF" w:themeColor="background1" w:themeShade="BF"/>
              <w:right w:val="nil"/>
            </w:tcBorders>
            <w:shd w:val="clear" w:color="auto" w:fill="auto"/>
          </w:tcPr>
          <w:p w14:paraId="00615E82" w14:textId="77777777" w:rsidR="003438A2" w:rsidRPr="00752411" w:rsidRDefault="003438A2" w:rsidP="005643E8">
            <w:pPr>
              <w:pStyle w:val="TableText"/>
            </w:pPr>
            <w:r w:rsidRPr="00752411">
              <w:t>High</w:t>
            </w:r>
          </w:p>
        </w:tc>
        <w:tc>
          <w:tcPr>
            <w:tcW w:w="444" w:type="pct"/>
            <w:tcBorders>
              <w:top w:val="nil"/>
              <w:left w:val="nil"/>
              <w:bottom w:val="single" w:sz="4" w:space="0" w:color="BFBFBF" w:themeColor="background1" w:themeShade="BF"/>
              <w:right w:val="nil"/>
            </w:tcBorders>
            <w:shd w:val="clear" w:color="auto" w:fill="auto"/>
          </w:tcPr>
          <w:p w14:paraId="3273590D" w14:textId="77777777" w:rsidR="003438A2" w:rsidRPr="00752411" w:rsidRDefault="003438A2" w:rsidP="005643E8">
            <w:pPr>
              <w:pStyle w:val="TableText"/>
              <w:rPr>
                <w:b/>
              </w:rPr>
            </w:pPr>
            <w:r w:rsidRPr="00752411">
              <w:rPr>
                <w:b/>
              </w:rPr>
              <w:t>Low</w:t>
            </w:r>
          </w:p>
        </w:tc>
        <w:tc>
          <w:tcPr>
            <w:tcW w:w="535" w:type="pct"/>
            <w:tcBorders>
              <w:top w:val="nil"/>
              <w:left w:val="nil"/>
              <w:bottom w:val="single" w:sz="4" w:space="0" w:color="BFBFBF" w:themeColor="background1" w:themeShade="BF"/>
              <w:right w:val="nil"/>
            </w:tcBorders>
            <w:shd w:val="clear" w:color="auto" w:fill="auto"/>
          </w:tcPr>
          <w:p w14:paraId="0E2C0791" w14:textId="77777777" w:rsidR="003438A2" w:rsidRPr="00752411" w:rsidRDefault="003438A2" w:rsidP="005643E8">
            <w:pPr>
              <w:pStyle w:val="TableText"/>
            </w:pPr>
            <w:r w:rsidRPr="00752411">
              <w:t>High</w:t>
            </w:r>
          </w:p>
        </w:tc>
        <w:tc>
          <w:tcPr>
            <w:tcW w:w="372" w:type="pct"/>
            <w:tcBorders>
              <w:top w:val="nil"/>
              <w:left w:val="nil"/>
              <w:bottom w:val="single" w:sz="4" w:space="0" w:color="BFBFBF" w:themeColor="background1" w:themeShade="BF"/>
              <w:right w:val="nil"/>
            </w:tcBorders>
            <w:shd w:val="clear" w:color="auto" w:fill="auto"/>
          </w:tcPr>
          <w:p w14:paraId="4A2AFE3F" w14:textId="77777777" w:rsidR="003438A2" w:rsidRPr="00752411" w:rsidRDefault="003438A2" w:rsidP="005643E8">
            <w:pPr>
              <w:pStyle w:val="TableText"/>
            </w:pPr>
            <w:r w:rsidRPr="00752411">
              <w:t>High</w:t>
            </w:r>
          </w:p>
        </w:tc>
        <w:tc>
          <w:tcPr>
            <w:tcW w:w="561" w:type="pct"/>
            <w:tcBorders>
              <w:top w:val="nil"/>
              <w:left w:val="nil"/>
              <w:bottom w:val="single" w:sz="4" w:space="0" w:color="BFBFBF" w:themeColor="background1" w:themeShade="BF"/>
              <w:right w:val="nil"/>
            </w:tcBorders>
            <w:shd w:val="clear" w:color="auto" w:fill="auto"/>
          </w:tcPr>
          <w:p w14:paraId="6E68960B" w14:textId="77777777" w:rsidR="003438A2" w:rsidRPr="00752411" w:rsidRDefault="003438A2" w:rsidP="005643E8">
            <w:pPr>
              <w:pStyle w:val="TableText"/>
            </w:pPr>
            <w:r w:rsidRPr="00752411">
              <w:t>Low</w:t>
            </w:r>
          </w:p>
        </w:tc>
        <w:tc>
          <w:tcPr>
            <w:tcW w:w="588" w:type="pct"/>
            <w:tcBorders>
              <w:top w:val="nil"/>
              <w:left w:val="nil"/>
              <w:bottom w:val="single" w:sz="4" w:space="0" w:color="BFBFBF" w:themeColor="background1" w:themeShade="BF"/>
              <w:right w:val="nil"/>
            </w:tcBorders>
            <w:shd w:val="clear" w:color="auto" w:fill="auto"/>
          </w:tcPr>
          <w:p w14:paraId="3D51180F" w14:textId="77777777" w:rsidR="003438A2" w:rsidRPr="00752411" w:rsidRDefault="003438A2" w:rsidP="005643E8">
            <w:pPr>
              <w:pStyle w:val="TableText"/>
            </w:pPr>
            <w:r w:rsidRPr="00752411">
              <w:t>Low</w:t>
            </w:r>
          </w:p>
        </w:tc>
        <w:tc>
          <w:tcPr>
            <w:tcW w:w="482" w:type="pct"/>
            <w:gridSpan w:val="2"/>
            <w:tcBorders>
              <w:top w:val="nil"/>
              <w:left w:val="nil"/>
              <w:bottom w:val="single" w:sz="4" w:space="0" w:color="BFBFBF" w:themeColor="background1" w:themeShade="BF"/>
              <w:right w:val="nil"/>
            </w:tcBorders>
            <w:shd w:val="clear" w:color="auto" w:fill="auto"/>
          </w:tcPr>
          <w:p w14:paraId="6B14DF39" w14:textId="77777777" w:rsidR="003438A2" w:rsidRPr="00752411" w:rsidRDefault="003438A2" w:rsidP="005643E8">
            <w:pPr>
              <w:pStyle w:val="TableText"/>
              <w:rPr>
                <w:b/>
              </w:rPr>
            </w:pPr>
            <w:r w:rsidRPr="00752411">
              <w:rPr>
                <w:b/>
              </w:rPr>
              <w:t>Very Low</w:t>
            </w:r>
          </w:p>
        </w:tc>
      </w:tr>
      <w:tr w:rsidR="003438A2" w:rsidRPr="00752411" w14:paraId="0E8767C3" w14:textId="77777777" w:rsidTr="005643E8">
        <w:trPr>
          <w:gridAfter w:val="1"/>
          <w:wAfter w:w="79" w:type="pct"/>
        </w:trPr>
        <w:tc>
          <w:tcPr>
            <w:tcW w:w="4921" w:type="pct"/>
            <w:gridSpan w:val="10"/>
            <w:tcBorders>
              <w:top w:val="single" w:sz="4" w:space="0" w:color="BFBFBF" w:themeColor="background1" w:themeShade="BF"/>
              <w:left w:val="nil"/>
              <w:bottom w:val="nil"/>
              <w:right w:val="nil"/>
            </w:tcBorders>
          </w:tcPr>
          <w:p w14:paraId="7F0F71A3" w14:textId="77777777" w:rsidR="003438A2" w:rsidRPr="00752411" w:rsidRDefault="003438A2" w:rsidP="005643E8">
            <w:pPr>
              <w:pStyle w:val="TableText"/>
              <w:rPr>
                <w:b/>
              </w:rPr>
            </w:pPr>
            <w:r w:rsidRPr="00752411">
              <w:rPr>
                <w:rFonts w:eastAsia="Calibri" w:cs="Times New Roman"/>
                <w:b/>
                <w:bCs/>
                <w:iCs/>
              </w:rPr>
              <w:t>Viroids</w:t>
            </w:r>
          </w:p>
        </w:tc>
      </w:tr>
      <w:tr w:rsidR="003438A2" w:rsidRPr="00752411" w14:paraId="4FEA3225" w14:textId="77777777" w:rsidTr="005643E8">
        <w:trPr>
          <w:gridAfter w:val="1"/>
          <w:wAfter w:w="79" w:type="pct"/>
        </w:trPr>
        <w:tc>
          <w:tcPr>
            <w:tcW w:w="1019" w:type="pct"/>
            <w:tcBorders>
              <w:top w:val="nil"/>
              <w:left w:val="nil"/>
              <w:bottom w:val="single" w:sz="4" w:space="0" w:color="BFBFBF" w:themeColor="background1" w:themeShade="BF"/>
            </w:tcBorders>
          </w:tcPr>
          <w:p w14:paraId="7BA46CE4" w14:textId="77777777" w:rsidR="003438A2" w:rsidRPr="00752411" w:rsidRDefault="003438A2" w:rsidP="005643E8">
            <w:pPr>
              <w:pStyle w:val="TableText"/>
              <w:rPr>
                <w:rFonts w:eastAsia="Calibri" w:cs="Times New Roman"/>
                <w:b/>
                <w:bCs/>
                <w:iCs/>
              </w:rPr>
            </w:pPr>
            <w:r w:rsidRPr="00752411">
              <w:rPr>
                <w:rFonts w:eastAsia="Calibri" w:cs="Times New Roman"/>
                <w:bCs/>
                <w:i/>
                <w:iCs/>
              </w:rPr>
              <w:t xml:space="preserve">Apple scar skin viroid </w:t>
            </w:r>
            <w:r w:rsidRPr="00752411">
              <w:rPr>
                <w:rFonts w:eastAsia="Calibri" w:cs="Times New Roman"/>
                <w:bCs/>
                <w:iCs/>
              </w:rPr>
              <w:t>(EP)</w:t>
            </w:r>
          </w:p>
        </w:tc>
        <w:tc>
          <w:tcPr>
            <w:tcW w:w="438" w:type="pct"/>
            <w:tcBorders>
              <w:top w:val="nil"/>
              <w:bottom w:val="single" w:sz="4" w:space="0" w:color="BFBFBF" w:themeColor="background1" w:themeShade="BF"/>
            </w:tcBorders>
            <w:shd w:val="clear" w:color="auto" w:fill="auto"/>
          </w:tcPr>
          <w:p w14:paraId="6DF26AD9" w14:textId="77777777" w:rsidR="003438A2" w:rsidRPr="00752411" w:rsidRDefault="003438A2" w:rsidP="005643E8">
            <w:pPr>
              <w:pStyle w:val="TableText"/>
            </w:pPr>
            <w:r w:rsidRPr="00752411">
              <w:t>Moderate</w:t>
            </w:r>
          </w:p>
        </w:tc>
        <w:tc>
          <w:tcPr>
            <w:tcW w:w="482" w:type="pct"/>
            <w:tcBorders>
              <w:top w:val="nil"/>
              <w:bottom w:val="single" w:sz="4" w:space="0" w:color="BFBFBF" w:themeColor="background1" w:themeShade="BF"/>
            </w:tcBorders>
            <w:shd w:val="clear" w:color="auto" w:fill="auto"/>
          </w:tcPr>
          <w:p w14:paraId="07FA0923" w14:textId="77777777" w:rsidR="003438A2" w:rsidRPr="00752411" w:rsidRDefault="003438A2" w:rsidP="005643E8">
            <w:pPr>
              <w:pStyle w:val="TableText"/>
            </w:pPr>
            <w:r w:rsidRPr="00752411">
              <w:t>High</w:t>
            </w:r>
          </w:p>
        </w:tc>
        <w:tc>
          <w:tcPr>
            <w:tcW w:w="444" w:type="pct"/>
            <w:tcBorders>
              <w:top w:val="nil"/>
              <w:bottom w:val="single" w:sz="4" w:space="0" w:color="BFBFBF" w:themeColor="background1" w:themeShade="BF"/>
            </w:tcBorders>
            <w:shd w:val="clear" w:color="auto" w:fill="auto"/>
          </w:tcPr>
          <w:p w14:paraId="1E3D3266" w14:textId="77777777" w:rsidR="003438A2" w:rsidRPr="00752411" w:rsidRDefault="003438A2" w:rsidP="005643E8">
            <w:pPr>
              <w:pStyle w:val="TableText"/>
              <w:rPr>
                <w:b/>
              </w:rPr>
            </w:pPr>
            <w:r w:rsidRPr="00752411">
              <w:rPr>
                <w:b/>
              </w:rPr>
              <w:t>Moderate</w:t>
            </w:r>
          </w:p>
        </w:tc>
        <w:tc>
          <w:tcPr>
            <w:tcW w:w="535" w:type="pct"/>
            <w:tcBorders>
              <w:top w:val="nil"/>
              <w:bottom w:val="single" w:sz="4" w:space="0" w:color="BFBFBF" w:themeColor="background1" w:themeShade="BF"/>
            </w:tcBorders>
            <w:shd w:val="clear" w:color="auto" w:fill="auto"/>
          </w:tcPr>
          <w:p w14:paraId="2CC32CC0" w14:textId="77777777" w:rsidR="003438A2" w:rsidRPr="00752411" w:rsidRDefault="003438A2" w:rsidP="005643E8">
            <w:pPr>
              <w:pStyle w:val="TableText"/>
            </w:pPr>
            <w:r w:rsidRPr="00752411">
              <w:t>Moderate</w:t>
            </w:r>
          </w:p>
        </w:tc>
        <w:tc>
          <w:tcPr>
            <w:tcW w:w="372" w:type="pct"/>
            <w:tcBorders>
              <w:top w:val="nil"/>
              <w:bottom w:val="single" w:sz="4" w:space="0" w:color="BFBFBF" w:themeColor="background1" w:themeShade="BF"/>
            </w:tcBorders>
            <w:shd w:val="clear" w:color="auto" w:fill="auto"/>
          </w:tcPr>
          <w:p w14:paraId="56989658" w14:textId="77777777" w:rsidR="003438A2" w:rsidRPr="00752411" w:rsidRDefault="003438A2" w:rsidP="005643E8">
            <w:pPr>
              <w:pStyle w:val="TableText"/>
            </w:pPr>
            <w:r w:rsidRPr="00752411">
              <w:t>Low</w:t>
            </w:r>
          </w:p>
        </w:tc>
        <w:tc>
          <w:tcPr>
            <w:tcW w:w="561" w:type="pct"/>
            <w:tcBorders>
              <w:top w:val="nil"/>
              <w:bottom w:val="single" w:sz="4" w:space="0" w:color="BFBFBF" w:themeColor="background1" w:themeShade="BF"/>
            </w:tcBorders>
            <w:shd w:val="clear" w:color="auto" w:fill="auto"/>
          </w:tcPr>
          <w:p w14:paraId="36CC8A95" w14:textId="77777777" w:rsidR="003438A2" w:rsidRPr="00752411" w:rsidRDefault="003438A2" w:rsidP="005643E8">
            <w:pPr>
              <w:pStyle w:val="TableText"/>
            </w:pPr>
            <w:r w:rsidRPr="00752411">
              <w:t>Very Low</w:t>
            </w:r>
          </w:p>
        </w:tc>
        <w:tc>
          <w:tcPr>
            <w:tcW w:w="588" w:type="pct"/>
            <w:tcBorders>
              <w:top w:val="nil"/>
              <w:bottom w:val="single" w:sz="4" w:space="0" w:color="BFBFBF" w:themeColor="background1" w:themeShade="BF"/>
            </w:tcBorders>
            <w:shd w:val="clear" w:color="auto" w:fill="auto"/>
          </w:tcPr>
          <w:p w14:paraId="5FED3D16" w14:textId="77777777" w:rsidR="003438A2" w:rsidRPr="00752411" w:rsidRDefault="003438A2" w:rsidP="005643E8">
            <w:pPr>
              <w:pStyle w:val="TableText"/>
            </w:pPr>
            <w:r w:rsidRPr="00752411">
              <w:t>Moderate</w:t>
            </w:r>
          </w:p>
        </w:tc>
        <w:tc>
          <w:tcPr>
            <w:tcW w:w="482" w:type="pct"/>
            <w:gridSpan w:val="2"/>
            <w:tcBorders>
              <w:top w:val="nil"/>
              <w:left w:val="nil"/>
              <w:bottom w:val="single" w:sz="4" w:space="0" w:color="BFBFBF" w:themeColor="background1" w:themeShade="BF"/>
              <w:right w:val="nil"/>
            </w:tcBorders>
            <w:shd w:val="clear" w:color="auto" w:fill="auto"/>
          </w:tcPr>
          <w:p w14:paraId="2B4D4F5B" w14:textId="77777777" w:rsidR="003438A2" w:rsidRPr="00752411" w:rsidRDefault="003438A2" w:rsidP="005643E8">
            <w:pPr>
              <w:pStyle w:val="TableText"/>
              <w:rPr>
                <w:b/>
              </w:rPr>
            </w:pPr>
            <w:r w:rsidRPr="00752411">
              <w:rPr>
                <w:b/>
              </w:rPr>
              <w:t>Very Low</w:t>
            </w:r>
          </w:p>
        </w:tc>
      </w:tr>
      <w:tr w:rsidR="003438A2" w:rsidRPr="00752411" w14:paraId="20EB5F2F" w14:textId="77777777" w:rsidTr="005643E8">
        <w:trPr>
          <w:gridAfter w:val="1"/>
          <w:wAfter w:w="79" w:type="pct"/>
        </w:trPr>
        <w:tc>
          <w:tcPr>
            <w:tcW w:w="4921" w:type="pct"/>
            <w:gridSpan w:val="10"/>
            <w:tcBorders>
              <w:top w:val="single" w:sz="4" w:space="0" w:color="BFBFBF" w:themeColor="background1" w:themeShade="BF"/>
              <w:left w:val="nil"/>
              <w:bottom w:val="nil"/>
              <w:right w:val="nil"/>
            </w:tcBorders>
          </w:tcPr>
          <w:p w14:paraId="66929858" w14:textId="77777777" w:rsidR="003438A2" w:rsidRPr="00752411" w:rsidRDefault="003438A2" w:rsidP="005643E8">
            <w:pPr>
              <w:pStyle w:val="TableText"/>
              <w:rPr>
                <w:b/>
              </w:rPr>
            </w:pPr>
            <w:r w:rsidRPr="00752411">
              <w:rPr>
                <w:rFonts w:eastAsia="Calibri" w:cs="Times New Roman"/>
                <w:b/>
                <w:bCs/>
                <w:iCs/>
              </w:rPr>
              <w:t>Viruses</w:t>
            </w:r>
          </w:p>
        </w:tc>
      </w:tr>
      <w:tr w:rsidR="003438A2" w:rsidRPr="00752411" w14:paraId="4E87E7C7" w14:textId="77777777" w:rsidTr="005643E8">
        <w:trPr>
          <w:gridAfter w:val="1"/>
          <w:wAfter w:w="79" w:type="pct"/>
        </w:trPr>
        <w:tc>
          <w:tcPr>
            <w:tcW w:w="1019" w:type="pct"/>
            <w:tcBorders>
              <w:top w:val="nil"/>
              <w:left w:val="nil"/>
              <w:bottom w:val="nil"/>
            </w:tcBorders>
          </w:tcPr>
          <w:p w14:paraId="00AF412E" w14:textId="77777777" w:rsidR="003438A2" w:rsidRPr="00752411" w:rsidRDefault="003438A2" w:rsidP="005643E8">
            <w:pPr>
              <w:pStyle w:val="TableText"/>
              <w:rPr>
                <w:rFonts w:eastAsia="Calibri" w:cs="Times New Roman"/>
                <w:bCs/>
                <w:i/>
                <w:iCs/>
                <w:lang w:val="en"/>
              </w:rPr>
            </w:pPr>
            <w:r w:rsidRPr="00752411">
              <w:rPr>
                <w:rFonts w:eastAsia="Calibri" w:cs="Times New Roman"/>
                <w:bCs/>
                <w:i/>
                <w:iCs/>
              </w:rPr>
              <w:t xml:space="preserve">Tobacco necrosis virus </w:t>
            </w:r>
            <w:r w:rsidRPr="00214081">
              <w:rPr>
                <w:rFonts w:eastAsia="Calibri" w:cs="Times New Roman"/>
                <w:bCs/>
              </w:rPr>
              <w:t>A</w:t>
            </w:r>
            <w:r>
              <w:rPr>
                <w:rFonts w:eastAsia="Calibri" w:cs="Times New Roman"/>
                <w:bCs/>
                <w:i/>
                <w:iCs/>
              </w:rPr>
              <w:t xml:space="preserve"> </w:t>
            </w:r>
            <w:r w:rsidRPr="00752411">
              <w:rPr>
                <w:rFonts w:eastAsia="Calibri" w:cs="Times New Roman"/>
                <w:bCs/>
                <w:iCs/>
              </w:rPr>
              <w:t>(EP)</w:t>
            </w:r>
          </w:p>
        </w:tc>
        <w:tc>
          <w:tcPr>
            <w:tcW w:w="438" w:type="pct"/>
            <w:tcBorders>
              <w:top w:val="nil"/>
              <w:bottom w:val="nil"/>
            </w:tcBorders>
            <w:shd w:val="clear" w:color="auto" w:fill="auto"/>
          </w:tcPr>
          <w:p w14:paraId="5E64308A" w14:textId="77777777" w:rsidR="003438A2" w:rsidRPr="00752411" w:rsidRDefault="003438A2" w:rsidP="005643E8">
            <w:pPr>
              <w:pStyle w:val="TableText"/>
            </w:pPr>
            <w:r w:rsidRPr="00752411">
              <w:t>Moderate</w:t>
            </w:r>
          </w:p>
        </w:tc>
        <w:tc>
          <w:tcPr>
            <w:tcW w:w="482" w:type="pct"/>
            <w:tcBorders>
              <w:top w:val="nil"/>
              <w:bottom w:val="nil"/>
            </w:tcBorders>
            <w:shd w:val="clear" w:color="auto" w:fill="auto"/>
          </w:tcPr>
          <w:p w14:paraId="44A70C21" w14:textId="77777777" w:rsidR="003438A2" w:rsidRPr="00752411" w:rsidRDefault="003438A2" w:rsidP="005643E8">
            <w:pPr>
              <w:pStyle w:val="TableText"/>
            </w:pPr>
            <w:r w:rsidRPr="00752411">
              <w:t>Moderate</w:t>
            </w:r>
          </w:p>
        </w:tc>
        <w:tc>
          <w:tcPr>
            <w:tcW w:w="444" w:type="pct"/>
            <w:tcBorders>
              <w:top w:val="nil"/>
              <w:bottom w:val="nil"/>
            </w:tcBorders>
            <w:shd w:val="clear" w:color="auto" w:fill="auto"/>
          </w:tcPr>
          <w:p w14:paraId="578925CE" w14:textId="77777777" w:rsidR="003438A2" w:rsidRPr="00752411" w:rsidRDefault="003438A2" w:rsidP="005643E8">
            <w:pPr>
              <w:pStyle w:val="TableText"/>
              <w:rPr>
                <w:b/>
              </w:rPr>
            </w:pPr>
            <w:r w:rsidRPr="00752411">
              <w:rPr>
                <w:b/>
              </w:rPr>
              <w:t>Low</w:t>
            </w:r>
          </w:p>
        </w:tc>
        <w:tc>
          <w:tcPr>
            <w:tcW w:w="535" w:type="pct"/>
            <w:tcBorders>
              <w:top w:val="nil"/>
              <w:bottom w:val="nil"/>
            </w:tcBorders>
            <w:shd w:val="clear" w:color="auto" w:fill="auto"/>
          </w:tcPr>
          <w:p w14:paraId="437C252E" w14:textId="77777777" w:rsidR="003438A2" w:rsidRPr="00752411" w:rsidRDefault="003438A2" w:rsidP="005643E8">
            <w:pPr>
              <w:pStyle w:val="TableText"/>
            </w:pPr>
            <w:r w:rsidRPr="00752411">
              <w:t>High</w:t>
            </w:r>
          </w:p>
        </w:tc>
        <w:tc>
          <w:tcPr>
            <w:tcW w:w="372" w:type="pct"/>
            <w:tcBorders>
              <w:top w:val="nil"/>
              <w:bottom w:val="nil"/>
            </w:tcBorders>
            <w:shd w:val="clear" w:color="auto" w:fill="auto"/>
          </w:tcPr>
          <w:p w14:paraId="0CAB2B48" w14:textId="77777777" w:rsidR="003438A2" w:rsidRPr="00752411" w:rsidRDefault="003438A2" w:rsidP="005643E8">
            <w:pPr>
              <w:pStyle w:val="TableText"/>
            </w:pPr>
            <w:r w:rsidRPr="00752411">
              <w:t>High</w:t>
            </w:r>
          </w:p>
        </w:tc>
        <w:tc>
          <w:tcPr>
            <w:tcW w:w="561" w:type="pct"/>
            <w:tcBorders>
              <w:top w:val="nil"/>
              <w:bottom w:val="nil"/>
            </w:tcBorders>
            <w:shd w:val="clear" w:color="auto" w:fill="auto"/>
          </w:tcPr>
          <w:p w14:paraId="1DA82D45" w14:textId="77777777" w:rsidR="003438A2" w:rsidRPr="00752411" w:rsidRDefault="003438A2" w:rsidP="005643E8">
            <w:pPr>
              <w:pStyle w:val="TableText"/>
            </w:pPr>
            <w:r w:rsidRPr="00752411">
              <w:t>Low</w:t>
            </w:r>
          </w:p>
        </w:tc>
        <w:tc>
          <w:tcPr>
            <w:tcW w:w="588" w:type="pct"/>
            <w:tcBorders>
              <w:top w:val="nil"/>
              <w:bottom w:val="nil"/>
            </w:tcBorders>
            <w:shd w:val="clear" w:color="auto" w:fill="auto"/>
          </w:tcPr>
          <w:p w14:paraId="57DD67D0" w14:textId="77777777" w:rsidR="003438A2" w:rsidRPr="00752411" w:rsidRDefault="003438A2" w:rsidP="005643E8">
            <w:pPr>
              <w:pStyle w:val="TableText"/>
            </w:pPr>
            <w:r w:rsidRPr="00752411">
              <w:t>Very Low</w:t>
            </w:r>
          </w:p>
        </w:tc>
        <w:tc>
          <w:tcPr>
            <w:tcW w:w="482" w:type="pct"/>
            <w:gridSpan w:val="2"/>
            <w:tcBorders>
              <w:top w:val="nil"/>
              <w:bottom w:val="nil"/>
              <w:right w:val="nil"/>
            </w:tcBorders>
            <w:shd w:val="clear" w:color="auto" w:fill="auto"/>
          </w:tcPr>
          <w:p w14:paraId="63E475CB" w14:textId="77777777" w:rsidR="003438A2" w:rsidRPr="00752411" w:rsidRDefault="003438A2" w:rsidP="005643E8">
            <w:pPr>
              <w:pStyle w:val="TableText"/>
              <w:rPr>
                <w:b/>
              </w:rPr>
            </w:pPr>
            <w:r w:rsidRPr="00752411">
              <w:rPr>
                <w:b/>
              </w:rPr>
              <w:t>Negligible</w:t>
            </w:r>
          </w:p>
        </w:tc>
      </w:tr>
      <w:tr w:rsidR="003438A2" w:rsidRPr="00752411" w14:paraId="6CBF2614" w14:textId="77777777" w:rsidTr="005643E8">
        <w:trPr>
          <w:gridAfter w:val="1"/>
          <w:wAfter w:w="79" w:type="pct"/>
        </w:trPr>
        <w:tc>
          <w:tcPr>
            <w:tcW w:w="1019" w:type="pct"/>
            <w:tcBorders>
              <w:top w:val="nil"/>
              <w:left w:val="nil"/>
              <w:bottom w:val="nil"/>
            </w:tcBorders>
          </w:tcPr>
          <w:p w14:paraId="4ED3A0DF" w14:textId="77777777" w:rsidR="003438A2" w:rsidRPr="00752411" w:rsidRDefault="003438A2" w:rsidP="005643E8">
            <w:pPr>
              <w:pStyle w:val="TableText"/>
              <w:rPr>
                <w:rFonts w:eastAsia="Calibri" w:cs="Times New Roman"/>
                <w:bCs/>
                <w:i/>
                <w:iCs/>
              </w:rPr>
            </w:pPr>
            <w:r w:rsidRPr="00752411">
              <w:rPr>
                <w:rFonts w:eastAsia="Calibri" w:cs="Times New Roman"/>
                <w:bCs/>
                <w:i/>
                <w:iCs/>
              </w:rPr>
              <w:t>Tobacco necrosis virus</w:t>
            </w:r>
            <w:r>
              <w:rPr>
                <w:rFonts w:eastAsia="Calibri" w:cs="Times New Roman"/>
                <w:bCs/>
                <w:i/>
                <w:iCs/>
              </w:rPr>
              <w:t xml:space="preserve"> </w:t>
            </w:r>
            <w:r w:rsidRPr="00214081">
              <w:rPr>
                <w:rFonts w:eastAsia="Calibri" w:cs="Times New Roman"/>
                <w:bCs/>
              </w:rPr>
              <w:t>D</w:t>
            </w:r>
            <w:r w:rsidRPr="00752411">
              <w:rPr>
                <w:rFonts w:eastAsia="Calibri" w:cs="Times New Roman"/>
                <w:bCs/>
                <w:i/>
                <w:iCs/>
              </w:rPr>
              <w:t xml:space="preserve"> </w:t>
            </w:r>
            <w:r w:rsidRPr="00752411">
              <w:rPr>
                <w:rFonts w:eastAsia="Calibri" w:cs="Times New Roman"/>
                <w:bCs/>
                <w:iCs/>
              </w:rPr>
              <w:t>(EP)</w:t>
            </w:r>
          </w:p>
        </w:tc>
        <w:tc>
          <w:tcPr>
            <w:tcW w:w="438" w:type="pct"/>
            <w:tcBorders>
              <w:top w:val="nil"/>
              <w:bottom w:val="nil"/>
            </w:tcBorders>
            <w:shd w:val="clear" w:color="auto" w:fill="auto"/>
          </w:tcPr>
          <w:p w14:paraId="27CF7436" w14:textId="77777777" w:rsidR="003438A2" w:rsidRPr="00752411" w:rsidRDefault="003438A2" w:rsidP="005643E8">
            <w:pPr>
              <w:pStyle w:val="TableText"/>
            </w:pPr>
            <w:r w:rsidRPr="00752411">
              <w:t>Moderate</w:t>
            </w:r>
          </w:p>
        </w:tc>
        <w:tc>
          <w:tcPr>
            <w:tcW w:w="482" w:type="pct"/>
            <w:tcBorders>
              <w:top w:val="nil"/>
              <w:bottom w:val="nil"/>
            </w:tcBorders>
            <w:shd w:val="clear" w:color="auto" w:fill="auto"/>
          </w:tcPr>
          <w:p w14:paraId="5CAA165B" w14:textId="77777777" w:rsidR="003438A2" w:rsidRPr="00752411" w:rsidRDefault="003438A2" w:rsidP="005643E8">
            <w:pPr>
              <w:pStyle w:val="TableText"/>
            </w:pPr>
            <w:r w:rsidRPr="00752411">
              <w:t>Moderate</w:t>
            </w:r>
          </w:p>
        </w:tc>
        <w:tc>
          <w:tcPr>
            <w:tcW w:w="444" w:type="pct"/>
            <w:tcBorders>
              <w:top w:val="nil"/>
              <w:bottom w:val="nil"/>
            </w:tcBorders>
            <w:shd w:val="clear" w:color="auto" w:fill="auto"/>
          </w:tcPr>
          <w:p w14:paraId="042879A1" w14:textId="77777777" w:rsidR="003438A2" w:rsidRPr="00752411" w:rsidRDefault="003438A2" w:rsidP="005643E8">
            <w:pPr>
              <w:pStyle w:val="TableText"/>
              <w:rPr>
                <w:b/>
              </w:rPr>
            </w:pPr>
            <w:r w:rsidRPr="00752411">
              <w:rPr>
                <w:b/>
              </w:rPr>
              <w:t>Low</w:t>
            </w:r>
          </w:p>
        </w:tc>
        <w:tc>
          <w:tcPr>
            <w:tcW w:w="535" w:type="pct"/>
            <w:tcBorders>
              <w:top w:val="nil"/>
              <w:bottom w:val="nil"/>
            </w:tcBorders>
            <w:shd w:val="clear" w:color="auto" w:fill="auto"/>
          </w:tcPr>
          <w:p w14:paraId="1FCEBD6D" w14:textId="77777777" w:rsidR="003438A2" w:rsidRPr="00752411" w:rsidRDefault="003438A2" w:rsidP="005643E8">
            <w:pPr>
              <w:pStyle w:val="TableText"/>
            </w:pPr>
            <w:r w:rsidRPr="00752411">
              <w:t>High</w:t>
            </w:r>
          </w:p>
        </w:tc>
        <w:tc>
          <w:tcPr>
            <w:tcW w:w="372" w:type="pct"/>
            <w:tcBorders>
              <w:top w:val="nil"/>
              <w:bottom w:val="nil"/>
            </w:tcBorders>
            <w:shd w:val="clear" w:color="auto" w:fill="auto"/>
          </w:tcPr>
          <w:p w14:paraId="5945D151" w14:textId="77777777" w:rsidR="003438A2" w:rsidRPr="00752411" w:rsidRDefault="003438A2" w:rsidP="005643E8">
            <w:pPr>
              <w:pStyle w:val="TableText"/>
            </w:pPr>
            <w:r w:rsidRPr="00752411">
              <w:t>High</w:t>
            </w:r>
          </w:p>
        </w:tc>
        <w:tc>
          <w:tcPr>
            <w:tcW w:w="561" w:type="pct"/>
            <w:tcBorders>
              <w:top w:val="nil"/>
              <w:bottom w:val="nil"/>
            </w:tcBorders>
            <w:shd w:val="clear" w:color="auto" w:fill="auto"/>
          </w:tcPr>
          <w:p w14:paraId="667BFEA5" w14:textId="77777777" w:rsidR="003438A2" w:rsidRPr="00752411" w:rsidRDefault="003438A2" w:rsidP="005643E8">
            <w:pPr>
              <w:pStyle w:val="TableText"/>
            </w:pPr>
            <w:r w:rsidRPr="00752411">
              <w:t>Low</w:t>
            </w:r>
          </w:p>
        </w:tc>
        <w:tc>
          <w:tcPr>
            <w:tcW w:w="588" w:type="pct"/>
            <w:tcBorders>
              <w:top w:val="nil"/>
              <w:bottom w:val="nil"/>
            </w:tcBorders>
            <w:shd w:val="clear" w:color="auto" w:fill="auto"/>
          </w:tcPr>
          <w:p w14:paraId="3DE4E133" w14:textId="77777777" w:rsidR="003438A2" w:rsidRPr="00752411" w:rsidRDefault="003438A2" w:rsidP="005643E8">
            <w:pPr>
              <w:pStyle w:val="TableText"/>
            </w:pPr>
            <w:r w:rsidRPr="00752411">
              <w:t>Very Low</w:t>
            </w:r>
          </w:p>
        </w:tc>
        <w:tc>
          <w:tcPr>
            <w:tcW w:w="482" w:type="pct"/>
            <w:gridSpan w:val="2"/>
            <w:tcBorders>
              <w:top w:val="nil"/>
              <w:bottom w:val="nil"/>
              <w:right w:val="nil"/>
            </w:tcBorders>
            <w:shd w:val="clear" w:color="auto" w:fill="auto"/>
          </w:tcPr>
          <w:p w14:paraId="10A03287" w14:textId="77777777" w:rsidR="003438A2" w:rsidRPr="00752411" w:rsidRDefault="003438A2" w:rsidP="005643E8">
            <w:pPr>
              <w:pStyle w:val="TableText"/>
              <w:rPr>
                <w:b/>
              </w:rPr>
            </w:pPr>
            <w:r w:rsidRPr="00752411">
              <w:rPr>
                <w:b/>
              </w:rPr>
              <w:t>Negligible</w:t>
            </w:r>
          </w:p>
        </w:tc>
      </w:tr>
    </w:tbl>
    <w:p w14:paraId="7C24C094" w14:textId="77777777" w:rsidR="003438A2" w:rsidRPr="00594A68" w:rsidRDefault="003438A2" w:rsidP="00280384">
      <w:pPr>
        <w:pStyle w:val="FigureTableNoteSource"/>
        <w:sectPr w:rsidR="003438A2" w:rsidRPr="00594A68" w:rsidSect="00E310DC">
          <w:headerReference w:type="even" r:id="rId75"/>
          <w:headerReference w:type="default" r:id="rId76"/>
          <w:footerReference w:type="default" r:id="rId77"/>
          <w:headerReference w:type="first" r:id="rId78"/>
          <w:pgSz w:w="16838" w:h="11906" w:orient="landscape"/>
          <w:pgMar w:top="1418" w:right="1418" w:bottom="1418" w:left="1418" w:header="567" w:footer="283" w:gutter="0"/>
          <w:cols w:space="708"/>
          <w:docGrid w:linePitch="360"/>
        </w:sectPr>
      </w:pPr>
      <w:r w:rsidRPr="00752411">
        <w:rPr>
          <w:b/>
        </w:rPr>
        <w:t xml:space="preserve">EP </w:t>
      </w:r>
      <w:r w:rsidRPr="00752411">
        <w:t xml:space="preserve">Species has been assessed previously and import policy already exists. </w:t>
      </w:r>
      <w:r w:rsidRPr="00752411">
        <w:rPr>
          <w:b/>
        </w:rPr>
        <w:t>GP</w:t>
      </w:r>
      <w:r w:rsidRPr="00752411">
        <w:t xml:space="preserve"> Species has been assessed previously in a group policy.</w:t>
      </w:r>
      <w:r w:rsidRPr="00752411">
        <w:rPr>
          <w:b/>
        </w:rPr>
        <w:t xml:space="preserve"> NT </w:t>
      </w:r>
      <w:r w:rsidRPr="00752411">
        <w:t>Pest of quarantine concern for Northern Territory</w:t>
      </w:r>
      <w:r w:rsidRPr="00752411">
        <w:rPr>
          <w:b/>
        </w:rPr>
        <w:t xml:space="preserve"> RA </w:t>
      </w:r>
      <w:r w:rsidRPr="00752411">
        <w:t xml:space="preserve">Regulated article, refer to Section </w:t>
      </w:r>
      <w:r>
        <w:fldChar w:fldCharType="begin" w:fldLock="1"/>
      </w:r>
      <w:r>
        <w:instrText xml:space="preserve"> REF _Ref46060520 \r \h </w:instrText>
      </w:r>
      <w:r>
        <w:fldChar w:fldCharType="separate"/>
      </w:r>
      <w:r>
        <w:t>4.14</w:t>
      </w:r>
      <w:r>
        <w:fldChar w:fldCharType="end"/>
      </w:r>
      <w:r>
        <w:t xml:space="preserve"> </w:t>
      </w:r>
      <w:r w:rsidRPr="00752411">
        <w:t xml:space="preserve">for definition of a regulated article. </w:t>
      </w:r>
      <w:r w:rsidRPr="00752411">
        <w:rPr>
          <w:b/>
        </w:rPr>
        <w:t xml:space="preserve">WA </w:t>
      </w:r>
      <w:r w:rsidRPr="00752411">
        <w:t>Pest of quarantine concern for Western Australia.</w:t>
      </w:r>
    </w:p>
    <w:p w14:paraId="28FCDC96" w14:textId="77777777" w:rsidR="003438A2" w:rsidRPr="00AB1BD9" w:rsidRDefault="003438A2" w:rsidP="00AB1BD9">
      <w:pPr>
        <w:pStyle w:val="Heading3"/>
      </w:pPr>
      <w:bookmarkStart w:id="478" w:name="_Toc112769028"/>
      <w:bookmarkStart w:id="479" w:name="_Hlk109807234"/>
      <w:bookmarkEnd w:id="470"/>
      <w:r w:rsidRPr="00AB1BD9">
        <w:lastRenderedPageBreak/>
        <w:t>Summary of assessment of quarantine pests of concern</w:t>
      </w:r>
      <w:bookmarkEnd w:id="478"/>
    </w:p>
    <w:p w14:paraId="07A732D9" w14:textId="77777777" w:rsidR="003438A2" w:rsidRDefault="003438A2" w:rsidP="005065E4">
      <w:r w:rsidRPr="00F11067">
        <w:t xml:space="preserve">This section provides a summary of the process of assessment of potential and confirmed quarantine </w:t>
      </w:r>
      <w:r w:rsidRPr="00537033">
        <w:t>pests of concern (shown i</w:t>
      </w:r>
      <w:r>
        <w:t xml:space="preserve">n </w:t>
      </w:r>
      <w:r>
        <w:fldChar w:fldCharType="begin" w:fldLock="1"/>
      </w:r>
      <w:r>
        <w:instrText xml:space="preserve"> REF _Ref44706887 \h </w:instrText>
      </w:r>
      <w:r>
        <w:fldChar w:fldCharType="separate"/>
      </w:r>
      <w:r>
        <w:t xml:space="preserve">Figure </w:t>
      </w:r>
      <w:r>
        <w:rPr>
          <w:noProof/>
        </w:rPr>
        <w:t>4</w:t>
      </w:r>
      <w:r>
        <w:fldChar w:fldCharType="end"/>
      </w:r>
      <w:r>
        <w:t>).</w:t>
      </w:r>
    </w:p>
    <w:p w14:paraId="345665D5" w14:textId="77777777" w:rsidR="003438A2" w:rsidRPr="00537033" w:rsidRDefault="003438A2" w:rsidP="005065E4">
      <w:r w:rsidRPr="00537033">
        <w:t>The pest categorisation process</w:t>
      </w:r>
      <w:r>
        <w:t xml:space="preserve"> (Appendix A: Initiation and categorisation for pests of fresh apple fruit from the Pacific Northwest States of the USA) </w:t>
      </w:r>
      <w:r w:rsidRPr="00537033">
        <w:t xml:space="preserve">identified </w:t>
      </w:r>
      <w:r>
        <w:t>21</w:t>
      </w:r>
      <w:r w:rsidRPr="005E64AD">
        <w:t>6</w:t>
      </w:r>
      <w:r w:rsidRPr="00537033">
        <w:t xml:space="preserve"> pests. Of these </w:t>
      </w:r>
      <w:r>
        <w:t>21</w:t>
      </w:r>
      <w:r w:rsidRPr="005E64AD">
        <w:t>6</w:t>
      </w:r>
      <w:r w:rsidRPr="00537033">
        <w:t xml:space="preserve"> pests:</w:t>
      </w:r>
    </w:p>
    <w:p w14:paraId="718D5C4A" w14:textId="77777777" w:rsidR="003438A2" w:rsidRPr="00537033" w:rsidRDefault="003438A2" w:rsidP="003438A2">
      <w:pPr>
        <w:pStyle w:val="ListBullet"/>
        <w:numPr>
          <w:ilvl w:val="0"/>
          <w:numId w:val="15"/>
        </w:numPr>
      </w:pPr>
      <w:r w:rsidRPr="00B16ED5">
        <w:t>2</w:t>
      </w:r>
      <w:r>
        <w:t>3 pests are</w:t>
      </w:r>
      <w:r w:rsidRPr="00537033">
        <w:t xml:space="preserve"> present in the United States</w:t>
      </w:r>
      <w:r>
        <w:t xml:space="preserve"> of America</w:t>
      </w:r>
      <w:r w:rsidRPr="00537033">
        <w:t>, but not recorded from the Pacific Northwest, and therefore were not considered</w:t>
      </w:r>
      <w:r>
        <w:t xml:space="preserve"> </w:t>
      </w:r>
      <w:r w:rsidRPr="00537033">
        <w:t>further;</w:t>
      </w:r>
    </w:p>
    <w:p w14:paraId="571A80C3" w14:textId="77777777" w:rsidR="003438A2" w:rsidRPr="00E468D1" w:rsidRDefault="003438A2" w:rsidP="003438A2">
      <w:pPr>
        <w:pStyle w:val="ListBullet"/>
        <w:numPr>
          <w:ilvl w:val="0"/>
          <w:numId w:val="15"/>
        </w:numPr>
      </w:pPr>
      <w:r w:rsidRPr="00E468D1">
        <w:t>42 of the remaining 193 pests are already present in Australia, and not under official control, and therefore were not considered further;</w:t>
      </w:r>
    </w:p>
    <w:p w14:paraId="2ECA98AD" w14:textId="77777777" w:rsidR="003438A2" w:rsidRPr="00E468D1" w:rsidRDefault="003438A2" w:rsidP="003438A2">
      <w:pPr>
        <w:pStyle w:val="ListBullet"/>
        <w:numPr>
          <w:ilvl w:val="0"/>
          <w:numId w:val="15"/>
        </w:numPr>
      </w:pPr>
      <w:r w:rsidRPr="00E468D1">
        <w:t>109 of the 151</w:t>
      </w:r>
      <w:r w:rsidRPr="00E468D1">
        <w:rPr>
          <w:color w:val="00B050"/>
        </w:rPr>
        <w:t xml:space="preserve"> </w:t>
      </w:r>
      <w:r w:rsidRPr="00E468D1">
        <w:t>remaining pests were assessed as not having potential to be on the pathway of apples, and therefore did not undergo further assessment.</w:t>
      </w:r>
    </w:p>
    <w:p w14:paraId="2D4FE48A" w14:textId="77777777" w:rsidR="003438A2" w:rsidRPr="00E468D1" w:rsidRDefault="003438A2" w:rsidP="005065E4">
      <w:pPr>
        <w:pStyle w:val="ListBullet"/>
        <w:numPr>
          <w:ilvl w:val="0"/>
          <w:numId w:val="0"/>
        </w:numPr>
      </w:pPr>
      <w:r w:rsidRPr="00E468D1">
        <w:t>The outcome of the above process left 42 pests that required further consideration that is, pest risk assessment. Pest risk assessments for these 42 pests were subsequently completed:</w:t>
      </w:r>
    </w:p>
    <w:p w14:paraId="6CFF44BE" w14:textId="77777777" w:rsidR="003438A2" w:rsidRPr="00E468D1" w:rsidRDefault="003438A2" w:rsidP="00F843A1">
      <w:pPr>
        <w:pStyle w:val="ListBullet"/>
        <w:numPr>
          <w:ilvl w:val="0"/>
          <w:numId w:val="23"/>
        </w:numPr>
      </w:pPr>
      <w:r w:rsidRPr="00E468D1">
        <w:t>The estimated unrestricted risks for 19 pests were assessed as achieving the ALOP for Australia, and therefore no specific risk management measures are required for these pests on this pathway. These pests are:</w:t>
      </w:r>
    </w:p>
    <w:p w14:paraId="17FD1939" w14:textId="77777777" w:rsidR="003438A2" w:rsidRPr="00C10507" w:rsidRDefault="003438A2" w:rsidP="00F843A1">
      <w:pPr>
        <w:pStyle w:val="ListBullet2"/>
        <w:numPr>
          <w:ilvl w:val="1"/>
          <w:numId w:val="23"/>
        </w:numPr>
        <w:tabs>
          <w:tab w:val="num" w:pos="794"/>
        </w:tabs>
      </w:pPr>
      <w:r w:rsidRPr="00C10507">
        <w:t>Apple curculio</w:t>
      </w:r>
      <w:r w:rsidRPr="00C10507">
        <w:rPr>
          <w:i/>
        </w:rPr>
        <w:t xml:space="preserve"> </w:t>
      </w:r>
      <w:r w:rsidRPr="00C10507">
        <w:t>(</w:t>
      </w:r>
      <w:r w:rsidRPr="00C10507">
        <w:rPr>
          <w:i/>
        </w:rPr>
        <w:t>Anthonomus quadrigibbus</w:t>
      </w:r>
      <w:r w:rsidRPr="00C10507">
        <w:t>)</w:t>
      </w:r>
    </w:p>
    <w:p w14:paraId="63BD5E45" w14:textId="77777777" w:rsidR="003438A2" w:rsidRPr="00C10507" w:rsidRDefault="003438A2" w:rsidP="00F843A1">
      <w:pPr>
        <w:pStyle w:val="ListBullet2"/>
        <w:numPr>
          <w:ilvl w:val="1"/>
          <w:numId w:val="23"/>
        </w:numPr>
        <w:rPr>
          <w:i/>
        </w:rPr>
      </w:pPr>
      <w:r w:rsidRPr="00C10507">
        <w:rPr>
          <w:iCs/>
        </w:rPr>
        <w:t>Apple fruit moth</w:t>
      </w:r>
      <w:r w:rsidRPr="00C10507">
        <w:rPr>
          <w:i/>
          <w:iCs/>
        </w:rPr>
        <w:t xml:space="preserve"> </w:t>
      </w:r>
      <w:r w:rsidRPr="00C10507">
        <w:rPr>
          <w:iCs/>
        </w:rPr>
        <w:t>(</w:t>
      </w:r>
      <w:r w:rsidRPr="00C10507">
        <w:rPr>
          <w:i/>
          <w:iCs/>
        </w:rPr>
        <w:t>Argyresthia conjugella</w:t>
      </w:r>
      <w:r w:rsidRPr="00C10507">
        <w:rPr>
          <w:iCs/>
        </w:rPr>
        <w:t>)</w:t>
      </w:r>
    </w:p>
    <w:p w14:paraId="72D6709A" w14:textId="77777777" w:rsidR="003438A2" w:rsidRPr="00C10507" w:rsidRDefault="003438A2" w:rsidP="00F843A1">
      <w:pPr>
        <w:pStyle w:val="ListBullet2"/>
        <w:numPr>
          <w:ilvl w:val="1"/>
          <w:numId w:val="23"/>
        </w:numPr>
        <w:tabs>
          <w:tab w:val="num" w:pos="794"/>
        </w:tabs>
      </w:pPr>
      <w:r w:rsidRPr="00C10507">
        <w:rPr>
          <w:bCs/>
          <w:iCs/>
        </w:rPr>
        <w:t>Apple scar skin</w:t>
      </w:r>
      <w:r w:rsidRPr="00C10507">
        <w:rPr>
          <w:bCs/>
          <w:i/>
          <w:iCs/>
        </w:rPr>
        <w:t xml:space="preserve"> </w:t>
      </w:r>
      <w:r w:rsidRPr="00C10507">
        <w:rPr>
          <w:bCs/>
          <w:iCs/>
        </w:rPr>
        <w:t>(</w:t>
      </w:r>
      <w:r w:rsidRPr="00C10507">
        <w:rPr>
          <w:i/>
        </w:rPr>
        <w:t>Apple scar skin viroid</w:t>
      </w:r>
      <w:r w:rsidRPr="00C10507">
        <w:t>)</w:t>
      </w:r>
    </w:p>
    <w:p w14:paraId="27AAC799" w14:textId="77777777" w:rsidR="003438A2" w:rsidRPr="00C10507" w:rsidRDefault="003438A2" w:rsidP="00F843A1">
      <w:pPr>
        <w:pStyle w:val="ListBullet2"/>
        <w:numPr>
          <w:ilvl w:val="1"/>
          <w:numId w:val="23"/>
        </w:numPr>
        <w:tabs>
          <w:tab w:val="num" w:pos="794"/>
        </w:tabs>
      </w:pPr>
      <w:r w:rsidRPr="00C10507">
        <w:rPr>
          <w:rFonts w:eastAsia="Calibri" w:cs="Times New Roman"/>
          <w:iCs/>
          <w:szCs w:val="18"/>
        </w:rPr>
        <w:t>Bull’s-eye rot</w:t>
      </w:r>
      <w:r w:rsidRPr="00C10507">
        <w:rPr>
          <w:i/>
        </w:rPr>
        <w:t xml:space="preserve"> </w:t>
      </w:r>
      <w:r w:rsidRPr="00C10507">
        <w:t>(</w:t>
      </w:r>
      <w:r w:rsidRPr="00C10507">
        <w:rPr>
          <w:i/>
        </w:rPr>
        <w:t>Neofabraea malicorticis</w:t>
      </w:r>
      <w:r w:rsidRPr="00C10507">
        <w:t>)</w:t>
      </w:r>
    </w:p>
    <w:p w14:paraId="5DB7F19A" w14:textId="77777777" w:rsidR="003438A2" w:rsidRPr="00C10507" w:rsidRDefault="003438A2" w:rsidP="00F843A1">
      <w:pPr>
        <w:pStyle w:val="ListBullet2"/>
        <w:numPr>
          <w:ilvl w:val="1"/>
          <w:numId w:val="23"/>
        </w:numPr>
      </w:pPr>
      <w:r w:rsidRPr="00C10507">
        <w:t>Chaff scale</w:t>
      </w:r>
      <w:r w:rsidRPr="00C10507">
        <w:rPr>
          <w:bCs/>
          <w:i/>
          <w:iCs/>
        </w:rPr>
        <w:t xml:space="preserve"> </w:t>
      </w:r>
      <w:r w:rsidRPr="00C10507">
        <w:rPr>
          <w:bCs/>
          <w:iCs/>
        </w:rPr>
        <w:t>(</w:t>
      </w:r>
      <w:r w:rsidRPr="00C10507">
        <w:rPr>
          <w:bCs/>
          <w:i/>
          <w:iCs/>
        </w:rPr>
        <w:t>Parlatoria pergandii</w:t>
      </w:r>
      <w:r w:rsidRPr="00C10507">
        <w:rPr>
          <w:bCs/>
          <w:iCs/>
        </w:rPr>
        <w:t>)</w:t>
      </w:r>
    </w:p>
    <w:p w14:paraId="74BC838C" w14:textId="77777777" w:rsidR="003438A2" w:rsidRPr="00737AE8" w:rsidRDefault="003438A2" w:rsidP="00F843A1">
      <w:pPr>
        <w:pStyle w:val="ListBullet2"/>
        <w:numPr>
          <w:ilvl w:val="1"/>
          <w:numId w:val="23"/>
        </w:numPr>
        <w:tabs>
          <w:tab w:val="num" w:pos="794"/>
        </w:tabs>
      </w:pPr>
      <w:r w:rsidRPr="00737AE8">
        <w:rPr>
          <w:szCs w:val="18"/>
        </w:rPr>
        <w:t>Cherry fruitworm</w:t>
      </w:r>
      <w:r w:rsidRPr="00737AE8">
        <w:rPr>
          <w:i/>
        </w:rPr>
        <w:t xml:space="preserve"> </w:t>
      </w:r>
      <w:r w:rsidRPr="00737AE8">
        <w:t>(</w:t>
      </w:r>
      <w:r w:rsidRPr="00737AE8">
        <w:rPr>
          <w:i/>
        </w:rPr>
        <w:t>Grapholita packardi</w:t>
      </w:r>
      <w:r w:rsidRPr="00737AE8">
        <w:t>)</w:t>
      </w:r>
    </w:p>
    <w:p w14:paraId="7F0F938F" w14:textId="77777777" w:rsidR="003438A2" w:rsidRPr="00C10507" w:rsidRDefault="003438A2" w:rsidP="00F843A1">
      <w:pPr>
        <w:pStyle w:val="ListBullet2"/>
        <w:numPr>
          <w:ilvl w:val="1"/>
          <w:numId w:val="23"/>
        </w:numPr>
      </w:pPr>
      <w:r w:rsidRPr="00C10507">
        <w:rPr>
          <w:rFonts w:eastAsia="Calibri" w:cs="Times New Roman"/>
          <w:bCs/>
        </w:rPr>
        <w:t>Coprinus rot (</w:t>
      </w:r>
      <w:r w:rsidRPr="00C10507">
        <w:rPr>
          <w:rFonts w:eastAsia="Calibri" w:cs="Times New Roman"/>
          <w:bCs/>
          <w:i/>
          <w:iCs/>
        </w:rPr>
        <w:t>Coprinopsis psychromorbida)</w:t>
      </w:r>
    </w:p>
    <w:p w14:paraId="139CBEFA" w14:textId="77777777" w:rsidR="003438A2" w:rsidRPr="00C10507" w:rsidRDefault="003438A2" w:rsidP="00F843A1">
      <w:pPr>
        <w:pStyle w:val="ListBullet2"/>
        <w:numPr>
          <w:ilvl w:val="1"/>
          <w:numId w:val="23"/>
        </w:numPr>
        <w:tabs>
          <w:tab w:val="num" w:pos="794"/>
        </w:tabs>
      </w:pPr>
      <w:r w:rsidRPr="00C10507">
        <w:t>Lacanobia fruitworm (</w:t>
      </w:r>
      <w:r w:rsidRPr="00C10507">
        <w:rPr>
          <w:i/>
        </w:rPr>
        <w:t>Lacanobia subjuncta</w:t>
      </w:r>
      <w:r w:rsidRPr="00C10507">
        <w:t>)</w:t>
      </w:r>
    </w:p>
    <w:p w14:paraId="7F573131" w14:textId="77777777" w:rsidR="003438A2" w:rsidRDefault="003438A2" w:rsidP="00F843A1">
      <w:pPr>
        <w:pStyle w:val="ListBullet2"/>
        <w:numPr>
          <w:ilvl w:val="1"/>
          <w:numId w:val="23"/>
        </w:numPr>
        <w:tabs>
          <w:tab w:val="num" w:pos="794"/>
        </w:tabs>
      </w:pPr>
      <w:r w:rsidRPr="00737AE8">
        <w:rPr>
          <w:szCs w:val="18"/>
        </w:rPr>
        <w:t>Lesser appleworm</w:t>
      </w:r>
      <w:r w:rsidRPr="00737AE8">
        <w:rPr>
          <w:i/>
        </w:rPr>
        <w:t xml:space="preserve"> </w:t>
      </w:r>
      <w:r w:rsidRPr="00737AE8">
        <w:t>(</w:t>
      </w:r>
      <w:r w:rsidRPr="00737AE8">
        <w:rPr>
          <w:i/>
        </w:rPr>
        <w:t>Grapholita prunivora</w:t>
      </w:r>
      <w:r w:rsidRPr="00737AE8">
        <w:t>)</w:t>
      </w:r>
    </w:p>
    <w:p w14:paraId="4F0723BB" w14:textId="77777777" w:rsidR="003438A2" w:rsidRDefault="003438A2" w:rsidP="00F843A1">
      <w:pPr>
        <w:pStyle w:val="ListBullet2"/>
        <w:numPr>
          <w:ilvl w:val="1"/>
          <w:numId w:val="23"/>
        </w:numPr>
      </w:pPr>
      <w:r w:rsidRPr="00C10507">
        <w:t>Lucerne plant bug (</w:t>
      </w:r>
      <w:r w:rsidRPr="00C10507">
        <w:rPr>
          <w:i/>
        </w:rPr>
        <w:t>Lygus elisus</w:t>
      </w:r>
      <w:r w:rsidRPr="00C10507">
        <w:t>)</w:t>
      </w:r>
    </w:p>
    <w:p w14:paraId="5FF28B62" w14:textId="77777777" w:rsidR="003438A2" w:rsidRPr="00C10507" w:rsidRDefault="003438A2" w:rsidP="00F843A1">
      <w:pPr>
        <w:pStyle w:val="ListBullet2"/>
        <w:numPr>
          <w:ilvl w:val="1"/>
          <w:numId w:val="23"/>
        </w:numPr>
        <w:tabs>
          <w:tab w:val="num" w:pos="794"/>
        </w:tabs>
      </w:pPr>
      <w:r w:rsidRPr="00C10507">
        <w:t>Oriental fruit moth</w:t>
      </w:r>
      <w:r w:rsidRPr="00C10507">
        <w:rPr>
          <w:i/>
        </w:rPr>
        <w:t xml:space="preserve"> </w:t>
      </w:r>
      <w:r w:rsidRPr="00C10507">
        <w:t>(</w:t>
      </w:r>
      <w:r w:rsidRPr="00C10507">
        <w:rPr>
          <w:i/>
        </w:rPr>
        <w:t>Grapholita molesta</w:t>
      </w:r>
      <w:r w:rsidRPr="00C10507">
        <w:t>)</w:t>
      </w:r>
    </w:p>
    <w:p w14:paraId="76DA0F42" w14:textId="77777777" w:rsidR="003438A2" w:rsidRDefault="003438A2" w:rsidP="00F843A1">
      <w:pPr>
        <w:pStyle w:val="ListBullet2"/>
        <w:numPr>
          <w:ilvl w:val="1"/>
          <w:numId w:val="23"/>
        </w:numPr>
        <w:tabs>
          <w:tab w:val="num" w:pos="794"/>
        </w:tabs>
      </w:pPr>
      <w:r w:rsidRPr="00C10507">
        <w:t>Pacific spider mite</w:t>
      </w:r>
      <w:r w:rsidRPr="00C10507">
        <w:rPr>
          <w:i/>
        </w:rPr>
        <w:t xml:space="preserve"> </w:t>
      </w:r>
      <w:r w:rsidRPr="00C10507">
        <w:t>(</w:t>
      </w:r>
      <w:r w:rsidRPr="00C10507">
        <w:rPr>
          <w:i/>
        </w:rPr>
        <w:t>Tetranychus pacificus</w:t>
      </w:r>
      <w:r w:rsidRPr="00C10507">
        <w:t>)</w:t>
      </w:r>
    </w:p>
    <w:p w14:paraId="26883CF5" w14:textId="77777777" w:rsidR="003438A2" w:rsidRPr="00C10507" w:rsidRDefault="003438A2" w:rsidP="00F843A1">
      <w:pPr>
        <w:pStyle w:val="ListBullet2"/>
        <w:numPr>
          <w:ilvl w:val="1"/>
          <w:numId w:val="23"/>
        </w:numPr>
        <w:tabs>
          <w:tab w:val="num" w:pos="794"/>
        </w:tabs>
      </w:pPr>
      <w:r w:rsidRPr="00C10507">
        <w:rPr>
          <w:rFonts w:eastAsia="Calibri" w:cs="Times New Roman"/>
          <w:bCs/>
        </w:rPr>
        <w:t>Phacidiopycnis rot</w:t>
      </w:r>
      <w:r w:rsidRPr="00C10507">
        <w:rPr>
          <w:rFonts w:eastAsia="Calibri" w:cs="Times New Roman"/>
          <w:bCs/>
          <w:i/>
          <w:iCs/>
        </w:rPr>
        <w:t xml:space="preserve"> </w:t>
      </w:r>
      <w:r w:rsidRPr="00C10507">
        <w:rPr>
          <w:rFonts w:eastAsia="Calibri" w:cs="Times New Roman"/>
          <w:bCs/>
        </w:rPr>
        <w:t>(</w:t>
      </w:r>
      <w:r w:rsidRPr="00C10507">
        <w:rPr>
          <w:rFonts w:eastAsia="Calibri" w:cs="Times New Roman"/>
          <w:bCs/>
          <w:i/>
          <w:iCs/>
        </w:rPr>
        <w:t>Discula pyri</w:t>
      </w:r>
      <w:r w:rsidRPr="00C10507">
        <w:rPr>
          <w:rFonts w:eastAsia="Calibri" w:cs="Times New Roman"/>
          <w:bCs/>
        </w:rPr>
        <w:t>)</w:t>
      </w:r>
    </w:p>
    <w:p w14:paraId="53973EB9" w14:textId="77777777" w:rsidR="003438A2" w:rsidRPr="00C10507" w:rsidRDefault="003438A2" w:rsidP="00F843A1">
      <w:pPr>
        <w:pStyle w:val="ListBullet2"/>
        <w:numPr>
          <w:ilvl w:val="1"/>
          <w:numId w:val="23"/>
        </w:numPr>
      </w:pPr>
      <w:r w:rsidRPr="00C10507">
        <w:t>Strawberry spider mite (</w:t>
      </w:r>
      <w:r w:rsidRPr="00C10507">
        <w:rPr>
          <w:i/>
        </w:rPr>
        <w:t>Tetranychus turkestani</w:t>
      </w:r>
      <w:r w:rsidRPr="00C10507">
        <w:t>)</w:t>
      </w:r>
    </w:p>
    <w:p w14:paraId="6C4E1021" w14:textId="77777777" w:rsidR="003438A2" w:rsidRPr="00C10507" w:rsidRDefault="003438A2" w:rsidP="00F843A1">
      <w:pPr>
        <w:pStyle w:val="ListBullet2"/>
        <w:numPr>
          <w:ilvl w:val="1"/>
          <w:numId w:val="23"/>
        </w:numPr>
        <w:tabs>
          <w:tab w:val="num" w:pos="794"/>
        </w:tabs>
      </w:pPr>
      <w:r w:rsidRPr="00C10507">
        <w:t>Tarnished plant bug (</w:t>
      </w:r>
      <w:r w:rsidRPr="00C10507">
        <w:rPr>
          <w:i/>
        </w:rPr>
        <w:t>Lygus lineolaris</w:t>
      </w:r>
      <w:r w:rsidRPr="00C10507">
        <w:t>)</w:t>
      </w:r>
    </w:p>
    <w:p w14:paraId="09CDA26D" w14:textId="77777777" w:rsidR="003438A2" w:rsidRDefault="003438A2" w:rsidP="00F843A1">
      <w:pPr>
        <w:pStyle w:val="ListBullet2"/>
        <w:numPr>
          <w:ilvl w:val="1"/>
          <w:numId w:val="23"/>
        </w:numPr>
        <w:rPr>
          <w:rFonts w:eastAsia="Calibri" w:cs="Times New Roman"/>
          <w:bCs/>
        </w:rPr>
      </w:pPr>
      <w:r w:rsidRPr="00C10507">
        <w:rPr>
          <w:rFonts w:eastAsia="Calibri" w:cs="Times New Roman"/>
          <w:szCs w:val="18"/>
        </w:rPr>
        <w:t>Tobacco necrosis virus</w:t>
      </w:r>
      <w:r w:rsidRPr="00C10507">
        <w:rPr>
          <w:rFonts w:eastAsia="Calibri" w:cs="Times New Roman"/>
          <w:bCs/>
          <w:i/>
          <w:iCs/>
        </w:rPr>
        <w:t xml:space="preserve"> </w:t>
      </w:r>
      <w:r w:rsidRPr="00C10507">
        <w:rPr>
          <w:rFonts w:eastAsia="Calibri" w:cs="Times New Roman"/>
          <w:bCs/>
        </w:rPr>
        <w:t>A</w:t>
      </w:r>
    </w:p>
    <w:p w14:paraId="30DCDA62" w14:textId="77777777" w:rsidR="003438A2" w:rsidRDefault="003438A2" w:rsidP="00F843A1">
      <w:pPr>
        <w:pStyle w:val="ListBullet2"/>
        <w:numPr>
          <w:ilvl w:val="1"/>
          <w:numId w:val="23"/>
        </w:numPr>
        <w:tabs>
          <w:tab w:val="num" w:pos="794"/>
        </w:tabs>
        <w:rPr>
          <w:rFonts w:eastAsia="Calibri" w:cs="Times New Roman"/>
          <w:bCs/>
          <w:i/>
          <w:iCs/>
        </w:rPr>
      </w:pPr>
      <w:r w:rsidRPr="00C10507">
        <w:rPr>
          <w:rFonts w:eastAsia="Calibri" w:cs="Times New Roman"/>
          <w:szCs w:val="18"/>
        </w:rPr>
        <w:t>Tobacco necrosis virus</w:t>
      </w:r>
      <w:r w:rsidRPr="00C10507">
        <w:rPr>
          <w:rFonts w:eastAsia="Calibri" w:cs="Times New Roman"/>
          <w:bCs/>
        </w:rPr>
        <w:t xml:space="preserve"> D</w:t>
      </w:r>
    </w:p>
    <w:p w14:paraId="23B2B094" w14:textId="77777777" w:rsidR="003438A2" w:rsidRPr="00C10507" w:rsidRDefault="003438A2" w:rsidP="00F843A1">
      <w:pPr>
        <w:pStyle w:val="ListBullet2"/>
        <w:numPr>
          <w:ilvl w:val="1"/>
          <w:numId w:val="23"/>
        </w:numPr>
        <w:spacing w:before="240"/>
      </w:pPr>
      <w:r w:rsidRPr="00C10507">
        <w:rPr>
          <w:rFonts w:eastAsia="Calibri" w:cs="Times New Roman"/>
          <w:iCs/>
          <w:szCs w:val="18"/>
        </w:rPr>
        <w:t>Truncatella leaf spot</w:t>
      </w:r>
      <w:r w:rsidRPr="00C10507">
        <w:rPr>
          <w:rFonts w:eastAsia="Calibri" w:cs="Times New Roman"/>
          <w:bCs/>
          <w:i/>
          <w:iCs/>
        </w:rPr>
        <w:t xml:space="preserve"> </w:t>
      </w:r>
      <w:r w:rsidRPr="00C10507">
        <w:rPr>
          <w:rFonts w:eastAsia="Calibri" w:cs="Times New Roman"/>
          <w:bCs/>
          <w:iCs/>
        </w:rPr>
        <w:t>(</w:t>
      </w:r>
      <w:r w:rsidRPr="00C10507">
        <w:rPr>
          <w:rFonts w:eastAsia="Calibri" w:cs="Times New Roman"/>
          <w:bCs/>
          <w:i/>
          <w:iCs/>
        </w:rPr>
        <w:t>Truncatella hartigii</w:t>
      </w:r>
      <w:r w:rsidRPr="00C10507">
        <w:rPr>
          <w:rFonts w:eastAsia="Calibri" w:cs="Times New Roman"/>
          <w:bCs/>
          <w:iCs/>
        </w:rPr>
        <w:t>)</w:t>
      </w:r>
      <w:r>
        <w:rPr>
          <w:rFonts w:eastAsia="Calibri" w:cs="Times New Roman"/>
          <w:bCs/>
          <w:iCs/>
        </w:rPr>
        <w:t xml:space="preserve"> and</w:t>
      </w:r>
    </w:p>
    <w:p w14:paraId="192CE27A" w14:textId="77777777" w:rsidR="003438A2" w:rsidRPr="00C10507" w:rsidRDefault="003438A2" w:rsidP="00F843A1">
      <w:pPr>
        <w:pStyle w:val="ListBullet2"/>
        <w:numPr>
          <w:ilvl w:val="1"/>
          <w:numId w:val="23"/>
        </w:numPr>
        <w:tabs>
          <w:tab w:val="num" w:pos="794"/>
        </w:tabs>
      </w:pPr>
      <w:r w:rsidRPr="00C10507">
        <w:t>Western tarnished plant bug (</w:t>
      </w:r>
      <w:r w:rsidRPr="00C10507">
        <w:rPr>
          <w:i/>
        </w:rPr>
        <w:t>Lygus hesperus</w:t>
      </w:r>
      <w:r w:rsidRPr="00C10507">
        <w:t>)</w:t>
      </w:r>
      <w:r>
        <w:t>.</w:t>
      </w:r>
    </w:p>
    <w:p w14:paraId="69F92B73" w14:textId="77777777" w:rsidR="003438A2" w:rsidRPr="00737AE8" w:rsidRDefault="003438A2" w:rsidP="00AB417D">
      <w:pPr>
        <w:pStyle w:val="ListBullet2"/>
        <w:numPr>
          <w:ilvl w:val="0"/>
          <w:numId w:val="0"/>
        </w:numPr>
        <w:spacing w:before="240"/>
        <w:ind w:left="142"/>
      </w:pPr>
    </w:p>
    <w:p w14:paraId="1704BF69" w14:textId="77777777" w:rsidR="003438A2" w:rsidRPr="002824EF" w:rsidRDefault="003438A2" w:rsidP="00F77E28">
      <w:pPr>
        <w:pStyle w:val="ListParagraph"/>
        <w:numPr>
          <w:ilvl w:val="0"/>
          <w:numId w:val="17"/>
        </w:numPr>
        <w:spacing w:after="0"/>
        <w:ind w:left="397" w:hanging="397"/>
      </w:pPr>
      <w:r w:rsidRPr="00737AE8">
        <w:t>The estimated risks for three pests</w:t>
      </w:r>
      <w:r>
        <w:t xml:space="preserve"> </w:t>
      </w:r>
      <w:r w:rsidRPr="00737AE8">
        <w:t>achieved the ALOP</w:t>
      </w:r>
      <w:r>
        <w:t>,</w:t>
      </w:r>
      <w:r w:rsidRPr="00737AE8">
        <w:t xml:space="preserve"> taking into consideration industry </w:t>
      </w:r>
      <w:r w:rsidRPr="00DC03F6">
        <w:t>commercial</w:t>
      </w:r>
      <w:r>
        <w:t xml:space="preserve"> </w:t>
      </w:r>
      <w:r w:rsidRPr="00737AE8">
        <w:t>control practices already in place in PNW-USA</w:t>
      </w:r>
      <w:r>
        <w:t>,</w:t>
      </w:r>
      <w:r w:rsidRPr="00737AE8">
        <w:t xml:space="preserve"> which are comparable to those previously assessed in the policy for apples from </w:t>
      </w:r>
      <w:r w:rsidRPr="002824EF">
        <w:t xml:space="preserve">New Zealand </w:t>
      </w:r>
      <w:r w:rsidRPr="002824EF">
        <w:rPr>
          <w:noProof/>
        </w:rPr>
        <w:t>(Biosecurity Australia 2011b)</w:t>
      </w:r>
      <w:r w:rsidRPr="002824EF">
        <w:t>. These pests are:</w:t>
      </w:r>
    </w:p>
    <w:p w14:paraId="2C2FD073" w14:textId="77777777" w:rsidR="003438A2" w:rsidRPr="002824EF" w:rsidRDefault="003438A2" w:rsidP="00F843A1">
      <w:pPr>
        <w:pStyle w:val="ListBullet2"/>
        <w:numPr>
          <w:ilvl w:val="1"/>
          <w:numId w:val="23"/>
        </w:numPr>
        <w:tabs>
          <w:tab w:val="num" w:pos="794"/>
        </w:tabs>
        <w:rPr>
          <w:i/>
        </w:rPr>
      </w:pPr>
      <w:r w:rsidRPr="002824EF">
        <w:t>European canker (</w:t>
      </w:r>
      <w:r w:rsidRPr="002824EF">
        <w:rPr>
          <w:i/>
        </w:rPr>
        <w:t>Neonectria ditissima</w:t>
      </w:r>
      <w:r w:rsidRPr="002824EF">
        <w:t>)</w:t>
      </w:r>
    </w:p>
    <w:p w14:paraId="415C932F" w14:textId="77777777" w:rsidR="003438A2" w:rsidRPr="002824EF" w:rsidRDefault="003438A2" w:rsidP="00F843A1">
      <w:pPr>
        <w:pStyle w:val="ListBullet2"/>
        <w:numPr>
          <w:ilvl w:val="1"/>
          <w:numId w:val="23"/>
        </w:numPr>
        <w:tabs>
          <w:tab w:val="num" w:pos="794"/>
        </w:tabs>
        <w:rPr>
          <w:bCs/>
          <w:iCs/>
          <w:lang w:eastAsia="en-AU"/>
        </w:rPr>
      </w:pPr>
      <w:r w:rsidRPr="002824EF">
        <w:t>Fire blight (</w:t>
      </w:r>
      <w:r w:rsidRPr="002824EF">
        <w:rPr>
          <w:bCs/>
          <w:i/>
          <w:iCs/>
        </w:rPr>
        <w:t>Erwinia amylovora</w:t>
      </w:r>
      <w:r w:rsidRPr="002824EF">
        <w:rPr>
          <w:bCs/>
          <w:iCs/>
        </w:rPr>
        <w:t>) and</w:t>
      </w:r>
    </w:p>
    <w:p w14:paraId="17874FE3" w14:textId="77777777" w:rsidR="003438A2" w:rsidRPr="002824EF" w:rsidRDefault="003438A2" w:rsidP="00F843A1">
      <w:pPr>
        <w:pStyle w:val="ListBullet2"/>
        <w:numPr>
          <w:ilvl w:val="1"/>
          <w:numId w:val="23"/>
        </w:numPr>
        <w:tabs>
          <w:tab w:val="num" w:pos="794"/>
        </w:tabs>
      </w:pPr>
      <w:r w:rsidRPr="002824EF">
        <w:rPr>
          <w:bCs/>
          <w:iCs/>
          <w:lang w:eastAsia="en-AU"/>
        </w:rPr>
        <w:t>Apple leafcurling midge (</w:t>
      </w:r>
      <w:r w:rsidRPr="002824EF">
        <w:rPr>
          <w:bCs/>
          <w:i/>
          <w:iCs/>
          <w:lang w:eastAsia="en-AU"/>
        </w:rPr>
        <w:t>Dasineura mali</w:t>
      </w:r>
      <w:r w:rsidRPr="002824EF">
        <w:rPr>
          <w:bCs/>
          <w:iCs/>
          <w:lang w:eastAsia="en-AU"/>
        </w:rPr>
        <w:t>).</w:t>
      </w:r>
    </w:p>
    <w:p w14:paraId="3D107AD3" w14:textId="77777777" w:rsidR="003438A2" w:rsidRPr="002824EF" w:rsidRDefault="003438A2" w:rsidP="00F843A1">
      <w:pPr>
        <w:pStyle w:val="ListBullet"/>
        <w:numPr>
          <w:ilvl w:val="0"/>
          <w:numId w:val="23"/>
        </w:numPr>
        <w:spacing w:after="0"/>
      </w:pPr>
      <w:r w:rsidRPr="002824EF">
        <w:t>The estimated unrestricted risks for 20 quarantine pests were assessed as not achieving the ALOP for Australia, and therefore these 20 pests require specific risk management measures for this pathway. These pests are:</w:t>
      </w:r>
    </w:p>
    <w:p w14:paraId="3C44D5CE" w14:textId="77777777" w:rsidR="003438A2" w:rsidRPr="00737AE8" w:rsidRDefault="003438A2" w:rsidP="00F843A1">
      <w:pPr>
        <w:pStyle w:val="ListBullet2"/>
        <w:numPr>
          <w:ilvl w:val="1"/>
          <w:numId w:val="23"/>
        </w:numPr>
        <w:tabs>
          <w:tab w:val="num" w:pos="794"/>
        </w:tabs>
      </w:pPr>
      <w:r w:rsidRPr="00737AE8">
        <w:lastRenderedPageBreak/>
        <w:t>Apple blotch</w:t>
      </w:r>
      <w:r w:rsidRPr="00737AE8">
        <w:rPr>
          <w:bCs/>
          <w:i/>
          <w:iCs/>
        </w:rPr>
        <w:t xml:space="preserve"> </w:t>
      </w:r>
      <w:r w:rsidRPr="00737AE8">
        <w:rPr>
          <w:bCs/>
          <w:iCs/>
        </w:rPr>
        <w:t>(</w:t>
      </w:r>
      <w:r w:rsidRPr="00737AE8">
        <w:rPr>
          <w:bCs/>
          <w:i/>
          <w:iCs/>
        </w:rPr>
        <w:t>Phyllosticta arbutifolia</w:t>
      </w:r>
      <w:r w:rsidRPr="00737AE8">
        <w:rPr>
          <w:bCs/>
          <w:iCs/>
        </w:rPr>
        <w:t>)</w:t>
      </w:r>
    </w:p>
    <w:p w14:paraId="37CB21EB" w14:textId="77777777" w:rsidR="003438A2" w:rsidRDefault="003438A2" w:rsidP="00F843A1">
      <w:pPr>
        <w:pStyle w:val="ListBullet2"/>
        <w:numPr>
          <w:ilvl w:val="1"/>
          <w:numId w:val="23"/>
        </w:numPr>
        <w:rPr>
          <w:i/>
        </w:rPr>
      </w:pPr>
      <w:r w:rsidRPr="00EC6331">
        <w:rPr>
          <w:iCs/>
        </w:rPr>
        <w:t>Apple maggot</w:t>
      </w:r>
      <w:r>
        <w:rPr>
          <w:i/>
        </w:rPr>
        <w:t xml:space="preserve"> (Rhagoletis pomonella)</w:t>
      </w:r>
    </w:p>
    <w:p w14:paraId="06E1054C" w14:textId="77777777" w:rsidR="003438A2" w:rsidRDefault="003438A2" w:rsidP="00F843A1">
      <w:pPr>
        <w:pStyle w:val="ListBullet2"/>
        <w:numPr>
          <w:ilvl w:val="1"/>
          <w:numId w:val="23"/>
        </w:numPr>
      </w:pPr>
      <w:r w:rsidRPr="00737AE8">
        <w:t>Apple mealybug</w:t>
      </w:r>
      <w:r w:rsidRPr="00737AE8">
        <w:rPr>
          <w:i/>
        </w:rPr>
        <w:t xml:space="preserve"> </w:t>
      </w:r>
      <w:r w:rsidRPr="00737AE8">
        <w:t>(</w:t>
      </w:r>
      <w:r w:rsidRPr="00737AE8">
        <w:rPr>
          <w:i/>
        </w:rPr>
        <w:t>Phenacoccus aceris</w:t>
      </w:r>
      <w:r w:rsidRPr="00737AE8">
        <w:t>)</w:t>
      </w:r>
    </w:p>
    <w:p w14:paraId="0194EEAF" w14:textId="77777777" w:rsidR="003438A2" w:rsidRPr="008746C6" w:rsidRDefault="003438A2" w:rsidP="00F843A1">
      <w:pPr>
        <w:pStyle w:val="ListBullet2"/>
        <w:numPr>
          <w:ilvl w:val="1"/>
          <w:numId w:val="23"/>
        </w:numPr>
      </w:pPr>
      <w:r>
        <w:rPr>
          <w:rFonts w:eastAsia="Calibri" w:cs="Times New Roman"/>
          <w:bCs/>
          <w:iCs/>
        </w:rPr>
        <w:t>C</w:t>
      </w:r>
      <w:r w:rsidRPr="00DC0EF2">
        <w:t>edar</w:t>
      </w:r>
      <w:r>
        <w:t xml:space="preserve"> </w:t>
      </w:r>
      <w:r w:rsidRPr="00DC0EF2">
        <w:t>quince rust</w:t>
      </w:r>
      <w:r>
        <w:t xml:space="preserve"> (</w:t>
      </w:r>
      <w:r w:rsidRPr="00E47871">
        <w:rPr>
          <w:rFonts w:eastAsia="Calibri" w:cs="Times New Roman"/>
          <w:bCs/>
          <w:i/>
          <w:iCs/>
        </w:rPr>
        <w:t>Gymnosporangium clavipes</w:t>
      </w:r>
      <w:r>
        <w:rPr>
          <w:rFonts w:eastAsia="Calibri" w:cs="Times New Roman"/>
          <w:bCs/>
        </w:rPr>
        <w:t>)</w:t>
      </w:r>
    </w:p>
    <w:p w14:paraId="49955A48" w14:textId="77777777" w:rsidR="003438A2" w:rsidRDefault="003438A2" w:rsidP="00F843A1">
      <w:pPr>
        <w:pStyle w:val="ListBullet2"/>
        <w:numPr>
          <w:ilvl w:val="1"/>
          <w:numId w:val="23"/>
        </w:numPr>
      </w:pPr>
      <w:r>
        <w:t>Cedar apple rust (</w:t>
      </w:r>
      <w:r w:rsidRPr="00E47871">
        <w:rPr>
          <w:rFonts w:eastAsia="Calibri" w:cs="Times New Roman"/>
          <w:bCs/>
          <w:i/>
          <w:iCs/>
        </w:rPr>
        <w:t>Gymno</w:t>
      </w:r>
      <w:r>
        <w:rPr>
          <w:rFonts w:eastAsia="Calibri" w:cs="Times New Roman"/>
          <w:bCs/>
          <w:i/>
          <w:iCs/>
        </w:rPr>
        <w:t>sporangium juniperi-virginianae</w:t>
      </w:r>
    </w:p>
    <w:p w14:paraId="01B56A88" w14:textId="77777777" w:rsidR="003438A2" w:rsidRPr="008746C6" w:rsidRDefault="003438A2" w:rsidP="00F843A1">
      <w:pPr>
        <w:pStyle w:val="ListBullet2"/>
        <w:numPr>
          <w:ilvl w:val="1"/>
          <w:numId w:val="23"/>
        </w:numPr>
      </w:pPr>
      <w:r w:rsidRPr="00737AE8">
        <w:rPr>
          <w:iCs/>
        </w:rPr>
        <w:t>Codling moth (</w:t>
      </w:r>
      <w:r w:rsidRPr="00737AE8">
        <w:rPr>
          <w:i/>
          <w:iCs/>
        </w:rPr>
        <w:t>Cydia pomonella</w:t>
      </w:r>
      <w:r w:rsidRPr="00737AE8">
        <w:rPr>
          <w:iCs/>
        </w:rPr>
        <w:t>)</w:t>
      </w:r>
    </w:p>
    <w:p w14:paraId="27C49157" w14:textId="77777777" w:rsidR="003438A2" w:rsidRPr="00737AE8" w:rsidRDefault="003438A2" w:rsidP="00F843A1">
      <w:pPr>
        <w:pStyle w:val="ListBullet2"/>
        <w:numPr>
          <w:ilvl w:val="1"/>
          <w:numId w:val="23"/>
        </w:numPr>
        <w:tabs>
          <w:tab w:val="num" w:pos="794"/>
        </w:tabs>
      </w:pPr>
      <w:r w:rsidRPr="00737AE8">
        <w:rPr>
          <w:szCs w:val="18"/>
        </w:rPr>
        <w:t>Eastern flower thrips</w:t>
      </w:r>
      <w:r w:rsidRPr="00737AE8">
        <w:rPr>
          <w:i/>
        </w:rPr>
        <w:t xml:space="preserve"> </w:t>
      </w:r>
      <w:r w:rsidRPr="00737AE8">
        <w:t>(</w:t>
      </w:r>
      <w:r w:rsidRPr="00737AE8">
        <w:rPr>
          <w:i/>
        </w:rPr>
        <w:t>Frankliniella tritici</w:t>
      </w:r>
      <w:r w:rsidRPr="00737AE8">
        <w:t>)</w:t>
      </w:r>
    </w:p>
    <w:p w14:paraId="3B087759" w14:textId="77777777" w:rsidR="003438A2" w:rsidRPr="00737AE8" w:rsidRDefault="003438A2" w:rsidP="00F843A1">
      <w:pPr>
        <w:pStyle w:val="ListBullet2"/>
        <w:numPr>
          <w:ilvl w:val="1"/>
          <w:numId w:val="23"/>
        </w:numPr>
        <w:tabs>
          <w:tab w:val="num" w:pos="794"/>
          <w:tab w:val="left" w:pos="2977"/>
        </w:tabs>
        <w:rPr>
          <w:i/>
        </w:rPr>
      </w:pPr>
      <w:r w:rsidRPr="00737AE8">
        <w:t>European leafroller (</w:t>
      </w:r>
      <w:r w:rsidRPr="00737AE8">
        <w:rPr>
          <w:i/>
        </w:rPr>
        <w:t>Archips rosana</w:t>
      </w:r>
      <w:r w:rsidRPr="00737AE8">
        <w:t>)</w:t>
      </w:r>
    </w:p>
    <w:p w14:paraId="4ED7596A" w14:textId="77777777" w:rsidR="003438A2" w:rsidRPr="00737AE8" w:rsidRDefault="003438A2" w:rsidP="00F843A1">
      <w:pPr>
        <w:pStyle w:val="ListBullet2"/>
        <w:numPr>
          <w:ilvl w:val="1"/>
          <w:numId w:val="23"/>
        </w:numPr>
        <w:tabs>
          <w:tab w:val="num" w:pos="794"/>
        </w:tabs>
      </w:pPr>
      <w:r w:rsidRPr="00737AE8">
        <w:rPr>
          <w:szCs w:val="18"/>
        </w:rPr>
        <w:t>Flat scarlet mite</w:t>
      </w:r>
      <w:r w:rsidRPr="00737AE8">
        <w:rPr>
          <w:i/>
          <w:lang w:eastAsia="en-AU"/>
        </w:rPr>
        <w:t xml:space="preserve"> </w:t>
      </w:r>
      <w:r w:rsidRPr="00737AE8">
        <w:rPr>
          <w:lang w:eastAsia="en-AU"/>
        </w:rPr>
        <w:t>(</w:t>
      </w:r>
      <w:r w:rsidRPr="00737AE8">
        <w:rPr>
          <w:i/>
          <w:lang w:eastAsia="en-AU"/>
        </w:rPr>
        <w:t>Cenopalpus pulcher</w:t>
      </w:r>
      <w:r w:rsidRPr="00737AE8">
        <w:rPr>
          <w:lang w:eastAsia="en-AU"/>
        </w:rPr>
        <w:t>)</w:t>
      </w:r>
    </w:p>
    <w:p w14:paraId="368E074F" w14:textId="77777777" w:rsidR="003438A2" w:rsidRPr="008746C6" w:rsidRDefault="003438A2" w:rsidP="00F843A1">
      <w:pPr>
        <w:pStyle w:val="ListBullet2"/>
        <w:numPr>
          <w:ilvl w:val="1"/>
          <w:numId w:val="23"/>
        </w:numPr>
        <w:rPr>
          <w:i/>
        </w:rPr>
      </w:pPr>
      <w:r w:rsidRPr="00737AE8">
        <w:rPr>
          <w:szCs w:val="18"/>
        </w:rPr>
        <w:t>Fruit tree leafroller</w:t>
      </w:r>
      <w:r w:rsidRPr="00737AE8">
        <w:rPr>
          <w:i/>
          <w:iCs/>
        </w:rPr>
        <w:t xml:space="preserve"> </w:t>
      </w:r>
      <w:r w:rsidRPr="00737AE8">
        <w:rPr>
          <w:iCs/>
        </w:rPr>
        <w:t>(</w:t>
      </w:r>
      <w:r w:rsidRPr="00737AE8">
        <w:rPr>
          <w:i/>
          <w:iCs/>
        </w:rPr>
        <w:t>Archips argyrospila</w:t>
      </w:r>
      <w:r w:rsidRPr="00737AE8">
        <w:rPr>
          <w:iCs/>
        </w:rPr>
        <w:t>)</w:t>
      </w:r>
    </w:p>
    <w:p w14:paraId="01BB2656" w14:textId="77777777" w:rsidR="003438A2" w:rsidRPr="00737AE8" w:rsidRDefault="003438A2" w:rsidP="00F843A1">
      <w:pPr>
        <w:pStyle w:val="ListBullet2"/>
        <w:numPr>
          <w:ilvl w:val="1"/>
          <w:numId w:val="23"/>
        </w:numPr>
        <w:tabs>
          <w:tab w:val="num" w:pos="794"/>
        </w:tabs>
      </w:pPr>
      <w:r w:rsidRPr="00737AE8">
        <w:rPr>
          <w:szCs w:val="18"/>
        </w:rPr>
        <w:t>Grape mealybug</w:t>
      </w:r>
      <w:r w:rsidRPr="00737AE8">
        <w:rPr>
          <w:i/>
        </w:rPr>
        <w:t xml:space="preserve"> </w:t>
      </w:r>
      <w:r w:rsidRPr="00737AE8">
        <w:t>(</w:t>
      </w:r>
      <w:r w:rsidRPr="00737AE8">
        <w:rPr>
          <w:i/>
        </w:rPr>
        <w:t>Pseudococcus maritimus</w:t>
      </w:r>
      <w:r w:rsidRPr="00737AE8">
        <w:t>)</w:t>
      </w:r>
    </w:p>
    <w:p w14:paraId="03BA7368" w14:textId="77777777" w:rsidR="003438A2" w:rsidRPr="008746C6" w:rsidRDefault="003438A2" w:rsidP="00F843A1">
      <w:pPr>
        <w:pStyle w:val="ListBullet2"/>
        <w:numPr>
          <w:ilvl w:val="1"/>
          <w:numId w:val="23"/>
        </w:numPr>
        <w:rPr>
          <w:i/>
        </w:rPr>
      </w:pPr>
      <w:r w:rsidRPr="00737AE8">
        <w:rPr>
          <w:iCs/>
        </w:rPr>
        <w:t>Large fruit tree tort</w:t>
      </w:r>
      <w:r>
        <w:rPr>
          <w:iCs/>
        </w:rPr>
        <w:t>r</w:t>
      </w:r>
      <w:r w:rsidRPr="00737AE8">
        <w:rPr>
          <w:iCs/>
        </w:rPr>
        <w:t>ix (</w:t>
      </w:r>
      <w:r w:rsidRPr="00737AE8">
        <w:rPr>
          <w:i/>
          <w:iCs/>
        </w:rPr>
        <w:t>Archips podana</w:t>
      </w:r>
      <w:r w:rsidRPr="00737AE8">
        <w:rPr>
          <w:iCs/>
        </w:rPr>
        <w:t>)</w:t>
      </w:r>
    </w:p>
    <w:p w14:paraId="22EA1F2C" w14:textId="77777777" w:rsidR="003438A2" w:rsidRPr="00696641" w:rsidRDefault="003438A2" w:rsidP="00F843A1">
      <w:pPr>
        <w:pStyle w:val="ListBullet2"/>
        <w:numPr>
          <w:ilvl w:val="1"/>
          <w:numId w:val="23"/>
        </w:numPr>
      </w:pPr>
      <w:r w:rsidRPr="00696641">
        <w:t>McDaniel spider mite</w:t>
      </w:r>
      <w:r w:rsidRPr="00696641">
        <w:rPr>
          <w:i/>
        </w:rPr>
        <w:t xml:space="preserve"> </w:t>
      </w:r>
      <w:r w:rsidRPr="00696641">
        <w:t>(</w:t>
      </w:r>
      <w:r w:rsidRPr="00696641">
        <w:rPr>
          <w:i/>
        </w:rPr>
        <w:t>Tetranychus mcdanieli</w:t>
      </w:r>
      <w:r w:rsidRPr="00696641">
        <w:t>)</w:t>
      </w:r>
    </w:p>
    <w:p w14:paraId="0ABAA2E9" w14:textId="77777777" w:rsidR="003438A2" w:rsidRPr="001C6C72" w:rsidRDefault="003438A2" w:rsidP="00F843A1">
      <w:pPr>
        <w:pStyle w:val="ListBullet2"/>
        <w:numPr>
          <w:ilvl w:val="1"/>
          <w:numId w:val="23"/>
        </w:numPr>
        <w:spacing w:before="240"/>
      </w:pPr>
      <w:r w:rsidRPr="00737AE8">
        <w:rPr>
          <w:szCs w:val="18"/>
        </w:rPr>
        <w:t>Oblique-banded leafroller</w:t>
      </w:r>
      <w:r w:rsidRPr="00737AE8">
        <w:rPr>
          <w:i/>
          <w:iCs/>
        </w:rPr>
        <w:t xml:space="preserve"> </w:t>
      </w:r>
      <w:r w:rsidRPr="00737AE8">
        <w:rPr>
          <w:iCs/>
        </w:rPr>
        <w:t>(</w:t>
      </w:r>
      <w:r w:rsidRPr="00737AE8">
        <w:rPr>
          <w:i/>
          <w:iCs/>
        </w:rPr>
        <w:t>Choristoneura rosaceana</w:t>
      </w:r>
      <w:r w:rsidRPr="00737AE8">
        <w:rPr>
          <w:iCs/>
        </w:rPr>
        <w:t>)</w:t>
      </w:r>
    </w:p>
    <w:p w14:paraId="35087742" w14:textId="77777777" w:rsidR="003438A2" w:rsidRPr="00737AE8" w:rsidRDefault="003438A2" w:rsidP="00F843A1">
      <w:pPr>
        <w:pStyle w:val="ListBullet2"/>
        <w:numPr>
          <w:ilvl w:val="1"/>
          <w:numId w:val="23"/>
        </w:numPr>
        <w:tabs>
          <w:tab w:val="num" w:pos="794"/>
        </w:tabs>
      </w:pPr>
      <w:r w:rsidRPr="00737AE8">
        <w:t>Orange tortrix (</w:t>
      </w:r>
      <w:r w:rsidRPr="00737AE8">
        <w:rPr>
          <w:i/>
        </w:rPr>
        <w:t>Argyrotaenia franciscana</w:t>
      </w:r>
      <w:r w:rsidRPr="00737AE8">
        <w:t>)</w:t>
      </w:r>
    </w:p>
    <w:p w14:paraId="20D4006C" w14:textId="77777777" w:rsidR="003438A2" w:rsidRDefault="003438A2" w:rsidP="00F843A1">
      <w:pPr>
        <w:pStyle w:val="ListBullet2"/>
        <w:numPr>
          <w:ilvl w:val="1"/>
          <w:numId w:val="23"/>
        </w:numPr>
        <w:tabs>
          <w:tab w:val="num" w:pos="794"/>
        </w:tabs>
      </w:pPr>
      <w:r w:rsidRPr="00737AE8">
        <w:rPr>
          <w:szCs w:val="18"/>
        </w:rPr>
        <w:t xml:space="preserve">Pandemis leafroller </w:t>
      </w:r>
      <w:r w:rsidRPr="00FF5346">
        <w:t>(</w:t>
      </w:r>
      <w:r w:rsidRPr="00FF5346">
        <w:rPr>
          <w:i/>
          <w:iCs/>
        </w:rPr>
        <w:t>Pandemis pyrusana</w:t>
      </w:r>
      <w:r w:rsidRPr="00FF5346">
        <w:t>)</w:t>
      </w:r>
    </w:p>
    <w:p w14:paraId="0020FE7A" w14:textId="77777777" w:rsidR="003438A2" w:rsidRPr="00737AE8" w:rsidRDefault="003438A2" w:rsidP="00F843A1">
      <w:pPr>
        <w:pStyle w:val="ListBullet2"/>
        <w:numPr>
          <w:ilvl w:val="1"/>
          <w:numId w:val="23"/>
        </w:numPr>
        <w:tabs>
          <w:tab w:val="num" w:pos="794"/>
        </w:tabs>
      </w:pPr>
      <w:r w:rsidRPr="00D95799">
        <w:rPr>
          <w:rFonts w:eastAsia="Calibri" w:cs="Times New Roman"/>
          <w:iCs/>
          <w:szCs w:val="18"/>
        </w:rPr>
        <w:t xml:space="preserve">Pacific </w:t>
      </w:r>
      <w:r>
        <w:rPr>
          <w:rFonts w:eastAsia="Calibri" w:cs="Times New Roman"/>
          <w:iCs/>
          <w:szCs w:val="18"/>
        </w:rPr>
        <w:t>c</w:t>
      </w:r>
      <w:r w:rsidRPr="00D95799">
        <w:rPr>
          <w:rFonts w:eastAsia="Calibri" w:cs="Times New Roman"/>
          <w:iCs/>
          <w:szCs w:val="18"/>
        </w:rPr>
        <w:t>oast pear rust</w:t>
      </w:r>
      <w:r>
        <w:rPr>
          <w:rFonts w:eastAsia="Calibri" w:cs="Times New Roman"/>
          <w:iCs/>
          <w:szCs w:val="18"/>
        </w:rPr>
        <w:t xml:space="preserve"> (</w:t>
      </w:r>
      <w:r w:rsidRPr="00E47871">
        <w:rPr>
          <w:rFonts w:eastAsia="Calibri" w:cs="Times New Roman"/>
          <w:bCs/>
          <w:i/>
          <w:iCs/>
        </w:rPr>
        <w:t>Gymnosporangium libocedri</w:t>
      </w:r>
      <w:r>
        <w:rPr>
          <w:rFonts w:eastAsia="Calibri" w:cs="Times New Roman"/>
          <w:bCs/>
        </w:rPr>
        <w:t>)</w:t>
      </w:r>
    </w:p>
    <w:p w14:paraId="0CCF31E1" w14:textId="77777777" w:rsidR="003438A2" w:rsidRPr="00737AE8" w:rsidRDefault="003438A2" w:rsidP="00F843A1">
      <w:pPr>
        <w:pStyle w:val="ListBullet2"/>
        <w:numPr>
          <w:ilvl w:val="1"/>
          <w:numId w:val="23"/>
        </w:numPr>
        <w:tabs>
          <w:tab w:val="num" w:pos="794"/>
        </w:tabs>
        <w:spacing w:before="240"/>
      </w:pPr>
      <w:r w:rsidRPr="00737AE8">
        <w:t>Speck rot</w:t>
      </w:r>
      <w:r w:rsidRPr="00737AE8">
        <w:rPr>
          <w:rFonts w:eastAsia="Calibri" w:cs="Times New Roman"/>
          <w:bCs/>
          <w:i/>
          <w:iCs/>
        </w:rPr>
        <w:t xml:space="preserve"> </w:t>
      </w:r>
      <w:r w:rsidRPr="00737AE8">
        <w:rPr>
          <w:rFonts w:eastAsia="Calibri" w:cs="Times New Roman"/>
          <w:bCs/>
          <w:iCs/>
        </w:rPr>
        <w:t>(</w:t>
      </w:r>
      <w:r w:rsidRPr="00737AE8">
        <w:rPr>
          <w:rFonts w:eastAsia="Calibri" w:cs="Times New Roman"/>
          <w:bCs/>
          <w:i/>
          <w:iCs/>
        </w:rPr>
        <w:t>Phacidiopycnis washingtonensis</w:t>
      </w:r>
      <w:r w:rsidRPr="00737AE8">
        <w:rPr>
          <w:rFonts w:eastAsia="Calibri" w:cs="Times New Roman"/>
          <w:bCs/>
          <w:iCs/>
        </w:rPr>
        <w:t>)</w:t>
      </w:r>
    </w:p>
    <w:p w14:paraId="03B92C45" w14:textId="77777777" w:rsidR="003438A2" w:rsidRPr="008746C6" w:rsidRDefault="003438A2" w:rsidP="00F843A1">
      <w:pPr>
        <w:pStyle w:val="ListBullet2"/>
        <w:numPr>
          <w:ilvl w:val="1"/>
          <w:numId w:val="23"/>
        </w:numPr>
      </w:pPr>
      <w:r w:rsidRPr="00737AE8">
        <w:t>Sphaeropsis rot</w:t>
      </w:r>
      <w:r w:rsidRPr="00737AE8">
        <w:rPr>
          <w:rFonts w:eastAsia="Calibri" w:cs="Times New Roman"/>
          <w:bCs/>
          <w:i/>
          <w:iCs/>
        </w:rPr>
        <w:t xml:space="preserve"> </w:t>
      </w:r>
      <w:r w:rsidRPr="00737AE8">
        <w:rPr>
          <w:rFonts w:eastAsia="Calibri" w:cs="Times New Roman"/>
          <w:bCs/>
          <w:iCs/>
        </w:rPr>
        <w:t>(</w:t>
      </w:r>
      <w:r w:rsidRPr="00737AE8">
        <w:rPr>
          <w:rFonts w:eastAsia="Calibri" w:cs="Times New Roman"/>
          <w:bCs/>
          <w:i/>
          <w:iCs/>
        </w:rPr>
        <w:t>Sphaeropsis pyriputrescens</w:t>
      </w:r>
      <w:r w:rsidRPr="00737AE8">
        <w:rPr>
          <w:rFonts w:eastAsia="Calibri" w:cs="Times New Roman"/>
          <w:bCs/>
          <w:iCs/>
        </w:rPr>
        <w:t>)</w:t>
      </w:r>
    </w:p>
    <w:p w14:paraId="71E3FAA7" w14:textId="77777777" w:rsidR="003438A2" w:rsidRPr="00737AE8" w:rsidRDefault="003438A2" w:rsidP="00F843A1">
      <w:pPr>
        <w:pStyle w:val="ListBullet2"/>
        <w:numPr>
          <w:ilvl w:val="1"/>
          <w:numId w:val="23"/>
        </w:numPr>
        <w:tabs>
          <w:tab w:val="num" w:pos="794"/>
        </w:tabs>
      </w:pPr>
      <w:r w:rsidRPr="00737AE8">
        <w:rPr>
          <w:szCs w:val="18"/>
        </w:rPr>
        <w:t>Western flower thrips</w:t>
      </w:r>
      <w:r w:rsidRPr="00737AE8">
        <w:rPr>
          <w:i/>
        </w:rPr>
        <w:t xml:space="preserve"> </w:t>
      </w:r>
      <w:r w:rsidRPr="00737AE8">
        <w:t>(</w:t>
      </w:r>
      <w:r w:rsidRPr="00737AE8">
        <w:rPr>
          <w:i/>
        </w:rPr>
        <w:t>Frankliniella occidentalis</w:t>
      </w:r>
      <w:r w:rsidRPr="00737AE8">
        <w:t>)</w:t>
      </w:r>
      <w:r>
        <w:t>.</w:t>
      </w:r>
    </w:p>
    <w:p w14:paraId="5213DCAE" w14:textId="77777777" w:rsidR="003438A2" w:rsidRDefault="003438A2" w:rsidP="00AB417D">
      <w:pPr>
        <w:pStyle w:val="ListParagraph"/>
        <w:sectPr w:rsidR="003438A2" w:rsidSect="005065E4">
          <w:headerReference w:type="even" r:id="rId79"/>
          <w:headerReference w:type="default" r:id="rId80"/>
          <w:footerReference w:type="default" r:id="rId81"/>
          <w:headerReference w:type="first" r:id="rId82"/>
          <w:pgSz w:w="11906" w:h="16838"/>
          <w:pgMar w:top="1418" w:right="1418" w:bottom="1418" w:left="1418" w:header="567" w:footer="283" w:gutter="0"/>
          <w:cols w:space="708"/>
          <w:docGrid w:linePitch="360"/>
        </w:sectPr>
      </w:pPr>
    </w:p>
    <w:p w14:paraId="5F05F239" w14:textId="77777777" w:rsidR="003438A2" w:rsidRDefault="003438A2" w:rsidP="003D2482">
      <w:pPr>
        <w:pStyle w:val="Caption"/>
      </w:pPr>
      <w:bookmarkStart w:id="480" w:name="_Ref44706887"/>
      <w:bookmarkStart w:id="481" w:name="_Ref502675090"/>
      <w:bookmarkStart w:id="482" w:name="_Toc112770154"/>
      <w:bookmarkEnd w:id="479"/>
      <w:r>
        <w:lastRenderedPageBreak/>
        <w:t xml:space="preserve">Figure </w:t>
      </w:r>
      <w:r>
        <w:rPr>
          <w:noProof/>
        </w:rPr>
        <w:fldChar w:fldCharType="begin" w:fldLock="1"/>
      </w:r>
      <w:r>
        <w:rPr>
          <w:noProof/>
        </w:rPr>
        <w:instrText xml:space="preserve"> SEQ Figure \* ARABIC </w:instrText>
      </w:r>
      <w:r>
        <w:rPr>
          <w:noProof/>
        </w:rPr>
        <w:fldChar w:fldCharType="separate"/>
      </w:r>
      <w:r>
        <w:rPr>
          <w:noProof/>
        </w:rPr>
        <w:t>4</w:t>
      </w:r>
      <w:r>
        <w:rPr>
          <w:noProof/>
        </w:rPr>
        <w:fldChar w:fldCharType="end"/>
      </w:r>
      <w:bookmarkEnd w:id="480"/>
      <w:r>
        <w:t xml:space="preserve"> Summary of assessment of quarantine pests of concern</w:t>
      </w:r>
      <w:bookmarkEnd w:id="481"/>
      <w:bookmarkEnd w:id="482"/>
    </w:p>
    <w:p w14:paraId="022A6DF2" w14:textId="77777777" w:rsidR="003438A2" w:rsidRPr="000E105A" w:rsidRDefault="003438A2" w:rsidP="000E105A"/>
    <w:p w14:paraId="30C88C58" w14:textId="77777777" w:rsidR="003438A2" w:rsidRPr="00542822" w:rsidRDefault="003438A2" w:rsidP="00542822">
      <w:r w:rsidRPr="005B78B7">
        <w:rPr>
          <w:noProof/>
        </w:rPr>
        <w:drawing>
          <wp:inline distT="0" distB="0" distL="0" distR="0" wp14:anchorId="5BF7ACAE" wp14:editId="47A8782F">
            <wp:extent cx="5731510" cy="421052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31510" cy="4210527"/>
                    </a:xfrm>
                    <a:prstGeom prst="rect">
                      <a:avLst/>
                    </a:prstGeom>
                    <a:noFill/>
                    <a:ln>
                      <a:noFill/>
                    </a:ln>
                  </pic:spPr>
                </pic:pic>
              </a:graphicData>
            </a:graphic>
          </wp:inline>
        </w:drawing>
      </w:r>
    </w:p>
    <w:p w14:paraId="18BCE4FD" w14:textId="77777777" w:rsidR="003438A2" w:rsidRDefault="003438A2" w:rsidP="00692771"/>
    <w:p w14:paraId="21A9804C" w14:textId="77777777" w:rsidR="003438A2" w:rsidRDefault="003438A2">
      <w:pPr>
        <w:sectPr w:rsidR="003438A2" w:rsidSect="005065E4">
          <w:pgSz w:w="11906" w:h="16838"/>
          <w:pgMar w:top="1418" w:right="1418" w:bottom="1418" w:left="1418" w:header="567" w:footer="283" w:gutter="0"/>
          <w:cols w:space="708"/>
          <w:docGrid w:linePitch="360"/>
        </w:sectPr>
      </w:pPr>
    </w:p>
    <w:p w14:paraId="7EABBAE6" w14:textId="77777777" w:rsidR="003438A2" w:rsidRPr="00F40F41" w:rsidRDefault="003438A2" w:rsidP="00F40F41">
      <w:pPr>
        <w:pStyle w:val="Heading2"/>
      </w:pPr>
      <w:bookmarkStart w:id="483" w:name="_Toc467052042"/>
      <w:bookmarkStart w:id="484" w:name="_Ref46060952"/>
      <w:bookmarkStart w:id="485" w:name="_Toc112769029"/>
      <w:bookmarkStart w:id="486" w:name="_Hlk102736257"/>
      <w:bookmarkStart w:id="487" w:name="_Hlk44965982"/>
      <w:bookmarkEnd w:id="79"/>
      <w:r w:rsidRPr="00F40F41">
        <w:lastRenderedPageBreak/>
        <w:t>Pest risk management</w:t>
      </w:r>
      <w:bookmarkEnd w:id="483"/>
      <w:bookmarkEnd w:id="484"/>
      <w:bookmarkEnd w:id="485"/>
    </w:p>
    <w:p w14:paraId="1D2DFAD9" w14:textId="77777777" w:rsidR="003438A2" w:rsidRDefault="003438A2" w:rsidP="004C281D">
      <w:bookmarkStart w:id="488" w:name="_Toc467052043"/>
      <w:r w:rsidRPr="00FF151F">
        <w:t xml:space="preserve">Pest risk management evaluates and selects options for measures for quarantine pests and regulated </w:t>
      </w:r>
      <w:r>
        <w:t>articles</w:t>
      </w:r>
      <w:r w:rsidRPr="00FF151F">
        <w:t xml:space="preserve"> identified in Chapter 4 as having </w:t>
      </w:r>
      <w:r>
        <w:t xml:space="preserve">a </w:t>
      </w:r>
      <w:r w:rsidRPr="00FF151F">
        <w:t xml:space="preserve">URE that does not achieve the ALOP for Australia. This chapter recommends specific risk management measures for these pests </w:t>
      </w:r>
      <w:r>
        <w:t xml:space="preserve">and regulated articles </w:t>
      </w:r>
      <w:r w:rsidRPr="00FF151F">
        <w:t>(</w:t>
      </w:r>
      <w:r>
        <w:t>S</w:t>
      </w:r>
      <w:r w:rsidRPr="00FF151F">
        <w:t xml:space="preserve">ection </w:t>
      </w:r>
      <w:r>
        <w:fldChar w:fldCharType="begin" w:fldLock="1"/>
      </w:r>
      <w:r>
        <w:instrText xml:space="preserve"> REF _Ref108442225 \n \h </w:instrText>
      </w:r>
      <w:r>
        <w:fldChar w:fldCharType="separate"/>
      </w:r>
      <w:r>
        <w:t>5.1</w:t>
      </w:r>
      <w:r>
        <w:fldChar w:fldCharType="end"/>
      </w:r>
      <w:r w:rsidRPr="00FF151F">
        <w:t xml:space="preserve">). This chapter also </w:t>
      </w:r>
      <w:r>
        <w:t>recommends</w:t>
      </w:r>
      <w:r w:rsidRPr="00FF151F">
        <w:t xml:space="preserve"> the operational system for the </w:t>
      </w:r>
      <w:r>
        <w:t xml:space="preserve">assurance, </w:t>
      </w:r>
      <w:r w:rsidRPr="00FF151F">
        <w:t>maintenance and verification of the phytosanitary status (</w:t>
      </w:r>
      <w:r>
        <w:t>S</w:t>
      </w:r>
      <w:r w:rsidRPr="00FF151F">
        <w:t xml:space="preserve">ection </w:t>
      </w:r>
      <w:r>
        <w:fldChar w:fldCharType="begin" w:fldLock="1"/>
      </w:r>
      <w:r>
        <w:instrText xml:space="preserve"> REF _Ref108442243 \n \h </w:instrText>
      </w:r>
      <w:r>
        <w:fldChar w:fldCharType="separate"/>
      </w:r>
      <w:r>
        <w:t>5.2</w:t>
      </w:r>
      <w:r>
        <w:fldChar w:fldCharType="end"/>
      </w:r>
      <w:r w:rsidRPr="00FF151F">
        <w:t>). Both specific risk management measures (</w:t>
      </w:r>
      <w:r>
        <w:t>S</w:t>
      </w:r>
      <w:r w:rsidRPr="00FF151F">
        <w:t xml:space="preserve">ection </w:t>
      </w:r>
      <w:r>
        <w:fldChar w:fldCharType="begin" w:fldLock="1"/>
      </w:r>
      <w:r>
        <w:instrText xml:space="preserve"> REF _Ref108442255 \n \h </w:instrText>
      </w:r>
      <w:r>
        <w:fldChar w:fldCharType="separate"/>
      </w:r>
      <w:r>
        <w:t>5.1</w:t>
      </w:r>
      <w:r>
        <w:fldChar w:fldCharType="end"/>
      </w:r>
      <w:r w:rsidRPr="00FF151F">
        <w:t>) and the operational system (</w:t>
      </w:r>
      <w:r>
        <w:t>S</w:t>
      </w:r>
      <w:r w:rsidRPr="00FF151F">
        <w:t xml:space="preserve">ection </w:t>
      </w:r>
      <w:r>
        <w:fldChar w:fldCharType="begin" w:fldLock="1"/>
      </w:r>
      <w:r>
        <w:instrText xml:space="preserve"> REF _Ref108442270 \n \h </w:instrText>
      </w:r>
      <w:r>
        <w:fldChar w:fldCharType="separate"/>
      </w:r>
      <w:r>
        <w:t>5.2</w:t>
      </w:r>
      <w:r>
        <w:fldChar w:fldCharType="end"/>
      </w:r>
      <w:r w:rsidRPr="00FF151F">
        <w:t xml:space="preserve">) are required to reduce the risk of introduction of these quarantine pests and regulated articles to achieve the ALOP for Australia. These measures are in addition to existing commercial production practices for fresh apple fruit in the PNW-USA, described in Chapter 3, as these practices have been considered in assessing the URE. </w:t>
      </w:r>
    </w:p>
    <w:p w14:paraId="07FD22E3" w14:textId="77777777" w:rsidR="003438A2" w:rsidRPr="00D44F88" w:rsidRDefault="003438A2" w:rsidP="00D44F88">
      <w:pPr>
        <w:pStyle w:val="Heading3"/>
      </w:pPr>
      <w:bookmarkStart w:id="489" w:name="_Ref108442225"/>
      <w:bookmarkStart w:id="490" w:name="_Ref108442255"/>
      <w:bookmarkStart w:id="491" w:name="_Ref108442377"/>
      <w:bookmarkStart w:id="492" w:name="_Toc112769030"/>
      <w:r w:rsidRPr="00D44F88">
        <w:t>Pest risk management measures and phytosanitary procedures</w:t>
      </w:r>
      <w:bookmarkEnd w:id="488"/>
      <w:bookmarkEnd w:id="489"/>
      <w:bookmarkEnd w:id="490"/>
      <w:bookmarkEnd w:id="491"/>
      <w:bookmarkEnd w:id="492"/>
    </w:p>
    <w:p w14:paraId="15301FF5" w14:textId="77777777" w:rsidR="003438A2" w:rsidRPr="00FF151F" w:rsidRDefault="003438A2" w:rsidP="00836C81">
      <w:r w:rsidRPr="00FF151F">
        <w:t xml:space="preserve">This section describes the recommended risk management measures for </w:t>
      </w:r>
      <w:r w:rsidRPr="002824EF">
        <w:t>the 20 quaranti</w:t>
      </w:r>
      <w:r w:rsidRPr="00FF151F">
        <w:t xml:space="preserve">ne pests (1 of which is also a regulated </w:t>
      </w:r>
      <w:r>
        <w:t>article</w:t>
      </w:r>
      <w:r w:rsidRPr="00FF151F">
        <w:t>)</w:t>
      </w:r>
      <w:r>
        <w:t>,</w:t>
      </w:r>
      <w:r w:rsidRPr="00FF151F">
        <w:t xml:space="preserve"> assessed in Chapter 4 as posing a URE that does not achieve the ALOP for Australia. This section also describes specific commercial production practices that are mandatory for 3 quarantine pests, as these practices were considered </w:t>
      </w:r>
      <w:r>
        <w:t>in assessment of</w:t>
      </w:r>
      <w:r w:rsidRPr="00FF151F">
        <w:t xml:space="preserve"> the URE of these pests </w:t>
      </w:r>
      <w:r>
        <w:t xml:space="preserve">as </w:t>
      </w:r>
      <w:r w:rsidRPr="00FF151F">
        <w:t xml:space="preserve">achieving the ALOP for Australia. </w:t>
      </w:r>
    </w:p>
    <w:p w14:paraId="7246A409" w14:textId="77777777" w:rsidR="003438A2" w:rsidRPr="00FF151F" w:rsidRDefault="003438A2" w:rsidP="007072E7">
      <w:r w:rsidRPr="00FF151F">
        <w:t>Historical trade and pest interception data of other similar pathways, as described in section 5.1.1, have been considered in determining the appropriate risk management measures for the importation of fresh apple fruit from the PNW-USA.</w:t>
      </w:r>
    </w:p>
    <w:p w14:paraId="1B0FE9A7" w14:textId="77777777" w:rsidR="003438A2" w:rsidRPr="00FF151F" w:rsidRDefault="003438A2" w:rsidP="007072E7">
      <w:r w:rsidRPr="00FF151F">
        <w:t>Finalisation of the import conditions may be undertaken with input from the Australian states and territories, and the USDA-APHIS, as appropriate.</w:t>
      </w:r>
    </w:p>
    <w:p w14:paraId="4C837339" w14:textId="77777777" w:rsidR="003438A2" w:rsidRPr="0011636C" w:rsidRDefault="003438A2" w:rsidP="00254287">
      <w:pPr>
        <w:pStyle w:val="Heading4"/>
        <w:ind w:left="1560" w:hanging="709"/>
      </w:pPr>
      <w:r w:rsidRPr="0011636C">
        <w:t xml:space="preserve">Analysis of pest interception data </w:t>
      </w:r>
    </w:p>
    <w:p w14:paraId="69E83D74" w14:textId="77777777" w:rsidR="003438A2" w:rsidRDefault="003438A2" w:rsidP="00A734E3">
      <w:r w:rsidRPr="00945121">
        <w:t xml:space="preserve">Australia currently allows imports of </w:t>
      </w:r>
      <w:r>
        <w:t>fresh apples</w:t>
      </w:r>
      <w:r w:rsidRPr="00945121">
        <w:t xml:space="preserve"> from </w:t>
      </w:r>
      <w:r>
        <w:t>China and</w:t>
      </w:r>
      <w:r w:rsidRPr="00945121">
        <w:rPr>
          <w:color w:val="000000" w:themeColor="text1"/>
        </w:rPr>
        <w:t xml:space="preserve"> New Zealand</w:t>
      </w:r>
      <w:r>
        <w:rPr>
          <w:color w:val="000000" w:themeColor="text1"/>
        </w:rPr>
        <w:t>.</w:t>
      </w:r>
      <w:r w:rsidRPr="0011636C">
        <w:t xml:space="preserve"> During the period spanning January 2011 to July 2020, 274 consignments of fresh apples were imported into Australia from China, totalling 5,065 tonnes. </w:t>
      </w:r>
      <w:r>
        <w:t>There were</w:t>
      </w:r>
      <w:r w:rsidRPr="0011636C">
        <w:t xml:space="preserve"> very few </w:t>
      </w:r>
      <w:r>
        <w:t xml:space="preserve">pest </w:t>
      </w:r>
      <w:r w:rsidRPr="0011636C">
        <w:t>interceptions, most of which were unidentified species of mites from four families, namely Tarsonemidae, Tydeidae, Acaridae and Phytoseiidae. Two consignments of apples from China contained unidentified leafroller moths. During the period spanning August 2011 to July 2020, 75 consignments of fresh apples were imported into Australia from New Zealand, totalling 1,743 tonnes. During this period there were two interceptions of apple leafcurling midge, each of one live la</w:t>
      </w:r>
      <w:r>
        <w:t>r</w:t>
      </w:r>
      <w:r w:rsidRPr="0011636C">
        <w:t>va/pupa in 2011</w:t>
      </w:r>
      <w:r>
        <w:t>, and there has been no interception of this pest since</w:t>
      </w:r>
      <w:r w:rsidRPr="0011636C">
        <w:t>. In</w:t>
      </w:r>
      <w:r w:rsidRPr="000911ED">
        <w:t xml:space="preserve"> addition, there was detection of a live thrips of</w:t>
      </w:r>
      <w:r>
        <w:t xml:space="preserve"> concern in</w:t>
      </w:r>
      <w:r w:rsidRPr="000911ED">
        <w:t xml:space="preserve"> the family Phlaeothripidae during this period.</w:t>
      </w:r>
    </w:p>
    <w:p w14:paraId="0D8A6CA0" w14:textId="77777777" w:rsidR="003438A2" w:rsidRPr="00F65564" w:rsidRDefault="003438A2" w:rsidP="00A734E3">
      <w:r>
        <w:t xml:space="preserve">The USA also has access to the Australian market for cherries (permitted counties in California, Idaho, Oregon and Washington), stone fruit (California, Idaho, Oregon and Washington), table grapes (California) and citrus (California and Arizona). </w:t>
      </w:r>
      <w:r w:rsidRPr="00DC33B3">
        <w:t>The horticultural practices</w:t>
      </w:r>
      <w:r>
        <w:t xml:space="preserve"> and</w:t>
      </w:r>
      <w:r w:rsidRPr="00DC33B3">
        <w:t xml:space="preserve"> major production areas for these </w:t>
      </w:r>
      <w:r w:rsidRPr="00BC4E7A">
        <w:t xml:space="preserve">commodities in the PNW-USA are considered </w:t>
      </w:r>
      <w:r>
        <w:t>to be very similar</w:t>
      </w:r>
      <w:r w:rsidRPr="00BC4E7A">
        <w:t xml:space="preserve"> to those for apples. The key pests associated with stone fruit and apples in the PNW-USA largely overlap, and pest prevalences and pressures on the production systems are also comparable. The risk analysis for stone fruit from California and the </w:t>
      </w:r>
      <w:r>
        <w:t>PNW</w:t>
      </w:r>
      <w:r w:rsidRPr="00BC4E7A">
        <w:t xml:space="preserve"> states identified </w:t>
      </w:r>
      <w:r w:rsidRPr="00046AA6">
        <w:t>20</w:t>
      </w:r>
      <w:r w:rsidRPr="00BC4E7A">
        <w:t xml:space="preserve"> quarantine pests for Australia </w:t>
      </w:r>
      <w:r>
        <w:t>that</w:t>
      </w:r>
      <w:r w:rsidRPr="00BC4E7A">
        <w:t xml:space="preserve"> require specific risk management measures. During the period spanning January 2015 to July 2020, a total of 3,913 consignments of fresh stone fruit were imported into </w:t>
      </w:r>
      <w:r w:rsidRPr="00BC4E7A">
        <w:lastRenderedPageBreak/>
        <w:t xml:space="preserve">Australia from the USA, totalling 15,688 tonnes. </w:t>
      </w:r>
      <w:r>
        <w:t>There were</w:t>
      </w:r>
      <w:r w:rsidRPr="00BC4E7A">
        <w:t xml:space="preserve"> a few </w:t>
      </w:r>
      <w:r>
        <w:t xml:space="preserve">pest </w:t>
      </w:r>
      <w:r w:rsidRPr="00BC4E7A">
        <w:t>interceptions</w:t>
      </w:r>
      <w:r>
        <w:t>,</w:t>
      </w:r>
      <w:r w:rsidRPr="00BC4E7A">
        <w:t xml:space="preserve"> </w:t>
      </w:r>
      <w:r>
        <w:t>including</w:t>
      </w:r>
      <w:r w:rsidRPr="009F7FE6">
        <w:t xml:space="preserve"> arthropods of families such as Thripidae (thrips), Phytoseiidae (mites), Sciaridae (fungal gnats) and Pyralidae (pyralid moths).</w:t>
      </w:r>
      <w:r>
        <w:t xml:space="preserve"> </w:t>
      </w:r>
    </w:p>
    <w:p w14:paraId="1275F5AB" w14:textId="77777777" w:rsidR="003438A2" w:rsidRPr="00F40F41" w:rsidRDefault="003438A2" w:rsidP="00254287">
      <w:pPr>
        <w:pStyle w:val="Heading4"/>
        <w:ind w:left="1560" w:hanging="709"/>
      </w:pPr>
      <w:r w:rsidRPr="00F40F41">
        <w:t>Pest risk management for quarantine pests</w:t>
      </w:r>
      <w:r>
        <w:t xml:space="preserve"> </w:t>
      </w:r>
      <w:r w:rsidRPr="00FF151F">
        <w:t xml:space="preserve">and regulated </w:t>
      </w:r>
      <w:r>
        <w:t>article</w:t>
      </w:r>
    </w:p>
    <w:p w14:paraId="525E55CB" w14:textId="77777777" w:rsidR="003438A2" w:rsidRPr="00FF151F" w:rsidRDefault="003438A2" w:rsidP="00FF151F">
      <w:r>
        <w:t>Recommended</w:t>
      </w:r>
      <w:r w:rsidRPr="00945121">
        <w:t xml:space="preserve"> specific risk management measures for </w:t>
      </w:r>
      <w:r w:rsidRPr="00046AA6">
        <w:t xml:space="preserve">the </w:t>
      </w:r>
      <w:r w:rsidRPr="002824EF">
        <w:t>20 quarantine</w:t>
      </w:r>
      <w:r w:rsidRPr="00945121">
        <w:t xml:space="preserve"> pests (</w:t>
      </w:r>
      <w:r>
        <w:t>1</w:t>
      </w:r>
      <w:r w:rsidRPr="00945121">
        <w:t xml:space="preserve"> of which </w:t>
      </w:r>
      <w:r>
        <w:t>is</w:t>
      </w:r>
      <w:r w:rsidRPr="00945121">
        <w:t xml:space="preserve"> also </w:t>
      </w:r>
      <w:r>
        <w:t xml:space="preserve">a </w:t>
      </w:r>
      <w:r w:rsidRPr="00945121">
        <w:t xml:space="preserve">regulated </w:t>
      </w:r>
      <w:r>
        <w:t>article</w:t>
      </w:r>
      <w:r w:rsidRPr="00945121">
        <w:t xml:space="preserve">) associated with </w:t>
      </w:r>
      <w:r>
        <w:t>fresh apples</w:t>
      </w:r>
      <w:r w:rsidRPr="00945121">
        <w:t xml:space="preserve"> from </w:t>
      </w:r>
      <w:r>
        <w:t xml:space="preserve">the PNW-USA </w:t>
      </w:r>
      <w:r w:rsidRPr="00945121">
        <w:t>are listed in</w:t>
      </w:r>
      <w:r>
        <w:t xml:space="preserve"> </w:t>
      </w:r>
      <w:r>
        <w:fldChar w:fldCharType="begin" w:fldLock="1"/>
      </w:r>
      <w:r>
        <w:instrText xml:space="preserve"> REF _Ref108431629 \h </w:instrText>
      </w:r>
      <w:r>
        <w:fldChar w:fldCharType="separate"/>
      </w:r>
      <w:r w:rsidRPr="00E57C3F">
        <w:t xml:space="preserve">Table </w:t>
      </w:r>
      <w:r>
        <w:rPr>
          <w:noProof/>
        </w:rPr>
        <w:t>5</w:t>
      </w:r>
      <w:r>
        <w:t>.</w:t>
      </w:r>
      <w:r>
        <w:rPr>
          <w:noProof/>
        </w:rPr>
        <w:t>1</w:t>
      </w:r>
      <w:r>
        <w:fldChar w:fldCharType="end"/>
      </w:r>
      <w:r w:rsidRPr="00945121">
        <w:t>.</w:t>
      </w:r>
      <w:r>
        <w:t xml:space="preserve"> Specific commercial production practices are recommended to be mandatory for </w:t>
      </w:r>
      <w:r w:rsidRPr="0011404E">
        <w:rPr>
          <w:i/>
          <w:iCs/>
        </w:rPr>
        <w:t>D. mali</w:t>
      </w:r>
      <w:r>
        <w:t xml:space="preserve">, </w:t>
      </w:r>
      <w:r w:rsidRPr="0011404E">
        <w:rPr>
          <w:i/>
          <w:iCs/>
        </w:rPr>
        <w:t>E. amylovora</w:t>
      </w:r>
      <w:r>
        <w:t xml:space="preserve"> and </w:t>
      </w:r>
      <w:r w:rsidRPr="0011404E">
        <w:rPr>
          <w:i/>
          <w:iCs/>
        </w:rPr>
        <w:t>N.</w:t>
      </w:r>
      <w:r>
        <w:rPr>
          <w:i/>
          <w:iCs/>
        </w:rPr>
        <w:t> </w:t>
      </w:r>
      <w:r w:rsidRPr="0011404E">
        <w:rPr>
          <w:i/>
          <w:iCs/>
        </w:rPr>
        <w:t>ditissima</w:t>
      </w:r>
      <w:r>
        <w:t xml:space="preserve">, as these practices were considered in assessment of the URE of these pests as achieving the ALOP for Australia. These are listed in </w:t>
      </w:r>
      <w:r>
        <w:fldChar w:fldCharType="begin" w:fldLock="1"/>
      </w:r>
      <w:r>
        <w:instrText xml:space="preserve"> REF _Ref108436683 \h </w:instrText>
      </w:r>
      <w:r>
        <w:fldChar w:fldCharType="separate"/>
      </w:r>
      <w:r>
        <w:t xml:space="preserve">Table </w:t>
      </w:r>
      <w:r>
        <w:rPr>
          <w:noProof/>
        </w:rPr>
        <w:t>5</w:t>
      </w:r>
      <w:r>
        <w:t>.</w:t>
      </w:r>
      <w:r>
        <w:rPr>
          <w:noProof/>
        </w:rPr>
        <w:t>2</w:t>
      </w:r>
      <w:r>
        <w:fldChar w:fldCharType="end"/>
      </w:r>
      <w:r>
        <w:t>.</w:t>
      </w:r>
      <w:bookmarkStart w:id="493" w:name="_Ref45010164"/>
      <w:bookmarkStart w:id="494" w:name="_Toc384979286"/>
      <w:bookmarkStart w:id="495" w:name="_Toc469037545"/>
    </w:p>
    <w:p w14:paraId="080E4130" w14:textId="77777777" w:rsidR="003438A2" w:rsidRDefault="003438A2">
      <w:pPr>
        <w:spacing w:after="0" w:line="240" w:lineRule="auto"/>
        <w:rPr>
          <w:rFonts w:eastAsiaTheme="majorEastAsia" w:cstheme="majorBidi"/>
          <w:b/>
          <w:bCs/>
          <w:color w:val="595959" w:themeColor="text1" w:themeTint="A6"/>
          <w:sz w:val="20"/>
          <w:szCs w:val="18"/>
        </w:rPr>
      </w:pPr>
      <w:r>
        <w:br w:type="page"/>
      </w:r>
    </w:p>
    <w:p w14:paraId="25E78C41" w14:textId="77777777" w:rsidR="003438A2" w:rsidRPr="00E57C3F" w:rsidRDefault="003438A2" w:rsidP="00E57C3F">
      <w:pPr>
        <w:pStyle w:val="Caption"/>
      </w:pPr>
      <w:bookmarkStart w:id="496" w:name="_Ref108431629"/>
      <w:bookmarkStart w:id="497" w:name="_Toc112770170"/>
      <w:r w:rsidRPr="00E57C3F">
        <w:lastRenderedPageBreak/>
        <w:t xml:space="preserve">Table </w:t>
      </w:r>
      <w:fldSimple w:instr=" STYLEREF 2 \s " w:fldLock="1">
        <w:r>
          <w:rPr>
            <w:noProof/>
          </w:rPr>
          <w:t>5</w:t>
        </w:r>
      </w:fldSimple>
      <w:r>
        <w:t>.</w:t>
      </w:r>
      <w:fldSimple w:instr=" SEQ Table \* ARABIC \s 2 " w:fldLock="1">
        <w:r>
          <w:rPr>
            <w:noProof/>
          </w:rPr>
          <w:t>1</w:t>
        </w:r>
      </w:fldSimple>
      <w:bookmarkEnd w:id="493"/>
      <w:bookmarkEnd w:id="496"/>
      <w:r w:rsidRPr="00E57C3F">
        <w:t xml:space="preserve"> Risk management measures recommended for quarantine pests and </w:t>
      </w:r>
      <w:r>
        <w:t xml:space="preserve">a </w:t>
      </w:r>
      <w:r w:rsidRPr="00E57C3F">
        <w:t xml:space="preserve">regulated article </w:t>
      </w:r>
      <w:r w:rsidRPr="002824EF">
        <w:t xml:space="preserve">potentially associated with apples from </w:t>
      </w:r>
      <w:bookmarkEnd w:id="494"/>
      <w:bookmarkEnd w:id="495"/>
      <w:r w:rsidRPr="002824EF">
        <w:t>the Pacific Northwest states, USA</w:t>
      </w:r>
      <w:bookmarkEnd w:id="497"/>
    </w:p>
    <w:tbl>
      <w:tblPr>
        <w:tblW w:w="9026" w:type="dxa"/>
        <w:tblBorders>
          <w:top w:val="single" w:sz="4" w:space="0" w:color="auto"/>
          <w:bottom w:val="single" w:sz="4" w:space="0" w:color="auto"/>
        </w:tblBorders>
        <w:tblLook w:val="04A0" w:firstRow="1" w:lastRow="0" w:firstColumn="1" w:lastColumn="0" w:noHBand="0" w:noVBand="1"/>
      </w:tblPr>
      <w:tblGrid>
        <w:gridCol w:w="3828"/>
        <w:gridCol w:w="2268"/>
        <w:gridCol w:w="2930"/>
      </w:tblGrid>
      <w:tr w:rsidR="003438A2" w:rsidRPr="00FF151F" w14:paraId="6C8E9DCE" w14:textId="77777777" w:rsidTr="00602F8B">
        <w:trPr>
          <w:cantSplit/>
        </w:trPr>
        <w:tc>
          <w:tcPr>
            <w:tcW w:w="3828" w:type="dxa"/>
            <w:tcBorders>
              <w:top w:val="dotted" w:sz="4" w:space="0" w:color="auto"/>
              <w:bottom w:val="dotted" w:sz="4" w:space="0" w:color="auto"/>
            </w:tcBorders>
          </w:tcPr>
          <w:p w14:paraId="3EFC6DD5" w14:textId="77777777" w:rsidR="003438A2" w:rsidRPr="00FF151F" w:rsidRDefault="003438A2" w:rsidP="00874700">
            <w:pPr>
              <w:pStyle w:val="TableHeading"/>
              <w:rPr>
                <w:sz w:val="16"/>
                <w:szCs w:val="16"/>
              </w:rPr>
            </w:pPr>
            <w:r w:rsidRPr="00FF151F">
              <w:rPr>
                <w:sz w:val="16"/>
                <w:szCs w:val="16"/>
              </w:rPr>
              <w:t>Pest</w:t>
            </w:r>
          </w:p>
        </w:tc>
        <w:tc>
          <w:tcPr>
            <w:tcW w:w="2268" w:type="dxa"/>
            <w:tcBorders>
              <w:top w:val="dotted" w:sz="4" w:space="0" w:color="auto"/>
              <w:bottom w:val="dotted" w:sz="4" w:space="0" w:color="auto"/>
            </w:tcBorders>
          </w:tcPr>
          <w:p w14:paraId="750E6482" w14:textId="77777777" w:rsidR="003438A2" w:rsidRPr="00FF151F" w:rsidRDefault="003438A2" w:rsidP="00874700">
            <w:pPr>
              <w:pStyle w:val="TableHeading"/>
              <w:rPr>
                <w:sz w:val="16"/>
                <w:szCs w:val="16"/>
              </w:rPr>
            </w:pPr>
            <w:r w:rsidRPr="00FF151F">
              <w:rPr>
                <w:sz w:val="16"/>
                <w:szCs w:val="16"/>
              </w:rPr>
              <w:t>Common name</w:t>
            </w:r>
          </w:p>
        </w:tc>
        <w:tc>
          <w:tcPr>
            <w:tcW w:w="2930" w:type="dxa"/>
            <w:tcBorders>
              <w:top w:val="dotted" w:sz="4" w:space="0" w:color="auto"/>
              <w:bottom w:val="dotted" w:sz="4" w:space="0" w:color="auto"/>
            </w:tcBorders>
          </w:tcPr>
          <w:p w14:paraId="4432D127" w14:textId="77777777" w:rsidR="003438A2" w:rsidRPr="00FF151F" w:rsidRDefault="003438A2" w:rsidP="00874700">
            <w:pPr>
              <w:pStyle w:val="TableHeading"/>
              <w:rPr>
                <w:sz w:val="16"/>
                <w:szCs w:val="16"/>
              </w:rPr>
            </w:pPr>
            <w:r w:rsidRPr="00FF151F">
              <w:rPr>
                <w:sz w:val="16"/>
                <w:szCs w:val="16"/>
              </w:rPr>
              <w:t>Measures</w:t>
            </w:r>
          </w:p>
        </w:tc>
      </w:tr>
      <w:tr w:rsidR="003438A2" w:rsidRPr="00FF151F" w14:paraId="77868D9C" w14:textId="77777777" w:rsidTr="00FF151F">
        <w:trPr>
          <w:cantSplit/>
        </w:trPr>
        <w:tc>
          <w:tcPr>
            <w:tcW w:w="3828" w:type="dxa"/>
            <w:tcBorders>
              <w:top w:val="dotted" w:sz="4" w:space="0" w:color="auto"/>
            </w:tcBorders>
          </w:tcPr>
          <w:p w14:paraId="3648E378" w14:textId="77777777" w:rsidR="003438A2" w:rsidRPr="00FF151F" w:rsidRDefault="003438A2" w:rsidP="00874700">
            <w:pPr>
              <w:pStyle w:val="TableHeading"/>
              <w:rPr>
                <w:sz w:val="16"/>
                <w:szCs w:val="16"/>
              </w:rPr>
            </w:pPr>
            <w:r w:rsidRPr="00FF151F">
              <w:rPr>
                <w:sz w:val="16"/>
                <w:szCs w:val="16"/>
              </w:rPr>
              <w:t>Fruit Flies [Diptera: Tephritidae]</w:t>
            </w:r>
          </w:p>
        </w:tc>
        <w:tc>
          <w:tcPr>
            <w:tcW w:w="2268" w:type="dxa"/>
            <w:tcBorders>
              <w:top w:val="dotted" w:sz="4" w:space="0" w:color="auto"/>
            </w:tcBorders>
          </w:tcPr>
          <w:p w14:paraId="254B4158" w14:textId="77777777" w:rsidR="003438A2" w:rsidRPr="00FF151F" w:rsidRDefault="003438A2" w:rsidP="00874700">
            <w:pPr>
              <w:pStyle w:val="TableHeading"/>
              <w:rPr>
                <w:b w:val="0"/>
                <w:sz w:val="16"/>
                <w:szCs w:val="16"/>
              </w:rPr>
            </w:pPr>
          </w:p>
        </w:tc>
        <w:tc>
          <w:tcPr>
            <w:tcW w:w="2930" w:type="dxa"/>
            <w:vMerge w:val="restart"/>
            <w:tcBorders>
              <w:top w:val="dotted" w:sz="4" w:space="0" w:color="auto"/>
            </w:tcBorders>
            <w:vAlign w:val="center"/>
          </w:tcPr>
          <w:p w14:paraId="5316A323" w14:textId="77777777" w:rsidR="003438A2" w:rsidRPr="00FF151F" w:rsidRDefault="003438A2" w:rsidP="00874700">
            <w:pPr>
              <w:pStyle w:val="TableText"/>
              <w:rPr>
                <w:sz w:val="16"/>
                <w:szCs w:val="16"/>
              </w:rPr>
            </w:pPr>
          </w:p>
          <w:p w14:paraId="267D4B36" w14:textId="77777777" w:rsidR="003438A2" w:rsidRPr="00FF151F" w:rsidRDefault="003438A2" w:rsidP="00874700">
            <w:pPr>
              <w:pStyle w:val="TableText"/>
              <w:rPr>
                <w:sz w:val="16"/>
                <w:szCs w:val="16"/>
              </w:rPr>
            </w:pPr>
            <w:r w:rsidRPr="00FF151F">
              <w:rPr>
                <w:sz w:val="16"/>
                <w:szCs w:val="16"/>
              </w:rPr>
              <w:t xml:space="preserve">PFA, PFPP or PFPS </w:t>
            </w:r>
            <w:r w:rsidRPr="00FF151F">
              <w:rPr>
                <w:b/>
                <w:sz w:val="16"/>
                <w:szCs w:val="16"/>
              </w:rPr>
              <w:t>a</w:t>
            </w:r>
          </w:p>
          <w:p w14:paraId="2FBB13C3" w14:textId="77777777" w:rsidR="003438A2" w:rsidRPr="00FF151F" w:rsidRDefault="003438A2" w:rsidP="00874700">
            <w:pPr>
              <w:pStyle w:val="TableText"/>
              <w:rPr>
                <w:rFonts w:cs="Times New Roman"/>
                <w:sz w:val="16"/>
                <w:szCs w:val="16"/>
              </w:rPr>
            </w:pPr>
            <w:r w:rsidRPr="00FF151F">
              <w:rPr>
                <w:sz w:val="16"/>
                <w:szCs w:val="16"/>
              </w:rPr>
              <w:t>OR</w:t>
            </w:r>
          </w:p>
          <w:p w14:paraId="36F1DBB5" w14:textId="77777777" w:rsidR="003438A2" w:rsidRPr="00FF151F" w:rsidRDefault="003438A2" w:rsidP="00874700">
            <w:pPr>
              <w:pStyle w:val="TableHeading"/>
              <w:rPr>
                <w:b w:val="0"/>
                <w:sz w:val="16"/>
                <w:szCs w:val="16"/>
              </w:rPr>
            </w:pPr>
            <w:r w:rsidRPr="00FF151F">
              <w:rPr>
                <w:b w:val="0"/>
                <w:sz w:val="16"/>
                <w:szCs w:val="16"/>
              </w:rPr>
              <w:t xml:space="preserve">An appropriate pre-export phytosanitary treatment </w:t>
            </w:r>
            <w:r w:rsidRPr="00FF151F">
              <w:rPr>
                <w:rFonts w:cs="Arial"/>
                <w:b w:val="0"/>
                <w:sz w:val="16"/>
                <w:szCs w:val="16"/>
              </w:rPr>
              <w:t xml:space="preserve">approved by </w:t>
            </w:r>
            <w:r w:rsidRPr="00FF151F">
              <w:rPr>
                <w:b w:val="0"/>
                <w:bCs/>
                <w:sz w:val="16"/>
                <w:szCs w:val="16"/>
              </w:rPr>
              <w:t>the department</w:t>
            </w:r>
          </w:p>
        </w:tc>
      </w:tr>
      <w:tr w:rsidR="003438A2" w:rsidRPr="00FF151F" w14:paraId="1F80A247" w14:textId="77777777" w:rsidTr="00FF151F">
        <w:trPr>
          <w:cantSplit/>
        </w:trPr>
        <w:tc>
          <w:tcPr>
            <w:tcW w:w="3828" w:type="dxa"/>
            <w:tcBorders>
              <w:bottom w:val="dotted" w:sz="4" w:space="0" w:color="auto"/>
            </w:tcBorders>
          </w:tcPr>
          <w:p w14:paraId="7FF39839" w14:textId="77777777" w:rsidR="003438A2" w:rsidRPr="00FF151F" w:rsidRDefault="003438A2" w:rsidP="00874700">
            <w:pPr>
              <w:pStyle w:val="TableHeading"/>
              <w:rPr>
                <w:b w:val="0"/>
                <w:sz w:val="16"/>
                <w:szCs w:val="16"/>
              </w:rPr>
            </w:pPr>
            <w:r w:rsidRPr="00FF151F">
              <w:rPr>
                <w:b w:val="0"/>
                <w:i/>
                <w:sz w:val="16"/>
                <w:szCs w:val="16"/>
              </w:rPr>
              <w:t xml:space="preserve">Rhagoletis pomonella </w:t>
            </w:r>
            <w:r w:rsidRPr="00FF151F">
              <w:rPr>
                <w:b w:val="0"/>
                <w:sz w:val="16"/>
                <w:szCs w:val="16"/>
              </w:rPr>
              <w:t>(EP)</w:t>
            </w:r>
          </w:p>
        </w:tc>
        <w:tc>
          <w:tcPr>
            <w:tcW w:w="2268" w:type="dxa"/>
            <w:tcBorders>
              <w:bottom w:val="dotted" w:sz="4" w:space="0" w:color="auto"/>
            </w:tcBorders>
          </w:tcPr>
          <w:p w14:paraId="3F23BAF8" w14:textId="77777777" w:rsidR="003438A2" w:rsidRPr="00FF151F" w:rsidRDefault="003438A2" w:rsidP="00874700">
            <w:pPr>
              <w:pStyle w:val="TableHeading"/>
              <w:rPr>
                <w:b w:val="0"/>
                <w:sz w:val="16"/>
                <w:szCs w:val="16"/>
              </w:rPr>
            </w:pPr>
            <w:r w:rsidRPr="00FF151F">
              <w:rPr>
                <w:b w:val="0"/>
                <w:sz w:val="16"/>
                <w:szCs w:val="16"/>
              </w:rPr>
              <w:t>Apple maggot</w:t>
            </w:r>
          </w:p>
        </w:tc>
        <w:tc>
          <w:tcPr>
            <w:tcW w:w="2930" w:type="dxa"/>
            <w:vMerge/>
            <w:tcBorders>
              <w:bottom w:val="dotted" w:sz="4" w:space="0" w:color="auto"/>
            </w:tcBorders>
            <w:vAlign w:val="center"/>
          </w:tcPr>
          <w:p w14:paraId="58C88419" w14:textId="77777777" w:rsidR="003438A2" w:rsidRPr="00FF151F" w:rsidRDefault="003438A2" w:rsidP="00874700">
            <w:pPr>
              <w:pStyle w:val="TableHeading"/>
              <w:rPr>
                <w:b w:val="0"/>
                <w:sz w:val="16"/>
                <w:szCs w:val="16"/>
              </w:rPr>
            </w:pPr>
          </w:p>
        </w:tc>
      </w:tr>
      <w:tr w:rsidR="003438A2" w:rsidRPr="00FF151F" w14:paraId="4441A5FF" w14:textId="77777777" w:rsidTr="00FF151F">
        <w:trPr>
          <w:cantSplit/>
        </w:trPr>
        <w:tc>
          <w:tcPr>
            <w:tcW w:w="6096" w:type="dxa"/>
            <w:gridSpan w:val="2"/>
            <w:tcBorders>
              <w:top w:val="dotted" w:sz="4" w:space="0" w:color="auto"/>
              <w:bottom w:val="nil"/>
            </w:tcBorders>
          </w:tcPr>
          <w:p w14:paraId="24DE468D" w14:textId="77777777" w:rsidR="003438A2" w:rsidRPr="00FF151F" w:rsidRDefault="003438A2" w:rsidP="00874700">
            <w:pPr>
              <w:pStyle w:val="TableText"/>
              <w:rPr>
                <w:sz w:val="16"/>
                <w:szCs w:val="16"/>
              </w:rPr>
            </w:pPr>
            <w:r w:rsidRPr="00FF151F">
              <w:rPr>
                <w:b/>
                <w:sz w:val="16"/>
                <w:szCs w:val="16"/>
              </w:rPr>
              <w:t>Flat Mites [Trombidiformes: Tenuipalpidae]</w:t>
            </w:r>
          </w:p>
        </w:tc>
        <w:tc>
          <w:tcPr>
            <w:tcW w:w="2930" w:type="dxa"/>
            <w:vMerge w:val="restart"/>
            <w:tcBorders>
              <w:top w:val="dotted" w:sz="4" w:space="0" w:color="auto"/>
              <w:bottom w:val="nil"/>
            </w:tcBorders>
            <w:vAlign w:val="center"/>
          </w:tcPr>
          <w:p w14:paraId="7E455102" w14:textId="77777777" w:rsidR="003438A2" w:rsidRPr="00FF151F" w:rsidRDefault="003438A2" w:rsidP="00874700">
            <w:pPr>
              <w:pStyle w:val="TableText"/>
              <w:rPr>
                <w:sz w:val="16"/>
                <w:szCs w:val="16"/>
              </w:rPr>
            </w:pPr>
            <w:r w:rsidRPr="00FF151F">
              <w:rPr>
                <w:sz w:val="16"/>
                <w:szCs w:val="16"/>
              </w:rPr>
              <w:t xml:space="preserve">Pre-export visual inspection and, if found remedial action </w:t>
            </w:r>
            <w:r w:rsidRPr="00FF151F">
              <w:rPr>
                <w:b/>
                <w:sz w:val="16"/>
                <w:szCs w:val="16"/>
              </w:rPr>
              <w:t xml:space="preserve">b </w:t>
            </w:r>
          </w:p>
        </w:tc>
      </w:tr>
      <w:tr w:rsidR="003438A2" w:rsidRPr="00FF151F" w14:paraId="70B8640D" w14:textId="77777777" w:rsidTr="00FF151F">
        <w:trPr>
          <w:cantSplit/>
          <w:trHeight w:val="329"/>
        </w:trPr>
        <w:tc>
          <w:tcPr>
            <w:tcW w:w="3828" w:type="dxa"/>
            <w:tcBorders>
              <w:top w:val="nil"/>
            </w:tcBorders>
          </w:tcPr>
          <w:p w14:paraId="258A139C" w14:textId="77777777" w:rsidR="003438A2" w:rsidRPr="00FF151F" w:rsidRDefault="003438A2" w:rsidP="00961CCA">
            <w:pPr>
              <w:pStyle w:val="TableText"/>
              <w:rPr>
                <w:sz w:val="16"/>
                <w:szCs w:val="16"/>
              </w:rPr>
            </w:pPr>
            <w:r w:rsidRPr="00FF151F">
              <w:rPr>
                <w:i/>
                <w:sz w:val="16"/>
                <w:szCs w:val="16"/>
              </w:rPr>
              <w:t xml:space="preserve">Cenopalpus pulcher </w:t>
            </w:r>
            <w:r w:rsidRPr="00FF151F">
              <w:rPr>
                <w:sz w:val="16"/>
                <w:szCs w:val="16"/>
              </w:rPr>
              <w:t>(EP)</w:t>
            </w:r>
          </w:p>
        </w:tc>
        <w:tc>
          <w:tcPr>
            <w:tcW w:w="2268" w:type="dxa"/>
            <w:tcBorders>
              <w:top w:val="nil"/>
            </w:tcBorders>
          </w:tcPr>
          <w:p w14:paraId="3D1F17B2" w14:textId="77777777" w:rsidR="003438A2" w:rsidRPr="00FF151F" w:rsidRDefault="003438A2" w:rsidP="00A539B6">
            <w:pPr>
              <w:pStyle w:val="TableText"/>
              <w:rPr>
                <w:sz w:val="16"/>
                <w:szCs w:val="16"/>
              </w:rPr>
            </w:pPr>
            <w:r w:rsidRPr="00FF151F">
              <w:rPr>
                <w:sz w:val="16"/>
                <w:szCs w:val="16"/>
              </w:rPr>
              <w:t>Flat scarlet mite</w:t>
            </w:r>
          </w:p>
        </w:tc>
        <w:tc>
          <w:tcPr>
            <w:tcW w:w="2930" w:type="dxa"/>
            <w:vMerge/>
            <w:tcBorders>
              <w:top w:val="nil"/>
            </w:tcBorders>
          </w:tcPr>
          <w:p w14:paraId="6CDCE133" w14:textId="77777777" w:rsidR="003438A2" w:rsidRPr="00FF151F" w:rsidRDefault="003438A2" w:rsidP="00874700">
            <w:pPr>
              <w:pStyle w:val="TableText"/>
              <w:rPr>
                <w:sz w:val="16"/>
                <w:szCs w:val="16"/>
              </w:rPr>
            </w:pPr>
          </w:p>
        </w:tc>
      </w:tr>
      <w:tr w:rsidR="003438A2" w:rsidRPr="00FF151F" w14:paraId="2A0FA644" w14:textId="77777777" w:rsidTr="00FF151F">
        <w:trPr>
          <w:cantSplit/>
        </w:trPr>
        <w:tc>
          <w:tcPr>
            <w:tcW w:w="6096" w:type="dxa"/>
            <w:gridSpan w:val="2"/>
          </w:tcPr>
          <w:p w14:paraId="6CE330BE" w14:textId="77777777" w:rsidR="003438A2" w:rsidRPr="00FF151F" w:rsidRDefault="003438A2" w:rsidP="00874700">
            <w:pPr>
              <w:pStyle w:val="TableText"/>
              <w:rPr>
                <w:b/>
                <w:sz w:val="16"/>
                <w:szCs w:val="16"/>
              </w:rPr>
            </w:pPr>
            <w:r w:rsidRPr="00FF151F">
              <w:rPr>
                <w:b/>
                <w:sz w:val="16"/>
                <w:szCs w:val="16"/>
              </w:rPr>
              <w:t>Spider Mites [Trombidiformes: Tetranychidae]</w:t>
            </w:r>
          </w:p>
        </w:tc>
        <w:tc>
          <w:tcPr>
            <w:tcW w:w="2930" w:type="dxa"/>
            <w:vMerge/>
          </w:tcPr>
          <w:p w14:paraId="62D1EA20" w14:textId="77777777" w:rsidR="003438A2" w:rsidRPr="00FF151F" w:rsidRDefault="003438A2" w:rsidP="00874700">
            <w:pPr>
              <w:pStyle w:val="TableText"/>
              <w:rPr>
                <w:sz w:val="16"/>
                <w:szCs w:val="16"/>
              </w:rPr>
            </w:pPr>
          </w:p>
        </w:tc>
      </w:tr>
      <w:tr w:rsidR="003438A2" w:rsidRPr="00FF151F" w14:paraId="2BCF71F3" w14:textId="77777777" w:rsidTr="00FF151F">
        <w:trPr>
          <w:cantSplit/>
        </w:trPr>
        <w:tc>
          <w:tcPr>
            <w:tcW w:w="3828" w:type="dxa"/>
          </w:tcPr>
          <w:p w14:paraId="356A53F9" w14:textId="77777777" w:rsidR="003438A2" w:rsidRPr="00FF151F" w:rsidRDefault="003438A2" w:rsidP="00874700">
            <w:pPr>
              <w:pStyle w:val="TableText"/>
              <w:rPr>
                <w:b/>
                <w:sz w:val="16"/>
                <w:szCs w:val="16"/>
              </w:rPr>
            </w:pPr>
            <w:r w:rsidRPr="00FF151F">
              <w:rPr>
                <w:i/>
                <w:sz w:val="16"/>
                <w:szCs w:val="16"/>
              </w:rPr>
              <w:t>Tetranychus mcdanieli</w:t>
            </w:r>
            <w:r w:rsidRPr="00FF151F">
              <w:rPr>
                <w:iCs/>
                <w:sz w:val="16"/>
                <w:szCs w:val="16"/>
              </w:rPr>
              <w:t xml:space="preserve"> </w:t>
            </w:r>
          </w:p>
        </w:tc>
        <w:tc>
          <w:tcPr>
            <w:tcW w:w="2268" w:type="dxa"/>
          </w:tcPr>
          <w:p w14:paraId="4B24460E" w14:textId="77777777" w:rsidR="003438A2" w:rsidRPr="00FF151F" w:rsidRDefault="003438A2" w:rsidP="00B14184">
            <w:pPr>
              <w:pStyle w:val="TableText"/>
              <w:rPr>
                <w:b/>
                <w:sz w:val="16"/>
                <w:szCs w:val="16"/>
              </w:rPr>
            </w:pPr>
            <w:r w:rsidRPr="00FF151F">
              <w:rPr>
                <w:iCs/>
                <w:sz w:val="16"/>
                <w:szCs w:val="16"/>
              </w:rPr>
              <w:t>McDaniel spider mite</w:t>
            </w:r>
          </w:p>
        </w:tc>
        <w:tc>
          <w:tcPr>
            <w:tcW w:w="2930" w:type="dxa"/>
            <w:vMerge/>
          </w:tcPr>
          <w:p w14:paraId="49A075AE" w14:textId="77777777" w:rsidR="003438A2" w:rsidRPr="00FF151F" w:rsidRDefault="003438A2" w:rsidP="00874700">
            <w:pPr>
              <w:pStyle w:val="TableText"/>
              <w:rPr>
                <w:sz w:val="16"/>
                <w:szCs w:val="16"/>
              </w:rPr>
            </w:pPr>
          </w:p>
        </w:tc>
      </w:tr>
      <w:tr w:rsidR="003438A2" w:rsidRPr="00FF151F" w14:paraId="3B6BD466" w14:textId="77777777" w:rsidTr="00FF151F">
        <w:trPr>
          <w:cantSplit/>
        </w:trPr>
        <w:tc>
          <w:tcPr>
            <w:tcW w:w="6096" w:type="dxa"/>
            <w:gridSpan w:val="2"/>
          </w:tcPr>
          <w:p w14:paraId="505333AB" w14:textId="77777777" w:rsidR="003438A2" w:rsidRPr="00FF151F" w:rsidRDefault="003438A2" w:rsidP="00874700">
            <w:pPr>
              <w:pStyle w:val="TableText"/>
              <w:rPr>
                <w:sz w:val="16"/>
                <w:szCs w:val="16"/>
              </w:rPr>
            </w:pPr>
            <w:r w:rsidRPr="00FF151F">
              <w:rPr>
                <w:b/>
                <w:sz w:val="16"/>
                <w:szCs w:val="16"/>
              </w:rPr>
              <w:t>Mealybugs [Hemiptera: Pseudococcidae]</w:t>
            </w:r>
          </w:p>
        </w:tc>
        <w:tc>
          <w:tcPr>
            <w:tcW w:w="2930" w:type="dxa"/>
            <w:vMerge/>
          </w:tcPr>
          <w:p w14:paraId="22F21066" w14:textId="77777777" w:rsidR="003438A2" w:rsidRPr="00FF151F" w:rsidRDefault="003438A2" w:rsidP="00874700">
            <w:pPr>
              <w:pStyle w:val="TableText"/>
              <w:rPr>
                <w:sz w:val="16"/>
                <w:szCs w:val="16"/>
              </w:rPr>
            </w:pPr>
          </w:p>
        </w:tc>
      </w:tr>
      <w:tr w:rsidR="003438A2" w:rsidRPr="00FF151F" w14:paraId="4F995779" w14:textId="77777777" w:rsidTr="00FF151F">
        <w:trPr>
          <w:cantSplit/>
        </w:trPr>
        <w:tc>
          <w:tcPr>
            <w:tcW w:w="3828" w:type="dxa"/>
          </w:tcPr>
          <w:p w14:paraId="32C02180" w14:textId="77777777" w:rsidR="003438A2" w:rsidRPr="00FF151F" w:rsidRDefault="003438A2" w:rsidP="00874700">
            <w:pPr>
              <w:pStyle w:val="TableText"/>
              <w:rPr>
                <w:sz w:val="16"/>
                <w:szCs w:val="16"/>
              </w:rPr>
            </w:pPr>
            <w:r w:rsidRPr="00FF151F">
              <w:rPr>
                <w:i/>
                <w:sz w:val="16"/>
                <w:szCs w:val="16"/>
              </w:rPr>
              <w:t xml:space="preserve">Phenacoccus aceris </w:t>
            </w:r>
            <w:r w:rsidRPr="00FF151F">
              <w:rPr>
                <w:sz w:val="16"/>
                <w:szCs w:val="16"/>
              </w:rPr>
              <w:t>(GP)</w:t>
            </w:r>
          </w:p>
        </w:tc>
        <w:tc>
          <w:tcPr>
            <w:tcW w:w="2268" w:type="dxa"/>
          </w:tcPr>
          <w:p w14:paraId="0FD1FA2E" w14:textId="77777777" w:rsidR="003438A2" w:rsidRPr="00FF151F" w:rsidRDefault="003438A2" w:rsidP="00874700">
            <w:pPr>
              <w:pStyle w:val="TableText"/>
              <w:rPr>
                <w:sz w:val="16"/>
                <w:szCs w:val="16"/>
              </w:rPr>
            </w:pPr>
            <w:r w:rsidRPr="00FF151F">
              <w:rPr>
                <w:sz w:val="16"/>
                <w:szCs w:val="16"/>
              </w:rPr>
              <w:t>Apple mealybug</w:t>
            </w:r>
          </w:p>
        </w:tc>
        <w:tc>
          <w:tcPr>
            <w:tcW w:w="2930" w:type="dxa"/>
            <w:vMerge/>
          </w:tcPr>
          <w:p w14:paraId="05775F8D" w14:textId="77777777" w:rsidR="003438A2" w:rsidRPr="00FF151F" w:rsidRDefault="003438A2" w:rsidP="00874700">
            <w:pPr>
              <w:pStyle w:val="TableText"/>
              <w:rPr>
                <w:sz w:val="16"/>
                <w:szCs w:val="16"/>
              </w:rPr>
            </w:pPr>
          </w:p>
        </w:tc>
      </w:tr>
      <w:tr w:rsidR="003438A2" w:rsidRPr="00FF151F" w14:paraId="52CB66BA" w14:textId="77777777" w:rsidTr="00FF151F">
        <w:trPr>
          <w:cantSplit/>
        </w:trPr>
        <w:tc>
          <w:tcPr>
            <w:tcW w:w="3828" w:type="dxa"/>
          </w:tcPr>
          <w:p w14:paraId="48BDA016" w14:textId="77777777" w:rsidR="003438A2" w:rsidRPr="00FF151F" w:rsidRDefault="003438A2" w:rsidP="00874700">
            <w:pPr>
              <w:pStyle w:val="TableText"/>
              <w:rPr>
                <w:i/>
                <w:sz w:val="16"/>
                <w:szCs w:val="16"/>
              </w:rPr>
            </w:pPr>
            <w:r w:rsidRPr="00FF151F">
              <w:rPr>
                <w:i/>
                <w:sz w:val="16"/>
                <w:szCs w:val="16"/>
              </w:rPr>
              <w:t xml:space="preserve">Pseudococcus maritimus </w:t>
            </w:r>
            <w:r w:rsidRPr="00FF151F">
              <w:rPr>
                <w:sz w:val="16"/>
                <w:szCs w:val="16"/>
              </w:rPr>
              <w:t>(GP)</w:t>
            </w:r>
          </w:p>
        </w:tc>
        <w:tc>
          <w:tcPr>
            <w:tcW w:w="2268" w:type="dxa"/>
          </w:tcPr>
          <w:p w14:paraId="2DB351BF" w14:textId="77777777" w:rsidR="003438A2" w:rsidRPr="00FF151F" w:rsidRDefault="003438A2" w:rsidP="00874700">
            <w:pPr>
              <w:pStyle w:val="TableText"/>
              <w:rPr>
                <w:sz w:val="16"/>
                <w:szCs w:val="16"/>
              </w:rPr>
            </w:pPr>
            <w:r w:rsidRPr="00FF151F">
              <w:rPr>
                <w:sz w:val="16"/>
                <w:szCs w:val="16"/>
              </w:rPr>
              <w:t>Grape mealybug</w:t>
            </w:r>
          </w:p>
        </w:tc>
        <w:tc>
          <w:tcPr>
            <w:tcW w:w="2930" w:type="dxa"/>
            <w:vMerge/>
          </w:tcPr>
          <w:p w14:paraId="5353D97D" w14:textId="77777777" w:rsidR="003438A2" w:rsidRPr="00FF151F" w:rsidRDefault="003438A2" w:rsidP="00874700">
            <w:pPr>
              <w:pStyle w:val="TableText"/>
              <w:rPr>
                <w:sz w:val="16"/>
                <w:szCs w:val="16"/>
              </w:rPr>
            </w:pPr>
          </w:p>
        </w:tc>
      </w:tr>
      <w:tr w:rsidR="003438A2" w:rsidRPr="00FF151F" w14:paraId="56E59552" w14:textId="77777777" w:rsidTr="00FF151F">
        <w:trPr>
          <w:cantSplit/>
        </w:trPr>
        <w:tc>
          <w:tcPr>
            <w:tcW w:w="6096" w:type="dxa"/>
            <w:gridSpan w:val="2"/>
          </w:tcPr>
          <w:p w14:paraId="6030D100" w14:textId="77777777" w:rsidR="003438A2" w:rsidRPr="00FF151F" w:rsidRDefault="003438A2" w:rsidP="00874700">
            <w:pPr>
              <w:pStyle w:val="TableText"/>
              <w:rPr>
                <w:sz w:val="16"/>
                <w:szCs w:val="16"/>
              </w:rPr>
            </w:pPr>
            <w:r w:rsidRPr="00FF151F">
              <w:rPr>
                <w:b/>
                <w:sz w:val="16"/>
                <w:szCs w:val="16"/>
              </w:rPr>
              <w:t>Thrips [Thysanoptera: Thripidae]</w:t>
            </w:r>
          </w:p>
        </w:tc>
        <w:tc>
          <w:tcPr>
            <w:tcW w:w="2930" w:type="dxa"/>
            <w:vMerge/>
          </w:tcPr>
          <w:p w14:paraId="4BCEC843" w14:textId="77777777" w:rsidR="003438A2" w:rsidRPr="00FF151F" w:rsidRDefault="003438A2" w:rsidP="00874700">
            <w:pPr>
              <w:pStyle w:val="TableText"/>
              <w:rPr>
                <w:sz w:val="16"/>
                <w:szCs w:val="16"/>
              </w:rPr>
            </w:pPr>
          </w:p>
        </w:tc>
      </w:tr>
      <w:tr w:rsidR="003438A2" w:rsidRPr="00FF151F" w14:paraId="0288E546" w14:textId="77777777" w:rsidTr="00FF151F">
        <w:trPr>
          <w:cantSplit/>
        </w:trPr>
        <w:tc>
          <w:tcPr>
            <w:tcW w:w="3828" w:type="dxa"/>
          </w:tcPr>
          <w:p w14:paraId="409E429B" w14:textId="77777777" w:rsidR="003438A2" w:rsidRPr="002824EF" w:rsidRDefault="003438A2" w:rsidP="00874700">
            <w:pPr>
              <w:pStyle w:val="TableText"/>
              <w:rPr>
                <w:sz w:val="16"/>
                <w:szCs w:val="16"/>
              </w:rPr>
            </w:pPr>
            <w:r w:rsidRPr="002824EF">
              <w:rPr>
                <w:i/>
                <w:sz w:val="16"/>
                <w:szCs w:val="16"/>
              </w:rPr>
              <w:t>Frankliniella occidentalis</w:t>
            </w:r>
            <w:r w:rsidRPr="002824EF">
              <w:rPr>
                <w:sz w:val="16"/>
                <w:szCs w:val="16"/>
              </w:rPr>
              <w:t xml:space="preserve"> (GP, RA, NT) </w:t>
            </w:r>
            <w:r w:rsidRPr="002824EF">
              <w:rPr>
                <w:b/>
                <w:bCs/>
                <w:sz w:val="16"/>
                <w:szCs w:val="16"/>
              </w:rPr>
              <w:t>c</w:t>
            </w:r>
          </w:p>
        </w:tc>
        <w:tc>
          <w:tcPr>
            <w:tcW w:w="2268" w:type="dxa"/>
          </w:tcPr>
          <w:p w14:paraId="126E09A8" w14:textId="77777777" w:rsidR="003438A2" w:rsidRPr="002824EF" w:rsidRDefault="003438A2" w:rsidP="00874700">
            <w:pPr>
              <w:pStyle w:val="TableText"/>
              <w:rPr>
                <w:sz w:val="16"/>
                <w:szCs w:val="16"/>
              </w:rPr>
            </w:pPr>
            <w:r w:rsidRPr="002824EF">
              <w:rPr>
                <w:sz w:val="16"/>
                <w:szCs w:val="16"/>
              </w:rPr>
              <w:t>Western flower thrips</w:t>
            </w:r>
          </w:p>
        </w:tc>
        <w:tc>
          <w:tcPr>
            <w:tcW w:w="2930" w:type="dxa"/>
            <w:vMerge/>
          </w:tcPr>
          <w:p w14:paraId="2275213D" w14:textId="77777777" w:rsidR="003438A2" w:rsidRPr="002824EF" w:rsidRDefault="003438A2" w:rsidP="00874700">
            <w:pPr>
              <w:pStyle w:val="TableText"/>
              <w:rPr>
                <w:sz w:val="16"/>
                <w:szCs w:val="16"/>
              </w:rPr>
            </w:pPr>
          </w:p>
        </w:tc>
      </w:tr>
      <w:tr w:rsidR="003438A2" w:rsidRPr="00FF151F" w14:paraId="3064B8FD" w14:textId="77777777" w:rsidTr="00FF151F">
        <w:trPr>
          <w:cantSplit/>
        </w:trPr>
        <w:tc>
          <w:tcPr>
            <w:tcW w:w="3828" w:type="dxa"/>
          </w:tcPr>
          <w:p w14:paraId="58D0662D" w14:textId="77777777" w:rsidR="003438A2" w:rsidRPr="002824EF" w:rsidRDefault="003438A2" w:rsidP="00874700">
            <w:pPr>
              <w:pStyle w:val="TableText"/>
              <w:rPr>
                <w:sz w:val="16"/>
                <w:szCs w:val="16"/>
              </w:rPr>
            </w:pPr>
            <w:r w:rsidRPr="002824EF">
              <w:rPr>
                <w:i/>
                <w:sz w:val="16"/>
                <w:szCs w:val="16"/>
              </w:rPr>
              <w:t>Frankliniella tritici</w:t>
            </w:r>
            <w:r w:rsidRPr="002824EF">
              <w:rPr>
                <w:sz w:val="16"/>
                <w:szCs w:val="16"/>
              </w:rPr>
              <w:t xml:space="preserve"> (GP)</w:t>
            </w:r>
          </w:p>
        </w:tc>
        <w:tc>
          <w:tcPr>
            <w:tcW w:w="2268" w:type="dxa"/>
          </w:tcPr>
          <w:p w14:paraId="4DECAB95" w14:textId="77777777" w:rsidR="003438A2" w:rsidRPr="002824EF" w:rsidRDefault="003438A2" w:rsidP="00874700">
            <w:pPr>
              <w:pStyle w:val="TableText"/>
              <w:rPr>
                <w:sz w:val="16"/>
                <w:szCs w:val="16"/>
              </w:rPr>
            </w:pPr>
            <w:r w:rsidRPr="002824EF">
              <w:rPr>
                <w:sz w:val="16"/>
                <w:szCs w:val="16"/>
              </w:rPr>
              <w:t>Eastern flower thrips</w:t>
            </w:r>
          </w:p>
        </w:tc>
        <w:tc>
          <w:tcPr>
            <w:tcW w:w="2930" w:type="dxa"/>
            <w:vMerge/>
          </w:tcPr>
          <w:p w14:paraId="0B7F5ECE" w14:textId="77777777" w:rsidR="003438A2" w:rsidRPr="002824EF" w:rsidRDefault="003438A2" w:rsidP="00874700">
            <w:pPr>
              <w:pStyle w:val="TableText"/>
              <w:rPr>
                <w:sz w:val="16"/>
                <w:szCs w:val="16"/>
              </w:rPr>
            </w:pPr>
          </w:p>
        </w:tc>
      </w:tr>
      <w:tr w:rsidR="003438A2" w:rsidRPr="00FF151F" w14:paraId="02A11048" w14:textId="77777777" w:rsidTr="00BD3085">
        <w:trPr>
          <w:cantSplit/>
        </w:trPr>
        <w:tc>
          <w:tcPr>
            <w:tcW w:w="6096" w:type="dxa"/>
            <w:gridSpan w:val="2"/>
            <w:tcBorders>
              <w:top w:val="dotted" w:sz="4" w:space="0" w:color="auto"/>
              <w:bottom w:val="nil"/>
            </w:tcBorders>
          </w:tcPr>
          <w:p w14:paraId="23198593" w14:textId="77777777" w:rsidR="003438A2" w:rsidRPr="002824EF" w:rsidRDefault="003438A2" w:rsidP="00EB2DE9">
            <w:pPr>
              <w:pStyle w:val="TableText"/>
              <w:rPr>
                <w:sz w:val="16"/>
                <w:szCs w:val="16"/>
              </w:rPr>
            </w:pPr>
            <w:r w:rsidRPr="002824EF">
              <w:rPr>
                <w:b/>
                <w:sz w:val="16"/>
                <w:szCs w:val="16"/>
              </w:rPr>
              <w:t>Moths [Lepidoptera: Tortricidae]</w:t>
            </w:r>
          </w:p>
        </w:tc>
        <w:tc>
          <w:tcPr>
            <w:tcW w:w="2930" w:type="dxa"/>
            <w:vMerge w:val="restart"/>
            <w:tcBorders>
              <w:top w:val="dotted" w:sz="4" w:space="0" w:color="auto"/>
              <w:bottom w:val="nil"/>
            </w:tcBorders>
            <w:vAlign w:val="center"/>
          </w:tcPr>
          <w:p w14:paraId="25260CB4" w14:textId="77777777" w:rsidR="003438A2" w:rsidRPr="002824EF" w:rsidRDefault="003438A2" w:rsidP="00EB2DE9">
            <w:pPr>
              <w:pStyle w:val="TableText"/>
              <w:rPr>
                <w:b/>
                <w:sz w:val="16"/>
                <w:szCs w:val="16"/>
              </w:rPr>
            </w:pPr>
            <w:bookmarkStart w:id="498" w:name="_Hlk109322697"/>
            <w:r w:rsidRPr="002824EF">
              <w:rPr>
                <w:sz w:val="16"/>
                <w:szCs w:val="16"/>
              </w:rPr>
              <w:t xml:space="preserve">In-field controls </w:t>
            </w:r>
            <w:r w:rsidRPr="002824EF">
              <w:rPr>
                <w:b/>
                <w:sz w:val="16"/>
                <w:szCs w:val="16"/>
              </w:rPr>
              <w:t>d</w:t>
            </w:r>
          </w:p>
          <w:p w14:paraId="3FC226FD" w14:textId="77777777" w:rsidR="003438A2" w:rsidRPr="002824EF" w:rsidRDefault="003438A2" w:rsidP="00EB2DE9">
            <w:pPr>
              <w:pStyle w:val="TableText"/>
              <w:rPr>
                <w:bCs/>
                <w:sz w:val="16"/>
                <w:szCs w:val="16"/>
              </w:rPr>
            </w:pPr>
            <w:r w:rsidRPr="002824EF">
              <w:rPr>
                <w:bCs/>
                <w:sz w:val="16"/>
                <w:szCs w:val="16"/>
              </w:rPr>
              <w:t>AND</w:t>
            </w:r>
          </w:p>
          <w:p w14:paraId="165E8A56" w14:textId="77777777" w:rsidR="003438A2" w:rsidRPr="002824EF" w:rsidRDefault="003438A2" w:rsidP="00EB2DE9">
            <w:pPr>
              <w:pStyle w:val="TableText"/>
              <w:rPr>
                <w:sz w:val="16"/>
                <w:szCs w:val="16"/>
              </w:rPr>
            </w:pPr>
            <w:r w:rsidRPr="002824EF">
              <w:rPr>
                <w:bCs/>
                <w:sz w:val="16"/>
                <w:szCs w:val="16"/>
              </w:rPr>
              <w:t>Pre-export</w:t>
            </w:r>
            <w:r w:rsidRPr="002824EF">
              <w:rPr>
                <w:sz w:val="16"/>
                <w:szCs w:val="16"/>
              </w:rPr>
              <w:t xml:space="preserve"> inspection and, if found, remedial action </w:t>
            </w:r>
            <w:r w:rsidRPr="002824EF">
              <w:rPr>
                <w:b/>
                <w:sz w:val="16"/>
                <w:szCs w:val="16"/>
              </w:rPr>
              <w:t>b</w:t>
            </w:r>
          </w:p>
          <w:p w14:paraId="43EDB13A" w14:textId="77777777" w:rsidR="003438A2" w:rsidRPr="002824EF" w:rsidRDefault="003438A2" w:rsidP="00EB2DE9">
            <w:pPr>
              <w:pStyle w:val="TableText"/>
              <w:rPr>
                <w:sz w:val="16"/>
                <w:szCs w:val="16"/>
              </w:rPr>
            </w:pPr>
            <w:r w:rsidRPr="002824EF">
              <w:rPr>
                <w:sz w:val="16"/>
                <w:szCs w:val="16"/>
              </w:rPr>
              <w:t>OR</w:t>
            </w:r>
          </w:p>
          <w:p w14:paraId="10B4C974" w14:textId="77777777" w:rsidR="003438A2" w:rsidRPr="002824EF" w:rsidRDefault="003438A2" w:rsidP="00EB2DE9">
            <w:pPr>
              <w:pStyle w:val="TableText"/>
              <w:rPr>
                <w:sz w:val="16"/>
                <w:szCs w:val="16"/>
              </w:rPr>
            </w:pPr>
            <w:r w:rsidRPr="002824EF">
              <w:rPr>
                <w:sz w:val="16"/>
                <w:szCs w:val="16"/>
              </w:rPr>
              <w:t xml:space="preserve">An appropriate pre-export phytosanitary treatment </w:t>
            </w:r>
            <w:r w:rsidRPr="002824EF">
              <w:rPr>
                <w:rFonts w:cs="Arial"/>
                <w:sz w:val="16"/>
                <w:szCs w:val="16"/>
              </w:rPr>
              <w:t>approved by the department</w:t>
            </w:r>
            <w:bookmarkEnd w:id="498"/>
          </w:p>
        </w:tc>
      </w:tr>
      <w:tr w:rsidR="003438A2" w:rsidRPr="00FF151F" w14:paraId="73FAE82E" w14:textId="77777777" w:rsidTr="00602F8B">
        <w:trPr>
          <w:cantSplit/>
          <w:trHeight w:val="1655"/>
        </w:trPr>
        <w:tc>
          <w:tcPr>
            <w:tcW w:w="3828" w:type="dxa"/>
            <w:tcBorders>
              <w:top w:val="nil"/>
              <w:bottom w:val="dotted" w:sz="4" w:space="0" w:color="auto"/>
            </w:tcBorders>
          </w:tcPr>
          <w:p w14:paraId="77FA42EA" w14:textId="77777777" w:rsidR="003438A2" w:rsidRPr="002824EF" w:rsidRDefault="003438A2" w:rsidP="00EB2DE9">
            <w:pPr>
              <w:pStyle w:val="TableText"/>
              <w:rPr>
                <w:sz w:val="16"/>
                <w:szCs w:val="16"/>
              </w:rPr>
            </w:pPr>
            <w:r w:rsidRPr="002824EF">
              <w:rPr>
                <w:i/>
                <w:sz w:val="16"/>
                <w:szCs w:val="16"/>
              </w:rPr>
              <w:t xml:space="preserve">Archips argyrospila </w:t>
            </w:r>
            <w:r w:rsidRPr="002824EF">
              <w:rPr>
                <w:sz w:val="16"/>
                <w:szCs w:val="16"/>
              </w:rPr>
              <w:t>(EP)</w:t>
            </w:r>
          </w:p>
          <w:p w14:paraId="56E60405" w14:textId="77777777" w:rsidR="003438A2" w:rsidRPr="002824EF" w:rsidRDefault="003438A2" w:rsidP="00EB2DE9">
            <w:pPr>
              <w:pStyle w:val="TableText"/>
              <w:rPr>
                <w:sz w:val="16"/>
                <w:szCs w:val="16"/>
              </w:rPr>
            </w:pPr>
            <w:r w:rsidRPr="002824EF">
              <w:rPr>
                <w:i/>
                <w:sz w:val="16"/>
                <w:szCs w:val="16"/>
              </w:rPr>
              <w:t xml:space="preserve">Archips podana </w:t>
            </w:r>
            <w:r w:rsidRPr="002824EF">
              <w:rPr>
                <w:sz w:val="16"/>
                <w:szCs w:val="16"/>
              </w:rPr>
              <w:t>(EP)</w:t>
            </w:r>
          </w:p>
          <w:p w14:paraId="51350BB5" w14:textId="77777777" w:rsidR="003438A2" w:rsidRPr="002824EF" w:rsidRDefault="003438A2" w:rsidP="00EB2DE9">
            <w:pPr>
              <w:pStyle w:val="TableText"/>
              <w:rPr>
                <w:sz w:val="16"/>
                <w:szCs w:val="16"/>
              </w:rPr>
            </w:pPr>
            <w:r w:rsidRPr="002824EF">
              <w:rPr>
                <w:i/>
                <w:sz w:val="16"/>
                <w:szCs w:val="16"/>
              </w:rPr>
              <w:t xml:space="preserve">Archips rosana </w:t>
            </w:r>
            <w:r w:rsidRPr="002824EF">
              <w:rPr>
                <w:sz w:val="16"/>
                <w:szCs w:val="16"/>
              </w:rPr>
              <w:t>(EP)</w:t>
            </w:r>
          </w:p>
          <w:p w14:paraId="7B0EFB10" w14:textId="77777777" w:rsidR="003438A2" w:rsidRPr="002824EF" w:rsidRDefault="003438A2" w:rsidP="00EB2DE9">
            <w:pPr>
              <w:pStyle w:val="TableText"/>
              <w:rPr>
                <w:sz w:val="16"/>
                <w:szCs w:val="16"/>
              </w:rPr>
            </w:pPr>
            <w:r w:rsidRPr="002824EF">
              <w:rPr>
                <w:i/>
                <w:sz w:val="16"/>
                <w:szCs w:val="16"/>
              </w:rPr>
              <w:t xml:space="preserve">Argyrotaenia franciscana </w:t>
            </w:r>
            <w:r w:rsidRPr="002824EF">
              <w:rPr>
                <w:sz w:val="16"/>
                <w:szCs w:val="16"/>
              </w:rPr>
              <w:t>(EP)</w:t>
            </w:r>
          </w:p>
          <w:p w14:paraId="08C28CA0" w14:textId="77777777" w:rsidR="003438A2" w:rsidRPr="002824EF" w:rsidRDefault="003438A2" w:rsidP="00EB2DE9">
            <w:pPr>
              <w:pStyle w:val="TableText"/>
              <w:rPr>
                <w:sz w:val="16"/>
                <w:szCs w:val="16"/>
              </w:rPr>
            </w:pPr>
            <w:r w:rsidRPr="002824EF">
              <w:rPr>
                <w:i/>
                <w:sz w:val="16"/>
                <w:szCs w:val="16"/>
              </w:rPr>
              <w:t xml:space="preserve">Choristoneura rosaceana </w:t>
            </w:r>
            <w:r w:rsidRPr="002824EF">
              <w:rPr>
                <w:sz w:val="16"/>
                <w:szCs w:val="16"/>
              </w:rPr>
              <w:t>(EP)</w:t>
            </w:r>
          </w:p>
          <w:p w14:paraId="2A999AB0" w14:textId="77777777" w:rsidR="003438A2" w:rsidRPr="002824EF" w:rsidRDefault="003438A2" w:rsidP="00FF151F">
            <w:pPr>
              <w:pStyle w:val="TableText"/>
              <w:spacing w:after="120"/>
              <w:rPr>
                <w:sz w:val="16"/>
                <w:szCs w:val="16"/>
              </w:rPr>
            </w:pPr>
            <w:r w:rsidRPr="002824EF">
              <w:rPr>
                <w:i/>
                <w:sz w:val="16"/>
                <w:szCs w:val="16"/>
              </w:rPr>
              <w:t xml:space="preserve">Pandemis pyrusana </w:t>
            </w:r>
            <w:r w:rsidRPr="002824EF">
              <w:rPr>
                <w:sz w:val="16"/>
                <w:szCs w:val="16"/>
              </w:rPr>
              <w:t>(EP)</w:t>
            </w:r>
          </w:p>
        </w:tc>
        <w:tc>
          <w:tcPr>
            <w:tcW w:w="2268" w:type="dxa"/>
            <w:tcBorders>
              <w:top w:val="nil"/>
              <w:bottom w:val="dotted" w:sz="4" w:space="0" w:color="auto"/>
            </w:tcBorders>
          </w:tcPr>
          <w:p w14:paraId="61D00D21" w14:textId="77777777" w:rsidR="003438A2" w:rsidRPr="002824EF" w:rsidRDefault="003438A2" w:rsidP="00EB2DE9">
            <w:pPr>
              <w:pStyle w:val="TableText"/>
              <w:rPr>
                <w:sz w:val="16"/>
                <w:szCs w:val="16"/>
              </w:rPr>
            </w:pPr>
            <w:r w:rsidRPr="002824EF">
              <w:rPr>
                <w:sz w:val="16"/>
                <w:szCs w:val="16"/>
              </w:rPr>
              <w:t>Fruit tree leafroller</w:t>
            </w:r>
          </w:p>
          <w:p w14:paraId="059497DD" w14:textId="77777777" w:rsidR="003438A2" w:rsidRPr="002824EF" w:rsidRDefault="003438A2" w:rsidP="00EB2DE9">
            <w:pPr>
              <w:pStyle w:val="TableText"/>
              <w:rPr>
                <w:sz w:val="16"/>
                <w:szCs w:val="16"/>
              </w:rPr>
            </w:pPr>
            <w:r w:rsidRPr="002824EF">
              <w:rPr>
                <w:sz w:val="16"/>
                <w:szCs w:val="16"/>
              </w:rPr>
              <w:t>Large fruit tree tortrix</w:t>
            </w:r>
          </w:p>
          <w:p w14:paraId="3092A9D7" w14:textId="77777777" w:rsidR="003438A2" w:rsidRPr="002824EF" w:rsidRDefault="003438A2" w:rsidP="00EB2DE9">
            <w:pPr>
              <w:pStyle w:val="TableText"/>
              <w:rPr>
                <w:sz w:val="16"/>
                <w:szCs w:val="16"/>
              </w:rPr>
            </w:pPr>
            <w:r w:rsidRPr="002824EF">
              <w:rPr>
                <w:sz w:val="16"/>
                <w:szCs w:val="16"/>
              </w:rPr>
              <w:t>European leafroller</w:t>
            </w:r>
          </w:p>
          <w:p w14:paraId="058A6B8F" w14:textId="77777777" w:rsidR="003438A2" w:rsidRPr="002824EF" w:rsidRDefault="003438A2" w:rsidP="00EB2DE9">
            <w:pPr>
              <w:pStyle w:val="TableText"/>
              <w:rPr>
                <w:sz w:val="16"/>
                <w:szCs w:val="16"/>
              </w:rPr>
            </w:pPr>
            <w:r w:rsidRPr="002824EF">
              <w:rPr>
                <w:sz w:val="16"/>
                <w:szCs w:val="16"/>
              </w:rPr>
              <w:t>Orange tortrix</w:t>
            </w:r>
          </w:p>
          <w:p w14:paraId="2A4D073F" w14:textId="77777777" w:rsidR="003438A2" w:rsidRPr="002824EF" w:rsidRDefault="003438A2" w:rsidP="00EB2DE9">
            <w:pPr>
              <w:pStyle w:val="TableText"/>
              <w:rPr>
                <w:sz w:val="16"/>
                <w:szCs w:val="16"/>
              </w:rPr>
            </w:pPr>
            <w:r w:rsidRPr="002824EF">
              <w:rPr>
                <w:sz w:val="16"/>
                <w:szCs w:val="16"/>
              </w:rPr>
              <w:t>Oblique-banded leafroller</w:t>
            </w:r>
          </w:p>
          <w:p w14:paraId="681BBB80" w14:textId="77777777" w:rsidR="003438A2" w:rsidRPr="002824EF" w:rsidRDefault="003438A2" w:rsidP="00FF151F">
            <w:pPr>
              <w:pStyle w:val="TableText"/>
              <w:spacing w:after="120"/>
              <w:rPr>
                <w:sz w:val="16"/>
                <w:szCs w:val="16"/>
              </w:rPr>
            </w:pPr>
            <w:r w:rsidRPr="002824EF">
              <w:rPr>
                <w:sz w:val="16"/>
                <w:szCs w:val="16"/>
              </w:rPr>
              <w:t>Pandemis leafroller</w:t>
            </w:r>
          </w:p>
        </w:tc>
        <w:tc>
          <w:tcPr>
            <w:tcW w:w="2930" w:type="dxa"/>
            <w:vMerge/>
            <w:tcBorders>
              <w:top w:val="nil"/>
              <w:bottom w:val="dotted" w:sz="4" w:space="0" w:color="auto"/>
            </w:tcBorders>
            <w:vAlign w:val="center"/>
          </w:tcPr>
          <w:p w14:paraId="0AF4FF83" w14:textId="77777777" w:rsidR="003438A2" w:rsidRPr="002824EF" w:rsidRDefault="003438A2" w:rsidP="00EB2DE9">
            <w:pPr>
              <w:pStyle w:val="TableText"/>
              <w:rPr>
                <w:sz w:val="16"/>
                <w:szCs w:val="16"/>
              </w:rPr>
            </w:pPr>
          </w:p>
        </w:tc>
      </w:tr>
      <w:tr w:rsidR="003438A2" w:rsidRPr="00FF151F" w14:paraId="0CAD67DB" w14:textId="77777777" w:rsidTr="00602F8B">
        <w:trPr>
          <w:cantSplit/>
          <w:trHeight w:val="699"/>
        </w:trPr>
        <w:tc>
          <w:tcPr>
            <w:tcW w:w="3828" w:type="dxa"/>
            <w:tcBorders>
              <w:top w:val="dotted" w:sz="4" w:space="0" w:color="auto"/>
              <w:bottom w:val="dotted" w:sz="4" w:space="0" w:color="auto"/>
            </w:tcBorders>
          </w:tcPr>
          <w:p w14:paraId="7BAA1143" w14:textId="77777777" w:rsidR="003438A2" w:rsidRPr="002824EF" w:rsidRDefault="003438A2" w:rsidP="00BA7D64">
            <w:pPr>
              <w:pStyle w:val="TableText"/>
              <w:spacing w:after="120"/>
              <w:rPr>
                <w:sz w:val="16"/>
                <w:szCs w:val="16"/>
              </w:rPr>
            </w:pPr>
            <w:r w:rsidRPr="002824EF">
              <w:rPr>
                <w:i/>
                <w:sz w:val="16"/>
                <w:szCs w:val="16"/>
              </w:rPr>
              <w:t xml:space="preserve">Cydia pomonella </w:t>
            </w:r>
            <w:r w:rsidRPr="002824EF">
              <w:rPr>
                <w:sz w:val="16"/>
                <w:szCs w:val="16"/>
              </w:rPr>
              <w:t>(EP, WA)</w:t>
            </w:r>
          </w:p>
          <w:p w14:paraId="46652E8D" w14:textId="77777777" w:rsidR="003438A2" w:rsidRPr="002824EF" w:rsidRDefault="003438A2" w:rsidP="00FF151F">
            <w:pPr>
              <w:pStyle w:val="TableText"/>
              <w:spacing w:after="120"/>
              <w:rPr>
                <w:i/>
                <w:sz w:val="16"/>
                <w:szCs w:val="16"/>
              </w:rPr>
            </w:pPr>
          </w:p>
        </w:tc>
        <w:tc>
          <w:tcPr>
            <w:tcW w:w="2268" w:type="dxa"/>
            <w:tcBorders>
              <w:top w:val="dotted" w:sz="4" w:space="0" w:color="auto"/>
              <w:bottom w:val="dotted" w:sz="4" w:space="0" w:color="auto"/>
            </w:tcBorders>
          </w:tcPr>
          <w:p w14:paraId="32B7B0C3" w14:textId="77777777" w:rsidR="003438A2" w:rsidRPr="002824EF" w:rsidRDefault="003438A2" w:rsidP="00BA7D64">
            <w:pPr>
              <w:pStyle w:val="TableText"/>
              <w:spacing w:after="120"/>
              <w:rPr>
                <w:sz w:val="16"/>
                <w:szCs w:val="16"/>
              </w:rPr>
            </w:pPr>
            <w:r w:rsidRPr="002824EF">
              <w:rPr>
                <w:sz w:val="16"/>
                <w:szCs w:val="16"/>
              </w:rPr>
              <w:t>Codling moth</w:t>
            </w:r>
          </w:p>
          <w:p w14:paraId="4C050500" w14:textId="77777777" w:rsidR="003438A2" w:rsidRPr="002824EF" w:rsidRDefault="003438A2" w:rsidP="00FF151F">
            <w:pPr>
              <w:pStyle w:val="TableText"/>
              <w:spacing w:after="120"/>
              <w:rPr>
                <w:sz w:val="16"/>
                <w:szCs w:val="16"/>
              </w:rPr>
            </w:pPr>
          </w:p>
        </w:tc>
        <w:tc>
          <w:tcPr>
            <w:tcW w:w="2930" w:type="dxa"/>
            <w:tcBorders>
              <w:top w:val="dotted" w:sz="4" w:space="0" w:color="auto"/>
              <w:bottom w:val="dotted" w:sz="4" w:space="0" w:color="auto"/>
            </w:tcBorders>
            <w:vAlign w:val="center"/>
          </w:tcPr>
          <w:p w14:paraId="779DBADF" w14:textId="77777777" w:rsidR="003438A2" w:rsidRPr="002824EF" w:rsidRDefault="003438A2" w:rsidP="00BA7D64">
            <w:pPr>
              <w:pStyle w:val="TableText"/>
              <w:rPr>
                <w:sz w:val="16"/>
                <w:szCs w:val="16"/>
              </w:rPr>
            </w:pPr>
            <w:r w:rsidRPr="002824EF">
              <w:rPr>
                <w:sz w:val="16"/>
                <w:szCs w:val="16"/>
              </w:rPr>
              <w:t xml:space="preserve">PFA, PFPP or PFPS </w:t>
            </w:r>
            <w:r w:rsidRPr="002824EF">
              <w:rPr>
                <w:b/>
                <w:sz w:val="16"/>
                <w:szCs w:val="16"/>
              </w:rPr>
              <w:t>a</w:t>
            </w:r>
          </w:p>
          <w:p w14:paraId="7916F019" w14:textId="77777777" w:rsidR="003438A2" w:rsidRPr="002824EF" w:rsidRDefault="003438A2" w:rsidP="00BA7D64">
            <w:pPr>
              <w:pStyle w:val="TableText"/>
              <w:rPr>
                <w:sz w:val="16"/>
                <w:szCs w:val="16"/>
              </w:rPr>
            </w:pPr>
            <w:r w:rsidRPr="002824EF">
              <w:rPr>
                <w:sz w:val="16"/>
                <w:szCs w:val="16"/>
              </w:rPr>
              <w:t xml:space="preserve">OR </w:t>
            </w:r>
          </w:p>
          <w:p w14:paraId="0005EF4A" w14:textId="77777777" w:rsidR="003438A2" w:rsidRPr="002824EF" w:rsidRDefault="003438A2" w:rsidP="00BA7D64">
            <w:pPr>
              <w:pStyle w:val="TableText"/>
              <w:rPr>
                <w:sz w:val="16"/>
                <w:szCs w:val="16"/>
              </w:rPr>
            </w:pPr>
            <w:r w:rsidRPr="002824EF">
              <w:rPr>
                <w:sz w:val="16"/>
                <w:szCs w:val="16"/>
              </w:rPr>
              <w:t>Systems approach approved by the department</w:t>
            </w:r>
          </w:p>
          <w:p w14:paraId="7EB99543" w14:textId="77777777" w:rsidR="003438A2" w:rsidRPr="002824EF" w:rsidRDefault="003438A2" w:rsidP="00BA7D64">
            <w:pPr>
              <w:pStyle w:val="TableText"/>
              <w:rPr>
                <w:sz w:val="16"/>
                <w:szCs w:val="16"/>
              </w:rPr>
            </w:pPr>
            <w:r w:rsidRPr="002824EF">
              <w:rPr>
                <w:sz w:val="16"/>
                <w:szCs w:val="16"/>
              </w:rPr>
              <w:t xml:space="preserve">OR </w:t>
            </w:r>
          </w:p>
          <w:p w14:paraId="30A03210" w14:textId="77777777" w:rsidR="003438A2" w:rsidRPr="002824EF" w:rsidRDefault="003438A2" w:rsidP="00BA7D64">
            <w:pPr>
              <w:pStyle w:val="TableText"/>
              <w:spacing w:after="120"/>
              <w:rPr>
                <w:sz w:val="16"/>
                <w:szCs w:val="16"/>
              </w:rPr>
            </w:pPr>
            <w:r w:rsidRPr="002824EF">
              <w:rPr>
                <w:sz w:val="16"/>
                <w:szCs w:val="16"/>
              </w:rPr>
              <w:t xml:space="preserve">An appropriate pre-export phytosanitary treatment </w:t>
            </w:r>
            <w:r w:rsidRPr="002824EF">
              <w:rPr>
                <w:rFonts w:cs="Arial"/>
                <w:sz w:val="16"/>
                <w:szCs w:val="16"/>
              </w:rPr>
              <w:t>approved by the department</w:t>
            </w:r>
          </w:p>
        </w:tc>
      </w:tr>
      <w:tr w:rsidR="003438A2" w:rsidRPr="00FF151F" w14:paraId="776D0251" w14:textId="77777777" w:rsidTr="00602F8B">
        <w:trPr>
          <w:cantSplit/>
        </w:trPr>
        <w:tc>
          <w:tcPr>
            <w:tcW w:w="3828" w:type="dxa"/>
            <w:tcBorders>
              <w:top w:val="dotted" w:sz="4" w:space="0" w:color="auto"/>
              <w:bottom w:val="nil"/>
            </w:tcBorders>
          </w:tcPr>
          <w:p w14:paraId="73760071" w14:textId="77777777" w:rsidR="003438A2" w:rsidRPr="00FF151F" w:rsidRDefault="003438A2" w:rsidP="00B14184">
            <w:pPr>
              <w:pStyle w:val="TableText"/>
              <w:rPr>
                <w:b/>
                <w:sz w:val="16"/>
                <w:szCs w:val="16"/>
              </w:rPr>
            </w:pPr>
            <w:r w:rsidRPr="00FF151F">
              <w:rPr>
                <w:b/>
                <w:sz w:val="16"/>
                <w:szCs w:val="16"/>
              </w:rPr>
              <w:t>Fungi</w:t>
            </w:r>
          </w:p>
          <w:p w14:paraId="10FBDE9F" w14:textId="77777777" w:rsidR="003438A2" w:rsidRPr="00FF151F" w:rsidRDefault="003438A2" w:rsidP="00B14184">
            <w:pPr>
              <w:pStyle w:val="TableText"/>
              <w:rPr>
                <w:i/>
                <w:sz w:val="16"/>
                <w:szCs w:val="16"/>
              </w:rPr>
            </w:pPr>
            <w:r w:rsidRPr="00FF151F">
              <w:rPr>
                <w:rFonts w:eastAsia="Calibri" w:cs="Times New Roman"/>
                <w:bCs/>
                <w:i/>
                <w:iCs/>
                <w:sz w:val="16"/>
                <w:szCs w:val="16"/>
              </w:rPr>
              <w:t>Gymnosporangium clavipes</w:t>
            </w:r>
          </w:p>
        </w:tc>
        <w:tc>
          <w:tcPr>
            <w:tcW w:w="2268" w:type="dxa"/>
            <w:tcBorders>
              <w:top w:val="dotted" w:sz="4" w:space="0" w:color="auto"/>
              <w:bottom w:val="nil"/>
            </w:tcBorders>
          </w:tcPr>
          <w:p w14:paraId="29983F12" w14:textId="77777777" w:rsidR="003438A2" w:rsidRPr="00FF151F" w:rsidRDefault="003438A2" w:rsidP="00B14184">
            <w:pPr>
              <w:pStyle w:val="TableText"/>
              <w:rPr>
                <w:sz w:val="16"/>
                <w:szCs w:val="16"/>
              </w:rPr>
            </w:pPr>
          </w:p>
          <w:p w14:paraId="50B8700D" w14:textId="77777777" w:rsidR="003438A2" w:rsidRPr="00FF151F" w:rsidRDefault="003438A2" w:rsidP="00B14184">
            <w:pPr>
              <w:pStyle w:val="TableText"/>
              <w:rPr>
                <w:sz w:val="16"/>
                <w:szCs w:val="16"/>
              </w:rPr>
            </w:pPr>
            <w:r w:rsidRPr="00FF151F">
              <w:rPr>
                <w:sz w:val="16"/>
                <w:szCs w:val="16"/>
              </w:rPr>
              <w:t>Cedar quince rust</w:t>
            </w:r>
          </w:p>
        </w:tc>
        <w:tc>
          <w:tcPr>
            <w:tcW w:w="2930" w:type="dxa"/>
            <w:vMerge w:val="restart"/>
            <w:tcBorders>
              <w:top w:val="dotted" w:sz="4" w:space="0" w:color="auto"/>
              <w:bottom w:val="nil"/>
            </w:tcBorders>
          </w:tcPr>
          <w:p w14:paraId="4EAF8CBF" w14:textId="77777777" w:rsidR="003438A2" w:rsidRPr="00FF151F" w:rsidRDefault="003438A2" w:rsidP="00B14184">
            <w:pPr>
              <w:pStyle w:val="TableText"/>
              <w:rPr>
                <w:sz w:val="16"/>
                <w:szCs w:val="16"/>
              </w:rPr>
            </w:pPr>
          </w:p>
          <w:p w14:paraId="3FB7560D" w14:textId="77777777" w:rsidR="003438A2" w:rsidRPr="00657ACC" w:rsidRDefault="003438A2" w:rsidP="00B14184">
            <w:pPr>
              <w:pStyle w:val="TableText"/>
              <w:rPr>
                <w:sz w:val="16"/>
                <w:szCs w:val="16"/>
              </w:rPr>
            </w:pPr>
            <w:r w:rsidRPr="00657ACC">
              <w:rPr>
                <w:sz w:val="16"/>
                <w:szCs w:val="16"/>
              </w:rPr>
              <w:t xml:space="preserve">Pre-export visual inspection, and if found remedial action </w:t>
            </w:r>
            <w:r w:rsidRPr="00657ACC">
              <w:rPr>
                <w:b/>
                <w:bCs/>
                <w:sz w:val="16"/>
                <w:szCs w:val="16"/>
              </w:rPr>
              <w:t>e</w:t>
            </w:r>
            <w:r w:rsidRPr="00657ACC">
              <w:rPr>
                <w:sz w:val="16"/>
                <w:szCs w:val="16"/>
              </w:rPr>
              <w:t xml:space="preserve"> </w:t>
            </w:r>
          </w:p>
        </w:tc>
      </w:tr>
      <w:tr w:rsidR="003438A2" w:rsidRPr="00FF151F" w14:paraId="407D53AC" w14:textId="77777777" w:rsidTr="00FF151F">
        <w:trPr>
          <w:cantSplit/>
        </w:trPr>
        <w:tc>
          <w:tcPr>
            <w:tcW w:w="3828" w:type="dxa"/>
            <w:tcBorders>
              <w:top w:val="nil"/>
            </w:tcBorders>
          </w:tcPr>
          <w:p w14:paraId="2BFED636" w14:textId="77777777" w:rsidR="003438A2" w:rsidRPr="00657ACC" w:rsidRDefault="003438A2" w:rsidP="00B14184">
            <w:pPr>
              <w:pStyle w:val="TableText"/>
              <w:rPr>
                <w:i/>
                <w:sz w:val="16"/>
                <w:szCs w:val="16"/>
              </w:rPr>
            </w:pPr>
            <w:r w:rsidRPr="00657ACC">
              <w:rPr>
                <w:rFonts w:eastAsia="Calibri" w:cs="Times New Roman"/>
                <w:bCs/>
                <w:i/>
                <w:iCs/>
                <w:sz w:val="16"/>
                <w:szCs w:val="16"/>
              </w:rPr>
              <w:t>Gymnosporangium juniperi-virginianae</w:t>
            </w:r>
          </w:p>
        </w:tc>
        <w:tc>
          <w:tcPr>
            <w:tcW w:w="2268" w:type="dxa"/>
            <w:tcBorders>
              <w:top w:val="nil"/>
            </w:tcBorders>
          </w:tcPr>
          <w:p w14:paraId="6A6CA7F6" w14:textId="77777777" w:rsidR="003438A2" w:rsidRPr="00657ACC" w:rsidRDefault="003438A2" w:rsidP="00B14184">
            <w:pPr>
              <w:pStyle w:val="TableText"/>
              <w:rPr>
                <w:sz w:val="16"/>
                <w:szCs w:val="16"/>
              </w:rPr>
            </w:pPr>
            <w:r w:rsidRPr="00657ACC">
              <w:rPr>
                <w:rFonts w:eastAsia="Calibri" w:cs="Times New Roman"/>
                <w:iCs/>
                <w:sz w:val="16"/>
                <w:szCs w:val="16"/>
              </w:rPr>
              <w:t>Cedar apple rust</w:t>
            </w:r>
          </w:p>
        </w:tc>
        <w:tc>
          <w:tcPr>
            <w:tcW w:w="2930" w:type="dxa"/>
            <w:vMerge/>
            <w:tcBorders>
              <w:top w:val="nil"/>
            </w:tcBorders>
          </w:tcPr>
          <w:p w14:paraId="65747A1B" w14:textId="77777777" w:rsidR="003438A2" w:rsidRPr="00657ACC" w:rsidRDefault="003438A2" w:rsidP="00B14184">
            <w:pPr>
              <w:pStyle w:val="TableText"/>
              <w:rPr>
                <w:sz w:val="16"/>
                <w:szCs w:val="16"/>
              </w:rPr>
            </w:pPr>
          </w:p>
        </w:tc>
      </w:tr>
      <w:tr w:rsidR="003438A2" w:rsidRPr="00FF151F" w14:paraId="2EAD2B3A" w14:textId="77777777" w:rsidTr="00FF151F">
        <w:trPr>
          <w:cantSplit/>
        </w:trPr>
        <w:tc>
          <w:tcPr>
            <w:tcW w:w="3828" w:type="dxa"/>
          </w:tcPr>
          <w:p w14:paraId="22FFBC9C" w14:textId="77777777" w:rsidR="003438A2" w:rsidRPr="00657ACC" w:rsidRDefault="003438A2" w:rsidP="00B14184">
            <w:pPr>
              <w:pStyle w:val="TableText"/>
              <w:rPr>
                <w:i/>
                <w:sz w:val="16"/>
                <w:szCs w:val="16"/>
              </w:rPr>
            </w:pPr>
            <w:r w:rsidRPr="00657ACC">
              <w:rPr>
                <w:rFonts w:eastAsia="Calibri" w:cs="Times New Roman"/>
                <w:bCs/>
                <w:i/>
                <w:iCs/>
                <w:sz w:val="16"/>
                <w:szCs w:val="16"/>
              </w:rPr>
              <w:t>Gymnosporangium libocedri</w:t>
            </w:r>
          </w:p>
        </w:tc>
        <w:tc>
          <w:tcPr>
            <w:tcW w:w="2268" w:type="dxa"/>
          </w:tcPr>
          <w:p w14:paraId="47F37F51" w14:textId="77777777" w:rsidR="003438A2" w:rsidRPr="00657ACC" w:rsidRDefault="003438A2" w:rsidP="00B14184">
            <w:pPr>
              <w:pStyle w:val="TableText"/>
              <w:rPr>
                <w:sz w:val="16"/>
                <w:szCs w:val="16"/>
              </w:rPr>
            </w:pPr>
            <w:r w:rsidRPr="00657ACC">
              <w:rPr>
                <w:rFonts w:eastAsia="Calibri" w:cs="Times New Roman"/>
                <w:iCs/>
                <w:sz w:val="16"/>
                <w:szCs w:val="16"/>
              </w:rPr>
              <w:t>Pacific coast pear rust</w:t>
            </w:r>
          </w:p>
        </w:tc>
        <w:tc>
          <w:tcPr>
            <w:tcW w:w="2930" w:type="dxa"/>
            <w:vMerge/>
          </w:tcPr>
          <w:p w14:paraId="63682DAD" w14:textId="77777777" w:rsidR="003438A2" w:rsidRPr="00657ACC" w:rsidRDefault="003438A2" w:rsidP="00B14184">
            <w:pPr>
              <w:pStyle w:val="TableText"/>
              <w:rPr>
                <w:sz w:val="16"/>
                <w:szCs w:val="16"/>
              </w:rPr>
            </w:pPr>
          </w:p>
        </w:tc>
      </w:tr>
      <w:tr w:rsidR="003438A2" w:rsidRPr="00FF151F" w14:paraId="2E2C8C36" w14:textId="77777777" w:rsidTr="00FF151F">
        <w:trPr>
          <w:cantSplit/>
          <w:trHeight w:val="331"/>
        </w:trPr>
        <w:tc>
          <w:tcPr>
            <w:tcW w:w="6096" w:type="dxa"/>
            <w:gridSpan w:val="2"/>
            <w:tcBorders>
              <w:top w:val="dotted" w:sz="4" w:space="0" w:color="auto"/>
              <w:bottom w:val="nil"/>
            </w:tcBorders>
          </w:tcPr>
          <w:p w14:paraId="446020B1" w14:textId="77777777" w:rsidR="003438A2" w:rsidRPr="00657ACC" w:rsidRDefault="003438A2" w:rsidP="00B14184">
            <w:pPr>
              <w:pStyle w:val="TableText"/>
              <w:rPr>
                <w:sz w:val="16"/>
                <w:szCs w:val="16"/>
              </w:rPr>
            </w:pPr>
            <w:r w:rsidRPr="00657ACC">
              <w:rPr>
                <w:b/>
                <w:sz w:val="16"/>
                <w:szCs w:val="16"/>
              </w:rPr>
              <w:t>Fungi</w:t>
            </w:r>
          </w:p>
        </w:tc>
        <w:tc>
          <w:tcPr>
            <w:tcW w:w="2930" w:type="dxa"/>
            <w:vMerge w:val="restart"/>
            <w:tcBorders>
              <w:top w:val="dotted" w:sz="4" w:space="0" w:color="auto"/>
              <w:bottom w:val="nil"/>
            </w:tcBorders>
            <w:vAlign w:val="center"/>
          </w:tcPr>
          <w:p w14:paraId="36D31139" w14:textId="77777777" w:rsidR="003438A2" w:rsidRPr="00657ACC" w:rsidRDefault="003438A2" w:rsidP="00B14184">
            <w:pPr>
              <w:pStyle w:val="TableText"/>
              <w:rPr>
                <w:sz w:val="16"/>
                <w:szCs w:val="16"/>
              </w:rPr>
            </w:pPr>
          </w:p>
          <w:p w14:paraId="5A489943" w14:textId="77777777" w:rsidR="003438A2" w:rsidRPr="00657ACC" w:rsidRDefault="003438A2" w:rsidP="00B14184">
            <w:pPr>
              <w:pStyle w:val="TableText"/>
              <w:rPr>
                <w:sz w:val="16"/>
                <w:szCs w:val="16"/>
              </w:rPr>
            </w:pPr>
            <w:r w:rsidRPr="00657ACC">
              <w:rPr>
                <w:sz w:val="16"/>
                <w:szCs w:val="16"/>
              </w:rPr>
              <w:t>Systems approach</w:t>
            </w:r>
            <w:r>
              <w:rPr>
                <w:sz w:val="16"/>
                <w:szCs w:val="16"/>
              </w:rPr>
              <w:t xml:space="preserve"> approved by the department</w:t>
            </w:r>
            <w:r w:rsidRPr="00657ACC">
              <w:rPr>
                <w:sz w:val="16"/>
                <w:szCs w:val="16"/>
              </w:rPr>
              <w:t xml:space="preserve"> </w:t>
            </w:r>
            <w:r w:rsidRPr="00657ACC">
              <w:rPr>
                <w:b/>
                <w:sz w:val="16"/>
                <w:szCs w:val="16"/>
              </w:rPr>
              <w:t>f</w:t>
            </w:r>
          </w:p>
        </w:tc>
      </w:tr>
      <w:tr w:rsidR="003438A2" w:rsidRPr="00FF151F" w14:paraId="57BD4ED9" w14:textId="77777777" w:rsidTr="00FF151F">
        <w:trPr>
          <w:cantSplit/>
        </w:trPr>
        <w:tc>
          <w:tcPr>
            <w:tcW w:w="3828" w:type="dxa"/>
            <w:tcBorders>
              <w:top w:val="nil"/>
            </w:tcBorders>
          </w:tcPr>
          <w:p w14:paraId="7E0BCA88" w14:textId="77777777" w:rsidR="003438A2" w:rsidRPr="00657ACC" w:rsidRDefault="003438A2" w:rsidP="00B14184">
            <w:pPr>
              <w:pStyle w:val="TableText"/>
              <w:rPr>
                <w:i/>
                <w:sz w:val="16"/>
                <w:szCs w:val="16"/>
              </w:rPr>
            </w:pPr>
            <w:r w:rsidRPr="00657ACC">
              <w:rPr>
                <w:i/>
                <w:sz w:val="16"/>
                <w:szCs w:val="16"/>
              </w:rPr>
              <w:t>Phacidiopycnis washingtonensis</w:t>
            </w:r>
          </w:p>
        </w:tc>
        <w:tc>
          <w:tcPr>
            <w:tcW w:w="2268" w:type="dxa"/>
            <w:tcBorders>
              <w:top w:val="nil"/>
            </w:tcBorders>
          </w:tcPr>
          <w:p w14:paraId="2565B839" w14:textId="77777777" w:rsidR="003438A2" w:rsidRPr="00657ACC" w:rsidRDefault="003438A2" w:rsidP="00B14184">
            <w:pPr>
              <w:pStyle w:val="TableText"/>
              <w:rPr>
                <w:sz w:val="16"/>
                <w:szCs w:val="16"/>
              </w:rPr>
            </w:pPr>
            <w:r w:rsidRPr="00657ACC">
              <w:rPr>
                <w:sz w:val="16"/>
                <w:szCs w:val="16"/>
              </w:rPr>
              <w:t>Speck rot</w:t>
            </w:r>
          </w:p>
        </w:tc>
        <w:tc>
          <w:tcPr>
            <w:tcW w:w="2930" w:type="dxa"/>
            <w:vMerge/>
            <w:tcBorders>
              <w:top w:val="nil"/>
            </w:tcBorders>
          </w:tcPr>
          <w:p w14:paraId="4A591D13" w14:textId="77777777" w:rsidR="003438A2" w:rsidRPr="00657ACC" w:rsidRDefault="003438A2" w:rsidP="00B14184">
            <w:pPr>
              <w:pStyle w:val="TableText"/>
              <w:rPr>
                <w:sz w:val="16"/>
                <w:szCs w:val="16"/>
              </w:rPr>
            </w:pPr>
          </w:p>
        </w:tc>
      </w:tr>
      <w:tr w:rsidR="003438A2" w:rsidRPr="00FF151F" w14:paraId="25D20DE9" w14:textId="77777777" w:rsidTr="00FF151F">
        <w:trPr>
          <w:cantSplit/>
        </w:trPr>
        <w:tc>
          <w:tcPr>
            <w:tcW w:w="3828" w:type="dxa"/>
          </w:tcPr>
          <w:p w14:paraId="1486B8B8" w14:textId="77777777" w:rsidR="003438A2" w:rsidRPr="00657ACC" w:rsidRDefault="003438A2" w:rsidP="00B14184">
            <w:pPr>
              <w:pStyle w:val="TableText"/>
              <w:rPr>
                <w:i/>
                <w:sz w:val="16"/>
                <w:szCs w:val="16"/>
              </w:rPr>
            </w:pPr>
            <w:r w:rsidRPr="00657ACC">
              <w:rPr>
                <w:bCs/>
                <w:i/>
                <w:iCs/>
                <w:sz w:val="16"/>
                <w:szCs w:val="16"/>
              </w:rPr>
              <w:t xml:space="preserve">Phyllosticta arbutifolia </w:t>
            </w:r>
            <w:r w:rsidRPr="00657ACC">
              <w:rPr>
                <w:sz w:val="16"/>
                <w:szCs w:val="16"/>
              </w:rPr>
              <w:t>(EP)</w:t>
            </w:r>
          </w:p>
        </w:tc>
        <w:tc>
          <w:tcPr>
            <w:tcW w:w="2268" w:type="dxa"/>
          </w:tcPr>
          <w:p w14:paraId="0F69352D" w14:textId="77777777" w:rsidR="003438A2" w:rsidRPr="00657ACC" w:rsidRDefault="003438A2" w:rsidP="00B14184">
            <w:pPr>
              <w:pStyle w:val="TableText"/>
              <w:rPr>
                <w:sz w:val="16"/>
                <w:szCs w:val="16"/>
              </w:rPr>
            </w:pPr>
            <w:r w:rsidRPr="00657ACC">
              <w:rPr>
                <w:sz w:val="16"/>
                <w:szCs w:val="16"/>
              </w:rPr>
              <w:t>Apple blotch</w:t>
            </w:r>
          </w:p>
        </w:tc>
        <w:tc>
          <w:tcPr>
            <w:tcW w:w="2930" w:type="dxa"/>
            <w:vMerge/>
          </w:tcPr>
          <w:p w14:paraId="5229BA04" w14:textId="77777777" w:rsidR="003438A2" w:rsidRPr="00657ACC" w:rsidRDefault="003438A2" w:rsidP="00B14184">
            <w:pPr>
              <w:pStyle w:val="TableText"/>
              <w:rPr>
                <w:sz w:val="16"/>
                <w:szCs w:val="16"/>
              </w:rPr>
            </w:pPr>
          </w:p>
        </w:tc>
      </w:tr>
      <w:tr w:rsidR="003438A2" w:rsidRPr="00D44F88" w14:paraId="520C8D5D" w14:textId="77777777" w:rsidTr="00FF151F">
        <w:trPr>
          <w:cantSplit/>
        </w:trPr>
        <w:tc>
          <w:tcPr>
            <w:tcW w:w="3828" w:type="dxa"/>
          </w:tcPr>
          <w:p w14:paraId="066C710D" w14:textId="77777777" w:rsidR="003438A2" w:rsidRPr="00D44F88" w:rsidRDefault="003438A2" w:rsidP="00B14184">
            <w:pPr>
              <w:pStyle w:val="TableText"/>
              <w:rPr>
                <w:i/>
                <w:sz w:val="16"/>
                <w:szCs w:val="16"/>
              </w:rPr>
            </w:pPr>
            <w:r w:rsidRPr="00D44F88">
              <w:rPr>
                <w:i/>
                <w:sz w:val="16"/>
                <w:szCs w:val="16"/>
              </w:rPr>
              <w:t>Sphaeropsis pyriputrescens</w:t>
            </w:r>
          </w:p>
        </w:tc>
        <w:tc>
          <w:tcPr>
            <w:tcW w:w="2268" w:type="dxa"/>
          </w:tcPr>
          <w:p w14:paraId="0939A531" w14:textId="77777777" w:rsidR="003438A2" w:rsidRPr="00D44F88" w:rsidRDefault="003438A2" w:rsidP="00B14184">
            <w:pPr>
              <w:pStyle w:val="TableText"/>
              <w:rPr>
                <w:sz w:val="16"/>
                <w:szCs w:val="16"/>
              </w:rPr>
            </w:pPr>
            <w:r w:rsidRPr="00D44F88">
              <w:rPr>
                <w:sz w:val="16"/>
                <w:szCs w:val="16"/>
              </w:rPr>
              <w:t>Sphaeropsis rot</w:t>
            </w:r>
          </w:p>
        </w:tc>
        <w:tc>
          <w:tcPr>
            <w:tcW w:w="2930" w:type="dxa"/>
            <w:vMerge/>
          </w:tcPr>
          <w:p w14:paraId="0382F563" w14:textId="77777777" w:rsidR="003438A2" w:rsidRPr="00D44F88" w:rsidRDefault="003438A2" w:rsidP="00B14184">
            <w:pPr>
              <w:pStyle w:val="TableText"/>
              <w:rPr>
                <w:sz w:val="16"/>
                <w:szCs w:val="16"/>
              </w:rPr>
            </w:pPr>
          </w:p>
        </w:tc>
      </w:tr>
      <w:tr w:rsidR="003438A2" w:rsidRPr="00FF151F" w14:paraId="49659B58" w14:textId="77777777" w:rsidTr="00602F8B">
        <w:trPr>
          <w:cantSplit/>
          <w:trHeight w:hRule="exact" w:val="57"/>
        </w:trPr>
        <w:tc>
          <w:tcPr>
            <w:tcW w:w="3828" w:type="dxa"/>
            <w:tcBorders>
              <w:bottom w:val="dotted" w:sz="4" w:space="0" w:color="auto"/>
            </w:tcBorders>
          </w:tcPr>
          <w:p w14:paraId="4697FDAE" w14:textId="77777777" w:rsidR="003438A2" w:rsidRPr="00FF151F" w:rsidRDefault="003438A2" w:rsidP="00B14184">
            <w:pPr>
              <w:pStyle w:val="TableText"/>
              <w:rPr>
                <w:i/>
                <w:sz w:val="16"/>
                <w:szCs w:val="16"/>
              </w:rPr>
            </w:pPr>
          </w:p>
        </w:tc>
        <w:tc>
          <w:tcPr>
            <w:tcW w:w="2268" w:type="dxa"/>
            <w:tcBorders>
              <w:bottom w:val="dotted" w:sz="4" w:space="0" w:color="auto"/>
            </w:tcBorders>
          </w:tcPr>
          <w:p w14:paraId="4FEBCE55" w14:textId="77777777" w:rsidR="003438A2" w:rsidRPr="00FF151F" w:rsidRDefault="003438A2" w:rsidP="00B14184">
            <w:pPr>
              <w:pStyle w:val="TableText"/>
              <w:rPr>
                <w:sz w:val="16"/>
                <w:szCs w:val="16"/>
              </w:rPr>
            </w:pPr>
          </w:p>
        </w:tc>
        <w:tc>
          <w:tcPr>
            <w:tcW w:w="2930" w:type="dxa"/>
            <w:tcBorders>
              <w:bottom w:val="dotted" w:sz="4" w:space="0" w:color="auto"/>
            </w:tcBorders>
          </w:tcPr>
          <w:p w14:paraId="24576FB8" w14:textId="77777777" w:rsidR="003438A2" w:rsidRPr="00FF151F" w:rsidRDefault="003438A2" w:rsidP="00B14184">
            <w:pPr>
              <w:pStyle w:val="TableText"/>
              <w:rPr>
                <w:sz w:val="16"/>
                <w:szCs w:val="16"/>
              </w:rPr>
            </w:pPr>
          </w:p>
        </w:tc>
      </w:tr>
    </w:tbl>
    <w:p w14:paraId="5A054CF8" w14:textId="77777777" w:rsidR="003438A2" w:rsidRPr="00657ACC" w:rsidRDefault="003438A2" w:rsidP="004C4F87">
      <w:pPr>
        <w:pStyle w:val="FigureTableNoteSource"/>
        <w:rPr>
          <w:strike/>
          <w:sz w:val="16"/>
          <w:szCs w:val="20"/>
        </w:rPr>
      </w:pPr>
      <w:r w:rsidRPr="00657ACC">
        <w:rPr>
          <w:b/>
          <w:sz w:val="16"/>
          <w:szCs w:val="20"/>
        </w:rPr>
        <w:t xml:space="preserve">a </w:t>
      </w:r>
      <w:r w:rsidRPr="00657ACC">
        <w:rPr>
          <w:bCs/>
          <w:sz w:val="16"/>
          <w:szCs w:val="20"/>
        </w:rPr>
        <w:t>PFA is</w:t>
      </w:r>
      <w:r w:rsidRPr="00657ACC">
        <w:rPr>
          <w:b/>
          <w:sz w:val="16"/>
          <w:szCs w:val="20"/>
        </w:rPr>
        <w:t xml:space="preserve"> </w:t>
      </w:r>
      <w:r w:rsidRPr="00657ACC">
        <w:rPr>
          <w:sz w:val="16"/>
          <w:szCs w:val="20"/>
        </w:rPr>
        <w:t xml:space="preserve">pest free area, PFPP is pest free place of production, PFPS is pest free production site. </w:t>
      </w:r>
      <w:r w:rsidRPr="00657ACC">
        <w:rPr>
          <w:b/>
          <w:sz w:val="16"/>
          <w:szCs w:val="20"/>
        </w:rPr>
        <w:t xml:space="preserve">b </w:t>
      </w:r>
      <w:r w:rsidRPr="00657ACC">
        <w:rPr>
          <w:sz w:val="16"/>
          <w:szCs w:val="20"/>
        </w:rPr>
        <w:t xml:space="preserve">Remedial action by APHIS may include applying an approved treatment </w:t>
      </w:r>
      <w:r w:rsidRPr="00657ACC">
        <w:rPr>
          <w:sz w:val="16"/>
          <w:szCs w:val="16"/>
        </w:rPr>
        <w:t xml:space="preserve">(such as methyl bromide fumigation) </w:t>
      </w:r>
      <w:r w:rsidRPr="00657ACC">
        <w:rPr>
          <w:sz w:val="16"/>
          <w:szCs w:val="20"/>
        </w:rPr>
        <w:t xml:space="preserve">to the consignment to ensure that the pest is no longer viable or withdrawing the consignment from export to Australia. </w:t>
      </w:r>
      <w:r w:rsidRPr="00657ACC">
        <w:rPr>
          <w:b/>
          <w:bCs/>
          <w:sz w:val="16"/>
          <w:szCs w:val="16"/>
        </w:rPr>
        <w:t>c</w:t>
      </w:r>
      <w:r w:rsidRPr="00657ACC">
        <w:rPr>
          <w:sz w:val="16"/>
          <w:szCs w:val="16"/>
        </w:rPr>
        <w:t xml:space="preserve"> </w:t>
      </w:r>
      <w:r w:rsidRPr="00657ACC">
        <w:rPr>
          <w:sz w:val="16"/>
          <w:szCs w:val="20"/>
        </w:rPr>
        <w:t>Thrips species that is also identified as a regulated article for Australia as it vectors emerging quarantine orthotospoviruses, assessed in the thrips Group PRA</w:t>
      </w:r>
      <w:r>
        <w:rPr>
          <w:sz w:val="16"/>
          <w:szCs w:val="20"/>
        </w:rPr>
        <w:t xml:space="preserve"> (</w:t>
      </w:r>
      <w:hyperlink w:anchor="_ENREF_61" w:tooltip="DAWR, 2017 #29478" w:history="1">
        <w:r w:rsidRPr="007008F7">
          <w:rPr>
            <w:sz w:val="16"/>
            <w:szCs w:val="20"/>
          </w:rPr>
          <w:t>DAWR 2017</w:t>
        </w:r>
      </w:hyperlink>
      <w:r w:rsidRPr="007008F7">
        <w:rPr>
          <w:sz w:val="16"/>
          <w:szCs w:val="20"/>
        </w:rPr>
        <w:t xml:space="preserve">) </w:t>
      </w:r>
      <w:r w:rsidRPr="00657ACC">
        <w:rPr>
          <w:sz w:val="16"/>
          <w:szCs w:val="20"/>
        </w:rPr>
        <w:t xml:space="preserve">as posing a URE that does not achieve the ALOP for Australia. </w:t>
      </w:r>
      <w:r w:rsidRPr="00657ACC">
        <w:rPr>
          <w:b/>
          <w:sz w:val="16"/>
          <w:szCs w:val="20"/>
        </w:rPr>
        <w:t xml:space="preserve">d </w:t>
      </w:r>
      <w:r w:rsidRPr="00657ACC">
        <w:rPr>
          <w:sz w:val="16"/>
          <w:szCs w:val="20"/>
        </w:rPr>
        <w:t xml:space="preserve">In-field controls (as described in Chapter 3). </w:t>
      </w:r>
      <w:r w:rsidRPr="00657ACC">
        <w:rPr>
          <w:b/>
          <w:bCs/>
          <w:sz w:val="16"/>
          <w:szCs w:val="20"/>
        </w:rPr>
        <w:t>e</w:t>
      </w:r>
      <w:r w:rsidRPr="00657ACC">
        <w:rPr>
          <w:sz w:val="16"/>
          <w:szCs w:val="20"/>
        </w:rPr>
        <w:t xml:space="preserve"> Remedial action by APHIS by withdrawing the consignment from export to Australia. </w:t>
      </w:r>
      <w:r w:rsidRPr="00657ACC">
        <w:rPr>
          <w:b/>
          <w:bCs/>
          <w:sz w:val="16"/>
          <w:szCs w:val="20"/>
        </w:rPr>
        <w:t>f</w:t>
      </w:r>
      <w:r w:rsidRPr="00657ACC">
        <w:rPr>
          <w:sz w:val="16"/>
          <w:szCs w:val="20"/>
        </w:rPr>
        <w:t xml:space="preserve"> Systems approach for post-harvest rot fungi involving </w:t>
      </w:r>
      <w:r w:rsidRPr="00657ACC">
        <w:rPr>
          <w:sz w:val="16"/>
          <w:szCs w:val="16"/>
        </w:rPr>
        <w:t xml:space="preserve">in-field control, pre-harvest and post-harvest fungicide applications, sourcing only mature symptomless fruit, and pre-export visual inspection post-cold storage. </w:t>
      </w:r>
      <w:r w:rsidRPr="00657ACC">
        <w:rPr>
          <w:b/>
          <w:sz w:val="16"/>
          <w:szCs w:val="20"/>
        </w:rPr>
        <w:t xml:space="preserve">EP </w:t>
      </w:r>
      <w:r w:rsidRPr="00657ACC">
        <w:rPr>
          <w:sz w:val="16"/>
          <w:szCs w:val="20"/>
        </w:rPr>
        <w:t xml:space="preserve">Species has been assessed previously and import policy already exists. </w:t>
      </w:r>
      <w:r w:rsidRPr="00657ACC">
        <w:rPr>
          <w:b/>
          <w:sz w:val="16"/>
          <w:szCs w:val="20"/>
        </w:rPr>
        <w:t xml:space="preserve">GP </w:t>
      </w:r>
      <w:r w:rsidRPr="00657ACC">
        <w:rPr>
          <w:sz w:val="16"/>
          <w:szCs w:val="20"/>
        </w:rPr>
        <w:t>Species has been assessed previously in a group PRA and the group PRA has been applied.</w:t>
      </w:r>
      <w:r w:rsidRPr="00657ACC">
        <w:rPr>
          <w:b/>
          <w:sz w:val="16"/>
          <w:szCs w:val="20"/>
        </w:rPr>
        <w:t xml:space="preserve"> </w:t>
      </w:r>
      <w:r>
        <w:rPr>
          <w:b/>
          <w:sz w:val="16"/>
          <w:szCs w:val="20"/>
        </w:rPr>
        <w:t xml:space="preserve">RA </w:t>
      </w:r>
      <w:r w:rsidRPr="009A7553">
        <w:rPr>
          <w:bCs/>
          <w:sz w:val="16"/>
          <w:szCs w:val="20"/>
        </w:rPr>
        <w:t>Regulated article.</w:t>
      </w:r>
      <w:r>
        <w:rPr>
          <w:b/>
          <w:sz w:val="16"/>
          <w:szCs w:val="20"/>
        </w:rPr>
        <w:t xml:space="preserve"> </w:t>
      </w:r>
      <w:r w:rsidRPr="00657ACC">
        <w:rPr>
          <w:b/>
          <w:sz w:val="16"/>
          <w:szCs w:val="20"/>
        </w:rPr>
        <w:t xml:space="preserve">NT </w:t>
      </w:r>
      <w:r w:rsidRPr="00657ACC">
        <w:rPr>
          <w:sz w:val="16"/>
          <w:szCs w:val="20"/>
        </w:rPr>
        <w:t xml:space="preserve">Pest of biosecurity concern for the Northern Territory. </w:t>
      </w:r>
      <w:r w:rsidRPr="00657ACC">
        <w:rPr>
          <w:b/>
          <w:sz w:val="16"/>
          <w:szCs w:val="20"/>
        </w:rPr>
        <w:t xml:space="preserve">WA </w:t>
      </w:r>
      <w:r w:rsidRPr="00657ACC">
        <w:rPr>
          <w:sz w:val="16"/>
          <w:szCs w:val="20"/>
        </w:rPr>
        <w:t>Pest of biosecurity concern for Western Australia.</w:t>
      </w:r>
    </w:p>
    <w:p w14:paraId="1866A34F" w14:textId="77777777" w:rsidR="003438A2" w:rsidRPr="000533FB" w:rsidRDefault="003438A2" w:rsidP="00A90ABD">
      <w:pPr>
        <w:pStyle w:val="Caption"/>
      </w:pPr>
      <w:bookmarkStart w:id="499" w:name="_Ref108436683"/>
      <w:bookmarkStart w:id="500" w:name="_Toc112770171"/>
      <w:r>
        <w:lastRenderedPageBreak/>
        <w:t xml:space="preserve">Table </w:t>
      </w:r>
      <w:fldSimple w:instr=" STYLEREF 2 \s " w:fldLock="1">
        <w:r>
          <w:rPr>
            <w:noProof/>
          </w:rPr>
          <w:t>5</w:t>
        </w:r>
      </w:fldSimple>
      <w:r>
        <w:t>.</w:t>
      </w:r>
      <w:fldSimple w:instr=" SEQ Table \* ARABIC \s 2 " w:fldLock="1">
        <w:r>
          <w:rPr>
            <w:noProof/>
          </w:rPr>
          <w:t>2</w:t>
        </w:r>
      </w:fldSimple>
      <w:bookmarkEnd w:id="499"/>
      <w:r>
        <w:t xml:space="preserve"> </w:t>
      </w:r>
      <w:r w:rsidRPr="00274381">
        <w:rPr>
          <w:szCs w:val="20"/>
        </w:rPr>
        <w:t xml:space="preserve">Specific commercial production practices that are recommended to be mandatory for </w:t>
      </w:r>
      <w:r w:rsidRPr="000533FB">
        <w:rPr>
          <w:i/>
          <w:iCs/>
          <w:szCs w:val="20"/>
        </w:rPr>
        <w:t>D. mali</w:t>
      </w:r>
      <w:r w:rsidRPr="00274381">
        <w:rPr>
          <w:szCs w:val="20"/>
        </w:rPr>
        <w:t xml:space="preserve">, </w:t>
      </w:r>
      <w:r w:rsidRPr="000533FB">
        <w:rPr>
          <w:i/>
          <w:iCs/>
          <w:szCs w:val="20"/>
        </w:rPr>
        <w:t>E. amylovora</w:t>
      </w:r>
      <w:r w:rsidRPr="00274381">
        <w:rPr>
          <w:szCs w:val="20"/>
        </w:rPr>
        <w:t xml:space="preserve"> and </w:t>
      </w:r>
      <w:r w:rsidRPr="000533FB">
        <w:rPr>
          <w:i/>
          <w:iCs/>
          <w:szCs w:val="20"/>
        </w:rPr>
        <w:t>N. ditissima</w:t>
      </w:r>
      <w:r w:rsidRPr="00274381">
        <w:rPr>
          <w:szCs w:val="20"/>
        </w:rPr>
        <w:t xml:space="preserve"> associated with apples from the Pacific Northwest states</w:t>
      </w:r>
      <w:bookmarkEnd w:id="500"/>
    </w:p>
    <w:tbl>
      <w:tblPr>
        <w:tblW w:w="9026" w:type="dxa"/>
        <w:tblBorders>
          <w:top w:val="single" w:sz="4" w:space="0" w:color="auto"/>
          <w:bottom w:val="single" w:sz="4" w:space="0" w:color="auto"/>
        </w:tblBorders>
        <w:tblLook w:val="04A0" w:firstRow="1" w:lastRow="0" w:firstColumn="1" w:lastColumn="0" w:noHBand="0" w:noVBand="1"/>
      </w:tblPr>
      <w:tblGrid>
        <w:gridCol w:w="3828"/>
        <w:gridCol w:w="2268"/>
        <w:gridCol w:w="2930"/>
      </w:tblGrid>
      <w:tr w:rsidR="003438A2" w:rsidRPr="007E2485" w14:paraId="5E1BE56C" w14:textId="77777777" w:rsidTr="00D247AD">
        <w:trPr>
          <w:cantSplit/>
        </w:trPr>
        <w:tc>
          <w:tcPr>
            <w:tcW w:w="3828" w:type="dxa"/>
            <w:tcBorders>
              <w:top w:val="single" w:sz="4" w:space="0" w:color="auto"/>
              <w:bottom w:val="nil"/>
            </w:tcBorders>
          </w:tcPr>
          <w:p w14:paraId="3493BFAD" w14:textId="77777777" w:rsidR="003438A2" w:rsidRPr="007E2485" w:rsidRDefault="003438A2" w:rsidP="00D247AD">
            <w:pPr>
              <w:pStyle w:val="TableHeading"/>
              <w:rPr>
                <w:szCs w:val="18"/>
              </w:rPr>
            </w:pPr>
            <w:r w:rsidRPr="007E2485">
              <w:rPr>
                <w:szCs w:val="18"/>
              </w:rPr>
              <w:t>Pest</w:t>
            </w:r>
          </w:p>
        </w:tc>
        <w:tc>
          <w:tcPr>
            <w:tcW w:w="2268" w:type="dxa"/>
            <w:tcBorders>
              <w:top w:val="single" w:sz="4" w:space="0" w:color="auto"/>
              <w:bottom w:val="nil"/>
            </w:tcBorders>
          </w:tcPr>
          <w:p w14:paraId="232D2F9C" w14:textId="77777777" w:rsidR="003438A2" w:rsidRPr="007E2485" w:rsidRDefault="003438A2" w:rsidP="00D247AD">
            <w:pPr>
              <w:pStyle w:val="TableHeading"/>
              <w:rPr>
                <w:szCs w:val="18"/>
              </w:rPr>
            </w:pPr>
            <w:r w:rsidRPr="007E2485">
              <w:rPr>
                <w:szCs w:val="18"/>
              </w:rPr>
              <w:t>Common name</w:t>
            </w:r>
          </w:p>
        </w:tc>
        <w:tc>
          <w:tcPr>
            <w:tcW w:w="2930" w:type="dxa"/>
            <w:tcBorders>
              <w:top w:val="single" w:sz="4" w:space="0" w:color="auto"/>
              <w:bottom w:val="nil"/>
            </w:tcBorders>
          </w:tcPr>
          <w:p w14:paraId="17882C65" w14:textId="77777777" w:rsidR="003438A2" w:rsidRPr="007E2485" w:rsidRDefault="003438A2" w:rsidP="00D247AD">
            <w:pPr>
              <w:pStyle w:val="TableHeading"/>
              <w:rPr>
                <w:szCs w:val="18"/>
              </w:rPr>
            </w:pPr>
            <w:r>
              <w:rPr>
                <w:szCs w:val="18"/>
              </w:rPr>
              <w:t>Mandatory commercial production practices</w:t>
            </w:r>
          </w:p>
        </w:tc>
      </w:tr>
      <w:tr w:rsidR="003438A2" w:rsidRPr="007E2485" w14:paraId="75F772B3" w14:textId="77777777" w:rsidTr="00D247AD">
        <w:trPr>
          <w:cantSplit/>
        </w:trPr>
        <w:tc>
          <w:tcPr>
            <w:tcW w:w="6096" w:type="dxa"/>
            <w:gridSpan w:val="2"/>
            <w:tcBorders>
              <w:top w:val="single" w:sz="4" w:space="0" w:color="BFBFBF" w:themeColor="background1" w:themeShade="BF"/>
              <w:bottom w:val="single" w:sz="4" w:space="0" w:color="FFFFFF" w:themeColor="background1"/>
            </w:tcBorders>
          </w:tcPr>
          <w:p w14:paraId="6F3D4C0E" w14:textId="77777777" w:rsidR="003438A2" w:rsidRPr="00702C38" w:rsidRDefault="003438A2" w:rsidP="00D247AD">
            <w:pPr>
              <w:pStyle w:val="TableText"/>
              <w:rPr>
                <w:b/>
              </w:rPr>
            </w:pPr>
            <w:r w:rsidRPr="00AB1D78">
              <w:rPr>
                <w:b/>
              </w:rPr>
              <w:t xml:space="preserve">Gall midges [Diptera: </w:t>
            </w:r>
            <w:r w:rsidRPr="00AB1D78">
              <w:rPr>
                <w:b/>
                <w:bCs/>
                <w:color w:val="000000"/>
              </w:rPr>
              <w:t>Cecidomyiidae</w:t>
            </w:r>
            <w:r w:rsidRPr="00AB1D78">
              <w:rPr>
                <w:b/>
              </w:rPr>
              <w:t>]</w:t>
            </w:r>
          </w:p>
        </w:tc>
        <w:tc>
          <w:tcPr>
            <w:tcW w:w="2930" w:type="dxa"/>
            <w:tcBorders>
              <w:top w:val="single" w:sz="4" w:space="0" w:color="BFBFBF" w:themeColor="background1" w:themeShade="BF"/>
              <w:bottom w:val="nil"/>
            </w:tcBorders>
            <w:vAlign w:val="center"/>
          </w:tcPr>
          <w:p w14:paraId="1D9B9D8A" w14:textId="77777777" w:rsidR="003438A2" w:rsidRDefault="003438A2" w:rsidP="00D247AD">
            <w:pPr>
              <w:pStyle w:val="TableText"/>
              <w:rPr>
                <w:szCs w:val="18"/>
              </w:rPr>
            </w:pPr>
          </w:p>
        </w:tc>
      </w:tr>
      <w:tr w:rsidR="003438A2" w:rsidRPr="00657ACC" w14:paraId="6C61AEC0" w14:textId="77777777" w:rsidTr="00657ACC">
        <w:trPr>
          <w:cantSplit/>
        </w:trPr>
        <w:tc>
          <w:tcPr>
            <w:tcW w:w="3828" w:type="dxa"/>
            <w:tcBorders>
              <w:top w:val="nil"/>
              <w:bottom w:val="dotted" w:sz="4" w:space="0" w:color="BFBFBF" w:themeColor="background1" w:themeShade="BF"/>
            </w:tcBorders>
          </w:tcPr>
          <w:p w14:paraId="30F82661" w14:textId="77777777" w:rsidR="003438A2" w:rsidRPr="00657ACC" w:rsidRDefault="003438A2" w:rsidP="00D247AD">
            <w:pPr>
              <w:pStyle w:val="TableHeading"/>
              <w:rPr>
                <w:b w:val="0"/>
                <w:bCs/>
                <w:szCs w:val="18"/>
              </w:rPr>
            </w:pPr>
            <w:r w:rsidRPr="00657ACC">
              <w:rPr>
                <w:b w:val="0"/>
                <w:bCs/>
                <w:i/>
                <w:szCs w:val="18"/>
              </w:rPr>
              <w:t xml:space="preserve">Dasineura mali </w:t>
            </w:r>
            <w:r w:rsidRPr="00657ACC">
              <w:rPr>
                <w:b w:val="0"/>
                <w:bCs/>
                <w:szCs w:val="18"/>
              </w:rPr>
              <w:t>(EP)</w:t>
            </w:r>
          </w:p>
          <w:p w14:paraId="3AE519B3" w14:textId="77777777" w:rsidR="003438A2" w:rsidRPr="00657ACC" w:rsidRDefault="003438A2" w:rsidP="00D247AD">
            <w:pPr>
              <w:pStyle w:val="TableHeading"/>
              <w:rPr>
                <w:b w:val="0"/>
                <w:bCs/>
                <w:szCs w:val="18"/>
              </w:rPr>
            </w:pPr>
          </w:p>
          <w:p w14:paraId="0217C64B" w14:textId="77777777" w:rsidR="003438A2" w:rsidRPr="00657ACC" w:rsidRDefault="003438A2" w:rsidP="00D247AD">
            <w:pPr>
              <w:pStyle w:val="TableHeading"/>
              <w:rPr>
                <w:b w:val="0"/>
                <w:bCs/>
                <w:szCs w:val="18"/>
              </w:rPr>
            </w:pPr>
          </w:p>
          <w:p w14:paraId="651ECBB0" w14:textId="77777777" w:rsidR="003438A2" w:rsidRPr="00657ACC" w:rsidRDefault="003438A2" w:rsidP="00D247AD">
            <w:pPr>
              <w:pStyle w:val="TableHeading"/>
              <w:rPr>
                <w:b w:val="0"/>
                <w:bCs/>
                <w:szCs w:val="18"/>
              </w:rPr>
            </w:pPr>
          </w:p>
        </w:tc>
        <w:tc>
          <w:tcPr>
            <w:tcW w:w="2268" w:type="dxa"/>
            <w:tcBorders>
              <w:top w:val="nil"/>
              <w:bottom w:val="dotted" w:sz="4" w:space="0" w:color="BFBFBF" w:themeColor="background1" w:themeShade="BF"/>
            </w:tcBorders>
          </w:tcPr>
          <w:p w14:paraId="697911BA" w14:textId="77777777" w:rsidR="003438A2" w:rsidRPr="00657ACC" w:rsidRDefault="003438A2" w:rsidP="00D247AD">
            <w:pPr>
              <w:pStyle w:val="TableHeading"/>
              <w:rPr>
                <w:b w:val="0"/>
                <w:bCs/>
                <w:szCs w:val="18"/>
              </w:rPr>
            </w:pPr>
            <w:r w:rsidRPr="00657ACC">
              <w:rPr>
                <w:b w:val="0"/>
                <w:bCs/>
                <w:szCs w:val="18"/>
              </w:rPr>
              <w:t>Apple leafcurling midge</w:t>
            </w:r>
          </w:p>
          <w:p w14:paraId="64AA07E6" w14:textId="77777777" w:rsidR="003438A2" w:rsidRPr="00657ACC" w:rsidRDefault="003438A2" w:rsidP="00D247AD">
            <w:pPr>
              <w:pStyle w:val="TableHeading"/>
              <w:rPr>
                <w:b w:val="0"/>
                <w:bCs/>
                <w:szCs w:val="18"/>
              </w:rPr>
            </w:pPr>
          </w:p>
          <w:p w14:paraId="69FE0201" w14:textId="77777777" w:rsidR="003438A2" w:rsidRPr="00657ACC" w:rsidRDefault="003438A2" w:rsidP="00D247AD">
            <w:pPr>
              <w:pStyle w:val="TableHeading"/>
              <w:rPr>
                <w:b w:val="0"/>
                <w:bCs/>
                <w:szCs w:val="18"/>
              </w:rPr>
            </w:pPr>
          </w:p>
          <w:p w14:paraId="509FDF71" w14:textId="77777777" w:rsidR="003438A2" w:rsidRPr="00657ACC" w:rsidRDefault="003438A2" w:rsidP="00D247AD">
            <w:pPr>
              <w:pStyle w:val="TableHeading"/>
              <w:rPr>
                <w:b w:val="0"/>
                <w:bCs/>
                <w:szCs w:val="18"/>
              </w:rPr>
            </w:pPr>
          </w:p>
        </w:tc>
        <w:tc>
          <w:tcPr>
            <w:tcW w:w="2930" w:type="dxa"/>
            <w:tcBorders>
              <w:top w:val="nil"/>
              <w:bottom w:val="dotted" w:sz="4" w:space="0" w:color="BFBFBF" w:themeColor="background1" w:themeShade="BF"/>
            </w:tcBorders>
            <w:vAlign w:val="center"/>
          </w:tcPr>
          <w:p w14:paraId="204BCE4A" w14:textId="77777777" w:rsidR="003438A2" w:rsidRPr="00657ACC" w:rsidRDefault="003438A2" w:rsidP="00D247AD">
            <w:pPr>
              <w:pStyle w:val="TableText"/>
              <w:rPr>
                <w:szCs w:val="18"/>
              </w:rPr>
            </w:pPr>
            <w:r w:rsidRPr="00657ACC">
              <w:rPr>
                <w:szCs w:val="18"/>
              </w:rPr>
              <w:t xml:space="preserve">In-field monitoring and controls </w:t>
            </w:r>
            <w:r w:rsidRPr="00657ACC">
              <w:rPr>
                <w:b/>
                <w:szCs w:val="18"/>
              </w:rPr>
              <w:t>a</w:t>
            </w:r>
          </w:p>
          <w:p w14:paraId="1735B75D" w14:textId="77777777" w:rsidR="003438A2" w:rsidRPr="00657ACC" w:rsidRDefault="003438A2" w:rsidP="00D247AD">
            <w:pPr>
              <w:pStyle w:val="TableText"/>
              <w:rPr>
                <w:szCs w:val="18"/>
              </w:rPr>
            </w:pPr>
            <w:r w:rsidRPr="00657ACC">
              <w:rPr>
                <w:szCs w:val="18"/>
              </w:rPr>
              <w:t xml:space="preserve">AND </w:t>
            </w:r>
          </w:p>
          <w:p w14:paraId="02C83365" w14:textId="77777777" w:rsidR="003438A2" w:rsidRPr="00657ACC" w:rsidRDefault="003438A2" w:rsidP="00D247AD">
            <w:pPr>
              <w:pStyle w:val="TableHeading"/>
            </w:pPr>
            <w:r w:rsidRPr="00657ACC">
              <w:rPr>
                <w:b w:val="0"/>
                <w:bCs/>
              </w:rPr>
              <w:t>Packing house sanitation</w:t>
            </w:r>
            <w:r w:rsidRPr="00657ACC">
              <w:t xml:space="preserve"> b</w:t>
            </w:r>
          </w:p>
          <w:p w14:paraId="55685D8A" w14:textId="77777777" w:rsidR="003438A2" w:rsidRPr="00657ACC" w:rsidRDefault="003438A2" w:rsidP="00D247AD">
            <w:pPr>
              <w:pStyle w:val="TableHeading"/>
              <w:rPr>
                <w:b w:val="0"/>
              </w:rPr>
            </w:pPr>
            <w:r w:rsidRPr="00657ACC">
              <w:rPr>
                <w:b w:val="0"/>
              </w:rPr>
              <w:t>AND</w:t>
            </w:r>
          </w:p>
          <w:p w14:paraId="1FD96BA7" w14:textId="77777777" w:rsidR="003438A2" w:rsidRPr="00657ACC" w:rsidRDefault="003438A2" w:rsidP="00D247AD">
            <w:pPr>
              <w:pStyle w:val="TableHeading"/>
              <w:rPr>
                <w:b w:val="0"/>
                <w:bCs/>
                <w:szCs w:val="18"/>
              </w:rPr>
            </w:pPr>
            <w:r w:rsidRPr="00657ACC">
              <w:rPr>
                <w:b w:val="0"/>
                <w:bCs/>
                <w:szCs w:val="18"/>
              </w:rPr>
              <w:t xml:space="preserve">Pre-export visual inspection and, if found remedial action </w:t>
            </w:r>
            <w:r w:rsidRPr="00657ACC">
              <w:rPr>
                <w:szCs w:val="18"/>
              </w:rPr>
              <w:t>c</w:t>
            </w:r>
            <w:r w:rsidRPr="00657ACC">
              <w:rPr>
                <w:b w:val="0"/>
                <w:bCs/>
                <w:szCs w:val="18"/>
              </w:rPr>
              <w:t xml:space="preserve"> </w:t>
            </w:r>
          </w:p>
          <w:p w14:paraId="73039B17" w14:textId="77777777" w:rsidR="003438A2" w:rsidRPr="00657ACC" w:rsidRDefault="003438A2" w:rsidP="00D247AD">
            <w:pPr>
              <w:pStyle w:val="TableHeading"/>
              <w:rPr>
                <w:b w:val="0"/>
                <w:bCs/>
                <w:szCs w:val="18"/>
              </w:rPr>
            </w:pPr>
          </w:p>
        </w:tc>
      </w:tr>
      <w:tr w:rsidR="003438A2" w:rsidRPr="00657ACC" w14:paraId="044B6E17" w14:textId="77777777" w:rsidTr="00C05DC4">
        <w:trPr>
          <w:cantSplit/>
          <w:trHeight w:val="524"/>
        </w:trPr>
        <w:tc>
          <w:tcPr>
            <w:tcW w:w="3828" w:type="dxa"/>
            <w:tcBorders>
              <w:top w:val="dotted" w:sz="4" w:space="0" w:color="BFBFBF" w:themeColor="background1" w:themeShade="BF"/>
              <w:bottom w:val="single" w:sz="4" w:space="0" w:color="BFBFBF" w:themeColor="background1" w:themeShade="BF"/>
            </w:tcBorders>
          </w:tcPr>
          <w:p w14:paraId="7A79DD14" w14:textId="77777777" w:rsidR="003438A2" w:rsidRPr="00657ACC" w:rsidRDefault="003438A2" w:rsidP="00D247AD">
            <w:pPr>
              <w:pStyle w:val="TableText"/>
              <w:rPr>
                <w:i/>
                <w:szCs w:val="18"/>
              </w:rPr>
            </w:pPr>
            <w:r w:rsidRPr="00657ACC">
              <w:rPr>
                <w:b/>
              </w:rPr>
              <w:t>Bacteria</w:t>
            </w:r>
          </w:p>
          <w:p w14:paraId="302346AC" w14:textId="77777777" w:rsidR="003438A2" w:rsidRPr="00657ACC" w:rsidRDefault="003438A2" w:rsidP="00D247AD">
            <w:pPr>
              <w:pStyle w:val="TableText"/>
              <w:rPr>
                <w:i/>
              </w:rPr>
            </w:pPr>
            <w:r w:rsidRPr="00657ACC">
              <w:rPr>
                <w:i/>
                <w:szCs w:val="18"/>
              </w:rPr>
              <w:t xml:space="preserve">Erwinia amylovora </w:t>
            </w:r>
            <w:r w:rsidRPr="00657ACC">
              <w:rPr>
                <w:szCs w:val="18"/>
              </w:rPr>
              <w:t>(EP)</w:t>
            </w:r>
          </w:p>
        </w:tc>
        <w:tc>
          <w:tcPr>
            <w:tcW w:w="2268" w:type="dxa"/>
            <w:tcBorders>
              <w:top w:val="dotted" w:sz="4" w:space="0" w:color="BFBFBF" w:themeColor="background1" w:themeShade="BF"/>
              <w:bottom w:val="single" w:sz="4" w:space="0" w:color="BFBFBF" w:themeColor="background1" w:themeShade="BF"/>
            </w:tcBorders>
          </w:tcPr>
          <w:p w14:paraId="545AF872" w14:textId="77777777" w:rsidR="003438A2" w:rsidRPr="00657ACC" w:rsidRDefault="003438A2" w:rsidP="00D247AD">
            <w:pPr>
              <w:pStyle w:val="TableText"/>
              <w:rPr>
                <w:szCs w:val="18"/>
              </w:rPr>
            </w:pPr>
          </w:p>
          <w:p w14:paraId="40F9FD96" w14:textId="77777777" w:rsidR="003438A2" w:rsidRPr="00657ACC" w:rsidRDefault="003438A2" w:rsidP="00D247AD">
            <w:pPr>
              <w:pStyle w:val="TableText"/>
              <w:rPr>
                <w:szCs w:val="18"/>
              </w:rPr>
            </w:pPr>
            <w:r w:rsidRPr="00657ACC">
              <w:rPr>
                <w:szCs w:val="18"/>
              </w:rPr>
              <w:t>Fire blight</w:t>
            </w:r>
          </w:p>
        </w:tc>
        <w:tc>
          <w:tcPr>
            <w:tcW w:w="2930" w:type="dxa"/>
            <w:tcBorders>
              <w:top w:val="dotted" w:sz="4" w:space="0" w:color="BFBFBF" w:themeColor="background1" w:themeShade="BF"/>
              <w:bottom w:val="single" w:sz="4" w:space="0" w:color="BFBFBF" w:themeColor="background1" w:themeShade="BF"/>
            </w:tcBorders>
            <w:vAlign w:val="center"/>
          </w:tcPr>
          <w:p w14:paraId="51824AF8" w14:textId="77777777" w:rsidR="003438A2" w:rsidRPr="00657ACC" w:rsidRDefault="003438A2" w:rsidP="00D247AD">
            <w:pPr>
              <w:pStyle w:val="TableText"/>
              <w:rPr>
                <w:szCs w:val="18"/>
              </w:rPr>
            </w:pPr>
          </w:p>
          <w:p w14:paraId="0E82E004" w14:textId="77777777" w:rsidR="003438A2" w:rsidRPr="00657ACC" w:rsidRDefault="003438A2" w:rsidP="00D247AD">
            <w:pPr>
              <w:pStyle w:val="TableText"/>
              <w:rPr>
                <w:szCs w:val="18"/>
              </w:rPr>
            </w:pPr>
            <w:r w:rsidRPr="00657ACC">
              <w:rPr>
                <w:szCs w:val="18"/>
              </w:rPr>
              <w:t xml:space="preserve">In-field monitoring and controls </w:t>
            </w:r>
            <w:r w:rsidRPr="00657ACC">
              <w:rPr>
                <w:b/>
                <w:szCs w:val="18"/>
              </w:rPr>
              <w:t>a</w:t>
            </w:r>
          </w:p>
          <w:p w14:paraId="4DD8BDB6" w14:textId="77777777" w:rsidR="003438A2" w:rsidRPr="00657ACC" w:rsidRDefault="003438A2" w:rsidP="00D247AD">
            <w:pPr>
              <w:pStyle w:val="TableText"/>
              <w:rPr>
                <w:szCs w:val="18"/>
              </w:rPr>
            </w:pPr>
            <w:r w:rsidRPr="00657ACC">
              <w:rPr>
                <w:szCs w:val="18"/>
              </w:rPr>
              <w:t>AND</w:t>
            </w:r>
          </w:p>
          <w:p w14:paraId="0EF2DB2B" w14:textId="77777777" w:rsidR="003438A2" w:rsidRPr="00657ACC" w:rsidRDefault="003438A2" w:rsidP="00D247AD">
            <w:pPr>
              <w:pStyle w:val="TableText"/>
              <w:rPr>
                <w:b/>
                <w:szCs w:val="18"/>
              </w:rPr>
            </w:pPr>
            <w:r w:rsidRPr="00657ACC">
              <w:rPr>
                <w:szCs w:val="18"/>
              </w:rPr>
              <w:t xml:space="preserve">Fruit maturity testing </w:t>
            </w:r>
            <w:r w:rsidRPr="00657ACC">
              <w:rPr>
                <w:b/>
                <w:szCs w:val="18"/>
              </w:rPr>
              <w:t>d</w:t>
            </w:r>
          </w:p>
          <w:p w14:paraId="15CEB141" w14:textId="77777777" w:rsidR="003438A2" w:rsidRPr="00657ACC" w:rsidRDefault="003438A2" w:rsidP="00D247AD">
            <w:pPr>
              <w:pStyle w:val="TableText"/>
              <w:rPr>
                <w:szCs w:val="18"/>
              </w:rPr>
            </w:pPr>
            <w:r w:rsidRPr="00657ACC">
              <w:rPr>
                <w:szCs w:val="18"/>
              </w:rPr>
              <w:t>AND</w:t>
            </w:r>
          </w:p>
          <w:p w14:paraId="3572B9AB" w14:textId="77777777" w:rsidR="003438A2" w:rsidRPr="00657ACC" w:rsidRDefault="003438A2" w:rsidP="00D247AD">
            <w:pPr>
              <w:pStyle w:val="TableText"/>
              <w:rPr>
                <w:b/>
                <w:szCs w:val="18"/>
              </w:rPr>
            </w:pPr>
            <w:r w:rsidRPr="00657ACC">
              <w:rPr>
                <w:szCs w:val="18"/>
              </w:rPr>
              <w:t>Packing house sanitation</w:t>
            </w:r>
            <w:r w:rsidRPr="00657ACC">
              <w:rPr>
                <w:b/>
                <w:szCs w:val="18"/>
              </w:rPr>
              <w:t xml:space="preserve"> b</w:t>
            </w:r>
          </w:p>
          <w:p w14:paraId="0D49B1A9" w14:textId="77777777" w:rsidR="003438A2" w:rsidRPr="00657ACC" w:rsidRDefault="003438A2" w:rsidP="00D247AD">
            <w:pPr>
              <w:pStyle w:val="TableText"/>
              <w:rPr>
                <w:bCs/>
                <w:szCs w:val="18"/>
              </w:rPr>
            </w:pPr>
            <w:r w:rsidRPr="00657ACC">
              <w:rPr>
                <w:bCs/>
                <w:szCs w:val="18"/>
              </w:rPr>
              <w:t>AND</w:t>
            </w:r>
          </w:p>
          <w:p w14:paraId="5F316062" w14:textId="77777777" w:rsidR="003438A2" w:rsidRPr="00657ACC" w:rsidRDefault="003438A2" w:rsidP="00D247AD">
            <w:pPr>
              <w:pStyle w:val="TableText"/>
              <w:rPr>
                <w:szCs w:val="18"/>
              </w:rPr>
            </w:pPr>
            <w:r w:rsidRPr="00657ACC">
              <w:rPr>
                <w:szCs w:val="18"/>
              </w:rPr>
              <w:t xml:space="preserve">Pre-export visual inspection and if found remedial action </w:t>
            </w:r>
            <w:r w:rsidRPr="00657ACC">
              <w:rPr>
                <w:b/>
                <w:bCs/>
                <w:szCs w:val="18"/>
              </w:rPr>
              <w:t>e</w:t>
            </w:r>
          </w:p>
        </w:tc>
      </w:tr>
      <w:tr w:rsidR="003438A2" w:rsidRPr="007E2485" w14:paraId="593E5917" w14:textId="77777777" w:rsidTr="00C05DC4">
        <w:trPr>
          <w:cantSplit/>
          <w:trHeight w:val="524"/>
        </w:trPr>
        <w:tc>
          <w:tcPr>
            <w:tcW w:w="3828" w:type="dxa"/>
            <w:tcBorders>
              <w:top w:val="single" w:sz="4" w:space="0" w:color="BFBFBF" w:themeColor="background1" w:themeShade="BF"/>
              <w:bottom w:val="single" w:sz="4" w:space="0" w:color="auto"/>
            </w:tcBorders>
          </w:tcPr>
          <w:p w14:paraId="5CCB1DB4" w14:textId="77777777" w:rsidR="003438A2" w:rsidRDefault="003438A2" w:rsidP="00D247AD">
            <w:pPr>
              <w:pStyle w:val="TableText"/>
              <w:rPr>
                <w:b/>
              </w:rPr>
            </w:pPr>
            <w:r w:rsidRPr="00702C38">
              <w:rPr>
                <w:b/>
              </w:rPr>
              <w:t>Fungi</w:t>
            </w:r>
          </w:p>
          <w:p w14:paraId="773F68D1" w14:textId="77777777" w:rsidR="003438A2" w:rsidRPr="009F5351" w:rsidRDefault="003438A2" w:rsidP="00D247AD">
            <w:pPr>
              <w:pStyle w:val="TableText"/>
              <w:rPr>
                <w:i/>
              </w:rPr>
            </w:pPr>
            <w:r w:rsidRPr="009F5351">
              <w:rPr>
                <w:i/>
              </w:rPr>
              <w:t>Neonectria ditissima</w:t>
            </w:r>
            <w:r>
              <w:rPr>
                <w:i/>
              </w:rPr>
              <w:t xml:space="preserve"> </w:t>
            </w:r>
            <w:r w:rsidRPr="007E2485">
              <w:rPr>
                <w:szCs w:val="18"/>
              </w:rPr>
              <w:t>(EP)</w:t>
            </w:r>
          </w:p>
        </w:tc>
        <w:tc>
          <w:tcPr>
            <w:tcW w:w="2268" w:type="dxa"/>
            <w:tcBorders>
              <w:top w:val="single" w:sz="4" w:space="0" w:color="BFBFBF" w:themeColor="background1" w:themeShade="BF"/>
              <w:bottom w:val="single" w:sz="4" w:space="0" w:color="auto"/>
            </w:tcBorders>
          </w:tcPr>
          <w:p w14:paraId="56A4FF61" w14:textId="77777777" w:rsidR="003438A2" w:rsidRDefault="003438A2" w:rsidP="00D247AD">
            <w:pPr>
              <w:pStyle w:val="TableText"/>
              <w:rPr>
                <w:szCs w:val="18"/>
              </w:rPr>
            </w:pPr>
          </w:p>
          <w:p w14:paraId="12E603FB" w14:textId="77777777" w:rsidR="003438A2" w:rsidRPr="003D57C8" w:rsidRDefault="003438A2" w:rsidP="00D247AD">
            <w:pPr>
              <w:pStyle w:val="TableText"/>
              <w:rPr>
                <w:szCs w:val="18"/>
              </w:rPr>
            </w:pPr>
            <w:r w:rsidRPr="003D57C8">
              <w:rPr>
                <w:szCs w:val="18"/>
              </w:rPr>
              <w:t>Euro</w:t>
            </w:r>
            <w:r>
              <w:rPr>
                <w:szCs w:val="18"/>
              </w:rPr>
              <w:t>p</w:t>
            </w:r>
            <w:r w:rsidRPr="003D57C8">
              <w:rPr>
                <w:szCs w:val="18"/>
              </w:rPr>
              <w:t>ean canker</w:t>
            </w:r>
          </w:p>
        </w:tc>
        <w:tc>
          <w:tcPr>
            <w:tcW w:w="2930" w:type="dxa"/>
            <w:tcBorders>
              <w:top w:val="single" w:sz="4" w:space="0" w:color="BFBFBF" w:themeColor="background1" w:themeShade="BF"/>
              <w:bottom w:val="single" w:sz="4" w:space="0" w:color="auto"/>
            </w:tcBorders>
            <w:vAlign w:val="center"/>
          </w:tcPr>
          <w:p w14:paraId="1D338290" w14:textId="77777777" w:rsidR="003438A2" w:rsidRDefault="003438A2" w:rsidP="00D247AD">
            <w:pPr>
              <w:pStyle w:val="TableText"/>
              <w:rPr>
                <w:szCs w:val="18"/>
              </w:rPr>
            </w:pPr>
          </w:p>
          <w:p w14:paraId="5C2481A3" w14:textId="77777777" w:rsidR="003438A2" w:rsidRDefault="003438A2" w:rsidP="00D247AD">
            <w:pPr>
              <w:pStyle w:val="TableText"/>
              <w:rPr>
                <w:b/>
                <w:szCs w:val="18"/>
              </w:rPr>
            </w:pPr>
            <w:r>
              <w:rPr>
                <w:szCs w:val="18"/>
              </w:rPr>
              <w:t xml:space="preserve">In-field monitoring and controls </w:t>
            </w:r>
            <w:r>
              <w:rPr>
                <w:b/>
                <w:szCs w:val="18"/>
              </w:rPr>
              <w:t>a</w:t>
            </w:r>
          </w:p>
          <w:p w14:paraId="7F8E344F" w14:textId="77777777" w:rsidR="003438A2" w:rsidRPr="00657ACC" w:rsidRDefault="003438A2" w:rsidP="00D247AD">
            <w:pPr>
              <w:pStyle w:val="TableText"/>
              <w:rPr>
                <w:bCs/>
                <w:szCs w:val="18"/>
              </w:rPr>
            </w:pPr>
            <w:r w:rsidRPr="00657ACC">
              <w:rPr>
                <w:bCs/>
                <w:szCs w:val="18"/>
              </w:rPr>
              <w:t>AND</w:t>
            </w:r>
          </w:p>
          <w:p w14:paraId="0D79C2B3" w14:textId="77777777" w:rsidR="003438A2" w:rsidRDefault="003438A2" w:rsidP="00D247AD">
            <w:pPr>
              <w:pStyle w:val="TableText"/>
              <w:rPr>
                <w:b/>
                <w:szCs w:val="18"/>
              </w:rPr>
            </w:pPr>
            <w:r>
              <w:rPr>
                <w:szCs w:val="18"/>
              </w:rPr>
              <w:t>P</w:t>
            </w:r>
            <w:r w:rsidRPr="004F6D56">
              <w:rPr>
                <w:szCs w:val="18"/>
              </w:rPr>
              <w:t>acking</w:t>
            </w:r>
            <w:r>
              <w:rPr>
                <w:szCs w:val="18"/>
              </w:rPr>
              <w:t xml:space="preserve"> </w:t>
            </w:r>
            <w:r w:rsidRPr="004F6D56">
              <w:rPr>
                <w:szCs w:val="18"/>
              </w:rPr>
              <w:t>house sanitation</w:t>
            </w:r>
            <w:r>
              <w:rPr>
                <w:b/>
                <w:szCs w:val="18"/>
              </w:rPr>
              <w:t xml:space="preserve"> b</w:t>
            </w:r>
          </w:p>
          <w:p w14:paraId="132EF438" w14:textId="77777777" w:rsidR="003438A2" w:rsidRDefault="003438A2" w:rsidP="00D247AD">
            <w:pPr>
              <w:pStyle w:val="TableText"/>
              <w:rPr>
                <w:bCs/>
                <w:szCs w:val="18"/>
              </w:rPr>
            </w:pPr>
            <w:r>
              <w:rPr>
                <w:bCs/>
                <w:szCs w:val="18"/>
              </w:rPr>
              <w:t>AND</w:t>
            </w:r>
          </w:p>
          <w:p w14:paraId="0B5BBBC0" w14:textId="77777777" w:rsidR="003438A2" w:rsidRPr="000C51AA" w:rsidRDefault="003438A2" w:rsidP="00D247AD">
            <w:pPr>
              <w:pStyle w:val="TableText"/>
              <w:rPr>
                <w:bCs/>
                <w:szCs w:val="18"/>
              </w:rPr>
            </w:pPr>
            <w:r>
              <w:rPr>
                <w:bCs/>
                <w:szCs w:val="18"/>
              </w:rPr>
              <w:t xml:space="preserve">Pre-export visual inspection </w:t>
            </w:r>
            <w:r>
              <w:rPr>
                <w:szCs w:val="18"/>
              </w:rPr>
              <w:t xml:space="preserve">and if found remedial action </w:t>
            </w:r>
            <w:r>
              <w:rPr>
                <w:b/>
                <w:szCs w:val="18"/>
              </w:rPr>
              <w:t>e</w:t>
            </w:r>
          </w:p>
        </w:tc>
      </w:tr>
    </w:tbl>
    <w:p w14:paraId="47ECA4DE" w14:textId="77777777" w:rsidR="003438A2" w:rsidRPr="009C654F" w:rsidRDefault="003438A2" w:rsidP="009C654F">
      <w:pPr>
        <w:rPr>
          <w:rFonts w:asciiTheme="minorHAnsi" w:hAnsiTheme="minorHAnsi" w:cstheme="minorHAnsi"/>
          <w:sz w:val="18"/>
          <w:szCs w:val="18"/>
        </w:rPr>
      </w:pPr>
      <w:r w:rsidRPr="009C654F">
        <w:rPr>
          <w:rFonts w:asciiTheme="minorHAnsi" w:hAnsiTheme="minorHAnsi" w:cstheme="minorHAnsi"/>
          <w:b/>
          <w:sz w:val="18"/>
          <w:szCs w:val="18"/>
        </w:rPr>
        <w:t xml:space="preserve">a </w:t>
      </w:r>
      <w:r w:rsidRPr="009C654F">
        <w:rPr>
          <w:rFonts w:asciiTheme="minorHAnsi" w:hAnsiTheme="minorHAnsi" w:cstheme="minorHAnsi"/>
          <w:sz w:val="18"/>
          <w:szCs w:val="18"/>
        </w:rPr>
        <w:t xml:space="preserve">In-field monitoring and controls (as described in Chapter 3) </w:t>
      </w:r>
      <w:r w:rsidRPr="009C654F">
        <w:rPr>
          <w:rFonts w:asciiTheme="minorHAnsi" w:hAnsiTheme="minorHAnsi" w:cstheme="minorHAnsi"/>
          <w:b/>
          <w:sz w:val="18"/>
          <w:szCs w:val="18"/>
        </w:rPr>
        <w:t>b</w:t>
      </w:r>
      <w:r w:rsidRPr="009C654F">
        <w:rPr>
          <w:rFonts w:asciiTheme="minorHAnsi" w:hAnsiTheme="minorHAnsi" w:cstheme="minorHAnsi"/>
          <w:sz w:val="18"/>
          <w:szCs w:val="18"/>
        </w:rPr>
        <w:t xml:space="preserve"> Packing house sanitation </w:t>
      </w:r>
      <w:r>
        <w:rPr>
          <w:rFonts w:asciiTheme="minorHAnsi" w:hAnsiTheme="minorHAnsi" w:cstheme="minorHAnsi"/>
          <w:sz w:val="18"/>
          <w:szCs w:val="18"/>
        </w:rPr>
        <w:t>including sanitiser application</w:t>
      </w:r>
      <w:r w:rsidRPr="009C654F">
        <w:rPr>
          <w:rFonts w:asciiTheme="minorHAnsi" w:hAnsiTheme="minorHAnsi" w:cstheme="minorHAnsi"/>
          <w:sz w:val="18"/>
          <w:szCs w:val="18"/>
        </w:rPr>
        <w:t xml:space="preserve">, high pressure washing, brushing and waxing. </w:t>
      </w:r>
      <w:r w:rsidRPr="009C654F">
        <w:rPr>
          <w:rFonts w:asciiTheme="minorHAnsi" w:hAnsiTheme="minorHAnsi" w:cstheme="minorHAnsi"/>
          <w:b/>
          <w:sz w:val="18"/>
          <w:szCs w:val="18"/>
        </w:rPr>
        <w:t xml:space="preserve">c </w:t>
      </w:r>
      <w:r w:rsidRPr="009C654F">
        <w:rPr>
          <w:rFonts w:asciiTheme="minorHAnsi" w:hAnsiTheme="minorHAnsi" w:cstheme="minorHAnsi"/>
          <w:sz w:val="18"/>
          <w:szCs w:val="18"/>
        </w:rPr>
        <w:t xml:space="preserve">Remedial action by APHIS may include applying an approved treatment (such as methyl bromide fumigation) to the consignment to ensure that the pest is no longer viable or withdrawing the consignment from export to Australia. </w:t>
      </w:r>
      <w:r w:rsidRPr="009C654F">
        <w:rPr>
          <w:rFonts w:asciiTheme="minorHAnsi" w:hAnsiTheme="minorHAnsi" w:cstheme="minorHAnsi"/>
          <w:b/>
          <w:sz w:val="18"/>
          <w:szCs w:val="18"/>
        </w:rPr>
        <w:t>d</w:t>
      </w:r>
      <w:r w:rsidRPr="009C654F">
        <w:rPr>
          <w:rFonts w:asciiTheme="minorHAnsi" w:hAnsiTheme="minorHAnsi" w:cstheme="minorHAnsi"/>
          <w:sz w:val="18"/>
          <w:szCs w:val="18"/>
        </w:rPr>
        <w:t xml:space="preserve"> Fruit maturity testing pre-harvest/post-harvest. </w:t>
      </w:r>
      <w:r w:rsidRPr="009C654F">
        <w:rPr>
          <w:rFonts w:asciiTheme="minorHAnsi" w:hAnsiTheme="minorHAnsi" w:cstheme="minorHAnsi"/>
          <w:b/>
          <w:sz w:val="18"/>
          <w:szCs w:val="18"/>
        </w:rPr>
        <w:t xml:space="preserve">e </w:t>
      </w:r>
      <w:r w:rsidRPr="009C654F">
        <w:rPr>
          <w:rFonts w:asciiTheme="minorHAnsi" w:hAnsiTheme="minorHAnsi" w:cstheme="minorHAnsi"/>
          <w:sz w:val="18"/>
          <w:szCs w:val="18"/>
        </w:rPr>
        <w:t xml:space="preserve">Remedial action by APHIS may include withdrawing the consignment from export to Australia. </w:t>
      </w:r>
    </w:p>
    <w:p w14:paraId="5C7DA67F" w14:textId="77777777" w:rsidR="003438A2" w:rsidRPr="00945121" w:rsidRDefault="003438A2" w:rsidP="000B6C50">
      <w:r w:rsidRPr="006A09D6">
        <w:t xml:space="preserve">The Australian Government Department of Agriculture, </w:t>
      </w:r>
      <w:r>
        <w:t xml:space="preserve">Fisheries and Forestry </w:t>
      </w:r>
      <w:r w:rsidRPr="006A09D6">
        <w:t xml:space="preserve">(the department) </w:t>
      </w:r>
      <w:r>
        <w:t>recommends</w:t>
      </w:r>
      <w:r w:rsidRPr="006A09D6">
        <w:t xml:space="preserve"> the following specific risk management measures for the identified quarantine pest</w:t>
      </w:r>
      <w:r>
        <w:t>s</w:t>
      </w:r>
      <w:r w:rsidRPr="006A09D6">
        <w:t xml:space="preserve"> and regulated </w:t>
      </w:r>
      <w:r>
        <w:t>article</w:t>
      </w:r>
      <w:r w:rsidRPr="00945121">
        <w:t>:</w:t>
      </w:r>
    </w:p>
    <w:p w14:paraId="5B694BC6" w14:textId="77777777" w:rsidR="003438A2" w:rsidRPr="00190258" w:rsidRDefault="003438A2" w:rsidP="003438A2">
      <w:pPr>
        <w:pStyle w:val="ListBullet"/>
        <w:numPr>
          <w:ilvl w:val="0"/>
          <w:numId w:val="15"/>
        </w:numPr>
      </w:pPr>
      <w:r>
        <w:t>F</w:t>
      </w:r>
      <w:r w:rsidRPr="00190258">
        <w:t>or apple maggot</w:t>
      </w:r>
    </w:p>
    <w:p w14:paraId="718CCB82" w14:textId="77777777" w:rsidR="003438A2" w:rsidRDefault="003438A2" w:rsidP="00F843A1">
      <w:pPr>
        <w:pStyle w:val="ListBullet"/>
        <w:numPr>
          <w:ilvl w:val="0"/>
          <w:numId w:val="28"/>
        </w:numPr>
      </w:pPr>
      <w:r>
        <w:t>pest free areas, pest free places of production or pest free production sites,</w:t>
      </w:r>
      <w:r w:rsidRPr="00B96051">
        <w:t xml:space="preserve"> or </w:t>
      </w:r>
    </w:p>
    <w:p w14:paraId="41683F99" w14:textId="77777777" w:rsidR="003438A2" w:rsidRDefault="003438A2" w:rsidP="00F843A1">
      <w:pPr>
        <w:pStyle w:val="ListBullet"/>
        <w:numPr>
          <w:ilvl w:val="0"/>
          <w:numId w:val="28"/>
        </w:numPr>
      </w:pPr>
      <w:r w:rsidRPr="00B96051">
        <w:t xml:space="preserve">an </w:t>
      </w:r>
      <w:r>
        <w:t>a</w:t>
      </w:r>
      <w:r>
        <w:rPr>
          <w:szCs w:val="18"/>
        </w:rPr>
        <w:t>ppropriate</w:t>
      </w:r>
      <w:r w:rsidRPr="00B96051">
        <w:t xml:space="preserve"> </w:t>
      </w:r>
      <w:r>
        <w:t>pre-export</w:t>
      </w:r>
      <w:r w:rsidRPr="00B96051">
        <w:t xml:space="preserve"> phytosanitary treatment approved by the </w:t>
      </w:r>
      <w:r>
        <w:t>department.</w:t>
      </w:r>
    </w:p>
    <w:p w14:paraId="575CB6B5" w14:textId="77777777" w:rsidR="003438A2" w:rsidRDefault="003438A2" w:rsidP="003438A2">
      <w:pPr>
        <w:pStyle w:val="ListBullet"/>
        <w:numPr>
          <w:ilvl w:val="0"/>
          <w:numId w:val="15"/>
        </w:numPr>
      </w:pPr>
      <w:r>
        <w:t xml:space="preserve">For mites, mealybugs and </w:t>
      </w:r>
      <w:r w:rsidRPr="00B96051">
        <w:t>thrips</w:t>
      </w:r>
    </w:p>
    <w:p w14:paraId="1ADA2DB3" w14:textId="77777777" w:rsidR="003438A2" w:rsidRPr="008C05B9" w:rsidRDefault="003438A2" w:rsidP="00F843A1">
      <w:pPr>
        <w:pStyle w:val="ListBullet"/>
        <w:numPr>
          <w:ilvl w:val="0"/>
          <w:numId w:val="28"/>
        </w:numPr>
      </w:pPr>
      <w:r w:rsidRPr="008C05B9">
        <w:t>pre-export visual inspection and, if found, remedial action.</w:t>
      </w:r>
    </w:p>
    <w:p w14:paraId="3F17EDBD" w14:textId="77777777" w:rsidR="003438A2" w:rsidRPr="008C05B9" w:rsidRDefault="003438A2" w:rsidP="003438A2">
      <w:pPr>
        <w:pStyle w:val="ListBullet"/>
        <w:numPr>
          <w:ilvl w:val="0"/>
          <w:numId w:val="15"/>
        </w:numPr>
      </w:pPr>
      <w:r w:rsidRPr="008C05B9">
        <w:t>For leaf rollers</w:t>
      </w:r>
    </w:p>
    <w:p w14:paraId="140850F7" w14:textId="77777777" w:rsidR="003438A2" w:rsidRPr="008C05B9" w:rsidRDefault="003438A2" w:rsidP="00F843A1">
      <w:pPr>
        <w:pStyle w:val="ListBullet"/>
        <w:numPr>
          <w:ilvl w:val="0"/>
          <w:numId w:val="28"/>
        </w:numPr>
      </w:pPr>
      <w:r w:rsidRPr="008C05B9">
        <w:t xml:space="preserve">in-field controls and pre-export inspection and, if found, remedial action, or </w:t>
      </w:r>
    </w:p>
    <w:p w14:paraId="1E16DD63" w14:textId="77777777" w:rsidR="003438A2" w:rsidRPr="008C05B9" w:rsidRDefault="003438A2" w:rsidP="00F843A1">
      <w:pPr>
        <w:pStyle w:val="ListBullet"/>
        <w:numPr>
          <w:ilvl w:val="0"/>
          <w:numId w:val="28"/>
        </w:numPr>
      </w:pPr>
      <w:r w:rsidRPr="008C05B9">
        <w:t>an a</w:t>
      </w:r>
      <w:r w:rsidRPr="008C05B9">
        <w:rPr>
          <w:szCs w:val="18"/>
        </w:rPr>
        <w:t xml:space="preserve">ppropriate pre-export phytosanitary treatment (such as methyl bromide fumigation) </w:t>
      </w:r>
      <w:r w:rsidRPr="008C05B9">
        <w:t>approved by the department.</w:t>
      </w:r>
    </w:p>
    <w:p w14:paraId="6E37E7A5" w14:textId="77777777" w:rsidR="003438A2" w:rsidRPr="008C05B9" w:rsidRDefault="003438A2" w:rsidP="003438A2">
      <w:pPr>
        <w:pStyle w:val="ListBullet"/>
        <w:numPr>
          <w:ilvl w:val="0"/>
          <w:numId w:val="15"/>
        </w:numPr>
      </w:pPr>
      <w:r w:rsidRPr="008C05B9">
        <w:t>For codling moth</w:t>
      </w:r>
    </w:p>
    <w:p w14:paraId="71BE861F" w14:textId="77777777" w:rsidR="003438A2" w:rsidRPr="008C05B9" w:rsidRDefault="003438A2" w:rsidP="00F843A1">
      <w:pPr>
        <w:pStyle w:val="ListBullet"/>
        <w:numPr>
          <w:ilvl w:val="0"/>
          <w:numId w:val="28"/>
        </w:numPr>
      </w:pPr>
      <w:r w:rsidRPr="008C05B9">
        <w:lastRenderedPageBreak/>
        <w:t xml:space="preserve">pest free areas, pest free places of production or pest free production sites, or </w:t>
      </w:r>
    </w:p>
    <w:p w14:paraId="352C43BB" w14:textId="77777777" w:rsidR="003438A2" w:rsidRPr="008C05B9" w:rsidRDefault="003438A2" w:rsidP="00F843A1">
      <w:pPr>
        <w:pStyle w:val="ListBullet"/>
        <w:numPr>
          <w:ilvl w:val="0"/>
          <w:numId w:val="28"/>
        </w:numPr>
      </w:pPr>
      <w:r w:rsidRPr="008C05B9">
        <w:t>systems approach approved by the department, or</w:t>
      </w:r>
    </w:p>
    <w:p w14:paraId="7E2F2922" w14:textId="77777777" w:rsidR="003438A2" w:rsidRPr="008C05B9" w:rsidRDefault="003438A2" w:rsidP="00F843A1">
      <w:pPr>
        <w:pStyle w:val="ListBullet"/>
        <w:numPr>
          <w:ilvl w:val="0"/>
          <w:numId w:val="28"/>
        </w:numPr>
      </w:pPr>
      <w:r w:rsidRPr="008C05B9">
        <w:t>an a</w:t>
      </w:r>
      <w:r w:rsidRPr="008C05B9">
        <w:rPr>
          <w:szCs w:val="18"/>
        </w:rPr>
        <w:t xml:space="preserve">ppropriate pre-export phytosanitary treatment (such as methyl bromide fumigation) </w:t>
      </w:r>
      <w:r w:rsidRPr="008C05B9">
        <w:t>approved by the department.</w:t>
      </w:r>
    </w:p>
    <w:p w14:paraId="7249F323" w14:textId="77777777" w:rsidR="003438A2" w:rsidRPr="002D4AB0" w:rsidRDefault="003438A2" w:rsidP="003438A2">
      <w:pPr>
        <w:pStyle w:val="ListBullet"/>
        <w:numPr>
          <w:ilvl w:val="0"/>
          <w:numId w:val="15"/>
        </w:numPr>
      </w:pPr>
      <w:r>
        <w:t>F</w:t>
      </w:r>
      <w:r w:rsidRPr="002D4AB0">
        <w:t>or Gymnosporangium rusts</w:t>
      </w:r>
      <w:r>
        <w:t>:</w:t>
      </w:r>
    </w:p>
    <w:p w14:paraId="1A01743D" w14:textId="77777777" w:rsidR="003438A2" w:rsidRPr="002D4AB0" w:rsidRDefault="003438A2" w:rsidP="00F843A1">
      <w:pPr>
        <w:pStyle w:val="ListBullet"/>
        <w:numPr>
          <w:ilvl w:val="0"/>
          <w:numId w:val="28"/>
        </w:numPr>
      </w:pPr>
      <w:r w:rsidRPr="002D4AB0">
        <w:t>pre-export visual inspection and</w:t>
      </w:r>
      <w:r>
        <w:t>,</w:t>
      </w:r>
      <w:r w:rsidRPr="002D4AB0">
        <w:t xml:space="preserve"> if found</w:t>
      </w:r>
      <w:r>
        <w:t>,</w:t>
      </w:r>
      <w:r w:rsidRPr="002D4AB0">
        <w:t xml:space="preserve"> remedial action</w:t>
      </w:r>
      <w:r>
        <w:t>.</w:t>
      </w:r>
    </w:p>
    <w:p w14:paraId="44D4F8A4" w14:textId="77777777" w:rsidR="003438A2" w:rsidRPr="002D4AB0" w:rsidRDefault="003438A2" w:rsidP="003438A2">
      <w:pPr>
        <w:pStyle w:val="ListBullet"/>
        <w:numPr>
          <w:ilvl w:val="0"/>
          <w:numId w:val="15"/>
        </w:numPr>
      </w:pPr>
      <w:r>
        <w:t>F</w:t>
      </w:r>
      <w:r w:rsidRPr="002D4AB0">
        <w:t>or fungal pathogens causing post-harvest rots (speck rot, Sphaeropsis rot and apple blotch)</w:t>
      </w:r>
      <w:r>
        <w:t>:</w:t>
      </w:r>
    </w:p>
    <w:p w14:paraId="3953730F" w14:textId="77777777" w:rsidR="003438A2" w:rsidRPr="002D4AB0" w:rsidRDefault="003438A2" w:rsidP="00F843A1">
      <w:pPr>
        <w:pStyle w:val="ListBullet"/>
        <w:numPr>
          <w:ilvl w:val="0"/>
          <w:numId w:val="28"/>
        </w:numPr>
      </w:pPr>
      <w:r w:rsidRPr="002D4AB0">
        <w:t>systems approach approved by the department</w:t>
      </w:r>
      <w:r>
        <w:t>.</w:t>
      </w:r>
      <w:r w:rsidRPr="002D4AB0">
        <w:t xml:space="preserve"> </w:t>
      </w:r>
    </w:p>
    <w:p w14:paraId="5171EB3A" w14:textId="77777777" w:rsidR="003438A2" w:rsidRPr="002D4AB0" w:rsidRDefault="003438A2" w:rsidP="00D402BF">
      <w:pPr>
        <w:pStyle w:val="ListBullet"/>
        <w:numPr>
          <w:ilvl w:val="0"/>
          <w:numId w:val="0"/>
        </w:numPr>
      </w:pPr>
      <w:r w:rsidRPr="002D4AB0">
        <w:t>The department recommends the following specific commercial production practices as mandatory practices for apple leafcurling midge, fire blight and European canker.</w:t>
      </w:r>
    </w:p>
    <w:p w14:paraId="1A59F5AD" w14:textId="77777777" w:rsidR="003438A2" w:rsidRPr="002D4AB0" w:rsidRDefault="003438A2" w:rsidP="003438A2">
      <w:pPr>
        <w:pStyle w:val="ListBullet"/>
        <w:numPr>
          <w:ilvl w:val="0"/>
          <w:numId w:val="15"/>
        </w:numPr>
      </w:pPr>
      <w:r w:rsidRPr="002D4AB0">
        <w:t>For apple leafcurling midge</w:t>
      </w:r>
      <w:r>
        <w:t>:</w:t>
      </w:r>
    </w:p>
    <w:p w14:paraId="0832AD04" w14:textId="77777777" w:rsidR="003438A2" w:rsidRPr="002D4AB0" w:rsidRDefault="003438A2" w:rsidP="00F843A1">
      <w:pPr>
        <w:pStyle w:val="ListBullet"/>
        <w:numPr>
          <w:ilvl w:val="0"/>
          <w:numId w:val="28"/>
        </w:numPr>
        <w:ind w:hanging="357"/>
      </w:pPr>
      <w:r w:rsidRPr="002D4AB0">
        <w:t xml:space="preserve">in-field </w:t>
      </w:r>
      <w:r w:rsidRPr="002D4AB0">
        <w:rPr>
          <w:szCs w:val="18"/>
        </w:rPr>
        <w:t xml:space="preserve">monitoring and </w:t>
      </w:r>
      <w:r w:rsidRPr="002D4AB0">
        <w:t>controls, packing house procedures including sorting, grading and packing house sanitation, and pre-export visual inspection and, if found, remedial action</w:t>
      </w:r>
      <w:r>
        <w:t>.</w:t>
      </w:r>
    </w:p>
    <w:p w14:paraId="1B242AA7" w14:textId="77777777" w:rsidR="003438A2" w:rsidRDefault="003438A2" w:rsidP="003438A2">
      <w:pPr>
        <w:pStyle w:val="ListBullet"/>
        <w:numPr>
          <w:ilvl w:val="0"/>
          <w:numId w:val="15"/>
        </w:numPr>
      </w:pPr>
      <w:r w:rsidRPr="002D4AB0">
        <w:t>For fire blight</w:t>
      </w:r>
      <w:r>
        <w:t>:</w:t>
      </w:r>
      <w:r w:rsidRPr="002D4AB0">
        <w:t xml:space="preserve"> </w:t>
      </w:r>
    </w:p>
    <w:p w14:paraId="558504FC" w14:textId="77777777" w:rsidR="003438A2" w:rsidRDefault="003438A2" w:rsidP="003438A2">
      <w:pPr>
        <w:pStyle w:val="ListBullet2"/>
        <w:numPr>
          <w:ilvl w:val="1"/>
          <w:numId w:val="15"/>
        </w:numPr>
        <w:ind w:left="1117" w:hanging="357"/>
      </w:pPr>
      <w:r w:rsidRPr="002D4AB0">
        <w:t>in-field monitoring and controls, fruit maturity testing, packing house sanitation, and pre-export visual inspection and, if found, remedial action</w:t>
      </w:r>
      <w:r>
        <w:t>.</w:t>
      </w:r>
    </w:p>
    <w:p w14:paraId="6B1D19DA" w14:textId="77777777" w:rsidR="003438A2" w:rsidRPr="002D4AB0" w:rsidRDefault="003438A2" w:rsidP="003438A2">
      <w:pPr>
        <w:pStyle w:val="ListBullet"/>
        <w:numPr>
          <w:ilvl w:val="0"/>
          <w:numId w:val="15"/>
        </w:numPr>
      </w:pPr>
      <w:r w:rsidRPr="002D4AB0">
        <w:t>For European canker</w:t>
      </w:r>
      <w:r>
        <w:t>:</w:t>
      </w:r>
    </w:p>
    <w:p w14:paraId="5675A606" w14:textId="77777777" w:rsidR="003438A2" w:rsidRPr="002D4AB0" w:rsidRDefault="003438A2" w:rsidP="00F843A1">
      <w:pPr>
        <w:pStyle w:val="ListBullet"/>
        <w:numPr>
          <w:ilvl w:val="0"/>
          <w:numId w:val="28"/>
        </w:numPr>
      </w:pPr>
      <w:r w:rsidRPr="002D4AB0">
        <w:t xml:space="preserve">in-field monitoring and controls, </w:t>
      </w:r>
      <w:r>
        <w:t xml:space="preserve">packing </w:t>
      </w:r>
      <w:r w:rsidRPr="002D4AB0">
        <w:t>house sanitation, and pre-export visual inspection and, if found, remedial action</w:t>
      </w:r>
      <w:r>
        <w:t>.</w:t>
      </w:r>
      <w:r w:rsidRPr="002D4AB0">
        <w:t xml:space="preserve"> </w:t>
      </w:r>
    </w:p>
    <w:p w14:paraId="7A6F0852" w14:textId="77777777" w:rsidR="003438A2" w:rsidRPr="00B96051" w:rsidRDefault="003438A2" w:rsidP="00072AC4">
      <w:r w:rsidRPr="00D76A06">
        <w:rPr>
          <w:lang w:eastAsia="en-AU"/>
        </w:rPr>
        <w:t xml:space="preserve">Details of </w:t>
      </w:r>
      <w:r>
        <w:rPr>
          <w:lang w:eastAsia="en-AU"/>
        </w:rPr>
        <w:t>all the risk management measures and specific commercial production practices</w:t>
      </w:r>
      <w:r w:rsidRPr="00D76A06">
        <w:rPr>
          <w:lang w:eastAsia="en-AU"/>
        </w:rPr>
        <w:t xml:space="preserve"> </w:t>
      </w:r>
      <w:r>
        <w:rPr>
          <w:lang w:eastAsia="en-AU"/>
        </w:rPr>
        <w:t xml:space="preserve">that are mandatory to meet the Australian import requirements </w:t>
      </w:r>
      <w:r w:rsidRPr="00D76A06">
        <w:rPr>
          <w:lang w:eastAsia="en-AU"/>
        </w:rPr>
        <w:t xml:space="preserve">will be </w:t>
      </w:r>
      <w:r>
        <w:rPr>
          <w:lang w:eastAsia="en-AU"/>
        </w:rPr>
        <w:t>documented</w:t>
      </w:r>
      <w:r w:rsidRPr="00D76A06">
        <w:rPr>
          <w:lang w:eastAsia="en-AU"/>
        </w:rPr>
        <w:t xml:space="preserve"> in </w:t>
      </w:r>
      <w:r w:rsidRPr="0007754D">
        <w:rPr>
          <w:lang w:eastAsia="en-AU"/>
        </w:rPr>
        <w:t>the</w:t>
      </w:r>
      <w:r w:rsidRPr="00072AC4">
        <w:rPr>
          <w:i/>
          <w:iCs/>
          <w:lang w:eastAsia="en-AU"/>
        </w:rPr>
        <w:t xml:space="preserve"> ‘</w:t>
      </w:r>
      <w:r w:rsidRPr="00072AC4">
        <w:rPr>
          <w:rFonts w:eastAsia="Cambria"/>
          <w:bCs/>
          <w:i/>
          <w:iCs/>
        </w:rPr>
        <w:t>Work plan for the export of fresh apples from the Pacific Northwest states of United States of America to Australia’</w:t>
      </w:r>
      <w:r>
        <w:rPr>
          <w:rFonts w:eastAsia="Cambria"/>
          <w:bCs/>
        </w:rPr>
        <w:t xml:space="preserve"> </w:t>
      </w:r>
      <w:r w:rsidRPr="00D76A06">
        <w:rPr>
          <w:lang w:eastAsia="en-AU"/>
        </w:rPr>
        <w:t>to be developed by USDA-APHIS as part of the operational system</w:t>
      </w:r>
      <w:r>
        <w:rPr>
          <w:lang w:eastAsia="en-AU"/>
        </w:rPr>
        <w:t>.</w:t>
      </w:r>
    </w:p>
    <w:p w14:paraId="109F3152" w14:textId="77777777" w:rsidR="003438A2" w:rsidRPr="00C261EA" w:rsidRDefault="003438A2" w:rsidP="00D402BF">
      <w:pPr>
        <w:pStyle w:val="Heading5"/>
      </w:pPr>
      <w:r w:rsidRPr="00C261EA">
        <w:t xml:space="preserve">Management for </w:t>
      </w:r>
      <w:r w:rsidRPr="00C261EA">
        <w:rPr>
          <w:i/>
        </w:rPr>
        <w:t>Rhagoletis pomonella</w:t>
      </w:r>
    </w:p>
    <w:p w14:paraId="4633D042" w14:textId="77777777" w:rsidR="003438A2" w:rsidRPr="002D4AB0" w:rsidRDefault="003438A2" w:rsidP="00D402BF">
      <w:pPr>
        <w:rPr>
          <w:rFonts w:cs="Times New Roman"/>
        </w:rPr>
      </w:pPr>
      <w:r w:rsidRPr="002D4AB0">
        <w:t xml:space="preserve">For </w:t>
      </w:r>
      <w:r w:rsidRPr="002D4AB0">
        <w:rPr>
          <w:i/>
          <w:iCs/>
        </w:rPr>
        <w:t>R. pomonella</w:t>
      </w:r>
      <w:r w:rsidRPr="002D4AB0">
        <w:t xml:space="preserve">, the department recommends the options of pest free area (PFA), pest free place of production (PFPP), pest free production site (PFPS) or a pre-export phytosanitary treatment approved by the department as a measure for this pest. </w:t>
      </w:r>
    </w:p>
    <w:p w14:paraId="4CC95A07" w14:textId="77777777" w:rsidR="003438A2" w:rsidRPr="002D4AB0" w:rsidRDefault="003438A2" w:rsidP="00D402BF">
      <w:r w:rsidRPr="002D4AB0">
        <w:t xml:space="preserve">The objective of each recommended measure is to reduce the risk associated with this pest to achieve the ALOP for Australia when applied in combination with the operational system outlined in </w:t>
      </w:r>
      <w:r>
        <w:t>S</w:t>
      </w:r>
      <w:r w:rsidRPr="002D4AB0">
        <w:t xml:space="preserve">ection </w:t>
      </w:r>
      <w:r>
        <w:fldChar w:fldCharType="begin" w:fldLock="1"/>
      </w:r>
      <w:r>
        <w:instrText xml:space="preserve"> REF _Ref108442293 \n \h </w:instrText>
      </w:r>
      <w:r>
        <w:fldChar w:fldCharType="separate"/>
      </w:r>
      <w:r>
        <w:t>5.2</w:t>
      </w:r>
      <w:r>
        <w:fldChar w:fldCharType="end"/>
      </w:r>
      <w:r w:rsidRPr="002D4AB0">
        <w:t>.</w:t>
      </w:r>
    </w:p>
    <w:p w14:paraId="638FA784" w14:textId="77777777" w:rsidR="003438A2" w:rsidRPr="002D4AB0" w:rsidRDefault="003438A2" w:rsidP="00D402BF">
      <w:pPr>
        <w:pStyle w:val="Heading6"/>
      </w:pPr>
      <w:bookmarkStart w:id="501" w:name="_Hlk89282714"/>
      <w:r w:rsidRPr="002D4AB0">
        <w:t>Recommended</w:t>
      </w:r>
      <w:bookmarkEnd w:id="501"/>
      <w:r w:rsidRPr="002D4AB0">
        <w:t xml:space="preserve"> measure 1: Pest free area, pest free place of production or pest free production site</w:t>
      </w:r>
    </w:p>
    <w:p w14:paraId="191A5F27" w14:textId="77777777" w:rsidR="003438A2" w:rsidRPr="002D4AB0" w:rsidRDefault="003438A2" w:rsidP="00D402BF">
      <w:r w:rsidRPr="002D4AB0">
        <w:t xml:space="preserve">The requirements for establishing and maintaining pest free areas are set out in ISPM 4: </w:t>
      </w:r>
      <w:r w:rsidRPr="002D4AB0">
        <w:rPr>
          <w:i/>
        </w:rPr>
        <w:t>Requirements for the establishment of pest free areas</w:t>
      </w:r>
      <w:r w:rsidRPr="002D4AB0">
        <w:t xml:space="preserve"> </w:t>
      </w:r>
      <w:r w:rsidRPr="002D4AB0">
        <w:rPr>
          <w:noProof/>
        </w:rPr>
        <w:t>(FAO 2021b)</w:t>
      </w:r>
      <w:r w:rsidRPr="002D4AB0">
        <w:t xml:space="preserve">, and more specifically for fruit flies in ISPM 26: </w:t>
      </w:r>
      <w:r w:rsidRPr="002D4AB0">
        <w:rPr>
          <w:i/>
        </w:rPr>
        <w:t xml:space="preserve">Establishment of pest free areas for fruit flies (Tephritidae) </w:t>
      </w:r>
      <w:r w:rsidRPr="002D4AB0">
        <w:rPr>
          <w:noProof/>
        </w:rPr>
        <w:t>(FAO 2021g)</w:t>
      </w:r>
      <w:r w:rsidRPr="002D4AB0">
        <w:t xml:space="preserve">. The requirements for establishing and maintaining pest free places of production or pest free production sites are set out in ISPM 10: </w:t>
      </w:r>
      <w:r w:rsidRPr="002D4AB0">
        <w:rPr>
          <w:i/>
        </w:rPr>
        <w:t>Requirements for the establishment of pest free places of production and pest free production sites</w:t>
      </w:r>
      <w:r w:rsidRPr="002D4AB0">
        <w:t xml:space="preserve"> </w:t>
      </w:r>
      <w:r w:rsidRPr="002D4AB0">
        <w:rPr>
          <w:noProof/>
        </w:rPr>
        <w:t>(FAO 2021d)</w:t>
      </w:r>
      <w:r w:rsidRPr="002D4AB0">
        <w:t xml:space="preserve">. </w:t>
      </w:r>
    </w:p>
    <w:p w14:paraId="23C119BC" w14:textId="77777777" w:rsidR="003438A2" w:rsidRPr="002D4AB0" w:rsidRDefault="003438A2" w:rsidP="00D402BF">
      <w:r w:rsidRPr="002D4AB0">
        <w:lastRenderedPageBreak/>
        <w:t xml:space="preserve">The department recognises that </w:t>
      </w:r>
      <w:r w:rsidRPr="002D4AB0">
        <w:rPr>
          <w:i/>
        </w:rPr>
        <w:t>R</w:t>
      </w:r>
      <w:r>
        <w:rPr>
          <w:i/>
        </w:rPr>
        <w:t>.</w:t>
      </w:r>
      <w:r w:rsidRPr="002D4AB0">
        <w:rPr>
          <w:i/>
        </w:rPr>
        <w:t xml:space="preserve"> pomonella</w:t>
      </w:r>
      <w:r w:rsidRPr="002D4AB0">
        <w:t xml:space="preserve"> is under official control in PNW-USA, and that the major apple growing regions in Washington state have been declared pest free areas under the Washington Agriculture Code Title 16, Chapter 470-105 </w:t>
      </w:r>
      <w:r w:rsidRPr="002D4AB0">
        <w:rPr>
          <w:noProof/>
        </w:rPr>
        <w:t>(Washington State Legislature 2018)</w:t>
      </w:r>
      <w:r w:rsidRPr="002D4AB0">
        <w:t xml:space="preserve">. The movement of </w:t>
      </w:r>
      <w:r>
        <w:t>host</w:t>
      </w:r>
      <w:r w:rsidRPr="002D4AB0">
        <w:t xml:space="preserve"> material</w:t>
      </w:r>
      <w:r>
        <w:t>s</w:t>
      </w:r>
      <w:r w:rsidRPr="002D4AB0">
        <w:t xml:space="preserve"> into the states of Idaho, Oregon and Washington is restricted under Federal and/or State quarantine for several pests, including </w:t>
      </w:r>
      <w:r w:rsidRPr="002D4AB0">
        <w:rPr>
          <w:i/>
        </w:rPr>
        <w:t>R</w:t>
      </w:r>
      <w:r>
        <w:rPr>
          <w:i/>
        </w:rPr>
        <w:t>.</w:t>
      </w:r>
      <w:r w:rsidRPr="002D4AB0">
        <w:rPr>
          <w:i/>
        </w:rPr>
        <w:t xml:space="preserve"> pomonella</w:t>
      </w:r>
      <w:r w:rsidRPr="002D4AB0">
        <w:t xml:space="preserve">. Should the USA wish to use PFA, PFPP or PFPS as a measure to manage the risk posed by </w:t>
      </w:r>
      <w:r w:rsidRPr="002D4AB0">
        <w:rPr>
          <w:i/>
        </w:rPr>
        <w:t>R</w:t>
      </w:r>
      <w:r>
        <w:rPr>
          <w:i/>
        </w:rPr>
        <w:t>.</w:t>
      </w:r>
      <w:r w:rsidRPr="002D4AB0">
        <w:rPr>
          <w:i/>
        </w:rPr>
        <w:t xml:space="preserve"> pomonella</w:t>
      </w:r>
      <w:r w:rsidRPr="002D4AB0">
        <w:t>, USDA-APHIS will need to provide a submission detailing the areas covered by the PFA, PFPP or PFPS claim for approval by the department. The submission demonstrating PFA must fulfil the requirements set out in ISPM 4, and more specifically ISPM 26. The submission demonstrating PFPP or PFPS must fulfil the requirements set out in ISPM 10.</w:t>
      </w:r>
    </w:p>
    <w:p w14:paraId="42050E79" w14:textId="77777777" w:rsidR="003438A2" w:rsidRPr="002D4AB0" w:rsidRDefault="003438A2" w:rsidP="00D402BF">
      <w:r w:rsidRPr="002D4AB0">
        <w:t xml:space="preserve">If </w:t>
      </w:r>
      <w:r w:rsidRPr="002D4AB0">
        <w:rPr>
          <w:i/>
        </w:rPr>
        <w:t>R. pomonella</w:t>
      </w:r>
      <w:r w:rsidRPr="002D4AB0">
        <w:t xml:space="preserve"> is detected in a recognised PFA, PFPP or PFPS, or if other tephritid fruit flies are detected anywhere within PNW-USA that contribute to an outbreak situation, under the Federal Regulation 7CFR301.32 </w:t>
      </w:r>
      <w:r w:rsidRPr="002D4AB0">
        <w:rPr>
          <w:noProof/>
        </w:rPr>
        <w:t>(USDA-APHIS 2019)</w:t>
      </w:r>
      <w:r w:rsidRPr="002D4AB0">
        <w:t xml:space="preserve">, APHIS is required to notify the department within 48 hours of detection. The United States Federal and/or State emergency action plans for outbreaks will need to be activated, including establishing a delimiting survey by setting up additional traps to identify the extent of the fruit fly outbreak and determine the site of the outbreak, the surrounding area and the buffer area. Fruit sampling must also be conducted. Exports of fresh apple fruit from the </w:t>
      </w:r>
      <w:r w:rsidRPr="002D4AB0">
        <w:rPr>
          <w:i/>
        </w:rPr>
        <w:t>R. pomonella</w:t>
      </w:r>
      <w:r w:rsidRPr="002D4AB0">
        <w:t xml:space="preserve"> or other fruit fly outbreak areas must be suspended or undergo an appropriate phytosanitary treatment approved by the department.</w:t>
      </w:r>
    </w:p>
    <w:p w14:paraId="5709153E" w14:textId="77777777" w:rsidR="003438A2" w:rsidRPr="002D4AB0" w:rsidRDefault="003438A2" w:rsidP="00D402BF">
      <w:pPr>
        <w:pStyle w:val="Heading6"/>
      </w:pPr>
      <w:bookmarkStart w:id="502" w:name="_Hlk89282873"/>
      <w:r w:rsidRPr="002D4AB0">
        <w:t>Recommended</w:t>
      </w:r>
      <w:bookmarkEnd w:id="502"/>
      <w:r w:rsidRPr="002D4AB0">
        <w:t xml:space="preserve"> measure 2: An a</w:t>
      </w:r>
      <w:r w:rsidRPr="002D4AB0">
        <w:rPr>
          <w:szCs w:val="18"/>
        </w:rPr>
        <w:t>ppropriate</w:t>
      </w:r>
      <w:r w:rsidRPr="002D4AB0">
        <w:t xml:space="preserve"> pre-export phytosanitary treatment approved by the department</w:t>
      </w:r>
      <w:r w:rsidRPr="002D4AB0">
        <w:rPr>
          <w:rFonts w:cs="Arial"/>
        </w:rPr>
        <w:t xml:space="preserve"> </w:t>
      </w:r>
    </w:p>
    <w:p w14:paraId="1280CAD6" w14:textId="77777777" w:rsidR="003438A2" w:rsidRPr="002D4AB0" w:rsidRDefault="003438A2" w:rsidP="00D402BF">
      <w:pPr>
        <w:rPr>
          <w:strike/>
        </w:rPr>
      </w:pPr>
      <w:r w:rsidRPr="002D4AB0">
        <w:t xml:space="preserve">For fresh apple fruit sourced from outside the recognised </w:t>
      </w:r>
      <w:r w:rsidRPr="002D4AB0">
        <w:rPr>
          <w:i/>
        </w:rPr>
        <w:t xml:space="preserve">R. pomonella </w:t>
      </w:r>
      <w:r w:rsidRPr="002D4AB0">
        <w:t xml:space="preserve">PFA, PFPP or PFPS, or where the area, place or site freedom status has been suspended, an appropriate pre-export phytosanitary treatment approved by the department for </w:t>
      </w:r>
      <w:r w:rsidRPr="002D4AB0">
        <w:rPr>
          <w:i/>
        </w:rPr>
        <w:t>R. pomonella</w:t>
      </w:r>
      <w:r w:rsidRPr="002D4AB0">
        <w:t xml:space="preserve"> must be undertaken. Should the USA wish to use a pre-export phytosanitary treatment, USDA-APHIS will need to provide Australia with a submission demonstrating efficacy of the proposed treatment for approval by the department. </w:t>
      </w:r>
    </w:p>
    <w:p w14:paraId="71F22903" w14:textId="77777777" w:rsidR="003438A2" w:rsidRPr="002D4AB0" w:rsidRDefault="003438A2" w:rsidP="00D402BF">
      <w:pPr>
        <w:pStyle w:val="Heading5"/>
      </w:pPr>
      <w:r w:rsidRPr="002D4AB0">
        <w:t xml:space="preserve">Management for mites, mealybugs and thrips </w:t>
      </w:r>
    </w:p>
    <w:p w14:paraId="721C5DE9" w14:textId="77777777" w:rsidR="003438A2" w:rsidRPr="002D4AB0" w:rsidRDefault="003438A2" w:rsidP="001F5F64">
      <w:r w:rsidRPr="002D4AB0">
        <w:t xml:space="preserve">For </w:t>
      </w:r>
      <w:r w:rsidRPr="003B15A9">
        <w:rPr>
          <w:i/>
          <w:iCs/>
        </w:rPr>
        <w:t>C. pulcher</w:t>
      </w:r>
      <w:r w:rsidRPr="002D4AB0">
        <w:t xml:space="preserve">, </w:t>
      </w:r>
      <w:r w:rsidRPr="003B15A9">
        <w:rPr>
          <w:i/>
          <w:iCs/>
        </w:rPr>
        <w:t>T. mcdanieli</w:t>
      </w:r>
      <w:r w:rsidRPr="002D4AB0">
        <w:t xml:space="preserve">, </w:t>
      </w:r>
      <w:r w:rsidRPr="003B15A9">
        <w:rPr>
          <w:i/>
          <w:iCs/>
          <w:szCs w:val="18"/>
        </w:rPr>
        <w:t>P. aceris</w:t>
      </w:r>
      <w:r w:rsidRPr="002D4AB0">
        <w:rPr>
          <w:szCs w:val="18"/>
        </w:rPr>
        <w:t xml:space="preserve">, </w:t>
      </w:r>
      <w:r w:rsidRPr="003B15A9">
        <w:rPr>
          <w:i/>
          <w:iCs/>
          <w:szCs w:val="18"/>
        </w:rPr>
        <w:t>P. maritimus</w:t>
      </w:r>
      <w:r w:rsidRPr="002D4AB0">
        <w:rPr>
          <w:szCs w:val="18"/>
        </w:rPr>
        <w:t xml:space="preserve">, </w:t>
      </w:r>
      <w:r w:rsidRPr="003B15A9">
        <w:rPr>
          <w:i/>
          <w:iCs/>
        </w:rPr>
        <w:t>F. occidentalis</w:t>
      </w:r>
      <w:r w:rsidRPr="002D4AB0">
        <w:t xml:space="preserve"> and </w:t>
      </w:r>
      <w:r w:rsidRPr="003B15A9">
        <w:rPr>
          <w:i/>
          <w:iCs/>
          <w:szCs w:val="18"/>
        </w:rPr>
        <w:t>F. tritici</w:t>
      </w:r>
      <w:r w:rsidRPr="002D4AB0">
        <w:t>, the department recommends pre-export visual inspection and, if found, remedial action</w:t>
      </w:r>
      <w:r w:rsidRPr="002D4AB0">
        <w:rPr>
          <w:szCs w:val="18"/>
        </w:rPr>
        <w:t>.</w:t>
      </w:r>
      <w:r w:rsidRPr="002D4AB0">
        <w:t xml:space="preserve"> The method used for visual inspection must be able to detect all life stages of these pests, for example by using visual aids such as hand lens, where necessary. The inspection should be consistent with ISPM 23</w:t>
      </w:r>
      <w:bookmarkStart w:id="503" w:name="_Hlk97104980"/>
      <w:r w:rsidRPr="002D4AB0">
        <w:t xml:space="preserve">: </w:t>
      </w:r>
      <w:r w:rsidRPr="002D4AB0">
        <w:rPr>
          <w:iCs/>
        </w:rPr>
        <w:t>Guidelines for inspection</w:t>
      </w:r>
      <w:r>
        <w:rPr>
          <w:iCs/>
        </w:rPr>
        <w:t xml:space="preserve"> </w:t>
      </w:r>
      <w:r>
        <w:rPr>
          <w:noProof/>
        </w:rPr>
        <w:t>(</w:t>
      </w:r>
      <w:hyperlink w:anchor="_ENREF_272" w:tooltip="FAO, 2021 #44283" w:history="1">
        <w:r>
          <w:rPr>
            <w:noProof/>
          </w:rPr>
          <w:t>FAO 2021f</w:t>
        </w:r>
      </w:hyperlink>
      <w:r>
        <w:rPr>
          <w:noProof/>
        </w:rPr>
        <w:t xml:space="preserve">) and </w:t>
      </w:r>
      <w:bookmarkEnd w:id="503"/>
      <w:r w:rsidRPr="002D4AB0">
        <w:t xml:space="preserve">ISPM 31: </w:t>
      </w:r>
      <w:r w:rsidRPr="002D4AB0">
        <w:rPr>
          <w:iCs/>
        </w:rPr>
        <w:t xml:space="preserve">Methodologies for sampling of </w:t>
      </w:r>
      <w:r w:rsidRPr="003B15A9">
        <w:rPr>
          <w:iCs/>
        </w:rPr>
        <w:t>consignments</w:t>
      </w:r>
      <w:r>
        <w:rPr>
          <w:iCs/>
        </w:rPr>
        <w:t xml:space="preserve"> </w:t>
      </w:r>
      <w:r>
        <w:rPr>
          <w:noProof/>
        </w:rPr>
        <w:t>(FAO 2021h)</w:t>
      </w:r>
      <w:r>
        <w:t xml:space="preserve"> </w:t>
      </w:r>
      <w:r w:rsidRPr="003B15A9">
        <w:t>and</w:t>
      </w:r>
      <w:r w:rsidRPr="002D4AB0">
        <w:t xml:space="preserve"> provide a 95% level of confidence that infestation greater than 0.5% will be detected. The objective of this recommended measure is to reduce the risk associated with these pests to achieve the ALOP for Australia when applied in combination with the operational system outlined in </w:t>
      </w:r>
      <w:r>
        <w:t>S</w:t>
      </w:r>
      <w:r w:rsidRPr="002D4AB0">
        <w:t xml:space="preserve">ection </w:t>
      </w:r>
      <w:r>
        <w:fldChar w:fldCharType="begin" w:fldLock="1"/>
      </w:r>
      <w:r>
        <w:instrText xml:space="preserve"> REF _Ref108442308 \n \h  \* MERGEFORMAT </w:instrText>
      </w:r>
      <w:r>
        <w:fldChar w:fldCharType="separate"/>
      </w:r>
      <w:r>
        <w:t>5.2</w:t>
      </w:r>
      <w:r>
        <w:fldChar w:fldCharType="end"/>
      </w:r>
      <w:r w:rsidRPr="002D4AB0">
        <w:t>.</w:t>
      </w:r>
    </w:p>
    <w:p w14:paraId="454B9D5E" w14:textId="77777777" w:rsidR="003438A2" w:rsidRPr="00043743" w:rsidRDefault="003438A2" w:rsidP="001F5F64">
      <w:pPr>
        <w:rPr>
          <w:rFonts w:asciiTheme="minorHAnsi" w:hAnsiTheme="minorHAnsi" w:cstheme="minorHAnsi"/>
          <w:iCs/>
        </w:rPr>
      </w:pPr>
      <w:r w:rsidRPr="00043743">
        <w:rPr>
          <w:rFonts w:asciiTheme="minorHAnsi" w:hAnsiTheme="minorHAnsi" w:cstheme="minorHAnsi"/>
          <w:iCs/>
        </w:rPr>
        <w:t>Recommended measure: Pre-export visual inspection and, if detected, remedial action</w:t>
      </w:r>
    </w:p>
    <w:p w14:paraId="00E10461" w14:textId="77777777" w:rsidR="003438A2" w:rsidRPr="002D4AB0" w:rsidRDefault="003438A2" w:rsidP="00BD3F9E">
      <w:r w:rsidRPr="002D4AB0">
        <w:t xml:space="preserve">All consignments of fresh apples for export to Australia must be inspected by APHIS/US regulatory officials in accordance with ISPM 23 and ISPM 31. Each consignment must be found free of </w:t>
      </w:r>
      <w:r w:rsidRPr="002D4AB0">
        <w:rPr>
          <w:i/>
        </w:rPr>
        <w:t>C</w:t>
      </w:r>
      <w:r>
        <w:rPr>
          <w:i/>
        </w:rPr>
        <w:t>.</w:t>
      </w:r>
      <w:r w:rsidRPr="002D4AB0">
        <w:rPr>
          <w:i/>
        </w:rPr>
        <w:t xml:space="preserve"> pulcher</w:t>
      </w:r>
      <w:r w:rsidRPr="002D4AB0">
        <w:t xml:space="preserve">, </w:t>
      </w:r>
      <w:r w:rsidRPr="002D4AB0">
        <w:rPr>
          <w:i/>
        </w:rPr>
        <w:t>T</w:t>
      </w:r>
      <w:r>
        <w:rPr>
          <w:i/>
        </w:rPr>
        <w:t>.</w:t>
      </w:r>
      <w:r w:rsidRPr="002D4AB0">
        <w:rPr>
          <w:i/>
        </w:rPr>
        <w:t xml:space="preserve"> mcdanieli, </w:t>
      </w:r>
      <w:r w:rsidRPr="002D4AB0">
        <w:rPr>
          <w:iCs/>
        </w:rPr>
        <w:t>mealybugs and thrips</w:t>
      </w:r>
      <w:r w:rsidRPr="002D4AB0">
        <w:t xml:space="preserve">. Export consignments found to contain any of these pests must be subject to remedial action. Remedial action by APHIS/US regulatory officials may include withdrawing the consignment from export to Australia or, applying an </w:t>
      </w:r>
      <w:r w:rsidRPr="002D4AB0">
        <w:lastRenderedPageBreak/>
        <w:t xml:space="preserve">approved treatment </w:t>
      </w:r>
      <w:r>
        <w:t xml:space="preserve">(such as methyl bromide fumigation) </w:t>
      </w:r>
      <w:r w:rsidRPr="002D4AB0">
        <w:t>to ensure that the pest is no longer viable.</w:t>
      </w:r>
    </w:p>
    <w:p w14:paraId="5371BFEC" w14:textId="77777777" w:rsidR="003438A2" w:rsidRPr="002D4AB0" w:rsidRDefault="003438A2" w:rsidP="00D402BF">
      <w:pPr>
        <w:pStyle w:val="Heading5"/>
      </w:pPr>
      <w:r w:rsidRPr="002D4AB0">
        <w:t>Management for</w:t>
      </w:r>
      <w:r>
        <w:t xml:space="preserve"> </w:t>
      </w:r>
      <w:r w:rsidRPr="007563E3">
        <w:t>leafrollers</w:t>
      </w:r>
    </w:p>
    <w:p w14:paraId="4DDCB3E6" w14:textId="77777777" w:rsidR="003438A2" w:rsidRPr="002D4AB0" w:rsidRDefault="003438A2" w:rsidP="00454508">
      <w:r w:rsidRPr="002D4AB0">
        <w:t>To manage the risk posed by leafroller</w:t>
      </w:r>
      <w:r>
        <w:t>s</w:t>
      </w:r>
      <w:r w:rsidRPr="002D4AB0">
        <w:t xml:space="preserve"> the department recommends the options of in-field controls and pre-export inspection, or an a</w:t>
      </w:r>
      <w:r w:rsidRPr="002D4AB0">
        <w:rPr>
          <w:szCs w:val="18"/>
        </w:rPr>
        <w:t>ppropriate pre-export phytosanitary treatment.</w:t>
      </w:r>
      <w:r w:rsidRPr="002D4AB0">
        <w:t xml:space="preserve"> The objective of each of the recommended measures is to reduce the risk associated with th</w:t>
      </w:r>
      <w:r>
        <w:t xml:space="preserve">ese </w:t>
      </w:r>
      <w:r w:rsidRPr="002D4AB0">
        <w:t>pest</w:t>
      </w:r>
      <w:r>
        <w:t>s</w:t>
      </w:r>
      <w:r w:rsidRPr="002D4AB0">
        <w:t xml:space="preserve"> to achieve the ALOP for Australia</w:t>
      </w:r>
      <w:r>
        <w:t xml:space="preserve"> </w:t>
      </w:r>
      <w:r w:rsidRPr="002D4AB0">
        <w:t xml:space="preserve">when applied in combination with the operational system outlined in </w:t>
      </w:r>
      <w:r>
        <w:t>S</w:t>
      </w:r>
      <w:r w:rsidRPr="002D4AB0">
        <w:t xml:space="preserve">ection </w:t>
      </w:r>
      <w:r>
        <w:fldChar w:fldCharType="begin" w:fldLock="1"/>
      </w:r>
      <w:r>
        <w:instrText xml:space="preserve"> REF _Ref108442321 \n \h </w:instrText>
      </w:r>
      <w:r>
        <w:fldChar w:fldCharType="separate"/>
      </w:r>
      <w:r>
        <w:t>5.2</w:t>
      </w:r>
      <w:r>
        <w:fldChar w:fldCharType="end"/>
      </w:r>
      <w:r w:rsidRPr="002D4AB0">
        <w:t>.</w:t>
      </w:r>
    </w:p>
    <w:p w14:paraId="26EE6AD4" w14:textId="77777777" w:rsidR="003438A2" w:rsidRPr="002D4AB0" w:rsidRDefault="003438A2" w:rsidP="00D402BF">
      <w:pPr>
        <w:pStyle w:val="Heading6"/>
      </w:pPr>
      <w:r w:rsidRPr="002D4AB0">
        <w:t>Recommended measure 1: In-field controls, pre-export visual inspection and, if detected, remedial action</w:t>
      </w:r>
    </w:p>
    <w:p w14:paraId="23850C8D" w14:textId="77777777" w:rsidR="003438A2" w:rsidRPr="002D4AB0" w:rsidRDefault="003438A2" w:rsidP="00D402BF">
      <w:r w:rsidRPr="002D4AB0">
        <w:t xml:space="preserve">Under this option, all apple consignments for export to Australia must be sourced from apple orchards undertaking commercial practices as in-field controls against </w:t>
      </w:r>
      <w:r w:rsidRPr="002D4AB0">
        <w:rPr>
          <w:i/>
          <w:iCs/>
        </w:rPr>
        <w:t>Archips argyrospila</w:t>
      </w:r>
      <w:r w:rsidRPr="002D4AB0">
        <w:rPr>
          <w:i/>
        </w:rPr>
        <w:t xml:space="preserve">, </w:t>
      </w:r>
      <w:r w:rsidRPr="002D4AB0">
        <w:rPr>
          <w:i/>
          <w:iCs/>
        </w:rPr>
        <w:t>Archips podana</w:t>
      </w:r>
      <w:r w:rsidRPr="002D4AB0">
        <w:rPr>
          <w:i/>
        </w:rPr>
        <w:t>, Archips rosana, Argyrotaenia franciscana,</w:t>
      </w:r>
      <w:r w:rsidRPr="002D4AB0">
        <w:rPr>
          <w:i/>
          <w:iCs/>
        </w:rPr>
        <w:t xml:space="preserve"> Choristoneura rosaceana</w:t>
      </w:r>
      <w:r>
        <w:rPr>
          <w:i/>
          <w:iCs/>
        </w:rPr>
        <w:t xml:space="preserve"> </w:t>
      </w:r>
      <w:r>
        <w:t>and</w:t>
      </w:r>
      <w:r w:rsidRPr="002D4AB0">
        <w:t xml:space="preserve"> </w:t>
      </w:r>
      <w:r w:rsidRPr="002D4AB0">
        <w:rPr>
          <w:i/>
        </w:rPr>
        <w:t>Pandemis pyrusana</w:t>
      </w:r>
      <w:r w:rsidRPr="002D4AB0">
        <w:t>.</w:t>
      </w:r>
    </w:p>
    <w:p w14:paraId="423F4647" w14:textId="77777777" w:rsidR="003438A2" w:rsidRPr="002D4AB0" w:rsidRDefault="003438A2" w:rsidP="00D402BF">
      <w:r w:rsidRPr="002D4AB0">
        <w:t xml:space="preserve">All apple consignments for export to Australia must be inspected and found free of </w:t>
      </w:r>
      <w:r w:rsidRPr="002D4AB0">
        <w:rPr>
          <w:i/>
          <w:iCs/>
        </w:rPr>
        <w:t>Archips argyrospila</w:t>
      </w:r>
      <w:r w:rsidRPr="002D4AB0">
        <w:rPr>
          <w:i/>
        </w:rPr>
        <w:t xml:space="preserve">, </w:t>
      </w:r>
      <w:r w:rsidRPr="002D4AB0">
        <w:rPr>
          <w:i/>
          <w:iCs/>
        </w:rPr>
        <w:t>Archips podana</w:t>
      </w:r>
      <w:r w:rsidRPr="002D4AB0">
        <w:rPr>
          <w:i/>
        </w:rPr>
        <w:t>, Archips rosana</w:t>
      </w:r>
      <w:r w:rsidRPr="002D4AB0">
        <w:t xml:space="preserve">, </w:t>
      </w:r>
      <w:r w:rsidRPr="002D4AB0">
        <w:rPr>
          <w:i/>
        </w:rPr>
        <w:t>Argyrotaenia franciscana,</w:t>
      </w:r>
      <w:r w:rsidRPr="002D4AB0">
        <w:rPr>
          <w:i/>
          <w:iCs/>
        </w:rPr>
        <w:t xml:space="preserve"> Choristoneura rosaceana</w:t>
      </w:r>
      <w:r>
        <w:rPr>
          <w:i/>
          <w:iCs/>
        </w:rPr>
        <w:t xml:space="preserve"> </w:t>
      </w:r>
      <w:r>
        <w:t>and</w:t>
      </w:r>
      <w:r w:rsidRPr="002D4AB0">
        <w:t xml:space="preserve"> </w:t>
      </w:r>
      <w:r w:rsidRPr="002D4AB0">
        <w:rPr>
          <w:i/>
        </w:rPr>
        <w:t>Pandemis pyrusana</w:t>
      </w:r>
      <w:r w:rsidRPr="002D4AB0">
        <w:t xml:space="preserve">. </w:t>
      </w:r>
    </w:p>
    <w:p w14:paraId="1077EF75" w14:textId="77777777" w:rsidR="003438A2" w:rsidRPr="002D4AB0" w:rsidRDefault="003438A2" w:rsidP="004B1AAC">
      <w:r w:rsidRPr="002D4AB0">
        <w:t xml:space="preserve">Export consignments found to contain any of these pests will be subject to remedial action. Remedial action may include withdrawing the consignment from export to Australia or applying an appropriate </w:t>
      </w:r>
      <w:r w:rsidRPr="002D4AB0">
        <w:rPr>
          <w:szCs w:val="18"/>
        </w:rPr>
        <w:t xml:space="preserve">pre-export phytosanitary treatment </w:t>
      </w:r>
      <w:r w:rsidRPr="002D4AB0">
        <w:t>approved by the department to ensure that the pest is no longer viable.</w:t>
      </w:r>
    </w:p>
    <w:p w14:paraId="642A10ED" w14:textId="77777777" w:rsidR="003438A2" w:rsidRPr="002D4AB0" w:rsidRDefault="003438A2" w:rsidP="00D402BF">
      <w:pPr>
        <w:pStyle w:val="Heading6"/>
      </w:pPr>
      <w:r w:rsidRPr="002D4AB0">
        <w:t>Recommended measure 2: An appropriate</w:t>
      </w:r>
      <w:r w:rsidRPr="002D4AB0">
        <w:rPr>
          <w:szCs w:val="18"/>
        </w:rPr>
        <w:t xml:space="preserve"> pre-export phytosanitary treatment (such as methyl bromide fumigation) </w:t>
      </w:r>
      <w:r w:rsidRPr="002D4AB0">
        <w:t xml:space="preserve">approved by the Department of </w:t>
      </w:r>
      <w:r w:rsidRPr="002D4AB0">
        <w:rPr>
          <w:szCs w:val="18"/>
        </w:rPr>
        <w:t xml:space="preserve">Agriculture, </w:t>
      </w:r>
      <w:r>
        <w:rPr>
          <w:szCs w:val="18"/>
        </w:rPr>
        <w:t>Fisheries</w:t>
      </w:r>
      <w:r w:rsidRPr="002D4AB0">
        <w:rPr>
          <w:szCs w:val="18"/>
        </w:rPr>
        <w:t xml:space="preserve"> and </w:t>
      </w:r>
      <w:r>
        <w:rPr>
          <w:szCs w:val="18"/>
        </w:rPr>
        <w:t>Forestry</w:t>
      </w:r>
    </w:p>
    <w:p w14:paraId="3CD8417E" w14:textId="77777777" w:rsidR="003438A2" w:rsidRPr="007563E3" w:rsidRDefault="003438A2" w:rsidP="00D402BF">
      <w:pPr>
        <w:rPr>
          <w:strike/>
        </w:rPr>
      </w:pPr>
      <w:r w:rsidRPr="002D4AB0">
        <w:t xml:space="preserve">Export consignments must </w:t>
      </w:r>
      <w:r>
        <w:t>have</w:t>
      </w:r>
      <w:r w:rsidRPr="002D4AB0">
        <w:t xml:space="preserve"> a pre-export phytosanitary treatment </w:t>
      </w:r>
      <w:r>
        <w:t xml:space="preserve">applied </w:t>
      </w:r>
      <w:r w:rsidRPr="002D4AB0">
        <w:t xml:space="preserve">that is approved by the department to manage the risk posed by </w:t>
      </w:r>
      <w:r w:rsidRPr="002D4AB0">
        <w:rPr>
          <w:i/>
          <w:iCs/>
        </w:rPr>
        <w:t>Archips argyrospila</w:t>
      </w:r>
      <w:r w:rsidRPr="002D4AB0">
        <w:rPr>
          <w:i/>
        </w:rPr>
        <w:t xml:space="preserve">, </w:t>
      </w:r>
      <w:r w:rsidRPr="002D4AB0">
        <w:rPr>
          <w:i/>
          <w:iCs/>
        </w:rPr>
        <w:t>Archips podana</w:t>
      </w:r>
      <w:r w:rsidRPr="002D4AB0">
        <w:rPr>
          <w:i/>
        </w:rPr>
        <w:t>, Archips rosana</w:t>
      </w:r>
      <w:r w:rsidRPr="002D4AB0">
        <w:t xml:space="preserve">, </w:t>
      </w:r>
      <w:r w:rsidRPr="002D4AB0">
        <w:rPr>
          <w:i/>
        </w:rPr>
        <w:t>Argyrotaenia franciscana,</w:t>
      </w:r>
      <w:r w:rsidRPr="002D4AB0">
        <w:rPr>
          <w:i/>
          <w:iCs/>
        </w:rPr>
        <w:t xml:space="preserve"> Choristoneura rosaceana</w:t>
      </w:r>
      <w:r>
        <w:rPr>
          <w:i/>
          <w:iCs/>
        </w:rPr>
        <w:t xml:space="preserve"> </w:t>
      </w:r>
      <w:r>
        <w:t>and</w:t>
      </w:r>
      <w:r w:rsidRPr="002D4AB0">
        <w:t xml:space="preserve"> </w:t>
      </w:r>
      <w:r w:rsidRPr="002D4AB0">
        <w:rPr>
          <w:i/>
        </w:rPr>
        <w:t>Pandemis pyrusana</w:t>
      </w:r>
      <w:r w:rsidRPr="002D4AB0">
        <w:t xml:space="preserve">. Should the USA wish to use the treatment option, USDA-APHIS will need to provide a submission </w:t>
      </w:r>
      <w:r w:rsidRPr="007563E3">
        <w:t xml:space="preserve">demonstrating efficacy of the proposed measure for consideration by the department. </w:t>
      </w:r>
    </w:p>
    <w:p w14:paraId="4F55601B" w14:textId="77777777" w:rsidR="003438A2" w:rsidRPr="007563E3" w:rsidRDefault="003438A2" w:rsidP="00A3359F">
      <w:pPr>
        <w:pStyle w:val="Heading5"/>
      </w:pPr>
      <w:bookmarkStart w:id="504" w:name="_Hlk44425106"/>
      <w:r w:rsidRPr="007563E3">
        <w:t>Management for codling moth</w:t>
      </w:r>
    </w:p>
    <w:p w14:paraId="1954C3C7" w14:textId="77777777" w:rsidR="003438A2" w:rsidRPr="007563E3" w:rsidRDefault="003438A2" w:rsidP="00A3359F">
      <w:pPr>
        <w:rPr>
          <w:rFonts w:cs="Times New Roman"/>
        </w:rPr>
      </w:pPr>
      <w:r w:rsidRPr="007563E3">
        <w:t xml:space="preserve">To manage the risk posed by codling moth the department recommends the options of pest free area (PFA), pest free place of production (PFPP) or pest free production site (PFPS); a systems approach approved by the department; or a pre-export phytosanitary treatment approved by the department as a measure for this pest. </w:t>
      </w:r>
    </w:p>
    <w:p w14:paraId="63E76635" w14:textId="77777777" w:rsidR="003438A2" w:rsidRPr="007563E3" w:rsidRDefault="003438A2" w:rsidP="00A3359F">
      <w:r w:rsidRPr="007563E3">
        <w:t xml:space="preserve">The objective of each recommended measure is to reduce the risk associated with this pest to achieve the ALOP for Australia when applied in combination with the operational system outlined in Section </w:t>
      </w:r>
      <w:r w:rsidRPr="007563E3">
        <w:fldChar w:fldCharType="begin" w:fldLock="1"/>
      </w:r>
      <w:r w:rsidRPr="007563E3">
        <w:instrText xml:space="preserve"> REF _Ref108442293 \n \h  \* MERGEFORMAT </w:instrText>
      </w:r>
      <w:r w:rsidRPr="007563E3">
        <w:fldChar w:fldCharType="separate"/>
      </w:r>
      <w:r>
        <w:t>5.2</w:t>
      </w:r>
      <w:r w:rsidRPr="007563E3">
        <w:fldChar w:fldCharType="end"/>
      </w:r>
      <w:r w:rsidRPr="007563E3">
        <w:t>.</w:t>
      </w:r>
    </w:p>
    <w:p w14:paraId="3F48F2F2" w14:textId="77777777" w:rsidR="003438A2" w:rsidRPr="007563E3" w:rsidRDefault="003438A2" w:rsidP="00A3359F">
      <w:pPr>
        <w:pStyle w:val="Heading6"/>
      </w:pPr>
      <w:r w:rsidRPr="007563E3">
        <w:t>Recommended measure 1: Pest free area, pest free place of production or pest free production site</w:t>
      </w:r>
    </w:p>
    <w:p w14:paraId="6C9CF2C5" w14:textId="77777777" w:rsidR="003438A2" w:rsidRPr="007563E3" w:rsidRDefault="003438A2" w:rsidP="00A3359F">
      <w:r w:rsidRPr="007563E3">
        <w:t xml:space="preserve">The requirements for establishing and maintaining pest free areas are set out in ISPM 4: </w:t>
      </w:r>
      <w:r w:rsidRPr="007563E3">
        <w:rPr>
          <w:i/>
        </w:rPr>
        <w:t>Requirements for the establishment of pest free areas</w:t>
      </w:r>
      <w:r w:rsidRPr="007563E3">
        <w:t xml:space="preserve"> </w:t>
      </w:r>
      <w:r w:rsidRPr="007563E3">
        <w:rPr>
          <w:noProof/>
        </w:rPr>
        <w:t>(FAO 2021b)</w:t>
      </w:r>
      <w:r w:rsidRPr="007563E3">
        <w:t xml:space="preserve">. The requirements for establishing and maintaining pest free places of production or pest free production sites are set </w:t>
      </w:r>
      <w:r w:rsidRPr="007563E3">
        <w:lastRenderedPageBreak/>
        <w:t xml:space="preserve">out in ISPM 10: </w:t>
      </w:r>
      <w:r w:rsidRPr="007563E3">
        <w:rPr>
          <w:i/>
        </w:rPr>
        <w:t>Requirements for the establishment of pest free places of production and pest free production sites</w:t>
      </w:r>
      <w:r w:rsidRPr="007563E3">
        <w:t xml:space="preserve"> </w:t>
      </w:r>
      <w:r w:rsidRPr="007563E3">
        <w:rPr>
          <w:noProof/>
        </w:rPr>
        <w:t>(FAO 2021d)</w:t>
      </w:r>
      <w:r w:rsidRPr="007563E3">
        <w:t xml:space="preserve">. </w:t>
      </w:r>
    </w:p>
    <w:p w14:paraId="5C1A6CFF" w14:textId="77777777" w:rsidR="003438A2" w:rsidRPr="007563E3" w:rsidRDefault="003438A2" w:rsidP="00A864A6">
      <w:pPr>
        <w:pStyle w:val="Heading6"/>
      </w:pPr>
      <w:r w:rsidRPr="007563E3">
        <w:t>Recommended measure 2: Systems approach</w:t>
      </w:r>
    </w:p>
    <w:p w14:paraId="7CD44F2B" w14:textId="77777777" w:rsidR="003438A2" w:rsidRPr="007563E3" w:rsidRDefault="003438A2" w:rsidP="00A3359F">
      <w:r w:rsidRPr="007563E3">
        <w:t>Under this option, all apple consignments for export to Australia must be sourced from apple orchards undertaking a systems approach to manage codling moth, which is approved by the department.</w:t>
      </w:r>
    </w:p>
    <w:p w14:paraId="77EE3155" w14:textId="77777777" w:rsidR="003438A2" w:rsidRPr="007563E3" w:rsidRDefault="003438A2" w:rsidP="00A3359F">
      <w:r w:rsidRPr="007563E3">
        <w:t xml:space="preserve">All apple consignments for export to Australia must be inspected and any fruit with suspected infestation must be cut and examined and found free of codling moth. </w:t>
      </w:r>
    </w:p>
    <w:p w14:paraId="07E78EE1" w14:textId="77777777" w:rsidR="003438A2" w:rsidRPr="007563E3" w:rsidRDefault="003438A2" w:rsidP="00A3359F">
      <w:r w:rsidRPr="007563E3">
        <w:t xml:space="preserve">Export consignments found to contain codling moth will be subject to remedial action. Remedial action may include withdrawing the consignment from export to Australia or applying an appropriate </w:t>
      </w:r>
      <w:r w:rsidRPr="007563E3">
        <w:rPr>
          <w:szCs w:val="18"/>
        </w:rPr>
        <w:t xml:space="preserve">pre-export phytosanitary treatment </w:t>
      </w:r>
      <w:r w:rsidRPr="007563E3">
        <w:t>approved by the department to ensure that the pest is no longer viable.</w:t>
      </w:r>
    </w:p>
    <w:p w14:paraId="59611119" w14:textId="77777777" w:rsidR="003438A2" w:rsidRPr="007563E3" w:rsidRDefault="003438A2" w:rsidP="00A3359F">
      <w:pPr>
        <w:pStyle w:val="Heading6"/>
      </w:pPr>
      <w:r w:rsidRPr="007563E3">
        <w:t>Recommended measure 3: An appropriate</w:t>
      </w:r>
      <w:r w:rsidRPr="007563E3">
        <w:rPr>
          <w:szCs w:val="18"/>
        </w:rPr>
        <w:t xml:space="preserve"> pre-export phytosanitary treatment (such as methyl bromide fumigation or cold treatment) </w:t>
      </w:r>
      <w:r w:rsidRPr="007563E3">
        <w:t xml:space="preserve">approved by the Department of </w:t>
      </w:r>
      <w:r w:rsidRPr="007563E3">
        <w:rPr>
          <w:szCs w:val="18"/>
        </w:rPr>
        <w:t>Agriculture, Fisheries and Forestry</w:t>
      </w:r>
    </w:p>
    <w:p w14:paraId="7BD9D13B" w14:textId="77777777" w:rsidR="003438A2" w:rsidRPr="007563E3" w:rsidRDefault="003438A2" w:rsidP="00A3359F">
      <w:r w:rsidRPr="007563E3">
        <w:t xml:space="preserve">Export consignments must have a pre-export phytosanitary treatment applied that is approved by the department to manage the risk posed by codling moth. Should the USA wish to use the treatment option, USDA-APHIS will need to provide a submission demonstrating efficacy of the proposed measure for consideration by the department. </w:t>
      </w:r>
    </w:p>
    <w:p w14:paraId="6E3CCCE0" w14:textId="77777777" w:rsidR="003438A2" w:rsidRPr="007563E3" w:rsidRDefault="003438A2" w:rsidP="00D402BF">
      <w:pPr>
        <w:rPr>
          <w:rFonts w:ascii="Calibri" w:hAnsi="Calibri"/>
          <w:b/>
        </w:rPr>
      </w:pPr>
      <w:r w:rsidRPr="007563E3">
        <w:rPr>
          <w:rFonts w:ascii="Calibri" w:hAnsi="Calibri"/>
          <w:b/>
        </w:rPr>
        <w:t>Management for Gymnosporangium rusts</w:t>
      </w:r>
    </w:p>
    <w:p w14:paraId="2D8CA4BD" w14:textId="77777777" w:rsidR="003438A2" w:rsidRPr="007563E3" w:rsidRDefault="003438A2" w:rsidP="00D402BF">
      <w:r w:rsidRPr="007563E3">
        <w:rPr>
          <w:rFonts w:asciiTheme="majorHAnsi" w:hAnsiTheme="majorHAnsi"/>
        </w:rPr>
        <w:t>For</w:t>
      </w:r>
      <w:r w:rsidRPr="007563E3">
        <w:rPr>
          <w:rFonts w:asciiTheme="majorHAnsi" w:hAnsiTheme="majorHAnsi"/>
          <w:i/>
          <w:szCs w:val="18"/>
        </w:rPr>
        <w:t xml:space="preserve"> </w:t>
      </w:r>
      <w:r w:rsidRPr="007563E3">
        <w:rPr>
          <w:rFonts w:eastAsia="Calibri" w:cs="Times New Roman"/>
          <w:bCs/>
          <w:i/>
          <w:iCs/>
        </w:rPr>
        <w:t xml:space="preserve">Gymnosporangium clavipes, G. juniperi-virginianae </w:t>
      </w:r>
      <w:r w:rsidRPr="007563E3">
        <w:rPr>
          <w:rFonts w:eastAsia="Calibri" w:cs="Times New Roman"/>
          <w:bCs/>
        </w:rPr>
        <w:t xml:space="preserve">and </w:t>
      </w:r>
      <w:r w:rsidRPr="007563E3">
        <w:rPr>
          <w:rFonts w:eastAsia="Calibri" w:cs="Times New Roman"/>
          <w:bCs/>
          <w:i/>
          <w:iCs/>
        </w:rPr>
        <w:t xml:space="preserve">G. libocedri, </w:t>
      </w:r>
      <w:r w:rsidRPr="007563E3">
        <w:rPr>
          <w:rFonts w:asciiTheme="majorHAnsi" w:hAnsiTheme="majorHAnsi"/>
        </w:rPr>
        <w:t xml:space="preserve">the department </w:t>
      </w:r>
      <w:r w:rsidRPr="007563E3">
        <w:t>recommends</w:t>
      </w:r>
      <w:r w:rsidRPr="007563E3">
        <w:rPr>
          <w:rFonts w:asciiTheme="majorHAnsi" w:hAnsiTheme="majorHAnsi"/>
        </w:rPr>
        <w:t xml:space="preserve"> </w:t>
      </w:r>
      <w:r w:rsidRPr="007563E3">
        <w:t xml:space="preserve">pre-export visual inspection and, if found, remedial action. The objective of the recommended measure is to reduce the risk associated with these pests to achieve the ALOP for Australia when applied in combination with the operational system outlined in Section </w:t>
      </w:r>
      <w:r w:rsidRPr="007563E3">
        <w:fldChar w:fldCharType="begin" w:fldLock="1"/>
      </w:r>
      <w:r w:rsidRPr="007563E3">
        <w:instrText xml:space="preserve"> REF _Ref108442337 \n \h </w:instrText>
      </w:r>
      <w:r>
        <w:instrText xml:space="preserve"> \* MERGEFORMAT </w:instrText>
      </w:r>
      <w:r w:rsidRPr="007563E3">
        <w:fldChar w:fldCharType="separate"/>
      </w:r>
      <w:r>
        <w:t>5.2</w:t>
      </w:r>
      <w:r w:rsidRPr="007563E3">
        <w:fldChar w:fldCharType="end"/>
      </w:r>
      <w:r w:rsidRPr="007563E3">
        <w:t>.</w:t>
      </w:r>
    </w:p>
    <w:p w14:paraId="0798A7C7" w14:textId="77777777" w:rsidR="003438A2" w:rsidRPr="007563E3" w:rsidRDefault="003438A2" w:rsidP="00D402BF">
      <w:pPr>
        <w:pStyle w:val="Heading6"/>
      </w:pPr>
      <w:r w:rsidRPr="007563E3">
        <w:t>Recommended measure: Pre-export visual inspection and, if found, remedial action</w:t>
      </w:r>
    </w:p>
    <w:p w14:paraId="06692ADA" w14:textId="77777777" w:rsidR="003438A2" w:rsidRPr="002D4AB0" w:rsidRDefault="003438A2" w:rsidP="00D402BF">
      <w:pPr>
        <w:rPr>
          <w:strike/>
        </w:rPr>
      </w:pPr>
      <w:r w:rsidRPr="007563E3">
        <w:t>All apple consignments for export to Australia must be inspected and found free of all fungal</w:t>
      </w:r>
      <w:r w:rsidRPr="002D4AB0">
        <w:t xml:space="preserve"> stages or symptoms of </w:t>
      </w:r>
      <w:r w:rsidRPr="002D4AB0">
        <w:rPr>
          <w:rFonts w:eastAsia="Calibri" w:cs="Times New Roman"/>
          <w:bCs/>
          <w:i/>
          <w:iCs/>
        </w:rPr>
        <w:t xml:space="preserve">G. clavipes, G. juniperi-virginianae </w:t>
      </w:r>
      <w:r w:rsidRPr="002D4AB0">
        <w:rPr>
          <w:rFonts w:eastAsia="Calibri" w:cs="Times New Roman"/>
          <w:bCs/>
        </w:rPr>
        <w:t xml:space="preserve">and </w:t>
      </w:r>
      <w:r w:rsidRPr="002D4AB0">
        <w:rPr>
          <w:rFonts w:eastAsia="Calibri" w:cs="Times New Roman"/>
          <w:bCs/>
          <w:i/>
          <w:iCs/>
        </w:rPr>
        <w:t>G. libocedri</w:t>
      </w:r>
      <w:r w:rsidRPr="002D4AB0">
        <w:t xml:space="preserve">. </w:t>
      </w:r>
    </w:p>
    <w:p w14:paraId="0B9DB175" w14:textId="77777777" w:rsidR="003438A2" w:rsidRDefault="003438A2" w:rsidP="00D402BF">
      <w:r>
        <w:t>Export consignments in which pathogens or symptoms of concern to Australia are detected must be withdrawn from export.</w:t>
      </w:r>
    </w:p>
    <w:bookmarkEnd w:id="504"/>
    <w:p w14:paraId="3BAD9B30" w14:textId="77777777" w:rsidR="003438A2" w:rsidRPr="00983077" w:rsidRDefault="003438A2" w:rsidP="00D402BF">
      <w:pPr>
        <w:rPr>
          <w:b/>
        </w:rPr>
      </w:pPr>
      <w:r w:rsidRPr="005E6DE2">
        <w:rPr>
          <w:rFonts w:ascii="Calibri" w:hAnsi="Calibri"/>
          <w:b/>
        </w:rPr>
        <w:t xml:space="preserve">Management for </w:t>
      </w:r>
      <w:r w:rsidRPr="005E6DE2">
        <w:rPr>
          <w:rFonts w:ascii="Calibri" w:hAnsi="Calibri"/>
          <w:b/>
          <w:i/>
        </w:rPr>
        <w:t>Phacidiopycnis washingtonensis,</w:t>
      </w:r>
      <w:r w:rsidRPr="005E6DE2">
        <w:rPr>
          <w:i/>
        </w:rPr>
        <w:t xml:space="preserve"> </w:t>
      </w:r>
      <w:r w:rsidRPr="005E6DE2">
        <w:rPr>
          <w:rFonts w:ascii="Calibri" w:hAnsi="Calibri"/>
          <w:b/>
          <w:i/>
        </w:rPr>
        <w:t>Phyllosticta arbutifolia</w:t>
      </w:r>
      <w:r>
        <w:rPr>
          <w:rFonts w:ascii="Calibri" w:hAnsi="Calibri"/>
          <w:b/>
          <w:i/>
        </w:rPr>
        <w:t xml:space="preserve"> </w:t>
      </w:r>
      <w:r w:rsidRPr="005E6DE2">
        <w:rPr>
          <w:rFonts w:ascii="Calibri" w:hAnsi="Calibri"/>
          <w:b/>
        </w:rPr>
        <w:t xml:space="preserve">and </w:t>
      </w:r>
      <w:r w:rsidRPr="005E6DE2">
        <w:rPr>
          <w:rFonts w:ascii="Calibri" w:hAnsi="Calibri"/>
          <w:b/>
          <w:i/>
        </w:rPr>
        <w:t xml:space="preserve">Sphaeropsis </w:t>
      </w:r>
      <w:r w:rsidRPr="00983077">
        <w:rPr>
          <w:b/>
          <w:i/>
        </w:rPr>
        <w:t xml:space="preserve">pyriputrescens </w:t>
      </w:r>
    </w:p>
    <w:p w14:paraId="0E27576F" w14:textId="704242FC" w:rsidR="003438A2" w:rsidRPr="008B6249" w:rsidRDefault="003438A2" w:rsidP="00D402BF">
      <w:pPr>
        <w:rPr>
          <w:rFonts w:asciiTheme="majorHAnsi" w:hAnsiTheme="majorHAnsi"/>
        </w:rPr>
      </w:pPr>
      <w:r w:rsidRPr="00983077">
        <w:t xml:space="preserve">For </w:t>
      </w:r>
      <w:r w:rsidRPr="00983077">
        <w:rPr>
          <w:i/>
        </w:rPr>
        <w:t xml:space="preserve">Phacidiopycnis washingtonensis, Phyllosticta arbutifolia </w:t>
      </w:r>
      <w:r w:rsidRPr="00983077">
        <w:t>and</w:t>
      </w:r>
      <w:r w:rsidRPr="00983077">
        <w:rPr>
          <w:i/>
        </w:rPr>
        <w:t xml:space="preserve"> Sphaeropsis pyriputrescens</w:t>
      </w:r>
      <w:r w:rsidRPr="00983077">
        <w:rPr>
          <w:iCs/>
        </w:rPr>
        <w:t>, the department</w:t>
      </w:r>
      <w:r w:rsidRPr="00983077">
        <w:rPr>
          <w:i/>
        </w:rPr>
        <w:t xml:space="preserve"> </w:t>
      </w:r>
      <w:r w:rsidRPr="00983077">
        <w:t xml:space="preserve">recommends a systems approach. The objective of the recommended measure is to reduce the risk associated with these pests to achieve the ALOP for Australia when applied in combination with the operational system outlined in Section </w:t>
      </w:r>
      <w:r w:rsidRPr="00983077">
        <w:fldChar w:fldCharType="begin" w:fldLock="1"/>
      </w:r>
      <w:r w:rsidRPr="00983077">
        <w:instrText xml:space="preserve"> REF _Ref108442350 \n \h </w:instrText>
      </w:r>
      <w:r w:rsidR="00983077">
        <w:instrText xml:space="preserve"> \* MERGEFORMAT </w:instrText>
      </w:r>
      <w:r w:rsidRPr="00983077">
        <w:fldChar w:fldCharType="separate"/>
      </w:r>
      <w:r w:rsidRPr="00983077">
        <w:t>5.2</w:t>
      </w:r>
      <w:r w:rsidRPr="00983077">
        <w:fldChar w:fldCharType="end"/>
      </w:r>
      <w:r w:rsidRPr="008B6249">
        <w:rPr>
          <w:rFonts w:asciiTheme="majorHAnsi" w:hAnsiTheme="majorHAnsi"/>
        </w:rPr>
        <w:t>.</w:t>
      </w:r>
    </w:p>
    <w:p w14:paraId="1651EC62" w14:textId="77777777" w:rsidR="003438A2" w:rsidRPr="008B6249" w:rsidRDefault="003438A2" w:rsidP="00D402BF">
      <w:pPr>
        <w:pStyle w:val="Heading6"/>
      </w:pPr>
      <w:r w:rsidRPr="008B6249">
        <w:t xml:space="preserve">Recommended measure: Systems approach </w:t>
      </w:r>
    </w:p>
    <w:p w14:paraId="5FE621C6" w14:textId="77777777" w:rsidR="003438A2" w:rsidRPr="008B6249" w:rsidRDefault="003438A2" w:rsidP="00D402BF">
      <w:r w:rsidRPr="008B6249">
        <w:t xml:space="preserve">USDA-APHIS has provided the department with a submission for a systems approach as a measure for </w:t>
      </w:r>
      <w:r w:rsidRPr="008B6249">
        <w:rPr>
          <w:i/>
        </w:rPr>
        <w:t xml:space="preserve">P. washingtonensis, </w:t>
      </w:r>
      <w:r w:rsidRPr="008B6249">
        <w:rPr>
          <w:bCs/>
          <w:i/>
          <w:iCs/>
        </w:rPr>
        <w:t xml:space="preserve">P. arbutifolia </w:t>
      </w:r>
      <w:r w:rsidRPr="008B6249">
        <w:rPr>
          <w:bCs/>
          <w:iCs/>
        </w:rPr>
        <w:t xml:space="preserve">and </w:t>
      </w:r>
      <w:r w:rsidRPr="008B6249">
        <w:rPr>
          <w:i/>
        </w:rPr>
        <w:t>S. pyriputrescens</w:t>
      </w:r>
      <w:r w:rsidRPr="008B6249">
        <w:t xml:space="preserve">. The department has </w:t>
      </w:r>
      <w:r w:rsidRPr="008B6249">
        <w:lastRenderedPageBreak/>
        <w:t>reviewed the submission and considers it to be adequate for mitigating the risk of these pests on the apples from the PNW-USA pathway. Australia’s requirements for the systems approach to manage the risk posed by these fungi are as follows:</w:t>
      </w:r>
    </w:p>
    <w:p w14:paraId="1AAA8F49" w14:textId="77777777" w:rsidR="003438A2" w:rsidRPr="008B6249" w:rsidRDefault="003438A2" w:rsidP="00F77E28">
      <w:pPr>
        <w:pStyle w:val="ListParagraph"/>
        <w:numPr>
          <w:ilvl w:val="0"/>
          <w:numId w:val="17"/>
        </w:numPr>
        <w:spacing w:after="120" w:line="240" w:lineRule="auto"/>
        <w:ind w:left="714" w:hanging="357"/>
      </w:pPr>
      <w:r w:rsidRPr="008B6249">
        <w:t>orchard management for apples from the PNW-USA through in-field control and monitoring of Manchurian crabapple (</w:t>
      </w:r>
      <w:r w:rsidRPr="008B6249">
        <w:rPr>
          <w:i/>
          <w:iCs/>
        </w:rPr>
        <w:t>Malus baccata</w:t>
      </w:r>
      <w:r w:rsidRPr="008B6249">
        <w:t>)</w:t>
      </w:r>
      <w:r w:rsidRPr="008B6249">
        <w:rPr>
          <w:rFonts w:ascii="Verdana" w:hAnsi="Verdana"/>
          <w:b/>
          <w:bCs/>
          <w:sz w:val="21"/>
          <w:szCs w:val="21"/>
        </w:rPr>
        <w:t xml:space="preserve"> </w:t>
      </w:r>
      <w:r w:rsidRPr="008B6249">
        <w:t>pollinisers for signs of infection, and, pruning and removal of infected tissue or dead/dying branches, as outlined in Chapter 3</w:t>
      </w:r>
    </w:p>
    <w:p w14:paraId="1C479BA5" w14:textId="77777777" w:rsidR="003438A2" w:rsidRPr="008B6249" w:rsidRDefault="003438A2" w:rsidP="00F77E28">
      <w:pPr>
        <w:pStyle w:val="ListParagraph"/>
        <w:numPr>
          <w:ilvl w:val="0"/>
          <w:numId w:val="17"/>
        </w:numPr>
        <w:spacing w:after="120" w:line="240" w:lineRule="auto"/>
      </w:pPr>
      <w:r w:rsidRPr="008B6249">
        <w:t>pre-harvest fungicide applications</w:t>
      </w:r>
    </w:p>
    <w:p w14:paraId="022ABE4B" w14:textId="77777777" w:rsidR="003438A2" w:rsidRPr="008B6249" w:rsidRDefault="003438A2" w:rsidP="00F77E28">
      <w:pPr>
        <w:pStyle w:val="ListParagraph"/>
        <w:numPr>
          <w:ilvl w:val="0"/>
          <w:numId w:val="17"/>
        </w:numPr>
        <w:spacing w:after="120" w:line="240" w:lineRule="auto"/>
      </w:pPr>
      <w:r w:rsidRPr="008B6249">
        <w:t>sourcing only mature symptomless fruit</w:t>
      </w:r>
    </w:p>
    <w:p w14:paraId="3CD3034F" w14:textId="77777777" w:rsidR="003438A2" w:rsidRPr="008B6249" w:rsidRDefault="003438A2" w:rsidP="00F77E28">
      <w:pPr>
        <w:pStyle w:val="ListParagraph"/>
        <w:numPr>
          <w:ilvl w:val="0"/>
          <w:numId w:val="17"/>
        </w:numPr>
        <w:spacing w:line="240" w:lineRule="auto"/>
        <w:ind w:left="714" w:hanging="357"/>
      </w:pPr>
      <w:r w:rsidRPr="008B6249">
        <w:t xml:space="preserve">post-harvest fungicide application by drenching the fruit with fungicide when delivered to the packing house and prior to </w:t>
      </w:r>
      <w:r>
        <w:t xml:space="preserve">cold </w:t>
      </w:r>
      <w:r w:rsidRPr="008B6249">
        <w:t>storage or alternatively fungicides may be applied as a fogging treatment in cool rooms within 14 days of storage</w:t>
      </w:r>
    </w:p>
    <w:p w14:paraId="0632D329" w14:textId="77777777" w:rsidR="003438A2" w:rsidRPr="008B6249" w:rsidRDefault="003438A2" w:rsidP="00F77E28">
      <w:pPr>
        <w:pStyle w:val="ListParagraph"/>
        <w:numPr>
          <w:ilvl w:val="0"/>
          <w:numId w:val="17"/>
        </w:numPr>
        <w:spacing w:line="240" w:lineRule="auto"/>
        <w:ind w:left="714" w:hanging="357"/>
      </w:pPr>
      <w:r w:rsidRPr="008B6249">
        <w:t>pre-export inspection post</w:t>
      </w:r>
      <w:r>
        <w:t>-</w:t>
      </w:r>
      <w:r w:rsidRPr="008B6249">
        <w:t>cold storage and any consignments detected with any fungal stages or symptoms must be withdrawn from export to Australia.</w:t>
      </w:r>
    </w:p>
    <w:p w14:paraId="66DB6DC3" w14:textId="77777777" w:rsidR="003438A2" w:rsidRPr="008B6249" w:rsidRDefault="003438A2" w:rsidP="00D402BF">
      <w:r w:rsidRPr="008B6249">
        <w:t xml:space="preserve">All apple consignments for export to Australia must be sourced from apple orchards and packing houses undertaking pre- and post-harvest management in accordance with the systems approach for </w:t>
      </w:r>
      <w:r w:rsidRPr="008B6249">
        <w:rPr>
          <w:i/>
        </w:rPr>
        <w:t xml:space="preserve">P. washingtonensis, </w:t>
      </w:r>
      <w:r w:rsidRPr="008B6249">
        <w:rPr>
          <w:bCs/>
          <w:i/>
          <w:iCs/>
        </w:rPr>
        <w:t xml:space="preserve">P. arbutifolia, </w:t>
      </w:r>
      <w:r w:rsidRPr="008B6249">
        <w:rPr>
          <w:bCs/>
          <w:iCs/>
        </w:rPr>
        <w:t xml:space="preserve">and </w:t>
      </w:r>
      <w:r w:rsidRPr="008B6249">
        <w:rPr>
          <w:i/>
        </w:rPr>
        <w:t>S. pyriputrescens.</w:t>
      </w:r>
      <w:r w:rsidRPr="008B6249">
        <w:t xml:space="preserve"> All apple consignments must be inspected prior to export and after cold storage and found free of any fungal stages or symptoms of </w:t>
      </w:r>
      <w:r w:rsidRPr="008B6249">
        <w:rPr>
          <w:i/>
        </w:rPr>
        <w:t xml:space="preserve">P. washingtonensis, </w:t>
      </w:r>
      <w:r w:rsidRPr="008B6249">
        <w:rPr>
          <w:bCs/>
          <w:i/>
          <w:iCs/>
        </w:rPr>
        <w:t xml:space="preserve">P. arbutifolia, </w:t>
      </w:r>
      <w:r w:rsidRPr="008B6249">
        <w:rPr>
          <w:bCs/>
          <w:iCs/>
        </w:rPr>
        <w:t xml:space="preserve">and </w:t>
      </w:r>
      <w:r w:rsidRPr="008B6249">
        <w:rPr>
          <w:i/>
        </w:rPr>
        <w:t>S. pyriputrescens.</w:t>
      </w:r>
      <w:r w:rsidRPr="008B6249">
        <w:t xml:space="preserve"> Export consignments in which these pathogens or symptoms are detected must be withdrawn from export to Australia.</w:t>
      </w:r>
    </w:p>
    <w:p w14:paraId="0B0EAF94" w14:textId="77777777" w:rsidR="003438A2" w:rsidRDefault="003438A2" w:rsidP="00D402BF">
      <w:pPr>
        <w:rPr>
          <w:iCs/>
        </w:rPr>
      </w:pPr>
      <w:r w:rsidRPr="008B6249">
        <w:t xml:space="preserve">If </w:t>
      </w:r>
      <w:r w:rsidRPr="008B6249">
        <w:rPr>
          <w:i/>
        </w:rPr>
        <w:t xml:space="preserve">P. washingtonensis, </w:t>
      </w:r>
      <w:r w:rsidRPr="008B6249">
        <w:rPr>
          <w:bCs/>
          <w:i/>
          <w:iCs/>
        </w:rPr>
        <w:t xml:space="preserve">P. arbutifolia </w:t>
      </w:r>
      <w:r>
        <w:rPr>
          <w:bCs/>
          <w:iCs/>
        </w:rPr>
        <w:t>or</w:t>
      </w:r>
      <w:r w:rsidRPr="008B6249">
        <w:rPr>
          <w:bCs/>
          <w:iCs/>
        </w:rPr>
        <w:t xml:space="preserve"> </w:t>
      </w:r>
      <w:r w:rsidRPr="008B6249">
        <w:rPr>
          <w:i/>
        </w:rPr>
        <w:t xml:space="preserve">S. pyriputrescens </w:t>
      </w:r>
      <w:r w:rsidRPr="008B6249">
        <w:rPr>
          <w:iCs/>
        </w:rPr>
        <w:t xml:space="preserve">are detected during on-arrival inspections in Australia, the systems approach may be suspended, pending an investigation and an implementation of corrective action(s). </w:t>
      </w:r>
    </w:p>
    <w:p w14:paraId="4D727D28" w14:textId="77777777" w:rsidR="003438A2" w:rsidRPr="0007754D" w:rsidRDefault="003438A2" w:rsidP="00D402BF">
      <w:r w:rsidRPr="00D76A06">
        <w:rPr>
          <w:lang w:eastAsia="en-AU"/>
        </w:rPr>
        <w:t xml:space="preserve">Details of </w:t>
      </w:r>
      <w:r>
        <w:rPr>
          <w:lang w:eastAsia="en-AU"/>
        </w:rPr>
        <w:t xml:space="preserve">the systems approach, </w:t>
      </w:r>
      <w:r w:rsidRPr="00C70106">
        <w:rPr>
          <w:lang w:eastAsia="en-AU"/>
        </w:rPr>
        <w:t>including a minimum period of cold storage prior to pre-export inspection,</w:t>
      </w:r>
      <w:r>
        <w:rPr>
          <w:lang w:eastAsia="en-AU"/>
        </w:rPr>
        <w:t xml:space="preserve"> </w:t>
      </w:r>
      <w:r w:rsidRPr="00D76A06">
        <w:rPr>
          <w:lang w:eastAsia="en-AU"/>
        </w:rPr>
        <w:t xml:space="preserve">will be </w:t>
      </w:r>
      <w:r>
        <w:rPr>
          <w:lang w:eastAsia="en-AU"/>
        </w:rPr>
        <w:t>documented</w:t>
      </w:r>
      <w:r w:rsidRPr="00D76A06">
        <w:rPr>
          <w:lang w:eastAsia="en-AU"/>
        </w:rPr>
        <w:t xml:space="preserve"> in the</w:t>
      </w:r>
      <w:r w:rsidRPr="00072AC4">
        <w:rPr>
          <w:i/>
          <w:iCs/>
          <w:lang w:eastAsia="en-AU"/>
        </w:rPr>
        <w:t xml:space="preserve"> ‘</w:t>
      </w:r>
      <w:r w:rsidRPr="00072AC4">
        <w:rPr>
          <w:rFonts w:eastAsia="Cambria"/>
          <w:bCs/>
          <w:i/>
          <w:iCs/>
        </w:rPr>
        <w:t xml:space="preserve">Work plan for the export of fresh apples from the Pacific Northwest states of </w:t>
      </w:r>
      <w:r>
        <w:rPr>
          <w:rFonts w:eastAsia="Cambria"/>
          <w:bCs/>
          <w:i/>
          <w:iCs/>
        </w:rPr>
        <w:t xml:space="preserve">the </w:t>
      </w:r>
      <w:r w:rsidRPr="00072AC4">
        <w:rPr>
          <w:rFonts w:eastAsia="Cambria"/>
          <w:bCs/>
          <w:i/>
          <w:iCs/>
        </w:rPr>
        <w:t>United States of America to Australia’</w:t>
      </w:r>
      <w:r>
        <w:rPr>
          <w:rFonts w:eastAsia="Cambria"/>
          <w:bCs/>
        </w:rPr>
        <w:t xml:space="preserve"> </w:t>
      </w:r>
      <w:r w:rsidRPr="00D76A06">
        <w:rPr>
          <w:lang w:eastAsia="en-AU"/>
        </w:rPr>
        <w:t>to be developed by USDA-APHIS as part of the operational system</w:t>
      </w:r>
      <w:r>
        <w:rPr>
          <w:lang w:eastAsia="en-AU"/>
        </w:rPr>
        <w:t>.</w:t>
      </w:r>
    </w:p>
    <w:p w14:paraId="3C3850CE" w14:textId="77777777" w:rsidR="003438A2" w:rsidRPr="00E6157B" w:rsidRDefault="003438A2" w:rsidP="00D402BF">
      <w:pPr>
        <w:pStyle w:val="Heading5"/>
      </w:pPr>
      <w:r>
        <w:t>Specific commercial production practices mandatory</w:t>
      </w:r>
      <w:r w:rsidRPr="00CD49CD">
        <w:t xml:space="preserve"> for </w:t>
      </w:r>
      <w:r w:rsidRPr="00BC584A">
        <w:rPr>
          <w:i/>
          <w:iCs/>
        </w:rPr>
        <w:t>D</w:t>
      </w:r>
      <w:r>
        <w:rPr>
          <w:i/>
          <w:iCs/>
        </w:rPr>
        <w:t>asineura</w:t>
      </w:r>
      <w:r w:rsidRPr="00BC584A">
        <w:rPr>
          <w:i/>
          <w:iCs/>
        </w:rPr>
        <w:t xml:space="preserve"> mali</w:t>
      </w:r>
      <w:r>
        <w:t xml:space="preserve">, </w:t>
      </w:r>
      <w:r w:rsidRPr="00E6157B">
        <w:rPr>
          <w:i/>
          <w:iCs/>
        </w:rPr>
        <w:t>E</w:t>
      </w:r>
      <w:r>
        <w:rPr>
          <w:i/>
          <w:iCs/>
        </w:rPr>
        <w:t>rwinia</w:t>
      </w:r>
      <w:r w:rsidRPr="00E6157B">
        <w:rPr>
          <w:i/>
          <w:iCs/>
        </w:rPr>
        <w:t xml:space="preserve"> amylovora</w:t>
      </w:r>
      <w:r>
        <w:t xml:space="preserve"> and </w:t>
      </w:r>
      <w:r w:rsidRPr="00E6157B">
        <w:rPr>
          <w:i/>
          <w:iCs/>
        </w:rPr>
        <w:t>N</w:t>
      </w:r>
      <w:r>
        <w:rPr>
          <w:i/>
          <w:iCs/>
        </w:rPr>
        <w:t>eonectria</w:t>
      </w:r>
      <w:r w:rsidRPr="00E6157B">
        <w:rPr>
          <w:i/>
          <w:iCs/>
        </w:rPr>
        <w:t xml:space="preserve"> ditissima</w:t>
      </w:r>
    </w:p>
    <w:p w14:paraId="5780D08B" w14:textId="77777777" w:rsidR="003438A2" w:rsidRPr="008B6249" w:rsidRDefault="003438A2" w:rsidP="00D402BF">
      <w:r w:rsidRPr="008B6249">
        <w:t xml:space="preserve">For </w:t>
      </w:r>
      <w:r w:rsidRPr="008B6249">
        <w:rPr>
          <w:i/>
          <w:iCs/>
        </w:rPr>
        <w:t>D. mali</w:t>
      </w:r>
      <w:r w:rsidRPr="008B6249">
        <w:t xml:space="preserve">, </w:t>
      </w:r>
      <w:r w:rsidRPr="008B6249">
        <w:rPr>
          <w:i/>
          <w:iCs/>
        </w:rPr>
        <w:t>E. amylovora</w:t>
      </w:r>
      <w:r w:rsidRPr="008B6249">
        <w:t xml:space="preserve"> and </w:t>
      </w:r>
      <w:r w:rsidRPr="008B6249">
        <w:rPr>
          <w:i/>
          <w:iCs/>
        </w:rPr>
        <w:t>N. ditissima</w:t>
      </w:r>
      <w:r w:rsidRPr="008B6249">
        <w:t xml:space="preserve">, specific existing commercial production practices are mandatory for all apples produced for export to Australia as these practices were considered in the pest risk assessments for the URE of these pests </w:t>
      </w:r>
      <w:r>
        <w:t xml:space="preserve">as </w:t>
      </w:r>
      <w:r w:rsidRPr="008B6249">
        <w:t>achieving the ALOP for Australia. The existing commercial production practices in place to manage these 3 pests in the PNW-USA are comparable to those of the Integrated Pest Management program for New Zealand apples.</w:t>
      </w:r>
    </w:p>
    <w:p w14:paraId="03CD38F2" w14:textId="77777777" w:rsidR="003438A2" w:rsidRPr="008B6249" w:rsidRDefault="003438A2" w:rsidP="00D402BF">
      <w:pPr>
        <w:pStyle w:val="Heading6"/>
      </w:pPr>
      <w:r w:rsidRPr="008B6249">
        <w:t xml:space="preserve">Recommended mandatory commercial production practices for D. mali: In-field </w:t>
      </w:r>
      <w:r w:rsidRPr="008B6249">
        <w:rPr>
          <w:szCs w:val="18"/>
        </w:rPr>
        <w:t xml:space="preserve">monitoring and </w:t>
      </w:r>
      <w:r w:rsidRPr="008B6249">
        <w:t xml:space="preserve">controls, </w:t>
      </w:r>
      <w:bookmarkStart w:id="505" w:name="_Hlk99548081"/>
      <w:r w:rsidRPr="008B6249">
        <w:t xml:space="preserve">packing house procedures, including sorting, grading </w:t>
      </w:r>
      <w:bookmarkEnd w:id="505"/>
      <w:r w:rsidRPr="008B6249">
        <w:t>and packing house sanitation, and pre-export visual inspection and, if found, remedial action</w:t>
      </w:r>
    </w:p>
    <w:p w14:paraId="730E4439" w14:textId="77777777" w:rsidR="003438A2" w:rsidRPr="008B6249" w:rsidRDefault="003438A2" w:rsidP="00FD28C0">
      <w:r w:rsidRPr="008B6249">
        <w:t xml:space="preserve">All PNW-USA apple growers are required to apply in-field monitoring and controls as described in Chapter 3. All apple consignments for export to Australia must undergo packing house procedures </w:t>
      </w:r>
      <w:r w:rsidRPr="00296876">
        <w:t xml:space="preserve">of sorting, grading and packing house sanitation, including </w:t>
      </w:r>
      <w:r w:rsidRPr="00296876">
        <w:rPr>
          <w:rFonts w:cstheme="minorHAnsi"/>
        </w:rPr>
        <w:t>sanitiser application (such as chlorine), high pressure washing, brushing and waxing, as described in Chapter 3</w:t>
      </w:r>
      <w:r w:rsidRPr="00296876">
        <w:t xml:space="preserve">. Prior to export to Australia, all apple consignments must be inspected by APHIS/US regulatory </w:t>
      </w:r>
      <w:r w:rsidRPr="00296876">
        <w:lastRenderedPageBreak/>
        <w:t>officials</w:t>
      </w:r>
      <w:r w:rsidRPr="008B6249">
        <w:t xml:space="preserve"> and found free of </w:t>
      </w:r>
      <w:r w:rsidRPr="008B6249">
        <w:rPr>
          <w:i/>
          <w:szCs w:val="18"/>
        </w:rPr>
        <w:t>D. mali</w:t>
      </w:r>
      <w:r w:rsidRPr="008B6249">
        <w:t>. Export consignments found to contain this pest must be subject to remedial action, which may include withdrawing the consignments from export to Australia or</w:t>
      </w:r>
      <w:r>
        <w:t xml:space="preserve"> </w:t>
      </w:r>
      <w:r w:rsidRPr="008B6249">
        <w:t>applying an approved treatment such as methyl bromide fumigation to ensure that the pest is no longer viable.</w:t>
      </w:r>
    </w:p>
    <w:p w14:paraId="055C3446" w14:textId="77777777" w:rsidR="003438A2" w:rsidRPr="008B6249" w:rsidRDefault="003438A2" w:rsidP="00D402BF">
      <w:pPr>
        <w:pStyle w:val="Heading6"/>
      </w:pPr>
      <w:r w:rsidRPr="008B6249">
        <w:t>Recommended mandatory commercial production practices for E. amylovora: In-field monitoring and controls, fruit maturity testing, packing house sanitation and pre-export visual inspection and, if found, remedial action</w:t>
      </w:r>
    </w:p>
    <w:p w14:paraId="3D4E14C2" w14:textId="77777777" w:rsidR="003438A2" w:rsidRPr="00020309" w:rsidRDefault="003438A2" w:rsidP="00D402BF">
      <w:r w:rsidRPr="008B6249">
        <w:t xml:space="preserve">All PNW-USA apple </w:t>
      </w:r>
      <w:r w:rsidRPr="00020309">
        <w:t xml:space="preserve">growers are required to apply in-field monitoring and controls for </w:t>
      </w:r>
      <w:r w:rsidRPr="00020309">
        <w:rPr>
          <w:i/>
          <w:iCs/>
        </w:rPr>
        <w:t>E. amylovora</w:t>
      </w:r>
      <w:r w:rsidRPr="00020309">
        <w:t xml:space="preserve"> as described in Chapter 3. Fruit must be tested for maturity using iodine solution to determine starch pattern index. Only commercially produced mature apple fruit can be exported to Australia. All apple consignments for export to Australia must undergo packing house sanitation, including </w:t>
      </w:r>
      <w:r w:rsidRPr="00020309">
        <w:rPr>
          <w:rFonts w:cstheme="minorHAnsi"/>
        </w:rPr>
        <w:t>sanitiser application (such as chlorine), high pressure washing, brushing and waxing, as described in Chapter 3</w:t>
      </w:r>
      <w:r w:rsidRPr="00020309">
        <w:t xml:space="preserve">. Prior to export to Australia, all apple consignments must be inspected by APHIS/US regulatory officials and found free of any signs of </w:t>
      </w:r>
      <w:r w:rsidRPr="00020309">
        <w:rPr>
          <w:i/>
          <w:iCs/>
        </w:rPr>
        <w:t>E. amylovora</w:t>
      </w:r>
      <w:r w:rsidRPr="00020309">
        <w:t xml:space="preserve">. Export consignments found to contain any signs of </w:t>
      </w:r>
      <w:r w:rsidRPr="00020309">
        <w:rPr>
          <w:i/>
          <w:iCs/>
        </w:rPr>
        <w:t>E. amylovora</w:t>
      </w:r>
      <w:r w:rsidRPr="00020309" w:rsidDel="002766B1">
        <w:t xml:space="preserve"> </w:t>
      </w:r>
      <w:r w:rsidRPr="00020309">
        <w:t>must be withdrawn from export to Australia.</w:t>
      </w:r>
    </w:p>
    <w:p w14:paraId="777F1A35" w14:textId="77777777" w:rsidR="003438A2" w:rsidRPr="008B6249" w:rsidRDefault="003438A2" w:rsidP="00D402BF">
      <w:pPr>
        <w:pStyle w:val="Heading6"/>
      </w:pPr>
      <w:r w:rsidRPr="008B6249">
        <w:t>Recommended mandatory commercial production practices for N. ditissima: In-field monitoring and controls, packing house sanitation and pre-export visual inspection and, if found, remedial action</w:t>
      </w:r>
    </w:p>
    <w:p w14:paraId="621D6B3F" w14:textId="77777777" w:rsidR="003438A2" w:rsidRPr="00020309" w:rsidRDefault="003438A2" w:rsidP="00D402BF">
      <w:r w:rsidRPr="008B6249">
        <w:t xml:space="preserve">All PNW-USA apple growers are </w:t>
      </w:r>
      <w:r w:rsidRPr="00020309">
        <w:t xml:space="preserve">required to apply in-field monitoring and controls for </w:t>
      </w:r>
      <w:r w:rsidRPr="00020309">
        <w:rPr>
          <w:i/>
          <w:iCs/>
        </w:rPr>
        <w:t>N. ditissima</w:t>
      </w:r>
      <w:r w:rsidRPr="00020309">
        <w:t xml:space="preserve"> as described in Chapter 3. All apple consignments for export to Australia must undergo packing house sanitation, including </w:t>
      </w:r>
      <w:r w:rsidRPr="00020309">
        <w:rPr>
          <w:rFonts w:cstheme="minorHAnsi"/>
        </w:rPr>
        <w:t>sanitiser application (such as chlorine), high pressure washing, brushing and waxing, as described in Chapter 3</w:t>
      </w:r>
      <w:r w:rsidRPr="00020309">
        <w:t xml:space="preserve">. Prior to export to Australia, all apple consignments must be inspected by APHIS/US regulatory officials and found free of any signs of </w:t>
      </w:r>
      <w:r w:rsidRPr="00020309">
        <w:rPr>
          <w:i/>
          <w:iCs/>
        </w:rPr>
        <w:t>N. ditissima</w:t>
      </w:r>
      <w:r w:rsidRPr="00020309">
        <w:t xml:space="preserve">. Export consignments found to contain any signs of </w:t>
      </w:r>
      <w:r w:rsidRPr="00020309">
        <w:rPr>
          <w:i/>
          <w:iCs/>
        </w:rPr>
        <w:t>N. ditissima</w:t>
      </w:r>
      <w:r w:rsidRPr="00020309" w:rsidDel="002766B1">
        <w:t xml:space="preserve"> </w:t>
      </w:r>
      <w:r w:rsidRPr="00020309">
        <w:t>must be withdrawn from export to Australia.</w:t>
      </w:r>
    </w:p>
    <w:p w14:paraId="1DA843CE" w14:textId="77777777" w:rsidR="003438A2" w:rsidRPr="00354872" w:rsidRDefault="003438A2" w:rsidP="00354872">
      <w:pPr>
        <w:pStyle w:val="Heading4"/>
      </w:pPr>
      <w:r w:rsidRPr="00354872">
        <w:t>Consideration of alternative measures</w:t>
      </w:r>
    </w:p>
    <w:p w14:paraId="5B3DE93C" w14:textId="77777777" w:rsidR="003438A2" w:rsidRPr="004922A6" w:rsidRDefault="003438A2" w:rsidP="00D402BF">
      <w:r w:rsidRPr="004922A6">
        <w:t xml:space="preserve">Consistent with the principle of equivalence detailed in ISPM 11: </w:t>
      </w:r>
      <w:r w:rsidRPr="004922A6">
        <w:rPr>
          <w:i/>
        </w:rPr>
        <w:t>Pest risk analysis for quarantine pests</w:t>
      </w:r>
      <w:r w:rsidRPr="004922A6">
        <w:t xml:space="preserve"> </w:t>
      </w:r>
      <w:r>
        <w:rPr>
          <w:noProof/>
        </w:rPr>
        <w:t>(FAO 2021e)</w:t>
      </w:r>
      <w:r w:rsidRPr="004922A6">
        <w:t xml:space="preserve">, the </w:t>
      </w:r>
      <w:r>
        <w:t>d</w:t>
      </w:r>
      <w:r w:rsidRPr="004922A6">
        <w:t xml:space="preserve">epartment will consider any alternative measure proposed by USDA-APHIS, providing that it demonstrably manages the target pests to achieve the ALOP for Australia. Evaluation of any such measure will require a technical submission from USDA-APHIS that details the proposed measure, including suitable information to support the claimed efficacy, for consideration by the </w:t>
      </w:r>
      <w:r>
        <w:t>d</w:t>
      </w:r>
      <w:r w:rsidRPr="004922A6">
        <w:t>epartment.</w:t>
      </w:r>
    </w:p>
    <w:p w14:paraId="712993DC" w14:textId="77777777" w:rsidR="003438A2" w:rsidRPr="00DD18EC" w:rsidRDefault="003438A2" w:rsidP="00DD18EC">
      <w:pPr>
        <w:pStyle w:val="Heading3"/>
      </w:pPr>
      <w:bookmarkStart w:id="506" w:name="_Toc467052044"/>
      <w:bookmarkStart w:id="507" w:name="_Ref108442243"/>
      <w:bookmarkStart w:id="508" w:name="_Ref108442270"/>
      <w:bookmarkStart w:id="509" w:name="_Ref108442293"/>
      <w:bookmarkStart w:id="510" w:name="_Ref108442308"/>
      <w:bookmarkStart w:id="511" w:name="_Ref108442321"/>
      <w:bookmarkStart w:id="512" w:name="_Ref108442337"/>
      <w:bookmarkStart w:id="513" w:name="_Ref108442350"/>
      <w:bookmarkStart w:id="514" w:name="_Ref108442842"/>
      <w:bookmarkStart w:id="515" w:name="_Toc112769031"/>
      <w:r w:rsidRPr="00DD18EC">
        <w:t>Operational system for the assurance, maintenance and verification of phytosanitary status</w:t>
      </w:r>
      <w:bookmarkEnd w:id="506"/>
      <w:bookmarkEnd w:id="507"/>
      <w:bookmarkEnd w:id="508"/>
      <w:bookmarkEnd w:id="509"/>
      <w:bookmarkEnd w:id="510"/>
      <w:bookmarkEnd w:id="511"/>
      <w:bookmarkEnd w:id="512"/>
      <w:bookmarkEnd w:id="513"/>
      <w:bookmarkEnd w:id="514"/>
      <w:bookmarkEnd w:id="515"/>
    </w:p>
    <w:p w14:paraId="631A62CB" w14:textId="77777777" w:rsidR="003438A2" w:rsidRDefault="003438A2" w:rsidP="00DD18EC">
      <w:r w:rsidRPr="00C05DC4">
        <w:t xml:space="preserve">A system of operational procedures is necessary to </w:t>
      </w:r>
      <w:r>
        <w:t xml:space="preserve">ensure proposed specific risk management measures (Section </w:t>
      </w:r>
      <w:r>
        <w:fldChar w:fldCharType="begin" w:fldLock="1"/>
      </w:r>
      <w:r>
        <w:instrText xml:space="preserve"> REF _Ref108442377 \n \h </w:instrText>
      </w:r>
      <w:r>
        <w:fldChar w:fldCharType="separate"/>
      </w:r>
      <w:r>
        <w:t>5.1</w:t>
      </w:r>
      <w:r>
        <w:fldChar w:fldCharType="end"/>
      </w:r>
      <w:r>
        <w:t xml:space="preserve">) are effectively applied, </w:t>
      </w:r>
      <w:r w:rsidRPr="00C05DC4">
        <w:t>the phytosanitary status of apples from the PNW-USA</w:t>
      </w:r>
      <w:r>
        <w:t xml:space="preserve"> is maintained, and these can be verified</w:t>
      </w:r>
      <w:r w:rsidRPr="00C05DC4">
        <w:t xml:space="preserve">. </w:t>
      </w:r>
    </w:p>
    <w:p w14:paraId="064CF9F7" w14:textId="77777777" w:rsidR="003438A2" w:rsidRPr="00354872" w:rsidRDefault="003438A2" w:rsidP="00354872">
      <w:pPr>
        <w:pStyle w:val="Heading4"/>
      </w:pPr>
      <w:r w:rsidRPr="00354872">
        <w:t>A system of traceability to source orchards</w:t>
      </w:r>
    </w:p>
    <w:p w14:paraId="521E21A4" w14:textId="77777777" w:rsidR="003438A2" w:rsidRPr="008B6249" w:rsidRDefault="003438A2" w:rsidP="00D402BF">
      <w:r w:rsidRPr="008B6249">
        <w:t>The objectives of th</w:t>
      </w:r>
      <w:r>
        <w:t>is</w:t>
      </w:r>
      <w:r w:rsidRPr="008B6249">
        <w:t xml:space="preserve"> recommended procedure are to ensure that:</w:t>
      </w:r>
    </w:p>
    <w:p w14:paraId="68FD7129" w14:textId="77777777" w:rsidR="003438A2" w:rsidRPr="008B6249" w:rsidRDefault="003438A2" w:rsidP="003438A2">
      <w:pPr>
        <w:pStyle w:val="ListBullet"/>
        <w:numPr>
          <w:ilvl w:val="0"/>
          <w:numId w:val="15"/>
        </w:numPr>
      </w:pPr>
      <w:r w:rsidRPr="008B6249">
        <w:t>apples are sourced only from orchards producing commercial export-quality fruit in the Pacific Northwest states of Idaho, Oregon and Washington in the United States of America</w:t>
      </w:r>
    </w:p>
    <w:p w14:paraId="5DEB10E7" w14:textId="77777777" w:rsidR="003438A2" w:rsidRPr="008B6249" w:rsidRDefault="003438A2" w:rsidP="003438A2">
      <w:pPr>
        <w:pStyle w:val="ListBullet"/>
        <w:numPr>
          <w:ilvl w:val="0"/>
          <w:numId w:val="15"/>
        </w:numPr>
      </w:pPr>
      <w:r w:rsidRPr="008B6249">
        <w:lastRenderedPageBreak/>
        <w:t>orchards from which apples are sourced can be identified, so that any investigation and corrective action can be targeted in the event that pests of biosecurity concern to Australia are intercepted</w:t>
      </w:r>
    </w:p>
    <w:p w14:paraId="1DF4540C" w14:textId="77777777" w:rsidR="003438A2" w:rsidRPr="008B6249" w:rsidRDefault="003438A2" w:rsidP="00F77E28">
      <w:pPr>
        <w:pStyle w:val="ListBullet"/>
        <w:numPr>
          <w:ilvl w:val="0"/>
          <w:numId w:val="19"/>
        </w:numPr>
        <w:spacing w:before="0" w:line="276" w:lineRule="auto"/>
      </w:pPr>
      <w:r w:rsidRPr="008B6249">
        <w:t>orchards are capable of applying in-field controls for specific pests as outlined in Chapter 3 and the require</w:t>
      </w:r>
      <w:r>
        <w:t>d</w:t>
      </w:r>
      <w:r w:rsidRPr="008B6249">
        <w:t xml:space="preserve"> risk management measures such as systems approach</w:t>
      </w:r>
    </w:p>
    <w:p w14:paraId="414919F0" w14:textId="77777777" w:rsidR="003438A2" w:rsidRPr="008B6249" w:rsidRDefault="003438A2" w:rsidP="00F77E28">
      <w:pPr>
        <w:pStyle w:val="ListBullet"/>
        <w:numPr>
          <w:ilvl w:val="0"/>
          <w:numId w:val="19"/>
        </w:numPr>
        <w:spacing w:before="0" w:line="276" w:lineRule="auto"/>
      </w:pPr>
      <w:r w:rsidRPr="008B6249">
        <w:t xml:space="preserve">where apple fruit </w:t>
      </w:r>
      <w:r>
        <w:t>are</w:t>
      </w:r>
      <w:r w:rsidRPr="008B6249">
        <w:t xml:space="preserve"> grown/produced in an approved PFA, PFPP </w:t>
      </w:r>
      <w:r>
        <w:t>o</w:t>
      </w:r>
      <w:r w:rsidRPr="008B6249">
        <w:t>r PFPS, it can be verified that all fruit w</w:t>
      </w:r>
      <w:r>
        <w:t>ere</w:t>
      </w:r>
      <w:r w:rsidRPr="008B6249">
        <w:t xml:space="preserve"> sourced from the approved area, place or site and produced and exported under the conditions for that pathway.</w:t>
      </w:r>
    </w:p>
    <w:p w14:paraId="2C74F444" w14:textId="77777777" w:rsidR="003438A2" w:rsidRPr="008B6249" w:rsidRDefault="003438A2" w:rsidP="00D402BF">
      <w:pPr>
        <w:pBdr>
          <w:top w:val="single" w:sz="4" w:space="6" w:color="auto"/>
          <w:left w:val="single" w:sz="4" w:space="6" w:color="auto"/>
          <w:bottom w:val="single" w:sz="4" w:space="6" w:color="auto"/>
          <w:right w:val="single" w:sz="4" w:space="6" w:color="auto"/>
        </w:pBdr>
      </w:pPr>
      <w:r w:rsidRPr="008B6249">
        <w:t xml:space="preserve">USDA-APHIS must establish a system to enable traceability to where apple fruit for export to Australia are sourced. USDA-APHIS must ensure </w:t>
      </w:r>
      <w:r w:rsidRPr="00AE55BC">
        <w:t>that growers of apple fruit for export</w:t>
      </w:r>
      <w:r w:rsidRPr="008B6249">
        <w:t xml:space="preserve"> are aware of pests of biosecurity concern for Australia and have systems in place to produce export quality fruit that meet Australia’s requirements. </w:t>
      </w:r>
    </w:p>
    <w:p w14:paraId="1DCB93A5" w14:textId="77777777" w:rsidR="003438A2" w:rsidRPr="008B6249" w:rsidRDefault="003438A2" w:rsidP="00D402BF">
      <w:pPr>
        <w:pBdr>
          <w:top w:val="single" w:sz="4" w:space="6" w:color="auto"/>
          <w:left w:val="single" w:sz="4" w:space="6" w:color="auto"/>
          <w:bottom w:val="single" w:sz="4" w:space="6" w:color="auto"/>
          <w:right w:val="single" w:sz="4" w:space="6" w:color="auto"/>
        </w:pBdr>
      </w:pPr>
      <w:r w:rsidRPr="008B6249">
        <w:t>Where a pest risk management measure involving pest monitoring and controls during production and at harvest (such as PFA, PFPP, PFPS or systems approach) is used, export orchards must be registered with USDA-APHIS before commencement of each harvest season. Records of registered orchards and USDA-APHIS audits must be kept by USDA-APHIS and must be made available to the department upon request.</w:t>
      </w:r>
    </w:p>
    <w:p w14:paraId="25EBEA99" w14:textId="77777777" w:rsidR="003438A2" w:rsidRPr="00354872" w:rsidRDefault="003438A2" w:rsidP="00354872">
      <w:pPr>
        <w:pStyle w:val="Heading4"/>
      </w:pPr>
      <w:r w:rsidRPr="00354872">
        <w:t>Registration of packing houses and treatment providers, and auditing of procedures</w:t>
      </w:r>
    </w:p>
    <w:p w14:paraId="6693B843" w14:textId="77777777" w:rsidR="003438A2" w:rsidRPr="00B36B74" w:rsidRDefault="003438A2" w:rsidP="00D402BF">
      <w:r w:rsidRPr="00B36B74">
        <w:t xml:space="preserve">The objectives of this </w:t>
      </w:r>
      <w:r w:rsidRPr="008B6249">
        <w:t xml:space="preserve">recommended </w:t>
      </w:r>
      <w:r w:rsidRPr="00B36B74">
        <w:t>procedure are to ensure that:</w:t>
      </w:r>
    </w:p>
    <w:p w14:paraId="4C10C385" w14:textId="77777777" w:rsidR="003438A2" w:rsidRPr="00B36B74" w:rsidRDefault="003438A2" w:rsidP="003438A2">
      <w:pPr>
        <w:pStyle w:val="ListBullet"/>
        <w:numPr>
          <w:ilvl w:val="0"/>
          <w:numId w:val="15"/>
        </w:numPr>
      </w:pPr>
      <w:r>
        <w:t>c</w:t>
      </w:r>
      <w:r w:rsidRPr="00B36B74">
        <w:t xml:space="preserve">ommercial quality apples are sourced only </w:t>
      </w:r>
      <w:r w:rsidRPr="009E54E5">
        <w:t>from growers and</w:t>
      </w:r>
      <w:r w:rsidRPr="00B36B74">
        <w:t xml:space="preserve"> packing houses that are approved by USDA-APHIS</w:t>
      </w:r>
    </w:p>
    <w:p w14:paraId="3A29B5B6" w14:textId="77777777" w:rsidR="003438A2" w:rsidRDefault="003438A2" w:rsidP="003438A2">
      <w:pPr>
        <w:pStyle w:val="ListBullet"/>
        <w:numPr>
          <w:ilvl w:val="0"/>
          <w:numId w:val="15"/>
        </w:numPr>
        <w:rPr>
          <w:color w:val="000000"/>
        </w:rPr>
      </w:pPr>
      <w:r>
        <w:rPr>
          <w:color w:val="000000"/>
        </w:rPr>
        <w:t>where applicable, t</w:t>
      </w:r>
      <w:r w:rsidRPr="00B36B74">
        <w:rPr>
          <w:color w:val="000000"/>
        </w:rPr>
        <w:t xml:space="preserve">reatment providers are approved by </w:t>
      </w:r>
      <w:r w:rsidRPr="00B36B74">
        <w:t>USDA-APHIS</w:t>
      </w:r>
      <w:r w:rsidRPr="00B36B74">
        <w:rPr>
          <w:color w:val="000000"/>
        </w:rPr>
        <w:t xml:space="preserve"> and capable of applying a treatment that suitably manages the target pests.</w:t>
      </w:r>
    </w:p>
    <w:p w14:paraId="6D2CCC46" w14:textId="77777777" w:rsidR="003438A2" w:rsidRPr="00B36B74" w:rsidRDefault="003438A2" w:rsidP="00D402BF">
      <w:pPr>
        <w:pStyle w:val="ListBullet"/>
        <w:numPr>
          <w:ilvl w:val="0"/>
          <w:numId w:val="0"/>
        </w:numPr>
        <w:ind w:left="397" w:hanging="397"/>
        <w:rPr>
          <w:color w:val="000000"/>
        </w:rPr>
      </w:pPr>
    </w:p>
    <w:p w14:paraId="6AA58C5E" w14:textId="77777777" w:rsidR="003438A2" w:rsidRPr="00B36B74" w:rsidRDefault="003438A2" w:rsidP="00D402BF">
      <w:pPr>
        <w:pBdr>
          <w:top w:val="single" w:sz="4" w:space="1" w:color="auto"/>
          <w:left w:val="single" w:sz="4" w:space="4" w:color="auto"/>
          <w:bottom w:val="single" w:sz="4" w:space="1" w:color="auto"/>
          <w:right w:val="single" w:sz="4" w:space="4" w:color="auto"/>
        </w:pBdr>
      </w:pPr>
      <w:r w:rsidRPr="00B36B74">
        <w:t>Export packing houses are registered with USDA-APHIS</w:t>
      </w:r>
      <w:r w:rsidRPr="00B36B74">
        <w:rPr>
          <w:color w:val="FF0000"/>
        </w:rPr>
        <w:t xml:space="preserve"> </w:t>
      </w:r>
      <w:r w:rsidRPr="00B36B74">
        <w:t xml:space="preserve">before the commencement of </w:t>
      </w:r>
      <w:r>
        <w:t xml:space="preserve">each </w:t>
      </w:r>
      <w:r w:rsidRPr="00B36B74">
        <w:t xml:space="preserve">harvest season. </w:t>
      </w:r>
      <w:r>
        <w:t xml:space="preserve">USDA-APHIS </w:t>
      </w:r>
      <w:r w:rsidRPr="00945121">
        <w:t xml:space="preserve">is required to ensure that the registered packing houses are suitably equipped and have a system in place to carry out the specified phytosanitary activities. </w:t>
      </w:r>
      <w:r w:rsidRPr="00B36B74">
        <w:t xml:space="preserve">The list of registered packing houses </w:t>
      </w:r>
      <w:r>
        <w:t>and r</w:t>
      </w:r>
      <w:r w:rsidRPr="00B36B74">
        <w:t>ecords of USDA-APHIS</w:t>
      </w:r>
      <w:r w:rsidRPr="00B36B74">
        <w:rPr>
          <w:color w:val="FF0000"/>
        </w:rPr>
        <w:t xml:space="preserve"> </w:t>
      </w:r>
      <w:r w:rsidRPr="00B36B74">
        <w:t xml:space="preserve">audits must be </w:t>
      </w:r>
      <w:r>
        <w:t xml:space="preserve">kept by USDA-APHIS and must be </w:t>
      </w:r>
      <w:r w:rsidRPr="00B36B74">
        <w:t xml:space="preserve">made available to the </w:t>
      </w:r>
      <w:r>
        <w:rPr>
          <w:szCs w:val="18"/>
        </w:rPr>
        <w:t>department</w:t>
      </w:r>
      <w:r w:rsidRPr="00B36B74">
        <w:t xml:space="preserve"> upon request.</w:t>
      </w:r>
    </w:p>
    <w:p w14:paraId="6C06E490" w14:textId="77777777" w:rsidR="003438A2" w:rsidRPr="00B36B74" w:rsidRDefault="003438A2" w:rsidP="00D402BF">
      <w:pPr>
        <w:pBdr>
          <w:top w:val="single" w:sz="4" w:space="1" w:color="auto"/>
          <w:left w:val="single" w:sz="4" w:space="4" w:color="auto"/>
          <w:bottom w:val="single" w:sz="4" w:space="1" w:color="auto"/>
          <w:right w:val="single" w:sz="4" w:space="4" w:color="auto"/>
        </w:pBdr>
      </w:pPr>
      <w:r>
        <w:t>In circumstances w</w:t>
      </w:r>
      <w:r w:rsidRPr="00B36B74">
        <w:t xml:space="preserve">here apples undergo </w:t>
      </w:r>
      <w:r>
        <w:t>pre-export treatment</w:t>
      </w:r>
      <w:r w:rsidRPr="00B36B74">
        <w:t xml:space="preserve">, this process must be undertaken by treatment providers that have been registered with and audited by USDA-APHIS for that purpose. Records of USDA-APHIS’s registration requirements and audits </w:t>
      </w:r>
      <w:r>
        <w:t>must</w:t>
      </w:r>
      <w:r w:rsidRPr="00B36B74">
        <w:t xml:space="preserve"> be made available to the </w:t>
      </w:r>
      <w:r>
        <w:rPr>
          <w:szCs w:val="18"/>
        </w:rPr>
        <w:t>department</w:t>
      </w:r>
      <w:r w:rsidRPr="00B36B74">
        <w:t xml:space="preserve"> upon request.</w:t>
      </w:r>
      <w:r>
        <w:t xml:space="preserve"> </w:t>
      </w:r>
    </w:p>
    <w:p w14:paraId="5F7B5029" w14:textId="77777777" w:rsidR="003438A2" w:rsidRPr="00B36B74" w:rsidRDefault="003438A2" w:rsidP="00D402BF">
      <w:pPr>
        <w:pBdr>
          <w:top w:val="single" w:sz="4" w:space="1" w:color="auto"/>
          <w:left w:val="single" w:sz="4" w:space="4" w:color="auto"/>
          <w:bottom w:val="single" w:sz="4" w:space="1" w:color="auto"/>
          <w:right w:val="single" w:sz="4" w:space="4" w:color="auto"/>
        </w:pBdr>
      </w:pPr>
      <w:r>
        <w:t>The a</w:t>
      </w:r>
      <w:r w:rsidRPr="00B36B74">
        <w:t xml:space="preserve">pproval of treatment providers </w:t>
      </w:r>
      <w:r>
        <w:t xml:space="preserve">by USDA-APHIS must include verification that </w:t>
      </w:r>
      <w:r w:rsidRPr="00B36B74">
        <w:t xml:space="preserve">suitable systems </w:t>
      </w:r>
      <w:r>
        <w:t xml:space="preserve">are in place </w:t>
      </w:r>
      <w:r w:rsidRPr="00B36B74">
        <w:t>to ensure compliance with the treatment requirements. This may include:</w:t>
      </w:r>
    </w:p>
    <w:p w14:paraId="18BF2BCF" w14:textId="77777777" w:rsidR="003438A2" w:rsidRPr="00F21B8A" w:rsidRDefault="003438A2" w:rsidP="00D402BF">
      <w:pPr>
        <w:pStyle w:val="ListBullet"/>
        <w:numPr>
          <w:ilvl w:val="0"/>
          <w:numId w:val="12"/>
        </w:numPr>
        <w:pBdr>
          <w:top w:val="single" w:sz="4" w:space="1" w:color="auto"/>
          <w:left w:val="single" w:sz="4" w:space="4" w:color="auto"/>
          <w:bottom w:val="single" w:sz="4" w:space="1" w:color="auto"/>
          <w:right w:val="single" w:sz="4" w:space="4" w:color="auto"/>
        </w:pBdr>
      </w:pPr>
      <w:r w:rsidRPr="00F21B8A">
        <w:t>documented procedures to ensure apples are appropriately treated and safeguarded post treatment</w:t>
      </w:r>
    </w:p>
    <w:p w14:paraId="790061CA" w14:textId="77777777" w:rsidR="003438A2" w:rsidRPr="00F21B8A" w:rsidRDefault="003438A2" w:rsidP="00D402BF">
      <w:pPr>
        <w:pStyle w:val="ListBullet"/>
        <w:numPr>
          <w:ilvl w:val="0"/>
          <w:numId w:val="12"/>
        </w:numPr>
        <w:pBdr>
          <w:top w:val="single" w:sz="4" w:space="1" w:color="auto"/>
          <w:left w:val="single" w:sz="4" w:space="4" w:color="auto"/>
          <w:bottom w:val="single" w:sz="4" w:space="1" w:color="auto"/>
          <w:right w:val="single" w:sz="4" w:space="4" w:color="auto"/>
        </w:pBdr>
      </w:pPr>
      <w:r w:rsidRPr="00F21B8A">
        <w:t>staff training to ensure compliance with procedures</w:t>
      </w:r>
    </w:p>
    <w:p w14:paraId="1EB46810" w14:textId="77777777" w:rsidR="003438A2" w:rsidRPr="00F21B8A" w:rsidRDefault="003438A2" w:rsidP="00D402BF">
      <w:pPr>
        <w:pStyle w:val="ListBullet"/>
        <w:numPr>
          <w:ilvl w:val="0"/>
          <w:numId w:val="12"/>
        </w:numPr>
        <w:pBdr>
          <w:top w:val="single" w:sz="4" w:space="1" w:color="auto"/>
          <w:left w:val="single" w:sz="4" w:space="4" w:color="auto"/>
          <w:bottom w:val="single" w:sz="4" w:space="1" w:color="auto"/>
          <w:right w:val="single" w:sz="4" w:space="4" w:color="auto"/>
        </w:pBdr>
      </w:pPr>
      <w:r w:rsidRPr="00F21B8A">
        <w:lastRenderedPageBreak/>
        <w:t>record</w:t>
      </w:r>
      <w:r>
        <w:t>-</w:t>
      </w:r>
      <w:r w:rsidRPr="00F21B8A">
        <w:t>keeping procedures</w:t>
      </w:r>
    </w:p>
    <w:p w14:paraId="0A08F406" w14:textId="77777777" w:rsidR="003438A2" w:rsidRPr="00F21B8A" w:rsidRDefault="003438A2" w:rsidP="00D402BF">
      <w:pPr>
        <w:pStyle w:val="ListBullet"/>
        <w:numPr>
          <w:ilvl w:val="0"/>
          <w:numId w:val="12"/>
        </w:numPr>
        <w:pBdr>
          <w:top w:val="single" w:sz="4" w:space="1" w:color="auto"/>
          <w:left w:val="single" w:sz="4" w:space="4" w:color="auto"/>
          <w:bottom w:val="single" w:sz="4" w:space="1" w:color="auto"/>
          <w:right w:val="single" w:sz="4" w:space="4" w:color="auto"/>
        </w:pBdr>
      </w:pPr>
      <w:r>
        <w:t xml:space="preserve">suitability of </w:t>
      </w:r>
      <w:r w:rsidRPr="00F21B8A">
        <w:t xml:space="preserve">facilities and equipment </w:t>
      </w:r>
    </w:p>
    <w:p w14:paraId="1486453A" w14:textId="77777777" w:rsidR="003438A2" w:rsidRPr="00F21B8A" w:rsidRDefault="003438A2" w:rsidP="00D402BF">
      <w:pPr>
        <w:pStyle w:val="ListBullet"/>
        <w:numPr>
          <w:ilvl w:val="0"/>
          <w:numId w:val="12"/>
        </w:numPr>
        <w:pBdr>
          <w:top w:val="single" w:sz="4" w:space="1" w:color="auto"/>
          <w:left w:val="single" w:sz="4" w:space="4" w:color="auto"/>
          <w:bottom w:val="single" w:sz="4" w:space="1" w:color="auto"/>
          <w:right w:val="single" w:sz="4" w:space="4" w:color="auto"/>
        </w:pBdr>
      </w:pPr>
      <w:r w:rsidRPr="00F21B8A">
        <w:t>USDA-APHIS’s system of oversight of treatment application.</w:t>
      </w:r>
    </w:p>
    <w:p w14:paraId="7E1A7AA3" w14:textId="77777777" w:rsidR="003438A2" w:rsidRPr="00354872" w:rsidRDefault="003438A2" w:rsidP="00354872">
      <w:pPr>
        <w:pStyle w:val="Heading4"/>
      </w:pPr>
      <w:bookmarkStart w:id="516" w:name="_Ref108442856"/>
      <w:r w:rsidRPr="00354872">
        <w:t>Packaging, labelling and containers</w:t>
      </w:r>
      <w:bookmarkEnd w:id="516"/>
    </w:p>
    <w:p w14:paraId="58DFC4BC" w14:textId="77777777" w:rsidR="003438A2" w:rsidRPr="00F21B8A" w:rsidRDefault="003438A2" w:rsidP="00D402BF">
      <w:r w:rsidRPr="00F21B8A">
        <w:t xml:space="preserve">The objectives of this </w:t>
      </w:r>
      <w:r w:rsidRPr="008B6249">
        <w:t xml:space="preserve">recommended </w:t>
      </w:r>
      <w:r w:rsidRPr="00F21B8A">
        <w:t>procedure are to ensure that:</w:t>
      </w:r>
    </w:p>
    <w:p w14:paraId="1B8B5483" w14:textId="77777777" w:rsidR="003438A2" w:rsidRPr="00F21B8A" w:rsidRDefault="003438A2" w:rsidP="003438A2">
      <w:pPr>
        <w:pStyle w:val="ListBullet"/>
        <w:numPr>
          <w:ilvl w:val="0"/>
          <w:numId w:val="15"/>
        </w:numPr>
      </w:pPr>
      <w:r w:rsidRPr="00F21B8A">
        <w:t xml:space="preserve">apples proposed for export to Australia, and associated packaging, are not contaminated by quarantine pests or regulated articles (as defined in ISPM 5: </w:t>
      </w:r>
      <w:r w:rsidRPr="00F21B8A">
        <w:rPr>
          <w:i/>
        </w:rPr>
        <w:t>Glossary of phytosanitary terms</w:t>
      </w:r>
      <w:r w:rsidRPr="00F21B8A">
        <w:t xml:space="preserve"> </w:t>
      </w:r>
      <w:r>
        <w:rPr>
          <w:noProof/>
        </w:rPr>
        <w:t>(FAO 2021c)</w:t>
      </w:r>
    </w:p>
    <w:p w14:paraId="4B35F4DD" w14:textId="77777777" w:rsidR="003438A2" w:rsidRPr="00F21B8A" w:rsidRDefault="003438A2" w:rsidP="003438A2">
      <w:pPr>
        <w:pStyle w:val="ListBullet"/>
        <w:numPr>
          <w:ilvl w:val="0"/>
          <w:numId w:val="15"/>
        </w:numPr>
      </w:pPr>
      <w:r w:rsidRPr="00F21B8A">
        <w:t xml:space="preserve">unprocessed </w:t>
      </w:r>
      <w:r>
        <w:t>packaging material is not imported with fresh apples from the PNW-USA as it m</w:t>
      </w:r>
      <w:r w:rsidRPr="00F21B8A">
        <w:t>ay vector pests identified as not being on the pathway</w:t>
      </w:r>
      <w:r>
        <w:t>,</w:t>
      </w:r>
      <w:r w:rsidRPr="00F21B8A">
        <w:t xml:space="preserve"> or pests not known to be associated with apples</w:t>
      </w:r>
    </w:p>
    <w:p w14:paraId="6FFFA2DD" w14:textId="77777777" w:rsidR="003438A2" w:rsidRPr="000910B5" w:rsidRDefault="003438A2" w:rsidP="00F77E28">
      <w:pPr>
        <w:pStyle w:val="ListBullet"/>
        <w:numPr>
          <w:ilvl w:val="0"/>
          <w:numId w:val="19"/>
        </w:numPr>
        <w:spacing w:line="276" w:lineRule="auto"/>
      </w:pPr>
      <w:r w:rsidRPr="000910B5">
        <w:t>all wood material</w:t>
      </w:r>
      <w:r>
        <w:t xml:space="preserve"> associa</w:t>
      </w:r>
      <w:r w:rsidRPr="000910B5">
        <w:t>ted with the consignment used in the packaging and transport of fresh apples from PNW-USA compl</w:t>
      </w:r>
      <w:r>
        <w:t>ies</w:t>
      </w:r>
      <w:r w:rsidRPr="000910B5">
        <w:t xml:space="preserve"> with the department’s import conditions, as published on BICON</w:t>
      </w:r>
    </w:p>
    <w:p w14:paraId="3D17FDA8" w14:textId="77777777" w:rsidR="003438A2" w:rsidRPr="00F21B8A" w:rsidRDefault="003438A2" w:rsidP="003438A2">
      <w:pPr>
        <w:pStyle w:val="ListBullet"/>
        <w:numPr>
          <w:ilvl w:val="0"/>
          <w:numId w:val="15"/>
        </w:numPr>
      </w:pPr>
      <w:r w:rsidRPr="00133469">
        <w:t>secure packaging is used for export of fresh apples from PNW-USA to Australia</w:t>
      </w:r>
      <w:r>
        <w:t>,</w:t>
      </w:r>
      <w:r w:rsidRPr="00133469">
        <w:t xml:space="preserve"> to prevent re-infestation during storage and transport</w:t>
      </w:r>
      <w:r>
        <w:t>,</w:t>
      </w:r>
      <w:r w:rsidRPr="00133469">
        <w:t xml:space="preserve"> and prevent escape of pests during clearance procedures on arrival in Australia. </w:t>
      </w:r>
      <w:r w:rsidRPr="00F21B8A">
        <w:t>Packaging must meet Australia’s secure packing options published on BICON</w:t>
      </w:r>
    </w:p>
    <w:p w14:paraId="5C6AFC28" w14:textId="77777777" w:rsidR="003438A2" w:rsidRPr="00133469" w:rsidRDefault="003438A2" w:rsidP="00F77E28">
      <w:pPr>
        <w:pStyle w:val="ListBullet"/>
        <w:numPr>
          <w:ilvl w:val="0"/>
          <w:numId w:val="19"/>
        </w:numPr>
        <w:spacing w:line="276" w:lineRule="auto"/>
        <w:rPr>
          <w:lang w:val="en"/>
        </w:rPr>
      </w:pPr>
      <w:r w:rsidRPr="00711817">
        <w:t>consignments are made insect</w:t>
      </w:r>
      <w:r>
        <w:t>-</w:t>
      </w:r>
      <w:r w:rsidRPr="00711817">
        <w:t>proof and secure</w:t>
      </w:r>
      <w:r w:rsidRPr="00133469">
        <w:rPr>
          <w:lang w:val="en"/>
        </w:rPr>
        <w:t xml:space="preserve">, </w:t>
      </w:r>
      <w:r>
        <w:rPr>
          <w:lang w:val="en"/>
        </w:rPr>
        <w:t xml:space="preserve">by using </w:t>
      </w:r>
      <w:r w:rsidRPr="00133469">
        <w:rPr>
          <w:lang w:val="en"/>
        </w:rPr>
        <w:t xml:space="preserve">at least one of the following </w:t>
      </w:r>
      <w:r>
        <w:rPr>
          <w:lang w:val="en"/>
        </w:rPr>
        <w:t>secure consignment</w:t>
      </w:r>
      <w:r w:rsidRPr="00133469">
        <w:rPr>
          <w:lang w:val="en"/>
        </w:rPr>
        <w:t xml:space="preserve"> options:</w:t>
      </w:r>
    </w:p>
    <w:p w14:paraId="0F587A7A" w14:textId="77777777" w:rsidR="003438A2" w:rsidRPr="00133469" w:rsidRDefault="003438A2" w:rsidP="003438A2">
      <w:pPr>
        <w:pStyle w:val="ListBullet2"/>
        <w:numPr>
          <w:ilvl w:val="1"/>
          <w:numId w:val="15"/>
        </w:numPr>
        <w:ind w:left="709" w:hanging="283"/>
        <w:rPr>
          <w:lang w:val="en"/>
        </w:rPr>
      </w:pPr>
      <w:r>
        <w:rPr>
          <w:b/>
          <w:bCs/>
          <w:lang w:val="en"/>
        </w:rPr>
        <w:t>i</w:t>
      </w:r>
      <w:r w:rsidRPr="00133469">
        <w:rPr>
          <w:b/>
          <w:bCs/>
          <w:lang w:val="en"/>
        </w:rPr>
        <w:t>ntegral cartons</w:t>
      </w:r>
      <w:r w:rsidRPr="00133469">
        <w:rPr>
          <w:bCs/>
          <w:lang w:val="en"/>
        </w:rPr>
        <w:t xml:space="preserve"> </w:t>
      </w:r>
      <w:r w:rsidRPr="00133469">
        <w:rPr>
          <w:lang w:val="en"/>
        </w:rPr>
        <w:t>- produce may be packed in integral (fully enclosed) cartons (packages) with boxes having no ventilation holes and lids tightly fixed to the bases</w:t>
      </w:r>
    </w:p>
    <w:p w14:paraId="505F5C08" w14:textId="77777777" w:rsidR="003438A2" w:rsidRPr="00133469" w:rsidRDefault="003438A2" w:rsidP="003438A2">
      <w:pPr>
        <w:pStyle w:val="ListBullet2"/>
        <w:numPr>
          <w:ilvl w:val="1"/>
          <w:numId w:val="15"/>
        </w:numPr>
        <w:ind w:left="709" w:hanging="283"/>
        <w:rPr>
          <w:lang w:val="en"/>
        </w:rPr>
      </w:pPr>
      <w:r>
        <w:rPr>
          <w:b/>
          <w:bCs/>
          <w:lang w:val="en"/>
        </w:rPr>
        <w:t>v</w:t>
      </w:r>
      <w:r w:rsidRPr="00133469">
        <w:rPr>
          <w:b/>
          <w:bCs/>
          <w:lang w:val="en"/>
        </w:rPr>
        <w:t xml:space="preserve">entilation holes of cartons covered </w:t>
      </w:r>
      <w:r w:rsidRPr="00133469">
        <w:rPr>
          <w:lang w:val="en"/>
        </w:rPr>
        <w:t>- cartons (packages) with ventilation holes must have the holes covered/sealed with a mesh/screen of no more than 1.6</w:t>
      </w:r>
      <w:r>
        <w:rPr>
          <w:lang w:val="en"/>
        </w:rPr>
        <w:t> </w:t>
      </w:r>
      <w:r w:rsidRPr="00133469">
        <w:rPr>
          <w:lang w:val="en"/>
        </w:rPr>
        <w:t>mm pore size and not less than 0.16</w:t>
      </w:r>
      <w:r>
        <w:rPr>
          <w:lang w:val="en"/>
        </w:rPr>
        <w:t> </w:t>
      </w:r>
      <w:r w:rsidRPr="00133469">
        <w:rPr>
          <w:lang w:val="en"/>
        </w:rPr>
        <w:t>mm strand thickness. Alternatively, the vent holes could be taped over</w:t>
      </w:r>
    </w:p>
    <w:p w14:paraId="755A8435" w14:textId="77777777" w:rsidR="003438A2" w:rsidRPr="00133469" w:rsidRDefault="003438A2" w:rsidP="003438A2">
      <w:pPr>
        <w:pStyle w:val="ListBullet2"/>
        <w:numPr>
          <w:ilvl w:val="1"/>
          <w:numId w:val="15"/>
        </w:numPr>
        <w:ind w:left="709" w:hanging="283"/>
        <w:rPr>
          <w:lang w:val="en"/>
        </w:rPr>
      </w:pPr>
      <w:r>
        <w:rPr>
          <w:b/>
          <w:bCs/>
          <w:lang w:val="en"/>
        </w:rPr>
        <w:t>p</w:t>
      </w:r>
      <w:r w:rsidRPr="00133469">
        <w:rPr>
          <w:b/>
          <w:bCs/>
          <w:lang w:val="en"/>
        </w:rPr>
        <w:t xml:space="preserve">olythene liners </w:t>
      </w:r>
      <w:r w:rsidRPr="00133469">
        <w:rPr>
          <w:lang w:val="en"/>
        </w:rPr>
        <w:t>- vented cartons (packages) with sealed polythene liners/bags within are acceptable (folded polythene bags are acceptable)</w:t>
      </w:r>
    </w:p>
    <w:p w14:paraId="2C8ED546" w14:textId="77777777" w:rsidR="003438A2" w:rsidRPr="00133469" w:rsidRDefault="003438A2" w:rsidP="003438A2">
      <w:pPr>
        <w:pStyle w:val="ListBullet2"/>
        <w:numPr>
          <w:ilvl w:val="1"/>
          <w:numId w:val="15"/>
        </w:numPr>
        <w:ind w:left="709" w:hanging="283"/>
        <w:rPr>
          <w:lang w:val="en"/>
        </w:rPr>
      </w:pPr>
      <w:r>
        <w:rPr>
          <w:b/>
          <w:bCs/>
          <w:lang w:val="en"/>
        </w:rPr>
        <w:t>m</w:t>
      </w:r>
      <w:r w:rsidRPr="00133469">
        <w:rPr>
          <w:b/>
          <w:bCs/>
          <w:lang w:val="en"/>
        </w:rPr>
        <w:t>eshed or shrink</w:t>
      </w:r>
      <w:r>
        <w:rPr>
          <w:b/>
          <w:bCs/>
          <w:lang w:val="en"/>
        </w:rPr>
        <w:t>-</w:t>
      </w:r>
      <w:r w:rsidRPr="00133469">
        <w:rPr>
          <w:b/>
          <w:bCs/>
          <w:lang w:val="en"/>
        </w:rPr>
        <w:t>wrapped pallets or Unit Loading Devices (ULDs)</w:t>
      </w:r>
      <w:r w:rsidRPr="00133469">
        <w:rPr>
          <w:lang w:val="en"/>
        </w:rPr>
        <w:t>- ULDs transporting cartons with open ventilation holes/gaps, or palletised cartons with ventilation holes/gaps must be fully covered or wrapped with polythene/plastic/foil sheet or mesh/screen of no more than 1.6</w:t>
      </w:r>
      <w:r>
        <w:rPr>
          <w:lang w:val="en"/>
        </w:rPr>
        <w:t> </w:t>
      </w:r>
      <w:r w:rsidRPr="00133469">
        <w:rPr>
          <w:lang w:val="en"/>
        </w:rPr>
        <w:t>mm diameter pore size</w:t>
      </w:r>
    </w:p>
    <w:p w14:paraId="7E98A72E" w14:textId="77777777" w:rsidR="003438A2" w:rsidRPr="00133469" w:rsidRDefault="003438A2" w:rsidP="003438A2">
      <w:pPr>
        <w:pStyle w:val="ListBullet2"/>
        <w:numPr>
          <w:ilvl w:val="1"/>
          <w:numId w:val="15"/>
        </w:numPr>
        <w:ind w:left="709" w:hanging="283"/>
        <w:rPr>
          <w:lang w:val="en"/>
        </w:rPr>
      </w:pPr>
      <w:r>
        <w:rPr>
          <w:b/>
          <w:bCs/>
          <w:lang w:val="en"/>
        </w:rPr>
        <w:t>p</w:t>
      </w:r>
      <w:r w:rsidRPr="00133469">
        <w:rPr>
          <w:b/>
          <w:bCs/>
          <w:lang w:val="en"/>
        </w:rPr>
        <w:t xml:space="preserve">roduce transported in fully enclosed containers </w:t>
      </w:r>
      <w:r w:rsidRPr="00133469">
        <w:rPr>
          <w:lang w:val="en"/>
        </w:rPr>
        <w:t>- cartons (packages) with holes as loose boxes or on pallets may be transported in fully enclosed containers. Enclosed containers include 6-sided container with solid sides, or ULDS with tarpaulin sides that have no holes or gaps. The container must be transported to the inspection point intact.</w:t>
      </w:r>
    </w:p>
    <w:p w14:paraId="41529E3A" w14:textId="77777777" w:rsidR="003438A2" w:rsidRPr="00F21B8A" w:rsidRDefault="003438A2" w:rsidP="003438A2">
      <w:pPr>
        <w:pStyle w:val="ListBullet"/>
        <w:numPr>
          <w:ilvl w:val="0"/>
          <w:numId w:val="15"/>
        </w:numPr>
      </w:pPr>
      <w:r>
        <w:t>p</w:t>
      </w:r>
      <w:r w:rsidRPr="00F21B8A">
        <w:t xml:space="preserve">ackaged </w:t>
      </w:r>
      <w:r>
        <w:t xml:space="preserve">PNW-USA </w:t>
      </w:r>
      <w:r w:rsidRPr="00F21B8A">
        <w:t>apples are labelled with sufficient identification for the purposes of traceability. This may include:</w:t>
      </w:r>
    </w:p>
    <w:p w14:paraId="198CDD22" w14:textId="77777777" w:rsidR="003438A2" w:rsidRPr="00055145" w:rsidRDefault="003438A2" w:rsidP="003438A2">
      <w:pPr>
        <w:pStyle w:val="ListBullet2"/>
        <w:numPr>
          <w:ilvl w:val="1"/>
          <w:numId w:val="15"/>
        </w:numPr>
        <w:ind w:left="709" w:hanging="283"/>
      </w:pPr>
      <w:r w:rsidRPr="00055145">
        <w:t>for treated product: the treatment facility name/number and treatment identification reference/number</w:t>
      </w:r>
    </w:p>
    <w:p w14:paraId="4C0C0E75" w14:textId="77777777" w:rsidR="003438A2" w:rsidRPr="00055145" w:rsidRDefault="003438A2" w:rsidP="003438A2">
      <w:pPr>
        <w:pStyle w:val="ListBullet2"/>
        <w:numPr>
          <w:ilvl w:val="1"/>
          <w:numId w:val="15"/>
        </w:numPr>
        <w:ind w:left="709" w:hanging="283"/>
      </w:pPr>
      <w:r w:rsidRPr="00055145">
        <w:t>for apples where the measures include in-field controls/orchard freedom/area freedom: the orchard’s reference/number</w:t>
      </w:r>
    </w:p>
    <w:p w14:paraId="059385AF" w14:textId="77777777" w:rsidR="003438A2" w:rsidRPr="00055145" w:rsidRDefault="003438A2" w:rsidP="003438A2">
      <w:pPr>
        <w:pStyle w:val="ListBullet2"/>
        <w:numPr>
          <w:ilvl w:val="1"/>
          <w:numId w:val="15"/>
        </w:numPr>
        <w:ind w:left="709" w:hanging="283"/>
      </w:pPr>
      <w:r w:rsidRPr="00055145">
        <w:t>for apples where phytosanitary measures are applied at the packing house: packing house reference/number.</w:t>
      </w:r>
    </w:p>
    <w:p w14:paraId="077C42A0" w14:textId="77777777" w:rsidR="003438A2" w:rsidRPr="00F21B8A" w:rsidRDefault="003438A2" w:rsidP="00D402BF">
      <w:pPr>
        <w:pBdr>
          <w:top w:val="single" w:sz="4" w:space="1" w:color="auto"/>
          <w:left w:val="single" w:sz="4" w:space="4" w:color="auto"/>
          <w:bottom w:val="single" w:sz="4" w:space="1" w:color="auto"/>
          <w:right w:val="single" w:sz="4" w:space="4" w:color="auto"/>
        </w:pBdr>
      </w:pPr>
      <w:r w:rsidRPr="00F21B8A">
        <w:rPr>
          <w:color w:val="000000"/>
        </w:rPr>
        <w:t>Export packing</w:t>
      </w:r>
      <w:r>
        <w:rPr>
          <w:color w:val="000000"/>
        </w:rPr>
        <w:t xml:space="preserve"> </w:t>
      </w:r>
      <w:r w:rsidRPr="00F21B8A">
        <w:rPr>
          <w:color w:val="000000"/>
        </w:rPr>
        <w:t xml:space="preserve">houses and treatment providers (where applicable) </w:t>
      </w:r>
      <w:r>
        <w:rPr>
          <w:color w:val="000000"/>
        </w:rPr>
        <w:t xml:space="preserve">must </w:t>
      </w:r>
      <w:r w:rsidRPr="00F21B8A">
        <w:rPr>
          <w:color w:val="000000"/>
        </w:rPr>
        <w:t>ensure packaging and labelling are suitable to maintain phytosanitary status of the export consignments.</w:t>
      </w:r>
    </w:p>
    <w:p w14:paraId="4514A281" w14:textId="77777777" w:rsidR="003438A2" w:rsidRPr="00354872" w:rsidRDefault="003438A2" w:rsidP="00354872">
      <w:pPr>
        <w:pStyle w:val="Heading4"/>
      </w:pPr>
      <w:r w:rsidRPr="00354872">
        <w:lastRenderedPageBreak/>
        <w:t>Specific conditions for storage and movement</w:t>
      </w:r>
    </w:p>
    <w:p w14:paraId="43AB1969" w14:textId="77777777" w:rsidR="003438A2" w:rsidRPr="008B6249" w:rsidRDefault="003438A2" w:rsidP="00D402BF">
      <w:r w:rsidRPr="00F21B8A">
        <w:t xml:space="preserve">The objective of this </w:t>
      </w:r>
      <w:r w:rsidRPr="008B6249">
        <w:t>recommended procedure is to ensure that the quarantine integrity of the commodity is maintained during storage and movement.</w:t>
      </w:r>
    </w:p>
    <w:p w14:paraId="15FAB63A" w14:textId="77777777" w:rsidR="003438A2" w:rsidRPr="008B6249" w:rsidRDefault="003438A2" w:rsidP="00D402BF">
      <w:pPr>
        <w:pBdr>
          <w:top w:val="single" w:sz="4" w:space="1" w:color="auto"/>
          <w:left w:val="single" w:sz="4" w:space="4" w:color="auto"/>
          <w:bottom w:val="single" w:sz="4" w:space="1" w:color="auto"/>
          <w:right w:val="single" w:sz="4" w:space="4" w:color="auto"/>
        </w:pBdr>
      </w:pPr>
      <w:r w:rsidRPr="008B6249">
        <w:t>Treated and/or inspected fresh apples for export to Australia must be kept secure and segregated at all times from any fruit for domestic or other markets, and from untreated/non pre-inspected product, to prevent mixing or cross-contamination.</w:t>
      </w:r>
    </w:p>
    <w:p w14:paraId="4E2D83D2" w14:textId="77777777" w:rsidR="003438A2" w:rsidRPr="00354872" w:rsidRDefault="003438A2" w:rsidP="00354872">
      <w:pPr>
        <w:pStyle w:val="Heading4"/>
      </w:pPr>
      <w:r w:rsidRPr="00354872">
        <w:t>Freedom from trash</w:t>
      </w:r>
    </w:p>
    <w:p w14:paraId="4326E455" w14:textId="77777777" w:rsidR="003438A2" w:rsidRPr="00321551" w:rsidRDefault="003438A2" w:rsidP="00D402BF">
      <w:r w:rsidRPr="008B6249">
        <w:t xml:space="preserve">The objective of this recommended procedure </w:t>
      </w:r>
      <w:r w:rsidRPr="00321551">
        <w:t xml:space="preserve">is to ensure that fresh </w:t>
      </w:r>
      <w:r>
        <w:t>apples for</w:t>
      </w:r>
      <w:r w:rsidRPr="0060597C">
        <w:t xml:space="preserve"> export </w:t>
      </w:r>
      <w:r w:rsidRPr="00321551">
        <w:t>are</w:t>
      </w:r>
      <w:r w:rsidRPr="0060597C">
        <w:t xml:space="preserve"> </w:t>
      </w:r>
      <w:r w:rsidRPr="00321551">
        <w:t xml:space="preserve">free from trash (for example, </w:t>
      </w:r>
      <w:r>
        <w:t xml:space="preserve">loose </w:t>
      </w:r>
      <w:r w:rsidRPr="00321551">
        <w:t>stem and leaf material, seeds, soil, animal matter/parts or other extraneous material) and foreign matter. Freedom from trash must be confirmed by the inspection procedures. Export lots or consignments found to contain trash or foreign matter must be withdrawn from export unless approved remedial action such as reconditioning is available and applied to the export consignment</w:t>
      </w:r>
      <w:r>
        <w:t xml:space="preserve">, which is then to be </w:t>
      </w:r>
      <w:r w:rsidRPr="00321551">
        <w:t>re-inspected.</w:t>
      </w:r>
    </w:p>
    <w:p w14:paraId="461270F0" w14:textId="77777777" w:rsidR="003438A2" w:rsidRPr="00325B1C" w:rsidRDefault="003438A2" w:rsidP="00D402BF">
      <w:pPr>
        <w:pBdr>
          <w:top w:val="single" w:sz="4" w:space="1" w:color="auto"/>
          <w:left w:val="single" w:sz="4" w:space="4" w:color="auto"/>
          <w:bottom w:val="single" w:sz="4" w:space="1" w:color="auto"/>
          <w:right w:val="single" w:sz="4" w:space="4" w:color="auto"/>
        </w:pBdr>
      </w:pPr>
      <w:r w:rsidRPr="00325B1C">
        <w:t>Freedom from trash will be confirmed by the inspection procedures. Export lots or consignments found to contain trash or foreign matter should be withdrawn from export unless approved remedial action such as reconditioning is available and applied to the export consignment and then re-inspected.</w:t>
      </w:r>
    </w:p>
    <w:p w14:paraId="4C837BC8" w14:textId="77777777" w:rsidR="003438A2" w:rsidRPr="00354872" w:rsidRDefault="003438A2" w:rsidP="00354872">
      <w:pPr>
        <w:pStyle w:val="Heading4"/>
      </w:pPr>
      <w:bookmarkStart w:id="517" w:name="_Ref108442720"/>
      <w:r w:rsidRPr="00354872">
        <w:t>Pre-export phytosanitary inspection and certification by USDA-APHIS</w:t>
      </w:r>
      <w:bookmarkEnd w:id="517"/>
    </w:p>
    <w:p w14:paraId="6B308444" w14:textId="77777777" w:rsidR="003438A2" w:rsidRPr="00BF5AA8" w:rsidRDefault="003438A2" w:rsidP="00D402BF">
      <w:r w:rsidRPr="00BF5AA8">
        <w:t xml:space="preserve">The objectives of this </w:t>
      </w:r>
      <w:r w:rsidRPr="008B6249">
        <w:t xml:space="preserve">recommended </w:t>
      </w:r>
      <w:r w:rsidRPr="00BF5AA8">
        <w:t xml:space="preserve">procedure are to ensure that Australia’s import conditions have been met. All apple consignments for export to Australia must be inspected by APHIS/US regulatory officials and found free of </w:t>
      </w:r>
      <w:r w:rsidRPr="00BF5AA8">
        <w:rPr>
          <w:iCs/>
        </w:rPr>
        <w:t>pests of biosecurity concern for Australia</w:t>
      </w:r>
      <w:r w:rsidRPr="00BF5AA8">
        <w:t>. Pre-export visual inspection must be undertaken by APHIS/US regulatory officials in accordance with ISPM 23</w:t>
      </w:r>
      <w:r w:rsidRPr="00BF5AA8">
        <w:rPr>
          <w:i/>
        </w:rPr>
        <w:t xml:space="preserve">: </w:t>
      </w:r>
      <w:r w:rsidRPr="00BF5AA8">
        <w:rPr>
          <w:i/>
          <w:iCs/>
        </w:rPr>
        <w:t xml:space="preserve">Guidelines for inspection </w:t>
      </w:r>
      <w:r>
        <w:rPr>
          <w:noProof/>
        </w:rPr>
        <w:t>(FAO 2021f)</w:t>
      </w:r>
      <w:r w:rsidRPr="00BF5AA8">
        <w:t xml:space="preserve"> and consistent with the principles of ISPM 31</w:t>
      </w:r>
      <w:r w:rsidRPr="00DB46DD">
        <w:rPr>
          <w:iCs/>
        </w:rPr>
        <w:t xml:space="preserve">: </w:t>
      </w:r>
      <w:r w:rsidRPr="00BF5AA8">
        <w:rPr>
          <w:i/>
          <w:iCs/>
        </w:rPr>
        <w:t xml:space="preserve">Methodologies for sampling of consignments </w:t>
      </w:r>
      <w:r>
        <w:rPr>
          <w:noProof/>
        </w:rPr>
        <w:t>(FAO 2021h)</w:t>
      </w:r>
      <w:r w:rsidRPr="00BF5AA8">
        <w:t>. All fruit in the inspection sample which exhibit symptoms of potential infestation will be required to undergo fruit cut and examination of cut fruit samples by APHIS/US regulatory officials to detect internal-feeding life stages of this pest. In addition, all fruit in the inspection sample which exhibit symptoms of potential infection will be required to undergo further examination to identify the</w:t>
      </w:r>
      <w:r>
        <w:t xml:space="preserve"> </w:t>
      </w:r>
      <w:r w:rsidRPr="00BF5AA8">
        <w:t>pathogen species.</w:t>
      </w:r>
    </w:p>
    <w:p w14:paraId="3F4F1206" w14:textId="77777777" w:rsidR="003438A2" w:rsidRPr="00325B1C" w:rsidRDefault="003438A2" w:rsidP="00D402BF">
      <w:r w:rsidRPr="00BF5AA8">
        <w:t>Where the mandatory treatment option is taken, pre-export phytosanitary inspection by APHIS/US regulatory officials must be undertaken after completion of the treatment.</w:t>
      </w:r>
      <w:r>
        <w:t xml:space="preserve"> </w:t>
      </w:r>
    </w:p>
    <w:p w14:paraId="57734A9E" w14:textId="77777777" w:rsidR="003438A2" w:rsidRPr="00321551" w:rsidRDefault="003438A2" w:rsidP="00D402BF">
      <w:pPr>
        <w:pStyle w:val="ListBullet"/>
        <w:numPr>
          <w:ilvl w:val="0"/>
          <w:numId w:val="0"/>
        </w:numPr>
        <w:pBdr>
          <w:top w:val="single" w:sz="4" w:space="1" w:color="auto"/>
          <w:left w:val="single" w:sz="4" w:space="4" w:color="auto"/>
          <w:bottom w:val="single" w:sz="4" w:space="1" w:color="auto"/>
          <w:right w:val="single" w:sz="4" w:space="4" w:color="auto"/>
        </w:pBdr>
        <w:spacing w:before="0" w:after="200" w:line="276" w:lineRule="auto"/>
      </w:pPr>
      <w:r w:rsidRPr="00E64D13">
        <w:t xml:space="preserve">All consignments must be inspected prior to export in accordance with official procedures for all visually-detectable quarantine pests and regulated articles (including trash). Sampling and inspection methods should be consistent with ISPM 23 and ISPM 31 and provide a 95% level of confidence that infestation greater than 0.5% will be detected. For a consignment equal to or greater than 1,000 units (one unit being a single </w:t>
      </w:r>
      <w:r>
        <w:t>apple</w:t>
      </w:r>
      <w:r w:rsidRPr="00E64D13">
        <w:t xml:space="preserve"> fruit), this is equivalent to a 600-unit sample randomly selected across the consignment. Any netting or artificial wrapping material must be removed during the inspection.</w:t>
      </w:r>
      <w:r>
        <w:t xml:space="preserve"> </w:t>
      </w:r>
      <w:r w:rsidRPr="00717C48">
        <w:t xml:space="preserve">A phytosanitary certificate must be issued for each consignment upon completion of pre-export inspection and treatment to verify that the required risk management measures have been undertaken prior to export and </w:t>
      </w:r>
      <w:r>
        <w:t xml:space="preserve">that </w:t>
      </w:r>
      <w:r w:rsidRPr="00717C48">
        <w:t>the consignment meets Australia’s import requirements.</w:t>
      </w:r>
    </w:p>
    <w:p w14:paraId="7D027273" w14:textId="77777777" w:rsidR="003438A2" w:rsidRPr="00325B1C" w:rsidRDefault="003438A2" w:rsidP="00D402BF">
      <w:pPr>
        <w:pStyle w:val="ListBullet"/>
        <w:numPr>
          <w:ilvl w:val="0"/>
          <w:numId w:val="0"/>
        </w:numPr>
        <w:pBdr>
          <w:top w:val="single" w:sz="4" w:space="1" w:color="auto"/>
          <w:left w:val="single" w:sz="4" w:space="4" w:color="auto"/>
          <w:bottom w:val="single" w:sz="4" w:space="1" w:color="auto"/>
          <w:right w:val="single" w:sz="4" w:space="4" w:color="auto"/>
        </w:pBdr>
      </w:pPr>
      <w:r w:rsidRPr="00325B1C">
        <w:lastRenderedPageBreak/>
        <w:t xml:space="preserve">Each phytosanitary certificate </w:t>
      </w:r>
      <w:r>
        <w:t xml:space="preserve">must </w:t>
      </w:r>
      <w:r w:rsidRPr="00325B1C">
        <w:t>include:</w:t>
      </w:r>
    </w:p>
    <w:p w14:paraId="61EDAAEC" w14:textId="77777777" w:rsidR="003438A2" w:rsidRPr="00325B1C" w:rsidRDefault="003438A2" w:rsidP="00D402BF">
      <w:pPr>
        <w:pStyle w:val="ListBullet"/>
        <w:numPr>
          <w:ilvl w:val="0"/>
          <w:numId w:val="12"/>
        </w:numPr>
        <w:pBdr>
          <w:top w:val="single" w:sz="4" w:space="1" w:color="auto"/>
          <w:left w:val="single" w:sz="4" w:space="4" w:color="auto"/>
          <w:bottom w:val="single" w:sz="4" w:space="1" w:color="auto"/>
          <w:right w:val="single" w:sz="4" w:space="4" w:color="auto"/>
        </w:pBdr>
      </w:pPr>
      <w:r w:rsidRPr="00325B1C">
        <w:t>a description of the consignment (including traceability information)</w:t>
      </w:r>
      <w:r>
        <w:t>;</w:t>
      </w:r>
    </w:p>
    <w:p w14:paraId="75C31764" w14:textId="77777777" w:rsidR="003438A2" w:rsidRPr="00325B1C" w:rsidRDefault="003438A2" w:rsidP="00D402BF">
      <w:pPr>
        <w:pStyle w:val="ListBullet"/>
        <w:numPr>
          <w:ilvl w:val="0"/>
          <w:numId w:val="12"/>
        </w:numPr>
        <w:pBdr>
          <w:top w:val="single" w:sz="4" w:space="1" w:color="auto"/>
          <w:left w:val="single" w:sz="4" w:space="4" w:color="auto"/>
          <w:bottom w:val="single" w:sz="4" w:space="1" w:color="auto"/>
          <w:right w:val="single" w:sz="4" w:space="4" w:color="auto"/>
        </w:pBdr>
      </w:pPr>
      <w:r w:rsidRPr="00325B1C">
        <w:t>details of disinfestation treatments (for example, methyl bromide fumigation) which includes date, concentration, temperature, duration, and/or attach</w:t>
      </w:r>
      <w:r>
        <w:t>ed</w:t>
      </w:r>
      <w:r w:rsidRPr="00325B1C">
        <w:t xml:space="preserve"> fumigation certificate (as appropriate)</w:t>
      </w:r>
      <w:r>
        <w:t>;</w:t>
      </w:r>
    </w:p>
    <w:p w14:paraId="58655A9A" w14:textId="77777777" w:rsidR="003438A2" w:rsidRDefault="003438A2" w:rsidP="00D402BF">
      <w:pPr>
        <w:pStyle w:val="ListBullet"/>
        <w:numPr>
          <w:ilvl w:val="0"/>
          <w:numId w:val="12"/>
        </w:numPr>
        <w:pBdr>
          <w:top w:val="single" w:sz="4" w:space="1" w:color="auto"/>
          <w:left w:val="single" w:sz="4" w:space="4" w:color="auto"/>
          <w:bottom w:val="single" w:sz="4" w:space="1" w:color="auto"/>
          <w:right w:val="single" w:sz="4" w:space="4" w:color="auto"/>
        </w:pBdr>
      </w:pPr>
      <w:r>
        <w:t xml:space="preserve">any </w:t>
      </w:r>
      <w:r w:rsidRPr="004E65A4">
        <w:t xml:space="preserve">other statements that may be required </w:t>
      </w:r>
      <w:r>
        <w:t xml:space="preserve">such as </w:t>
      </w:r>
      <w:r w:rsidRPr="004E65A4">
        <w:t xml:space="preserve">identification of the consignment as being sourced from a recognised pest free </w:t>
      </w:r>
      <w:r>
        <w:t>area.</w:t>
      </w:r>
    </w:p>
    <w:p w14:paraId="4351A8C7" w14:textId="77777777" w:rsidR="003438A2" w:rsidRPr="00354872" w:rsidRDefault="003438A2" w:rsidP="00354872">
      <w:pPr>
        <w:pStyle w:val="Heading4"/>
      </w:pPr>
      <w:bookmarkStart w:id="518" w:name="_Ref108442734"/>
      <w:r w:rsidRPr="00354872">
        <w:t>Phytosanitary inspection by the Department of Agriculture, Fisheries and Forestry</w:t>
      </w:r>
      <w:bookmarkEnd w:id="518"/>
    </w:p>
    <w:p w14:paraId="2EC4A42C" w14:textId="77777777" w:rsidR="003438A2" w:rsidRPr="00325B1C" w:rsidRDefault="003438A2" w:rsidP="00D402BF">
      <w:r w:rsidRPr="00325B1C">
        <w:t xml:space="preserve">The objectives of this </w:t>
      </w:r>
      <w:r w:rsidRPr="008B6249">
        <w:t xml:space="preserve">recommended </w:t>
      </w:r>
      <w:r>
        <w:t>p</w:t>
      </w:r>
      <w:r w:rsidRPr="00325B1C">
        <w:t>rocedure are to ensure that:</w:t>
      </w:r>
    </w:p>
    <w:p w14:paraId="48DB0992" w14:textId="77777777" w:rsidR="003438A2" w:rsidRDefault="003438A2" w:rsidP="003438A2">
      <w:pPr>
        <w:pStyle w:val="ListBullet"/>
        <w:numPr>
          <w:ilvl w:val="0"/>
          <w:numId w:val="15"/>
        </w:numPr>
        <w:spacing w:before="0" w:line="276" w:lineRule="auto"/>
      </w:pPr>
      <w:r>
        <w:t>consignments comply with Australian import requirements;</w:t>
      </w:r>
    </w:p>
    <w:p w14:paraId="160AFADC" w14:textId="77777777" w:rsidR="003438A2" w:rsidRDefault="003438A2" w:rsidP="003438A2">
      <w:pPr>
        <w:pStyle w:val="ListBullet"/>
        <w:numPr>
          <w:ilvl w:val="0"/>
          <w:numId w:val="15"/>
        </w:numPr>
        <w:spacing w:before="0" w:line="276" w:lineRule="auto"/>
      </w:pPr>
      <w:r>
        <w:t>consignments are as described on the phytosanitary certificate; and</w:t>
      </w:r>
    </w:p>
    <w:p w14:paraId="3E469513" w14:textId="77777777" w:rsidR="003438A2" w:rsidRDefault="003438A2" w:rsidP="003438A2">
      <w:pPr>
        <w:pStyle w:val="ListBullet"/>
        <w:numPr>
          <w:ilvl w:val="0"/>
          <w:numId w:val="15"/>
        </w:numPr>
        <w:spacing w:before="0" w:line="276" w:lineRule="auto"/>
      </w:pPr>
      <w:r>
        <w:t>quarantine integrity has been maintained.</w:t>
      </w:r>
    </w:p>
    <w:p w14:paraId="34D1DADC" w14:textId="77777777" w:rsidR="003438A2" w:rsidRPr="00325B1C" w:rsidRDefault="003438A2" w:rsidP="009E54E5">
      <w:pPr>
        <w:pBdr>
          <w:top w:val="single" w:sz="4" w:space="0" w:color="auto"/>
          <w:left w:val="single" w:sz="4" w:space="4" w:color="auto"/>
          <w:bottom w:val="single" w:sz="4" w:space="1" w:color="auto"/>
          <w:right w:val="single" w:sz="4" w:space="4" w:color="auto"/>
        </w:pBdr>
        <w:rPr>
          <w:color w:val="000000"/>
        </w:rPr>
      </w:pPr>
      <w:r w:rsidRPr="00325B1C">
        <w:t xml:space="preserve">On arrival in Australia, the </w:t>
      </w:r>
      <w:r>
        <w:rPr>
          <w:color w:val="000000"/>
        </w:rPr>
        <w:t>d</w:t>
      </w:r>
      <w:r w:rsidRPr="00325B1C">
        <w:rPr>
          <w:color w:val="000000"/>
        </w:rPr>
        <w:t>epartment will:</w:t>
      </w:r>
    </w:p>
    <w:p w14:paraId="71C60568" w14:textId="77777777" w:rsidR="003438A2" w:rsidRPr="00325B1C" w:rsidRDefault="003438A2" w:rsidP="009E54E5">
      <w:pPr>
        <w:pStyle w:val="ListBullet"/>
        <w:numPr>
          <w:ilvl w:val="0"/>
          <w:numId w:val="12"/>
        </w:numPr>
        <w:pBdr>
          <w:top w:val="single" w:sz="4" w:space="0" w:color="auto"/>
          <w:left w:val="single" w:sz="4" w:space="4" w:color="auto"/>
          <w:bottom w:val="single" w:sz="4" w:space="1" w:color="auto"/>
          <w:right w:val="single" w:sz="4" w:space="4" w:color="auto"/>
        </w:pBdr>
      </w:pPr>
      <w:r w:rsidRPr="00325B1C">
        <w:t>assess documentation to verify that the consignment is as described on the phytosanitary certificate, that required phytosanitary actions have been undertaken, and that product security has been maintained</w:t>
      </w:r>
    </w:p>
    <w:p w14:paraId="54CA5EAA" w14:textId="77777777" w:rsidR="003438A2" w:rsidRPr="00325B1C" w:rsidRDefault="003438A2" w:rsidP="009E54E5">
      <w:pPr>
        <w:pStyle w:val="ListBullet"/>
        <w:numPr>
          <w:ilvl w:val="0"/>
          <w:numId w:val="12"/>
        </w:numPr>
        <w:pBdr>
          <w:top w:val="single" w:sz="4" w:space="0" w:color="auto"/>
          <w:left w:val="single" w:sz="4" w:space="4" w:color="auto"/>
          <w:bottom w:val="single" w:sz="4" w:space="1" w:color="auto"/>
          <w:right w:val="single" w:sz="4" w:space="4" w:color="auto"/>
        </w:pBdr>
      </w:pPr>
      <w:r w:rsidRPr="00325B1C">
        <w:t xml:space="preserve">verify that the biosecurity status of consignments of apples from PNW-USA meet Australia’s import conditions. When inspecting consignments, the </w:t>
      </w:r>
      <w:r w:rsidRPr="00325B1C">
        <w:rPr>
          <w:color w:val="000000"/>
        </w:rPr>
        <w:t xml:space="preserve">department </w:t>
      </w:r>
      <w:r w:rsidRPr="00325B1C">
        <w:t>will use random samples of 600</w:t>
      </w:r>
      <w:r>
        <w:t xml:space="preserve"> </w:t>
      </w:r>
      <w:r w:rsidRPr="00325B1C">
        <w:t>units</w:t>
      </w:r>
      <w:r>
        <w:t xml:space="preserve"> or equivalent</w:t>
      </w:r>
      <w:r w:rsidRPr="00325B1C">
        <w:t xml:space="preserve"> per phytosanitary certificate and an inspection method suitable for the commodity.</w:t>
      </w:r>
    </w:p>
    <w:p w14:paraId="729E9192" w14:textId="77777777" w:rsidR="003438A2" w:rsidRPr="00354872" w:rsidRDefault="003438A2" w:rsidP="00354872">
      <w:pPr>
        <w:pStyle w:val="Heading4"/>
      </w:pPr>
      <w:bookmarkStart w:id="519" w:name="_Ref108442747"/>
      <w:r w:rsidRPr="00354872">
        <w:t>Remedial action(s) for non-compliance</w:t>
      </w:r>
      <w:bookmarkEnd w:id="519"/>
    </w:p>
    <w:p w14:paraId="48438ADF" w14:textId="77777777" w:rsidR="003438A2" w:rsidRPr="00325B1C" w:rsidRDefault="003438A2" w:rsidP="00D402BF">
      <w:r w:rsidRPr="00325B1C">
        <w:t>The objectives of remedial action(s) for non-compliance are to ensure that:</w:t>
      </w:r>
    </w:p>
    <w:p w14:paraId="6233582A" w14:textId="77777777" w:rsidR="003438A2" w:rsidRPr="00325B1C" w:rsidRDefault="003438A2" w:rsidP="003438A2">
      <w:pPr>
        <w:pStyle w:val="ListBullet"/>
        <w:numPr>
          <w:ilvl w:val="0"/>
          <w:numId w:val="15"/>
        </w:numPr>
      </w:pPr>
      <w:r w:rsidRPr="00325B1C">
        <w:t>any quarantine pest or regulated article, including trash, is addressed by remedial action, as appropriate</w:t>
      </w:r>
    </w:p>
    <w:p w14:paraId="66CA2437" w14:textId="77777777" w:rsidR="003438A2" w:rsidRPr="00325B1C" w:rsidRDefault="003438A2" w:rsidP="003438A2">
      <w:pPr>
        <w:pStyle w:val="ListBullet"/>
        <w:numPr>
          <w:ilvl w:val="0"/>
          <w:numId w:val="15"/>
        </w:numPr>
      </w:pPr>
      <w:r w:rsidRPr="00325B1C">
        <w:t>non-compliance with import requirements is addressed, as appropriate.</w:t>
      </w:r>
    </w:p>
    <w:p w14:paraId="73DC2D77" w14:textId="77777777" w:rsidR="003438A2" w:rsidRPr="008A7BC8" w:rsidRDefault="003438A2" w:rsidP="00D402BF">
      <w:pPr>
        <w:pBdr>
          <w:top w:val="single" w:sz="4" w:space="1" w:color="auto"/>
          <w:left w:val="single" w:sz="4" w:space="4" w:color="auto"/>
          <w:bottom w:val="single" w:sz="4" w:space="0" w:color="auto"/>
          <w:right w:val="single" w:sz="4" w:space="4" w:color="auto"/>
        </w:pBdr>
      </w:pPr>
      <w:r w:rsidRPr="00325B1C">
        <w:t xml:space="preserve">Any consignment that fails to meet Australia’s import conditions </w:t>
      </w:r>
      <w:r>
        <w:t>will be</w:t>
      </w:r>
      <w:r w:rsidRPr="00325B1C">
        <w:t xml:space="preserve"> subject to a suitable remedial treatment where an effective treatment is available and biosecurity risks associated with applying the treatment ca</w:t>
      </w:r>
      <w:r>
        <w:t xml:space="preserve">n be effectively managed, or </w:t>
      </w:r>
      <w:r w:rsidRPr="00325B1C">
        <w:t xml:space="preserve">the imported consignment will be </w:t>
      </w:r>
      <w:r w:rsidRPr="008A7BC8">
        <w:t>exported or destroyed.</w:t>
      </w:r>
    </w:p>
    <w:p w14:paraId="60C9261D" w14:textId="77777777" w:rsidR="003438A2" w:rsidRPr="008A7BC8" w:rsidRDefault="003438A2" w:rsidP="00D402BF">
      <w:r w:rsidRPr="008A7BC8">
        <w:t>Other actions including partial or complete suspension of the import pathway may be taken depending on the identity and/or importance of the pest intercepted</w:t>
      </w:r>
      <w:r>
        <w:t>;</w:t>
      </w:r>
      <w:r w:rsidRPr="008A7BC8">
        <w:t xml:space="preserve"> for example, fruit flies of economic importance or pests for which area freedom is established.</w:t>
      </w:r>
    </w:p>
    <w:p w14:paraId="1FC8185B" w14:textId="77777777" w:rsidR="003438A2" w:rsidRPr="008A7BC8" w:rsidRDefault="003438A2" w:rsidP="00D402BF">
      <w:r w:rsidRPr="008A7BC8">
        <w:t xml:space="preserve">In the event that apple consignments from the </w:t>
      </w:r>
      <w:r>
        <w:t>USA</w:t>
      </w:r>
      <w:r w:rsidRPr="008A7BC8">
        <w:t xml:space="preserve"> are repeatedly non-compliant, the </w:t>
      </w:r>
      <w:r>
        <w:t>d</w:t>
      </w:r>
      <w:r w:rsidRPr="008A7BC8">
        <w:t xml:space="preserve">epartment reserves the right to suspend imports (either all imports or imports from specific pathways) and conduct an audit of the risk management systems. Imports will be allowed to recommence only when the </w:t>
      </w:r>
      <w:r>
        <w:t>d</w:t>
      </w:r>
      <w:r w:rsidRPr="008A7BC8">
        <w:t>epartment is satisfied that appropriate corrective action has been undertaken.</w:t>
      </w:r>
    </w:p>
    <w:p w14:paraId="5A5B0B29" w14:textId="77777777" w:rsidR="003438A2" w:rsidRPr="00F40F41" w:rsidRDefault="003438A2" w:rsidP="00F843A1">
      <w:pPr>
        <w:pStyle w:val="Heading3"/>
        <w:numPr>
          <w:ilvl w:val="1"/>
          <w:numId w:val="30"/>
        </w:numPr>
      </w:pPr>
      <w:bookmarkStart w:id="520" w:name="_Toc389741459"/>
      <w:bookmarkStart w:id="521" w:name="_Toc467052045"/>
      <w:bookmarkStart w:id="522" w:name="_Ref108442780"/>
      <w:bookmarkStart w:id="523" w:name="_Toc112769032"/>
      <w:r w:rsidRPr="00F40F41">
        <w:lastRenderedPageBreak/>
        <w:t>Uncategorised pests</w:t>
      </w:r>
      <w:bookmarkEnd w:id="520"/>
      <w:bookmarkEnd w:id="521"/>
      <w:bookmarkEnd w:id="522"/>
      <w:bookmarkEnd w:id="523"/>
    </w:p>
    <w:p w14:paraId="71C81542" w14:textId="77777777" w:rsidR="003438A2" w:rsidRPr="002C553C" w:rsidRDefault="003438A2" w:rsidP="00D402BF">
      <w:r w:rsidRPr="002C553C">
        <w:t>If an organism that has not been categorised, including a contaminant pest, is detected on apples on</w:t>
      </w:r>
      <w:r>
        <w:t xml:space="preserve"> </w:t>
      </w:r>
      <w:r w:rsidRPr="002C553C">
        <w:t xml:space="preserve">arrival in Australia, it will require assessment by the </w:t>
      </w:r>
      <w:r>
        <w:t>d</w:t>
      </w:r>
      <w:r w:rsidRPr="002C553C">
        <w:t>epartment to determine its quarantine status and whether phytosanitary action is required.</w:t>
      </w:r>
    </w:p>
    <w:p w14:paraId="23E47E5D" w14:textId="77777777" w:rsidR="003438A2" w:rsidRPr="002C553C" w:rsidRDefault="003438A2" w:rsidP="00D402BF">
      <w:r w:rsidRPr="002C553C">
        <w:t>Assessment is also required if the detected species was categorised as not likely to be on the import pathway. If the detected species was categorised as on the pathway but assessed as having an unrestricted risk that achieves the ALOP for Australia, then it may require reassessment. The detection of any pests of biosecurity concern not already identified in the analysis may result in remedial action and/or temporary suspension of trade while a review is conducted to ensure that existing measures continue to provide the appropriate level of protection for Australia.</w:t>
      </w:r>
    </w:p>
    <w:p w14:paraId="0FD07328" w14:textId="77777777" w:rsidR="003438A2" w:rsidRPr="00F40F41" w:rsidRDefault="003438A2" w:rsidP="00F843A1">
      <w:pPr>
        <w:pStyle w:val="Heading3"/>
        <w:numPr>
          <w:ilvl w:val="1"/>
          <w:numId w:val="30"/>
        </w:numPr>
      </w:pPr>
      <w:bookmarkStart w:id="524" w:name="_Toc467052046"/>
      <w:bookmarkStart w:id="525" w:name="_Toc112769033"/>
      <w:r w:rsidRPr="00F40F41">
        <w:t>Review of processes</w:t>
      </w:r>
      <w:bookmarkEnd w:id="524"/>
      <w:bookmarkEnd w:id="525"/>
    </w:p>
    <w:p w14:paraId="4ADE6FF1" w14:textId="77777777" w:rsidR="003438A2" w:rsidRPr="00F40F41" w:rsidRDefault="003438A2" w:rsidP="00F843A1">
      <w:pPr>
        <w:pStyle w:val="Heading4"/>
        <w:numPr>
          <w:ilvl w:val="2"/>
          <w:numId w:val="30"/>
        </w:numPr>
        <w:tabs>
          <w:tab w:val="clear" w:pos="1362"/>
          <w:tab w:val="num" w:pos="794"/>
        </w:tabs>
        <w:ind w:left="1786"/>
      </w:pPr>
      <w:r w:rsidRPr="00F40F41">
        <w:t>Verification of protocol</w:t>
      </w:r>
    </w:p>
    <w:p w14:paraId="5279430C" w14:textId="77777777" w:rsidR="003438A2" w:rsidRPr="002C553C" w:rsidRDefault="003438A2" w:rsidP="00D402BF">
      <w:pPr>
        <w:rPr>
          <w:shd w:val="clear" w:color="auto" w:fill="D9E2F3" w:themeFill="accent1" w:themeFillTint="33"/>
        </w:rPr>
      </w:pPr>
      <w:r w:rsidRPr="002C553C">
        <w:t xml:space="preserve">Prior to or during the first season of trade, the </w:t>
      </w:r>
      <w:r>
        <w:t>d</w:t>
      </w:r>
      <w:r w:rsidRPr="002C553C">
        <w:t xml:space="preserve">epartment will verify the implementation of </w:t>
      </w:r>
      <w:r>
        <w:t xml:space="preserve">the </w:t>
      </w:r>
      <w:r w:rsidRPr="002C553C">
        <w:t xml:space="preserve">agreed import conditions and phytosanitary measures including registration, operational procedures and treatment providers, where applicable. This may involve representatives from the </w:t>
      </w:r>
      <w:r>
        <w:t>d</w:t>
      </w:r>
      <w:r w:rsidRPr="002C553C">
        <w:t>epartment visi</w:t>
      </w:r>
      <w:r>
        <w:t xml:space="preserve">ting areas in the </w:t>
      </w:r>
      <w:r w:rsidRPr="002C553C">
        <w:t>PNW-USA that produce apples</w:t>
      </w:r>
      <w:r w:rsidRPr="002C553C">
        <w:rPr>
          <w:color w:val="FF0000"/>
        </w:rPr>
        <w:t xml:space="preserve"> </w:t>
      </w:r>
      <w:r w:rsidRPr="002C553C">
        <w:t>for export to Australia.</w:t>
      </w:r>
    </w:p>
    <w:p w14:paraId="110DFCAD" w14:textId="77777777" w:rsidR="003438A2" w:rsidRPr="00AB1BD9" w:rsidRDefault="003438A2" w:rsidP="00F843A1">
      <w:pPr>
        <w:pStyle w:val="Heading4"/>
        <w:numPr>
          <w:ilvl w:val="2"/>
          <w:numId w:val="30"/>
        </w:numPr>
        <w:tabs>
          <w:tab w:val="clear" w:pos="1362"/>
          <w:tab w:val="num" w:pos="794"/>
        </w:tabs>
        <w:ind w:left="1786"/>
      </w:pPr>
      <w:bookmarkStart w:id="526" w:name="_Ref108442685"/>
      <w:r w:rsidRPr="00AB1BD9">
        <w:t>Review of policy</w:t>
      </w:r>
      <w:bookmarkEnd w:id="526"/>
    </w:p>
    <w:p w14:paraId="60A3401A" w14:textId="77777777" w:rsidR="003438A2" w:rsidRPr="002C553C" w:rsidRDefault="003438A2" w:rsidP="00D402BF">
      <w:r w:rsidRPr="002C553C">
        <w:t xml:space="preserve">The </w:t>
      </w:r>
      <w:r>
        <w:t>d</w:t>
      </w:r>
      <w:r w:rsidRPr="002C553C">
        <w:t xml:space="preserve">epartment will review the import policy after </w:t>
      </w:r>
      <w:r>
        <w:t>an appropriate volume of trade has occurred</w:t>
      </w:r>
      <w:r w:rsidRPr="002C553C">
        <w:t xml:space="preserve">. In addition, the department reserves the right to review the import policy as deemed necessary, </w:t>
      </w:r>
      <w:r>
        <w:t>including if</w:t>
      </w:r>
      <w:r w:rsidRPr="002C553C">
        <w:t xml:space="preserve"> there is reason to believe that the pest or phytosani</w:t>
      </w:r>
      <w:r>
        <w:t xml:space="preserve">tary status in </w:t>
      </w:r>
      <w:r w:rsidRPr="002C553C">
        <w:t>PNW-USA has changed.</w:t>
      </w:r>
    </w:p>
    <w:p w14:paraId="71DF1BAE" w14:textId="77777777" w:rsidR="003438A2" w:rsidRDefault="003438A2" w:rsidP="00D402BF">
      <w:r w:rsidRPr="002C553C">
        <w:t xml:space="preserve">USDA-APHIS must inform the </w:t>
      </w:r>
      <w:r>
        <w:t>d</w:t>
      </w:r>
      <w:r w:rsidRPr="002C553C">
        <w:t xml:space="preserve">epartment immediately </w:t>
      </w:r>
      <w:r>
        <w:t>on detection of any</w:t>
      </w:r>
      <w:r w:rsidRPr="002C553C">
        <w:t xml:space="preserve"> new pests of apples </w:t>
      </w:r>
      <w:r>
        <w:t xml:space="preserve">in the PNW-USA </w:t>
      </w:r>
      <w:r w:rsidRPr="002C553C">
        <w:t xml:space="preserve">that </w:t>
      </w:r>
      <w:r>
        <w:t>might be</w:t>
      </w:r>
      <w:r w:rsidRPr="002C553C">
        <w:t xml:space="preserve"> of potential biosecurity concern to Australia</w:t>
      </w:r>
      <w:r>
        <w:t>.</w:t>
      </w:r>
    </w:p>
    <w:p w14:paraId="1735D42E" w14:textId="77777777" w:rsidR="003438A2" w:rsidRPr="00F40F41" w:rsidRDefault="003438A2" w:rsidP="00F843A1">
      <w:pPr>
        <w:pStyle w:val="Heading3"/>
        <w:numPr>
          <w:ilvl w:val="1"/>
          <w:numId w:val="30"/>
        </w:numPr>
      </w:pPr>
      <w:bookmarkStart w:id="527" w:name="_Toc467052047"/>
      <w:bookmarkStart w:id="528" w:name="_Ref108442879"/>
      <w:bookmarkStart w:id="529" w:name="_Ref108442886"/>
      <w:bookmarkStart w:id="530" w:name="_Toc112769034"/>
      <w:r w:rsidRPr="00F40F41">
        <w:t>Meeting Australia’s food laws</w:t>
      </w:r>
      <w:bookmarkEnd w:id="527"/>
      <w:bookmarkEnd w:id="528"/>
      <w:bookmarkEnd w:id="529"/>
      <w:bookmarkEnd w:id="530"/>
    </w:p>
    <w:p w14:paraId="0719A6D5" w14:textId="77777777" w:rsidR="003438A2" w:rsidRPr="00945121" w:rsidRDefault="003438A2" w:rsidP="00D402BF">
      <w:r w:rsidRPr="00945121">
        <w:t xml:space="preserve">In addition to meeting Australia's biosecurity laws, imported food for human consumption must comply with the requirements of the </w:t>
      </w:r>
      <w:r w:rsidRPr="00945121">
        <w:rPr>
          <w:rStyle w:val="Emphasis"/>
        </w:rPr>
        <w:t>Imported Food Control Act 1992</w:t>
      </w:r>
      <w:r w:rsidRPr="00945121">
        <w:t>, as well as Australian state and territory food laws. Among other things, these laws require all food, including imported food, to meet the standards set out in the Australia New Zealand Food Standards Code (the Code).</w:t>
      </w:r>
    </w:p>
    <w:p w14:paraId="7E21DCBE" w14:textId="77777777" w:rsidR="003438A2" w:rsidRPr="00945121" w:rsidRDefault="003438A2" w:rsidP="00D402BF">
      <w:pPr>
        <w:rPr>
          <w:rFonts w:eastAsiaTheme="minorEastAsia" w:cs="Times New Roman"/>
        </w:rPr>
      </w:pPr>
      <w:r w:rsidRPr="00945121">
        <w:t xml:space="preserve">Food Standards Australia New Zealand (FSANZ) is responsible for developing and maintaining the Code. The Code is available at </w:t>
      </w:r>
      <w:hyperlink r:id="rId84" w:history="1">
        <w:r w:rsidRPr="00945121">
          <w:rPr>
            <w:rStyle w:val="Hyperlink"/>
          </w:rPr>
          <w:t>foodstandards.gov.au/code/Pages/default.aspx</w:t>
        </w:r>
      </w:hyperlink>
      <w:r w:rsidRPr="00945121">
        <w:t>.</w:t>
      </w:r>
    </w:p>
    <w:p w14:paraId="741E5B08" w14:textId="77777777" w:rsidR="003438A2" w:rsidRPr="00945121" w:rsidRDefault="003438A2" w:rsidP="00D402BF">
      <w:r w:rsidRPr="00945121">
        <w:t xml:space="preserve">The department administers the </w:t>
      </w:r>
      <w:r w:rsidRPr="00945121">
        <w:rPr>
          <w:rStyle w:val="Emphasis"/>
        </w:rPr>
        <w:t>Imported Food Control Act 1992</w:t>
      </w:r>
      <w:r w:rsidRPr="00945121">
        <w:t xml:space="preserve"> </w:t>
      </w:r>
      <w:r w:rsidRPr="00DB31E1">
        <w:t>which</w:t>
      </w:r>
      <w:r w:rsidRPr="00DB31E1">
        <w:rPr>
          <w:rStyle w:val="StyleItalic"/>
        </w:rPr>
        <w:t xml:space="preserve"> supports</w:t>
      </w:r>
      <w:r w:rsidRPr="00E05915">
        <w:rPr>
          <w:rStyle w:val="StyleItalic"/>
        </w:rPr>
        <w:t xml:space="preserve"> the inspection and testing of imported food to verify its safety and compliance with Australia's food standards, including the Code</w:t>
      </w:r>
      <w:r w:rsidRPr="00E05915">
        <w:rPr>
          <w:i/>
          <w:iCs/>
        </w:rPr>
        <w:t xml:space="preserve">. </w:t>
      </w:r>
      <w:r w:rsidRPr="00945121">
        <w:t xml:space="preserve">This is undertaken through a risk-based border inspection program, the Imported Food Inspection Scheme. More information about this scheme is available at </w:t>
      </w:r>
      <w:hyperlink r:id="rId85" w:history="1">
        <w:r w:rsidRPr="00945121">
          <w:rPr>
            <w:rStyle w:val="Hyperlink"/>
          </w:rPr>
          <w:t>awe.gov.au/biosecurity-trade/import/goods/food/inspection-compliance/inspection-scheme</w:t>
        </w:r>
      </w:hyperlink>
      <w:r w:rsidRPr="00945121">
        <w:t>.</w:t>
      </w:r>
    </w:p>
    <w:p w14:paraId="4B974568" w14:textId="77777777" w:rsidR="003438A2" w:rsidRPr="00945121" w:rsidRDefault="003438A2" w:rsidP="00D402BF">
      <w:r w:rsidRPr="00945121">
        <w:t xml:space="preserve">Standard 1.4.2 and Schedules 20, 21 and 22 of the Code set out the maximum residue limits and extraneous residue limits for agricultural or veterinary chemicals that are permitted in foods for sale, including imported food. Standard 1.1.1 of the Code specifies that a food must not have, as </w:t>
      </w:r>
      <w:r w:rsidRPr="00945121">
        <w:lastRenderedPageBreak/>
        <w:t>an ingredient or a component, a detectable amount of an agricultural or veterinary chemical, or a metabolite or a degradation product of the agricultural or veterinary chemical</w:t>
      </w:r>
      <w:r>
        <w:t>,</w:t>
      </w:r>
      <w:r w:rsidRPr="00945121">
        <w:t xml:space="preserve"> unless expressly permitted by the Code.</w:t>
      </w:r>
    </w:p>
    <w:p w14:paraId="054E783B" w14:textId="77777777" w:rsidR="003438A2" w:rsidRDefault="003438A2" w:rsidP="00D402BF">
      <w:pPr>
        <w:sectPr w:rsidR="003438A2">
          <w:headerReference w:type="even" r:id="rId86"/>
          <w:headerReference w:type="default" r:id="rId87"/>
          <w:headerReference w:type="first" r:id="rId88"/>
          <w:pgSz w:w="11906" w:h="16838"/>
          <w:pgMar w:top="1418" w:right="1418" w:bottom="1418" w:left="1418" w:header="567" w:footer="283" w:gutter="0"/>
          <w:cols w:space="708"/>
          <w:docGrid w:linePitch="360"/>
        </w:sectPr>
      </w:pPr>
      <w:r w:rsidRPr="00945121">
        <w:t xml:space="preserve">Certain imported food, including some minimally processed horticulture products, must be covered by a food safety management certificate to be imported into Australia. The certificate provides evidence that a food has been produced through a food safety management system. This system must have appropriate controls in place to manage food safety hazards. More information about the foods that require a food safety management certificate and how to comply is available at </w:t>
      </w:r>
      <w:hyperlink r:id="rId89" w:history="1">
        <w:r w:rsidRPr="00945121">
          <w:rPr>
            <w:rStyle w:val="Hyperlink"/>
          </w:rPr>
          <w:t>awe.gov.au/biosecurity-trade/import/goods/food/safety-management-certificates</w:t>
        </w:r>
      </w:hyperlink>
      <w:r>
        <w:t>.</w:t>
      </w:r>
    </w:p>
    <w:p w14:paraId="2E6733EB" w14:textId="77777777" w:rsidR="003438A2" w:rsidRPr="00F40F41" w:rsidRDefault="003438A2" w:rsidP="00F40F41">
      <w:pPr>
        <w:pStyle w:val="Heading2"/>
      </w:pPr>
      <w:bookmarkStart w:id="531" w:name="_Toc112769035"/>
      <w:bookmarkEnd w:id="486"/>
      <w:r w:rsidRPr="00F40F41">
        <w:lastRenderedPageBreak/>
        <w:t>Conclusion</w:t>
      </w:r>
      <w:bookmarkEnd w:id="531"/>
    </w:p>
    <w:p w14:paraId="483F98F6" w14:textId="77777777" w:rsidR="003438A2" w:rsidRPr="005B73EE" w:rsidRDefault="003438A2" w:rsidP="001A4EA6">
      <w:r>
        <w:t xml:space="preserve">This risk analysis report was conducted to </w:t>
      </w:r>
      <w:r w:rsidRPr="00945121">
        <w:rPr>
          <w:color w:val="000000" w:themeColor="text1"/>
        </w:rPr>
        <w:t xml:space="preserve">assess the proposal by the </w:t>
      </w:r>
      <w:r>
        <w:rPr>
          <w:color w:val="000000" w:themeColor="text1"/>
        </w:rPr>
        <w:t>USDA-APHIS</w:t>
      </w:r>
      <w:r w:rsidRPr="00945121">
        <w:rPr>
          <w:color w:val="000000" w:themeColor="text1"/>
        </w:rPr>
        <w:t xml:space="preserve"> for market access to Australia for </w:t>
      </w:r>
      <w:r>
        <w:rPr>
          <w:color w:val="000000" w:themeColor="text1"/>
        </w:rPr>
        <w:t xml:space="preserve">fresh </w:t>
      </w:r>
      <w:r w:rsidRPr="005B73EE">
        <w:rPr>
          <w:color w:val="000000" w:themeColor="text1"/>
        </w:rPr>
        <w:t>mature apple fruit produced from the PNW-USA for human consumption</w:t>
      </w:r>
      <w:r w:rsidRPr="005B73EE">
        <w:t>.</w:t>
      </w:r>
    </w:p>
    <w:p w14:paraId="4ADBDFFF" w14:textId="77777777" w:rsidR="003438A2" w:rsidRPr="005B73EE" w:rsidRDefault="003438A2" w:rsidP="000F08C1">
      <w:r w:rsidRPr="005B73EE">
        <w:t xml:space="preserve">The risk analysis was conducted in accordance with Australia’s method for pest risk analysis (Appendix A), which is consistent with the International Standards for Phytosanitary Measures (ISPMs), including ISPM 2: </w:t>
      </w:r>
      <w:r w:rsidRPr="005B73EE">
        <w:rPr>
          <w:i/>
        </w:rPr>
        <w:t xml:space="preserve">Framework for pest risk analysis </w:t>
      </w:r>
      <w:r w:rsidRPr="005B73EE">
        <w:rPr>
          <w:noProof/>
        </w:rPr>
        <w:t>(FAO 2021a)</w:t>
      </w:r>
      <w:r w:rsidRPr="005B73EE">
        <w:t xml:space="preserve"> and ISPM 11: </w:t>
      </w:r>
      <w:r w:rsidRPr="005B73EE">
        <w:rPr>
          <w:i/>
        </w:rPr>
        <w:t xml:space="preserve">Pest risk analysis for quarantine pests </w:t>
      </w:r>
      <w:r w:rsidRPr="005B73EE">
        <w:rPr>
          <w:noProof/>
        </w:rPr>
        <w:t>(FAO 2021e)</w:t>
      </w:r>
      <w:r w:rsidRPr="005B73EE">
        <w:t xml:space="preserve">, and the </w:t>
      </w:r>
      <w:r w:rsidRPr="005B73EE">
        <w:rPr>
          <w:rFonts w:cstheme="minorHAnsi"/>
          <w:lang w:eastAsia="ja-JP"/>
        </w:rPr>
        <w:t xml:space="preserve">WTO Agreement on the Application of Sanitary and Phytosanitary Measures </w:t>
      </w:r>
      <w:r w:rsidRPr="005B73EE">
        <w:rPr>
          <w:noProof/>
        </w:rPr>
        <w:t>(WTO 1995)</w:t>
      </w:r>
      <w:r w:rsidRPr="005B73EE">
        <w:t xml:space="preserve">. </w:t>
      </w:r>
    </w:p>
    <w:p w14:paraId="702D102D" w14:textId="77777777" w:rsidR="003438A2" w:rsidRPr="005B73EE" w:rsidRDefault="003438A2" w:rsidP="001A4EA6">
      <w:r w:rsidRPr="005B73EE">
        <w:t>In conclusion, this report recommends</w:t>
      </w:r>
      <w:r w:rsidRPr="005B73EE">
        <w:rPr>
          <w:color w:val="000000" w:themeColor="text1"/>
        </w:rPr>
        <w:t xml:space="preserve"> that the importation of commercially produced fresh apple fruit to Australia from all commercial production areas of the PNW-USA be permitted, subject to a range of biosecurity requirements outlined in Chapter 5.</w:t>
      </w:r>
    </w:p>
    <w:p w14:paraId="0BD286B0" w14:textId="77777777" w:rsidR="003438A2" w:rsidRPr="005B73EE" w:rsidRDefault="003438A2" w:rsidP="003C32C4">
      <w:r w:rsidRPr="005B73EE">
        <w:t>The findings of this report are based on a comprehensive analysis of scientific literature and other relevant information.</w:t>
      </w:r>
    </w:p>
    <w:p w14:paraId="2685B6A0" w14:textId="77777777" w:rsidR="003438A2" w:rsidRPr="005B73EE" w:rsidRDefault="003438A2" w:rsidP="00BE32B7">
      <w:r w:rsidRPr="005B73EE">
        <w:t xml:space="preserve">The Department of </w:t>
      </w:r>
      <w:r w:rsidRPr="005B73EE">
        <w:rPr>
          <w:szCs w:val="18"/>
        </w:rPr>
        <w:t>Agriculture, Fisheries and Forestry</w:t>
      </w:r>
      <w:r w:rsidRPr="005B73EE">
        <w:t xml:space="preserve"> considers that the risk management measures recommended in this report will provide an appropriate level of protection against the quarantine pests and regulated article identified as potentially associated with the trade of fresh apple fruit from the PNW-USA.</w:t>
      </w:r>
    </w:p>
    <w:p w14:paraId="72BBE3CD" w14:textId="77777777" w:rsidR="003438A2" w:rsidRDefault="003438A2" w:rsidP="00BE32B7">
      <w:pPr>
        <w:rPr>
          <w:lang w:val="en-US"/>
        </w:rPr>
      </w:pPr>
      <w:r w:rsidRPr="005B73EE">
        <w:rPr>
          <w:lang w:val="en-US"/>
        </w:rPr>
        <w:t xml:space="preserve">All fresh fruit, including fresh mature apple fruit from the PNW-USA, have been determined by the Director of Biosecurity to be conditionally non-prohibited goods under s174 of the </w:t>
      </w:r>
      <w:r w:rsidRPr="005B73EE">
        <w:rPr>
          <w:i/>
          <w:iCs/>
          <w:lang w:val="en-US"/>
        </w:rPr>
        <w:t>Biosecurity Act 2015</w:t>
      </w:r>
      <w:r w:rsidRPr="005B73EE">
        <w:rPr>
          <w:lang w:val="en-US"/>
        </w:rPr>
        <w:t>. Conditionally non-prohibited goods cannot be brought or imported into Australia unless they meet specific import conditions.</w:t>
      </w:r>
    </w:p>
    <w:p w14:paraId="2D1F1AD9" w14:textId="77777777" w:rsidR="003438A2" w:rsidRDefault="003438A2" w:rsidP="001A4EA6">
      <w:r>
        <w:rPr>
          <w:rFonts w:cstheme="minorHAnsi"/>
        </w:rPr>
        <w:t xml:space="preserve">This </w:t>
      </w:r>
      <w:r w:rsidRPr="00251540">
        <w:rPr>
          <w:rFonts w:cstheme="minorHAnsi"/>
        </w:rPr>
        <w:t xml:space="preserve">report provides the basis for import conditions for </w:t>
      </w:r>
      <w:r>
        <w:rPr>
          <w:rFonts w:cstheme="minorHAnsi"/>
        </w:rPr>
        <w:t>fresh apple</w:t>
      </w:r>
      <w:r w:rsidRPr="00251540">
        <w:rPr>
          <w:rFonts w:cstheme="minorHAnsi"/>
        </w:rPr>
        <w:t xml:space="preserve"> fruit from </w:t>
      </w:r>
      <w:r>
        <w:rPr>
          <w:rFonts w:cstheme="minorHAnsi"/>
        </w:rPr>
        <w:t>the PNW-USA</w:t>
      </w:r>
      <w:r w:rsidRPr="00251540">
        <w:rPr>
          <w:rFonts w:cstheme="minorHAnsi"/>
        </w:rPr>
        <w:t xml:space="preserve"> for human consumption. The import conditions </w:t>
      </w:r>
      <w:r>
        <w:rPr>
          <w:rFonts w:cstheme="minorHAnsi"/>
        </w:rPr>
        <w:t xml:space="preserve">will be communicated on BICON. The publication of import conditions on BICON is subject to the USDA-APHIS being able to demonstrate that </w:t>
      </w:r>
      <w:r w:rsidRPr="00360030">
        <w:t xml:space="preserve">processes and procedures are in place to implement the </w:t>
      </w:r>
      <w:r>
        <w:t xml:space="preserve">required </w:t>
      </w:r>
      <w:r w:rsidRPr="00360030">
        <w:t>risk management measures</w:t>
      </w:r>
      <w:r>
        <w:t xml:space="preserve"> and specific commercial production practices.</w:t>
      </w:r>
    </w:p>
    <w:p w14:paraId="1D55B58D" w14:textId="77777777" w:rsidR="003438A2" w:rsidRDefault="003438A2" w:rsidP="001A4EA6"/>
    <w:p w14:paraId="7C2296F8" w14:textId="77777777" w:rsidR="003438A2" w:rsidRDefault="003438A2" w:rsidP="003C32C4"/>
    <w:p w14:paraId="5606A380" w14:textId="77777777" w:rsidR="003438A2" w:rsidRDefault="003438A2" w:rsidP="003C32C4">
      <w:pPr>
        <w:sectPr w:rsidR="003438A2">
          <w:headerReference w:type="even" r:id="rId90"/>
          <w:headerReference w:type="default" r:id="rId91"/>
          <w:headerReference w:type="first" r:id="rId92"/>
          <w:pgSz w:w="11906" w:h="16838"/>
          <w:pgMar w:top="1418" w:right="1418" w:bottom="1418" w:left="1418" w:header="567" w:footer="283" w:gutter="0"/>
          <w:cols w:space="708"/>
          <w:docGrid w:linePitch="360"/>
        </w:sectPr>
      </w:pPr>
    </w:p>
    <w:p w14:paraId="57BB45A2" w14:textId="77777777" w:rsidR="003438A2" w:rsidRPr="00D6504B" w:rsidRDefault="003438A2" w:rsidP="005B1E45">
      <w:pPr>
        <w:pStyle w:val="Heading2"/>
        <w:numPr>
          <w:ilvl w:val="0"/>
          <w:numId w:val="0"/>
        </w:numPr>
      </w:pPr>
      <w:bookmarkStart w:id="532" w:name="_Appendix_A:_Initiation"/>
      <w:bookmarkStart w:id="533" w:name="_Ref16580492"/>
      <w:bookmarkStart w:id="534" w:name="_Ref16580499"/>
      <w:bookmarkStart w:id="535" w:name="_Ref16580570"/>
      <w:bookmarkStart w:id="536" w:name="_Ref16580664"/>
      <w:bookmarkStart w:id="537" w:name="_Toc112769036"/>
      <w:bookmarkStart w:id="538" w:name="_Hlk44966355"/>
      <w:bookmarkEnd w:id="487"/>
      <w:bookmarkEnd w:id="532"/>
      <w:r w:rsidRPr="00D6504B">
        <w:lastRenderedPageBreak/>
        <w:t>Appendix A: Initiation and categorisation for pests of fresh apple fruit from the Pacific Northwest states of the USA</w:t>
      </w:r>
      <w:bookmarkEnd w:id="533"/>
      <w:bookmarkEnd w:id="534"/>
      <w:bookmarkEnd w:id="535"/>
      <w:bookmarkEnd w:id="536"/>
      <w:bookmarkEnd w:id="537"/>
    </w:p>
    <w:p w14:paraId="466B336A" w14:textId="77777777" w:rsidR="003438A2" w:rsidRPr="00D6504B" w:rsidRDefault="003438A2" w:rsidP="005B1E45">
      <w:r w:rsidRPr="00D6504B">
        <w:t>The steps in the initiation and categorisation processes are considered sequentially, with the assessment terminating at ‘Yes’ for column 3 (except for pests that are present, but under official control and/or pests of regional concern) or the first ‘No’ for columns 4, 5 or 6.</w:t>
      </w:r>
    </w:p>
    <w:p w14:paraId="19A04200" w14:textId="77777777" w:rsidR="003438A2" w:rsidRDefault="003438A2" w:rsidP="005B1E45">
      <w:r w:rsidRPr="00D6504B">
        <w:t>In the columns 3 and 7 of the table the acronyms ‘</w:t>
      </w:r>
      <w:r w:rsidRPr="00D6504B">
        <w:rPr>
          <w:color w:val="000000" w:themeColor="text1"/>
        </w:rPr>
        <w:t>EP, ‘NT’, ‘RA’, ‘Tas.</w:t>
      </w:r>
      <w:r w:rsidRPr="00D6504B">
        <w:t xml:space="preserve">’ and </w:t>
      </w:r>
      <w:r w:rsidRPr="00D6504B">
        <w:rPr>
          <w:color w:val="000000" w:themeColor="text1"/>
        </w:rPr>
        <w:t xml:space="preserve">‘WA’ </w:t>
      </w:r>
      <w:r w:rsidRPr="00D6504B">
        <w:t xml:space="preserve">are used. The acronym ‘EP’ (existing policy) is used in the final column (column 7) for pests that have previously been assessed by Australia and for which a policy exists. The acronym ‘RA’ (Regulated article) is used in the final column (column 7) for pests that are regulated articles. Refer to Section </w:t>
      </w:r>
      <w:r>
        <w:fldChar w:fldCharType="begin" w:fldLock="1"/>
      </w:r>
      <w:r>
        <w:instrText xml:space="preserve"> REF _Ref46060825 \r \h </w:instrText>
      </w:r>
      <w:r>
        <w:fldChar w:fldCharType="separate"/>
      </w:r>
      <w:r>
        <w:t>4.14</w:t>
      </w:r>
      <w:r>
        <w:fldChar w:fldCharType="end"/>
      </w:r>
      <w:r w:rsidRPr="00D6504B">
        <w:t xml:space="preserve"> for definition of a regulated article. The acronym of the (Australian) state and territory for which regional pests status is considered, such as </w:t>
      </w:r>
      <w:r w:rsidRPr="00D6504B">
        <w:rPr>
          <w:color w:val="000000" w:themeColor="text1"/>
        </w:rPr>
        <w:t>‘NT’ (Northern Territory), ‘Tas.’ (Tasmania)</w:t>
      </w:r>
      <w:r w:rsidRPr="00D6504B">
        <w:t xml:space="preserve">, or </w:t>
      </w:r>
      <w:r w:rsidRPr="00D6504B">
        <w:rPr>
          <w:color w:val="000000" w:themeColor="text1"/>
        </w:rPr>
        <w:t xml:space="preserve">‘WA’ (Western Australia), </w:t>
      </w:r>
      <w:r w:rsidRPr="00D6504B">
        <w:t xml:space="preserve">is used to identify organisms that have been recorded in some regions of Australia, and, consistent with interstate quarantine regulations, are considered pests of regional concern. Similarly, acronyms of the Pacific Northwest states and other states in the United States </w:t>
      </w:r>
      <w:r>
        <w:rPr>
          <w:noProof/>
        </w:rPr>
        <w:t>(USA Map 2018)</w:t>
      </w:r>
      <w:r w:rsidRPr="003F577C">
        <w:t xml:space="preserve"> </w:t>
      </w:r>
      <w:r w:rsidRPr="00D6504B">
        <w:t>of relevance to a specific pest are included in column 2 of the table, such as CA (California), ID (Idaho), OR (Oregon) and WA (Washington State).</w:t>
      </w:r>
    </w:p>
    <w:p w14:paraId="3410C155" w14:textId="77777777" w:rsidR="003438A2" w:rsidRPr="00D6504B" w:rsidRDefault="003438A2" w:rsidP="005B1E45">
      <w:r w:rsidRPr="00D6504B">
        <w:t xml:space="preserve">The </w:t>
      </w:r>
      <w:r w:rsidRPr="00D6504B">
        <w:rPr>
          <w:i/>
        </w:rPr>
        <w:t xml:space="preserve">Final group pest risk analysis for thrips and </w:t>
      </w:r>
      <w:r w:rsidRPr="00773715">
        <w:rPr>
          <w:i/>
        </w:rPr>
        <w:t>orthotospoviruses on fresh fruit, vegetable, cut-flower and foliage imports</w:t>
      </w:r>
      <w:r w:rsidRPr="00773715">
        <w:t xml:space="preserve"> </w:t>
      </w:r>
      <w:bookmarkStart w:id="539" w:name="_Hlk47453217"/>
      <w:r w:rsidRPr="00773715">
        <w:rPr>
          <w:noProof/>
        </w:rPr>
        <w:t>(DAWR 2017)</w:t>
      </w:r>
      <w:r w:rsidRPr="00773715">
        <w:t xml:space="preserve"> </w:t>
      </w:r>
      <w:bookmarkEnd w:id="539"/>
      <w:r w:rsidRPr="00773715">
        <w:t xml:space="preserve">and </w:t>
      </w:r>
      <w:r w:rsidRPr="00773715">
        <w:rPr>
          <w:i/>
        </w:rPr>
        <w:t>Final group pest risk analysis for mealybugs and the viruses they transmit on fresh fruit, vegetable, cut-flower and foliage imports</w:t>
      </w:r>
      <w:r w:rsidRPr="00773715">
        <w:t xml:space="preserve"> </w:t>
      </w:r>
      <w:r w:rsidRPr="00773715">
        <w:rPr>
          <w:noProof/>
        </w:rPr>
        <w:t>(DAWR 2019)</w:t>
      </w:r>
      <w:r w:rsidRPr="00773715">
        <w:t xml:space="preserve"> have been applied in this risk analysis. Application of group policy involves identification of up to three species of each relevant group associated with the commodity pathway. However, if any other quarantine pests or regulated articles not included in this risk analysis and/or in the relevant group policies are detected at pre-export or on arrival in Australia, the relevant group policy will also apply.</w:t>
      </w:r>
    </w:p>
    <w:p w14:paraId="01D5B0BA" w14:textId="77777777" w:rsidR="003438A2" w:rsidRPr="00D6504B" w:rsidRDefault="003438A2" w:rsidP="005B1E45">
      <w:r w:rsidRPr="00D6504B">
        <w:t xml:space="preserve">Details of the method used in this risk analysis are given in </w:t>
      </w:r>
      <w:r>
        <w:t>Chapter</w:t>
      </w:r>
      <w:r w:rsidRPr="00D6504B">
        <w:t xml:space="preserve"> </w:t>
      </w:r>
      <w:r>
        <w:fldChar w:fldCharType="begin" w:fldLock="1"/>
      </w:r>
      <w:r>
        <w:instrText xml:space="preserve"> REF _Ref46060903 \r \h </w:instrText>
      </w:r>
      <w:r>
        <w:fldChar w:fldCharType="separate"/>
      </w:r>
      <w:r>
        <w:t>2</w:t>
      </w:r>
      <w:r>
        <w:fldChar w:fldCharType="end"/>
      </w:r>
      <w:r w:rsidRPr="00D6504B">
        <w:t>: Method for pest risk analysis.</w:t>
      </w:r>
    </w:p>
    <w:p w14:paraId="7DE970AF" w14:textId="77777777" w:rsidR="003438A2" w:rsidRDefault="003438A2" w:rsidP="005B1E45">
      <w:r w:rsidRPr="00D6504B">
        <w:t>For the purposes of pest categorisation, the table does not provide a comprehensive list of all pest species associated with apple production, but concentrates on pests that could be on the fresh apple fruit import pathway, and that are relevant to the proposed export areas, that is, the Pacific Northwest states of the United States of America (Idaho, Oregon and Washington). Identification of soil-borne nematodes, soil-borne pathogens, and secondary pests have not been listed, on the basis that they are not directly related to the import pathway of fresh apple fruit and would be addressed by Australia’s current approach to contaminating pests.</w:t>
      </w:r>
    </w:p>
    <w:p w14:paraId="7F94F4B7" w14:textId="77777777" w:rsidR="003438A2" w:rsidRDefault="003438A2" w:rsidP="00001F35">
      <w:r w:rsidRPr="00D6504B">
        <w:t xml:space="preserve">The Pacific Northwest States of the USA (defined above) are pest free areas for </w:t>
      </w:r>
      <w:r w:rsidRPr="003B7E6F">
        <w:t xml:space="preserve">all exotic fruit fly species under the Federal Regulation 7CFR301.32 </w:t>
      </w:r>
      <w:r w:rsidRPr="003B7E6F">
        <w:rPr>
          <w:noProof/>
        </w:rPr>
        <w:t>(USDA-APHIS 2019)</w:t>
      </w:r>
      <w:r w:rsidRPr="003B7E6F">
        <w:t xml:space="preserve"> 7 CFR 301.32 with the exception of apple maggot - </w:t>
      </w:r>
      <w:r w:rsidRPr="003B7E6F">
        <w:rPr>
          <w:i/>
        </w:rPr>
        <w:t>Rhagoletis pomonella</w:t>
      </w:r>
      <w:r w:rsidRPr="003B7E6F">
        <w:t xml:space="preserve"> Walsh, 1867. The occasional recorded presence of other fruit fly species in </w:t>
      </w:r>
      <w:smartTag w:uri="urn:schemas-microsoft-com:office:smarttags" w:element="State">
        <w:r w:rsidRPr="003B7E6F">
          <w:t>California</w:t>
        </w:r>
      </w:smartTag>
      <w:r w:rsidRPr="003B7E6F">
        <w:t xml:space="preserve"> is not considered to provide a justification that the pes</w:t>
      </w:r>
      <w:r w:rsidRPr="00D6504B">
        <w:t xml:space="preserve">t is likely to be found on apple fruit sourced from the </w:t>
      </w:r>
      <w:smartTag w:uri="urn:schemas-microsoft-com:office:smarttags" w:element="place">
        <w:r w:rsidRPr="00D6504B">
          <w:t>Pacific Northwest</w:t>
        </w:r>
      </w:smartTag>
      <w:r w:rsidRPr="00D6504B">
        <w:t xml:space="preserve">. For this reason, this pest categorisation does not include other fruit fly species that can elsewhere be associated with apples. However, as </w:t>
      </w:r>
      <w:r w:rsidRPr="00D6504B">
        <w:lastRenderedPageBreak/>
        <w:t xml:space="preserve">discussed in </w:t>
      </w:r>
      <w:r>
        <w:t>Chapter</w:t>
      </w:r>
      <w:r w:rsidRPr="00D6504B">
        <w:t xml:space="preserve"> </w:t>
      </w:r>
      <w:r>
        <w:fldChar w:fldCharType="begin" w:fldLock="1"/>
      </w:r>
      <w:r>
        <w:instrText xml:space="preserve"> REF _Ref46060952 \r \h </w:instrText>
      </w:r>
      <w:r>
        <w:fldChar w:fldCharType="separate"/>
      </w:r>
      <w:r>
        <w:t>5</w:t>
      </w:r>
      <w:r>
        <w:fldChar w:fldCharType="end"/>
      </w:r>
      <w:r w:rsidRPr="00D6504B">
        <w:t xml:space="preserve"> for Pest Risk Management, the maintenance of area freedom for all fruit flies other than </w:t>
      </w:r>
      <w:r w:rsidRPr="00D6504B">
        <w:rPr>
          <w:i/>
        </w:rPr>
        <w:t xml:space="preserve">R. pomonella </w:t>
      </w:r>
      <w:r w:rsidRPr="00D6504B">
        <w:t>will be required unless other quarantine measures are imposed.</w:t>
      </w:r>
    </w:p>
    <w:p w14:paraId="107D0D17" w14:textId="77777777" w:rsidR="003438A2" w:rsidRDefault="003438A2" w:rsidP="005B1E45">
      <w:r w:rsidRPr="00995F46">
        <w:t>The department is aware of the recent changes in fungal nomenclature which ended the separate naming of different states of fungi with a pleomorphic life cycle. However, as the nomenclature for these fungi is in a phase of transition and many priorities of names are still to be resolved, this report uses the generally accepted names and provides alternatively used names as synonyms, where required. As official lists of accepted and rejected fungal names become available, these accepted names will be adopted.</w:t>
      </w:r>
    </w:p>
    <w:p w14:paraId="286BE188" w14:textId="77777777" w:rsidR="003438A2" w:rsidRPr="00995F46" w:rsidRDefault="003438A2" w:rsidP="00662426">
      <w:r>
        <w:t>List of USA states: AK: Alaska, AL: Alabama, AR: Arkansas, AZ: Arizona, CA: California, CO: Colorado,</w:t>
      </w:r>
      <w:r w:rsidRPr="00662426">
        <w:t xml:space="preserve"> </w:t>
      </w:r>
      <w:r>
        <w:t>CT: Connecticut,</w:t>
      </w:r>
      <w:r w:rsidRPr="00662426">
        <w:t xml:space="preserve"> </w:t>
      </w:r>
      <w:r>
        <w:t>DC: District of Columbia,</w:t>
      </w:r>
      <w:r w:rsidRPr="00662426">
        <w:t xml:space="preserve"> </w:t>
      </w:r>
      <w:r>
        <w:t>DE: Delaware,</w:t>
      </w:r>
      <w:r w:rsidRPr="00662426">
        <w:t xml:space="preserve"> </w:t>
      </w:r>
      <w:r>
        <w:t>FL: Florida,</w:t>
      </w:r>
      <w:r w:rsidRPr="00662426">
        <w:t xml:space="preserve"> </w:t>
      </w:r>
      <w:r>
        <w:t>GA: Georgia,</w:t>
      </w:r>
      <w:r w:rsidRPr="00662426">
        <w:t xml:space="preserve"> </w:t>
      </w:r>
      <w:r>
        <w:t>HI: Hawaii,</w:t>
      </w:r>
      <w:r w:rsidRPr="00662426">
        <w:t xml:space="preserve"> </w:t>
      </w:r>
      <w:r>
        <w:t>IA: Iowa,</w:t>
      </w:r>
      <w:r w:rsidRPr="00662426">
        <w:t xml:space="preserve"> </w:t>
      </w:r>
      <w:r>
        <w:t>ID: Idaho,</w:t>
      </w:r>
      <w:r w:rsidRPr="00662426">
        <w:t xml:space="preserve"> </w:t>
      </w:r>
      <w:r>
        <w:t>IL: Illinois,</w:t>
      </w:r>
      <w:r w:rsidRPr="00662426">
        <w:t xml:space="preserve"> </w:t>
      </w:r>
      <w:r>
        <w:t>IN: Indiana, KS: Kansas,</w:t>
      </w:r>
      <w:r w:rsidRPr="00662426">
        <w:t xml:space="preserve"> </w:t>
      </w:r>
      <w:r>
        <w:t>KY: Kentucky,</w:t>
      </w:r>
      <w:r w:rsidRPr="00662426">
        <w:t xml:space="preserve"> </w:t>
      </w:r>
      <w:r>
        <w:t>LA: Louisiana,</w:t>
      </w:r>
      <w:r w:rsidRPr="00662426">
        <w:t xml:space="preserve"> </w:t>
      </w:r>
      <w:r>
        <w:t>MA: Massachusetts,</w:t>
      </w:r>
      <w:r w:rsidRPr="00662426">
        <w:t xml:space="preserve"> </w:t>
      </w:r>
      <w:r>
        <w:t>MD: Maryland,</w:t>
      </w:r>
      <w:r w:rsidRPr="00662426">
        <w:t xml:space="preserve"> </w:t>
      </w:r>
      <w:r>
        <w:t>ME: Maine, MI: Michigan,</w:t>
      </w:r>
      <w:r w:rsidRPr="00662426">
        <w:t xml:space="preserve"> </w:t>
      </w:r>
      <w:r>
        <w:t>MN: Minnesota,</w:t>
      </w:r>
      <w:r w:rsidRPr="00662426">
        <w:t xml:space="preserve"> </w:t>
      </w:r>
      <w:r>
        <w:t>MO: Missouri,</w:t>
      </w:r>
      <w:r w:rsidRPr="00662426">
        <w:t xml:space="preserve"> </w:t>
      </w:r>
      <w:r>
        <w:t>MS: Mississippi, MT: Montana, NC: North Carolina, ND: North Dakota, NE: Nebraska, NH: New Hampshire, NJ: New Jersey, NM: New Mexico, NV: Nevada, NY: New York, OH: Ohio, OK: Oklahoma, OR: Oregon, PA: Pennsylvania, RI: Rhode Island, SC: South Carolina, SD: South Dakota, TN: Tennessee, TX: Texas, UT: Utah, VA: Virginia, VT: Vermont, WA: Washington, WI: Wisconsin, WV: West Virginia, WY: Wyoming.</w:t>
      </w:r>
    </w:p>
    <w:tbl>
      <w:tblPr>
        <w:tblW w:w="0" w:type="auto"/>
        <w:jc w:val="center"/>
        <w:tblBorders>
          <w:top w:val="single" w:sz="4" w:space="0" w:color="auto"/>
          <w:bottom w:val="single" w:sz="4" w:space="0" w:color="auto"/>
          <w:insideH w:val="single" w:sz="4" w:space="0" w:color="BFBFBF"/>
        </w:tblBorders>
        <w:tblLayout w:type="fixed"/>
        <w:tblLook w:val="00A0" w:firstRow="1" w:lastRow="0" w:firstColumn="1" w:lastColumn="0" w:noHBand="0" w:noVBand="0"/>
      </w:tblPr>
      <w:tblGrid>
        <w:gridCol w:w="2553"/>
        <w:gridCol w:w="1474"/>
        <w:gridCol w:w="1474"/>
        <w:gridCol w:w="2552"/>
        <w:gridCol w:w="2381"/>
        <w:gridCol w:w="2211"/>
        <w:gridCol w:w="1191"/>
      </w:tblGrid>
      <w:tr w:rsidR="003438A2" w:rsidRPr="00243E34" w14:paraId="4C73ED89" w14:textId="77777777" w:rsidTr="00C4199F">
        <w:trPr>
          <w:cantSplit/>
          <w:tblHeader/>
          <w:jc w:val="center"/>
        </w:trPr>
        <w:tc>
          <w:tcPr>
            <w:tcW w:w="2553" w:type="dxa"/>
            <w:shd w:val="clear" w:color="auto" w:fill="auto"/>
          </w:tcPr>
          <w:p w14:paraId="4DB7DE65" w14:textId="77777777" w:rsidR="003438A2" w:rsidRPr="00243E34" w:rsidRDefault="003438A2" w:rsidP="00881E29">
            <w:pPr>
              <w:keepNext/>
              <w:spacing w:before="60" w:after="60" w:line="240" w:lineRule="auto"/>
              <w:rPr>
                <w:rFonts w:eastAsia="Calibri" w:cs="Times New Roman"/>
                <w:b/>
                <w:sz w:val="18"/>
              </w:rPr>
            </w:pPr>
            <w:r w:rsidRPr="00243E34">
              <w:rPr>
                <w:rFonts w:eastAsia="Calibri" w:cs="Times New Roman"/>
                <w:b/>
                <w:sz w:val="18"/>
              </w:rPr>
              <w:t>Pest</w:t>
            </w:r>
          </w:p>
        </w:tc>
        <w:tc>
          <w:tcPr>
            <w:tcW w:w="1474" w:type="dxa"/>
            <w:shd w:val="clear" w:color="auto" w:fill="auto"/>
          </w:tcPr>
          <w:p w14:paraId="21DBA72E" w14:textId="77777777" w:rsidR="003438A2" w:rsidRPr="00243E34" w:rsidRDefault="003438A2" w:rsidP="00881E29">
            <w:pPr>
              <w:keepNext/>
              <w:spacing w:before="60" w:after="60" w:line="240" w:lineRule="auto"/>
              <w:rPr>
                <w:rFonts w:eastAsia="Calibri" w:cs="Times New Roman"/>
                <w:b/>
                <w:sz w:val="18"/>
              </w:rPr>
            </w:pPr>
            <w:r w:rsidRPr="00243E34">
              <w:rPr>
                <w:rFonts w:eastAsia="Calibri" w:cs="Times New Roman"/>
                <w:b/>
                <w:sz w:val="18"/>
              </w:rPr>
              <w:t>Present in</w:t>
            </w:r>
            <w:r w:rsidRPr="00243E34">
              <w:rPr>
                <w:rFonts w:eastAsia="Calibri" w:cs="Times New Roman"/>
                <w:b/>
                <w:color w:val="FF0000"/>
                <w:sz w:val="18"/>
              </w:rPr>
              <w:t xml:space="preserve"> </w:t>
            </w:r>
            <w:r w:rsidRPr="003B7E6F">
              <w:rPr>
                <w:rFonts w:eastAsia="Calibri" w:cs="Times New Roman"/>
                <w:b/>
                <w:sz w:val="18"/>
              </w:rPr>
              <w:t>PNW-USA</w:t>
            </w:r>
          </w:p>
        </w:tc>
        <w:tc>
          <w:tcPr>
            <w:tcW w:w="1474" w:type="dxa"/>
            <w:shd w:val="clear" w:color="auto" w:fill="auto"/>
          </w:tcPr>
          <w:p w14:paraId="02A94510" w14:textId="77777777" w:rsidR="003438A2" w:rsidRPr="00243E34" w:rsidRDefault="003438A2" w:rsidP="00881E29">
            <w:pPr>
              <w:keepNext/>
              <w:spacing w:before="60" w:after="60" w:line="240" w:lineRule="auto"/>
              <w:rPr>
                <w:rFonts w:eastAsia="Calibri" w:cs="Times New Roman"/>
                <w:b/>
                <w:sz w:val="18"/>
              </w:rPr>
            </w:pPr>
            <w:r w:rsidRPr="00243E34">
              <w:rPr>
                <w:rFonts w:eastAsia="Calibri" w:cs="Times New Roman"/>
                <w:b/>
                <w:sz w:val="18"/>
              </w:rPr>
              <w:t>Present within Australia</w:t>
            </w:r>
          </w:p>
        </w:tc>
        <w:tc>
          <w:tcPr>
            <w:tcW w:w="2552" w:type="dxa"/>
            <w:shd w:val="clear" w:color="auto" w:fill="auto"/>
          </w:tcPr>
          <w:p w14:paraId="32CB36E1" w14:textId="77777777" w:rsidR="003438A2" w:rsidRPr="00243E34" w:rsidRDefault="003438A2" w:rsidP="00881E29">
            <w:pPr>
              <w:keepNext/>
              <w:spacing w:before="60" w:after="60" w:line="240" w:lineRule="auto"/>
              <w:rPr>
                <w:rFonts w:eastAsia="Calibri" w:cs="Times New Roman"/>
                <w:b/>
                <w:sz w:val="18"/>
              </w:rPr>
            </w:pPr>
            <w:r w:rsidRPr="00243E34">
              <w:rPr>
                <w:rFonts w:eastAsia="Calibri" w:cs="Times New Roman"/>
                <w:b/>
                <w:sz w:val="18"/>
              </w:rPr>
              <w:t>Potential to be on pathway</w:t>
            </w:r>
          </w:p>
        </w:tc>
        <w:tc>
          <w:tcPr>
            <w:tcW w:w="2381" w:type="dxa"/>
            <w:shd w:val="clear" w:color="auto" w:fill="auto"/>
          </w:tcPr>
          <w:p w14:paraId="390514D5" w14:textId="77777777" w:rsidR="003438A2" w:rsidRPr="00243E34" w:rsidRDefault="003438A2" w:rsidP="00881E29">
            <w:pPr>
              <w:keepNext/>
              <w:spacing w:before="60" w:after="60" w:line="240" w:lineRule="auto"/>
              <w:rPr>
                <w:rFonts w:eastAsia="Calibri" w:cs="Times New Roman"/>
                <w:b/>
                <w:sz w:val="18"/>
              </w:rPr>
            </w:pPr>
            <w:r w:rsidRPr="00243E34">
              <w:rPr>
                <w:rFonts w:eastAsia="Calibri" w:cs="Times New Roman"/>
                <w:b/>
                <w:sz w:val="18"/>
              </w:rPr>
              <w:t>Potential for establishment and spread</w:t>
            </w:r>
          </w:p>
        </w:tc>
        <w:tc>
          <w:tcPr>
            <w:tcW w:w="2211" w:type="dxa"/>
            <w:shd w:val="clear" w:color="auto" w:fill="auto"/>
          </w:tcPr>
          <w:p w14:paraId="12FCF79D" w14:textId="77777777" w:rsidR="003438A2" w:rsidRPr="00243E34" w:rsidRDefault="003438A2" w:rsidP="00881E29">
            <w:pPr>
              <w:keepNext/>
              <w:spacing w:before="60" w:after="60" w:line="240" w:lineRule="auto"/>
              <w:rPr>
                <w:rFonts w:eastAsia="Calibri" w:cs="Times New Roman"/>
                <w:b/>
                <w:sz w:val="18"/>
              </w:rPr>
            </w:pPr>
            <w:r w:rsidRPr="00243E34">
              <w:rPr>
                <w:rFonts w:eastAsia="Calibri" w:cs="Times New Roman"/>
                <w:b/>
                <w:sz w:val="18"/>
              </w:rPr>
              <w:t>Potential for economic consequences</w:t>
            </w:r>
          </w:p>
        </w:tc>
        <w:tc>
          <w:tcPr>
            <w:tcW w:w="1191" w:type="dxa"/>
            <w:shd w:val="clear" w:color="auto" w:fill="auto"/>
          </w:tcPr>
          <w:p w14:paraId="0DB3F969" w14:textId="77777777" w:rsidR="003438A2" w:rsidRPr="00243E34" w:rsidRDefault="003438A2" w:rsidP="00881E29">
            <w:pPr>
              <w:keepNext/>
              <w:spacing w:before="60" w:after="60" w:line="240" w:lineRule="auto"/>
              <w:rPr>
                <w:rFonts w:eastAsia="Calibri" w:cs="Times New Roman"/>
                <w:b/>
                <w:sz w:val="18"/>
              </w:rPr>
            </w:pPr>
            <w:r w:rsidRPr="00243E34">
              <w:rPr>
                <w:rFonts w:eastAsia="Calibri" w:cs="Times New Roman"/>
                <w:b/>
                <w:sz w:val="18"/>
              </w:rPr>
              <w:t>Pest risk assessment required</w:t>
            </w:r>
          </w:p>
        </w:tc>
      </w:tr>
      <w:tr w:rsidR="003438A2" w:rsidRPr="00243E34" w14:paraId="5CF8A9B3" w14:textId="77777777" w:rsidTr="00C4199F">
        <w:trPr>
          <w:cantSplit/>
          <w:jc w:val="center"/>
        </w:trPr>
        <w:tc>
          <w:tcPr>
            <w:tcW w:w="13836" w:type="dxa"/>
            <w:gridSpan w:val="7"/>
            <w:shd w:val="clear" w:color="auto" w:fill="auto"/>
          </w:tcPr>
          <w:p w14:paraId="166C8A0C" w14:textId="77777777" w:rsidR="003438A2" w:rsidRPr="00243E34" w:rsidRDefault="003438A2" w:rsidP="00881E29">
            <w:pPr>
              <w:spacing w:before="60" w:after="60" w:line="240" w:lineRule="auto"/>
              <w:rPr>
                <w:rFonts w:eastAsia="Calibri" w:cs="Times New Roman"/>
                <w:b/>
                <w:sz w:val="18"/>
                <w:lang w:val="pt-BR"/>
              </w:rPr>
            </w:pPr>
            <w:r w:rsidRPr="00243E34">
              <w:rPr>
                <w:rFonts w:eastAsia="Calibri" w:cs="Times New Roman"/>
                <w:b/>
                <w:sz w:val="18"/>
                <w:lang w:val="pt-BR"/>
              </w:rPr>
              <w:t>ARTHROPODS</w:t>
            </w:r>
          </w:p>
        </w:tc>
      </w:tr>
      <w:tr w:rsidR="003438A2" w:rsidRPr="004A0794" w14:paraId="0C120A6C" w14:textId="77777777" w:rsidTr="00C4199F">
        <w:tblPrEx>
          <w:tblBorders>
            <w:insideH w:val="single" w:sz="4" w:space="0" w:color="BFBFBF" w:themeColor="background1" w:themeShade="BF"/>
          </w:tblBorders>
        </w:tblPrEx>
        <w:trPr>
          <w:cantSplit/>
          <w:jc w:val="center"/>
        </w:trPr>
        <w:tc>
          <w:tcPr>
            <w:tcW w:w="13836" w:type="dxa"/>
            <w:gridSpan w:val="7"/>
            <w:shd w:val="clear" w:color="auto" w:fill="auto"/>
          </w:tcPr>
          <w:p w14:paraId="4A9332D6" w14:textId="77777777" w:rsidR="003438A2" w:rsidRPr="00F4563B" w:rsidRDefault="003438A2" w:rsidP="00881E29">
            <w:pPr>
              <w:pStyle w:val="TableText"/>
              <w:rPr>
                <w:b/>
                <w:bCs/>
                <w:szCs w:val="18"/>
              </w:rPr>
            </w:pPr>
            <w:r w:rsidRPr="00F4563B">
              <w:rPr>
                <w:rStyle w:val="lrzxr"/>
                <w:rFonts w:cs="Arial"/>
                <w:b/>
                <w:bCs/>
                <w:color w:val="222222"/>
                <w:szCs w:val="18"/>
              </w:rPr>
              <w:t>Trombidiformes</w:t>
            </w:r>
          </w:p>
        </w:tc>
      </w:tr>
      <w:tr w:rsidR="003438A2" w:rsidRPr="00BD5814" w14:paraId="3F273661" w14:textId="77777777" w:rsidTr="00C4199F">
        <w:tblPrEx>
          <w:tblBorders>
            <w:insideH w:val="single" w:sz="4" w:space="0" w:color="BFBFBF" w:themeColor="background1" w:themeShade="BF"/>
          </w:tblBorders>
        </w:tblPrEx>
        <w:trPr>
          <w:cantSplit/>
          <w:trHeight w:val="75"/>
          <w:jc w:val="center"/>
        </w:trPr>
        <w:tc>
          <w:tcPr>
            <w:tcW w:w="2553" w:type="dxa"/>
            <w:shd w:val="clear" w:color="auto" w:fill="auto"/>
          </w:tcPr>
          <w:p w14:paraId="2B267A12" w14:textId="77777777" w:rsidR="003438A2" w:rsidRPr="00410589" w:rsidRDefault="003438A2" w:rsidP="00881E29">
            <w:pPr>
              <w:pStyle w:val="TableText"/>
            </w:pPr>
            <w:r w:rsidRPr="00410589">
              <w:rPr>
                <w:i/>
              </w:rPr>
              <w:t xml:space="preserve">Aculus malivagrans </w:t>
            </w:r>
            <w:r w:rsidRPr="00410589">
              <w:t>(Keifer, 1946)</w:t>
            </w:r>
          </w:p>
          <w:p w14:paraId="7E25DE26" w14:textId="77777777" w:rsidR="003438A2" w:rsidRPr="00410589" w:rsidRDefault="003438A2" w:rsidP="00881E29">
            <w:pPr>
              <w:pStyle w:val="TableText"/>
            </w:pPr>
            <w:r w:rsidRPr="00410589">
              <w:t>[Eriophyidae]</w:t>
            </w:r>
          </w:p>
          <w:p w14:paraId="0DC8614D" w14:textId="77777777" w:rsidR="003438A2" w:rsidRPr="00410589" w:rsidRDefault="003438A2" w:rsidP="00881E29">
            <w:pPr>
              <w:pStyle w:val="TableText"/>
              <w:rPr>
                <w:i/>
              </w:rPr>
            </w:pPr>
            <w:r w:rsidRPr="00410589">
              <w:rPr>
                <w:i/>
              </w:rPr>
              <w:t>Aculus schlechtendali</w:t>
            </w:r>
          </w:p>
          <w:p w14:paraId="5B498670" w14:textId="77777777" w:rsidR="003438A2" w:rsidRPr="00410589" w:rsidRDefault="003438A2" w:rsidP="00881E29">
            <w:pPr>
              <w:pStyle w:val="TableText"/>
              <w:rPr>
                <w:i/>
              </w:rPr>
            </w:pPr>
            <w:r w:rsidRPr="00410589">
              <w:rPr>
                <w:i/>
              </w:rPr>
              <w:t>Vasates schlechtendali</w:t>
            </w:r>
          </w:p>
          <w:p w14:paraId="2EB74AC2" w14:textId="77777777" w:rsidR="003438A2" w:rsidRPr="00410589" w:rsidRDefault="003438A2" w:rsidP="00881E29">
            <w:pPr>
              <w:pStyle w:val="TableText"/>
              <w:rPr>
                <w:i/>
              </w:rPr>
            </w:pPr>
            <w:r w:rsidRPr="00410589">
              <w:rPr>
                <w:i/>
              </w:rPr>
              <w:t>Vasates malivagrans</w:t>
            </w:r>
          </w:p>
          <w:p w14:paraId="48BBC6AC" w14:textId="77777777" w:rsidR="003438A2" w:rsidRPr="00410589" w:rsidRDefault="003438A2" w:rsidP="00881E29">
            <w:pPr>
              <w:pStyle w:val="TableText"/>
            </w:pPr>
            <w:r w:rsidRPr="00410589">
              <w:t>Rust mite</w:t>
            </w:r>
          </w:p>
        </w:tc>
        <w:tc>
          <w:tcPr>
            <w:tcW w:w="1474" w:type="dxa"/>
            <w:shd w:val="clear" w:color="auto" w:fill="auto"/>
          </w:tcPr>
          <w:p w14:paraId="66C19849" w14:textId="77777777" w:rsidR="003438A2" w:rsidRPr="00410589" w:rsidRDefault="003438A2" w:rsidP="00EF6A09">
            <w:pPr>
              <w:spacing w:before="60" w:after="60" w:line="240" w:lineRule="auto"/>
              <w:rPr>
                <w:rFonts w:eastAsia="Calibri" w:cs="Times New Roman"/>
                <w:sz w:val="18"/>
                <w:szCs w:val="18"/>
              </w:rPr>
            </w:pPr>
            <w:r w:rsidRPr="00410589">
              <w:rPr>
                <w:rFonts w:eastAsia="Calibri" w:cs="Times New Roman"/>
                <w:sz w:val="18"/>
                <w:szCs w:val="18"/>
              </w:rPr>
              <w:t xml:space="preserve">Yes. Present in OR and WA </w:t>
            </w:r>
            <w:r w:rsidRPr="00410589">
              <w:rPr>
                <w:noProof/>
                <w:sz w:val="18"/>
                <w:szCs w:val="18"/>
              </w:rPr>
              <w:t>(CABI 2022; Wiman &amp; Stoven 2021b).</w:t>
            </w:r>
            <w:r w:rsidRPr="00410589">
              <w:rPr>
                <w:rFonts w:eastAsia="Calibri" w:cs="Times New Roman"/>
                <w:sz w:val="18"/>
                <w:szCs w:val="18"/>
              </w:rPr>
              <w:t xml:space="preserve"> Also present in CA </w:t>
            </w:r>
            <w:r w:rsidRPr="00410589">
              <w:rPr>
                <w:rFonts w:eastAsia="Calibri" w:cs="Times New Roman"/>
                <w:noProof/>
                <w:sz w:val="18"/>
                <w:szCs w:val="18"/>
              </w:rPr>
              <w:t>(Keifer 1952)</w:t>
            </w:r>
          </w:p>
        </w:tc>
        <w:tc>
          <w:tcPr>
            <w:tcW w:w="1474" w:type="dxa"/>
            <w:shd w:val="clear" w:color="auto" w:fill="auto"/>
          </w:tcPr>
          <w:p w14:paraId="2BFC26A0" w14:textId="77777777" w:rsidR="003438A2" w:rsidRPr="00410589" w:rsidRDefault="003438A2" w:rsidP="00A8147F">
            <w:pPr>
              <w:pStyle w:val="TableText"/>
            </w:pPr>
            <w:r w:rsidRPr="00410589">
              <w:rPr>
                <w:rFonts w:eastAsia="Calibri" w:cs="Times New Roman"/>
              </w:rPr>
              <w:t xml:space="preserve">Yes. Present in NSW, Vic and WA </w:t>
            </w:r>
            <w:r w:rsidRPr="00410589">
              <w:rPr>
                <w:noProof/>
                <w:lang w:eastAsia="en-AU"/>
              </w:rPr>
              <w:t>(APPD 2022)</w:t>
            </w:r>
            <w:r w:rsidRPr="00410589">
              <w:rPr>
                <w:lang w:eastAsia="en-AU"/>
              </w:rPr>
              <w:t xml:space="preserve"> and Tas. </w:t>
            </w:r>
            <w:r w:rsidRPr="00410589">
              <w:rPr>
                <w:noProof/>
              </w:rPr>
              <w:t>(CABI 2022)</w:t>
            </w:r>
          </w:p>
          <w:p w14:paraId="03629681" w14:textId="77777777" w:rsidR="003438A2" w:rsidRPr="00410589" w:rsidRDefault="003438A2" w:rsidP="00074B1D"/>
          <w:p w14:paraId="78348630" w14:textId="77777777" w:rsidR="003438A2" w:rsidRPr="00410589" w:rsidRDefault="003438A2" w:rsidP="00074B1D">
            <w:pPr>
              <w:rPr>
                <w:rFonts w:eastAsia="Calibri" w:cs="Times New Roman"/>
                <w:sz w:val="18"/>
                <w:szCs w:val="18"/>
              </w:rPr>
            </w:pPr>
            <w:r w:rsidRPr="00410589">
              <w:rPr>
                <w:rFonts w:eastAsia="Calibri" w:cs="Times New Roman"/>
                <w:sz w:val="18"/>
                <w:szCs w:val="18"/>
              </w:rPr>
              <w:t xml:space="preserve"> </w:t>
            </w:r>
          </w:p>
          <w:p w14:paraId="120CC98A" w14:textId="77777777" w:rsidR="003438A2" w:rsidRPr="00410589" w:rsidRDefault="003438A2" w:rsidP="00881E29">
            <w:pPr>
              <w:spacing w:before="60" w:after="60" w:line="240" w:lineRule="auto"/>
              <w:rPr>
                <w:rFonts w:eastAsia="Calibri" w:cs="Times New Roman"/>
                <w:sz w:val="18"/>
                <w:szCs w:val="18"/>
              </w:rPr>
            </w:pPr>
          </w:p>
        </w:tc>
        <w:tc>
          <w:tcPr>
            <w:tcW w:w="2552" w:type="dxa"/>
            <w:shd w:val="clear" w:color="auto" w:fill="auto"/>
          </w:tcPr>
          <w:p w14:paraId="0F9C6E68" w14:textId="77777777" w:rsidR="003438A2" w:rsidRPr="00410589" w:rsidRDefault="003438A2" w:rsidP="00AF539C">
            <w:pPr>
              <w:rPr>
                <w:rFonts w:eastAsia="Calibri" w:cs="Times New Roman"/>
                <w:sz w:val="18"/>
                <w:szCs w:val="18"/>
              </w:rPr>
            </w:pPr>
            <w:r w:rsidRPr="00410589">
              <w:rPr>
                <w:rFonts w:eastAsia="Calibri" w:cs="Times New Roman"/>
                <w:sz w:val="18"/>
                <w:szCs w:val="18"/>
              </w:rPr>
              <w:t>Assessment not required.</w:t>
            </w:r>
          </w:p>
        </w:tc>
        <w:tc>
          <w:tcPr>
            <w:tcW w:w="2381" w:type="dxa"/>
            <w:shd w:val="clear" w:color="auto" w:fill="auto"/>
          </w:tcPr>
          <w:p w14:paraId="7F4432E4"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Assessment not required</w:t>
            </w:r>
          </w:p>
        </w:tc>
        <w:tc>
          <w:tcPr>
            <w:tcW w:w="2211" w:type="dxa"/>
            <w:shd w:val="clear" w:color="auto" w:fill="auto"/>
          </w:tcPr>
          <w:p w14:paraId="76614DFC"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Assessment not required</w:t>
            </w:r>
          </w:p>
        </w:tc>
        <w:tc>
          <w:tcPr>
            <w:tcW w:w="1191" w:type="dxa"/>
            <w:shd w:val="clear" w:color="auto" w:fill="auto"/>
          </w:tcPr>
          <w:p w14:paraId="0DF9B1D0" w14:textId="77777777" w:rsidR="003438A2" w:rsidRPr="00BD5814" w:rsidRDefault="003438A2" w:rsidP="00881E29">
            <w:pPr>
              <w:spacing w:before="60" w:after="60" w:line="240" w:lineRule="auto"/>
              <w:rPr>
                <w:rFonts w:eastAsia="Calibri" w:cs="Times New Roman"/>
                <w:sz w:val="18"/>
                <w:szCs w:val="18"/>
              </w:rPr>
            </w:pPr>
            <w:r w:rsidRPr="00410589">
              <w:rPr>
                <w:rFonts w:eastAsia="Calibri" w:cs="Times New Roman"/>
                <w:sz w:val="18"/>
                <w:szCs w:val="18"/>
              </w:rPr>
              <w:t>No</w:t>
            </w:r>
            <w:r w:rsidRPr="00BD5814">
              <w:rPr>
                <w:rFonts w:eastAsia="Calibri" w:cs="Times New Roman"/>
                <w:sz w:val="18"/>
                <w:szCs w:val="18"/>
              </w:rPr>
              <w:t xml:space="preserve"> </w:t>
            </w:r>
          </w:p>
        </w:tc>
      </w:tr>
      <w:tr w:rsidR="003438A2" w:rsidRPr="00C9060A" w14:paraId="601FD3C9" w14:textId="77777777" w:rsidTr="00C4199F">
        <w:tblPrEx>
          <w:tblBorders>
            <w:insideH w:val="single" w:sz="4" w:space="0" w:color="BFBFBF" w:themeColor="background1" w:themeShade="BF"/>
          </w:tblBorders>
        </w:tblPrEx>
        <w:trPr>
          <w:cantSplit/>
          <w:trHeight w:val="75"/>
          <w:jc w:val="center"/>
        </w:trPr>
        <w:tc>
          <w:tcPr>
            <w:tcW w:w="2553" w:type="dxa"/>
            <w:shd w:val="clear" w:color="auto" w:fill="auto"/>
          </w:tcPr>
          <w:p w14:paraId="5E5DFB75" w14:textId="77777777" w:rsidR="003438A2" w:rsidRPr="00E1125B" w:rsidRDefault="003438A2" w:rsidP="00881E29">
            <w:pPr>
              <w:pStyle w:val="TableText"/>
            </w:pPr>
            <w:r w:rsidRPr="00E1125B">
              <w:rPr>
                <w:i/>
              </w:rPr>
              <w:lastRenderedPageBreak/>
              <w:t xml:space="preserve">Calepitrimerus baileyi </w:t>
            </w:r>
            <w:r w:rsidRPr="00E1125B">
              <w:t>(Keifer, 1938)</w:t>
            </w:r>
          </w:p>
          <w:p w14:paraId="568497A3" w14:textId="77777777" w:rsidR="003438A2" w:rsidRDefault="003438A2" w:rsidP="00881E29">
            <w:pPr>
              <w:pStyle w:val="TableText"/>
            </w:pPr>
            <w:r w:rsidRPr="00E1125B">
              <w:t>[Eriophyidae]</w:t>
            </w:r>
          </w:p>
          <w:p w14:paraId="37BA23C7" w14:textId="77777777" w:rsidR="003438A2" w:rsidRPr="00876091" w:rsidRDefault="003438A2" w:rsidP="00881E29">
            <w:pPr>
              <w:pStyle w:val="TableText"/>
            </w:pPr>
            <w:r w:rsidRPr="00E1125B">
              <w:t>Bailey’s apple rust mite</w:t>
            </w:r>
          </w:p>
        </w:tc>
        <w:tc>
          <w:tcPr>
            <w:tcW w:w="1474" w:type="dxa"/>
            <w:shd w:val="clear" w:color="auto" w:fill="auto"/>
          </w:tcPr>
          <w:p w14:paraId="7AFB61C8" w14:textId="77777777" w:rsidR="003438A2" w:rsidRPr="00E1125B" w:rsidRDefault="003438A2" w:rsidP="00881E29">
            <w:pPr>
              <w:spacing w:before="60" w:after="60" w:line="240" w:lineRule="auto"/>
              <w:rPr>
                <w:rFonts w:eastAsia="Calibri" w:cs="Times New Roman"/>
                <w:sz w:val="18"/>
                <w:szCs w:val="18"/>
              </w:rPr>
            </w:pPr>
            <w:r>
              <w:rPr>
                <w:rFonts w:eastAsia="Calibri" w:cs="Times New Roman"/>
                <w:sz w:val="18"/>
                <w:szCs w:val="18"/>
              </w:rPr>
              <w:t>No</w:t>
            </w:r>
            <w:r w:rsidRPr="00E1125B">
              <w:rPr>
                <w:rFonts w:eastAsia="Calibri" w:cs="Times New Roman"/>
                <w:sz w:val="18"/>
                <w:szCs w:val="18"/>
              </w:rPr>
              <w:t xml:space="preserve">. </w:t>
            </w:r>
            <w:r>
              <w:rPr>
                <w:rFonts w:eastAsia="Calibri" w:cs="Times New Roman"/>
                <w:sz w:val="18"/>
                <w:szCs w:val="18"/>
              </w:rPr>
              <w:t xml:space="preserve">Present in </w:t>
            </w:r>
            <w:r w:rsidRPr="00E1125B">
              <w:rPr>
                <w:rFonts w:eastAsia="Calibri" w:cs="Times New Roman"/>
                <w:sz w:val="18"/>
                <w:szCs w:val="18"/>
              </w:rPr>
              <w:t>CA</w:t>
            </w:r>
            <w:r>
              <w:rPr>
                <w:rFonts w:eastAsia="Calibri" w:cs="Times New Roman"/>
                <w:sz w:val="18"/>
                <w:szCs w:val="18"/>
              </w:rPr>
              <w:t xml:space="preserve"> and</w:t>
            </w:r>
            <w:r w:rsidRPr="00E1125B">
              <w:rPr>
                <w:rFonts w:eastAsia="Calibri" w:cs="Times New Roman"/>
                <w:sz w:val="18"/>
                <w:szCs w:val="18"/>
              </w:rPr>
              <w:t xml:space="preserve"> SD </w:t>
            </w:r>
            <w:r>
              <w:rPr>
                <w:rFonts w:eastAsia="Calibri" w:cs="Times New Roman"/>
                <w:noProof/>
                <w:sz w:val="18"/>
                <w:szCs w:val="18"/>
              </w:rPr>
              <w:t>(Briones &amp; McDaniel 1976; Jeppson, Keifer &amp; Baker 1975; Keifer 1952)</w:t>
            </w:r>
          </w:p>
        </w:tc>
        <w:tc>
          <w:tcPr>
            <w:tcW w:w="1474" w:type="dxa"/>
            <w:shd w:val="clear" w:color="auto" w:fill="auto"/>
          </w:tcPr>
          <w:p w14:paraId="18E3235B" w14:textId="77777777" w:rsidR="003438A2" w:rsidRPr="00E1125B" w:rsidRDefault="003438A2" w:rsidP="00881E29">
            <w:pPr>
              <w:spacing w:before="60" w:after="60" w:line="240" w:lineRule="auto"/>
              <w:rPr>
                <w:rFonts w:eastAsia="Calibri" w:cs="Times New Roman"/>
                <w:sz w:val="18"/>
                <w:szCs w:val="18"/>
              </w:rPr>
            </w:pPr>
            <w:r w:rsidRPr="00E1125B">
              <w:rPr>
                <w:rFonts w:eastAsia="Calibri" w:cs="Times New Roman"/>
                <w:sz w:val="18"/>
                <w:szCs w:val="18"/>
              </w:rPr>
              <w:t>No</w:t>
            </w:r>
            <w:r>
              <w:rPr>
                <w:rFonts w:eastAsia="Calibri" w:cs="Times New Roman"/>
                <w:sz w:val="18"/>
                <w:szCs w:val="18"/>
              </w:rPr>
              <w:t>.</w:t>
            </w:r>
            <w:r w:rsidRPr="00E1125B">
              <w:rPr>
                <w:rFonts w:eastAsia="Calibri" w:cs="Times New Roman"/>
                <w:sz w:val="18"/>
                <w:szCs w:val="18"/>
              </w:rPr>
              <w:t xml:space="preserve"> </w:t>
            </w:r>
            <w:r>
              <w:rPr>
                <w:rFonts w:eastAsia="Calibri" w:cs="Times New Roman"/>
                <w:noProof/>
                <w:sz w:val="18"/>
                <w:szCs w:val="18"/>
              </w:rPr>
              <w:t>(Halliday 1998)</w:t>
            </w:r>
          </w:p>
        </w:tc>
        <w:tc>
          <w:tcPr>
            <w:tcW w:w="2552" w:type="dxa"/>
            <w:shd w:val="clear" w:color="auto" w:fill="auto"/>
          </w:tcPr>
          <w:p w14:paraId="5CD00A89" w14:textId="77777777" w:rsidR="003438A2" w:rsidRPr="00E1125B" w:rsidRDefault="003438A2" w:rsidP="00881E29">
            <w:pPr>
              <w:spacing w:before="60" w:after="60" w:line="240" w:lineRule="auto"/>
              <w:rPr>
                <w:rFonts w:eastAsia="Calibri" w:cs="Times New Roman"/>
                <w:sz w:val="18"/>
                <w:szCs w:val="18"/>
              </w:rPr>
            </w:pPr>
            <w:r>
              <w:rPr>
                <w:rFonts w:eastAsia="Calibri" w:cs="Times New Roman"/>
                <w:sz w:val="18"/>
                <w:szCs w:val="18"/>
              </w:rPr>
              <w:t>No</w:t>
            </w:r>
            <w:r w:rsidRPr="00CD4013">
              <w:rPr>
                <w:rFonts w:eastAsia="Calibri" w:cs="Times New Roman"/>
                <w:sz w:val="18"/>
                <w:szCs w:val="18"/>
              </w:rPr>
              <w:t>.</w:t>
            </w:r>
            <w:r>
              <w:rPr>
                <w:rFonts w:eastAsia="Calibri" w:cs="Times New Roman"/>
                <w:sz w:val="18"/>
                <w:szCs w:val="18"/>
              </w:rPr>
              <w:t xml:space="preserve"> </w:t>
            </w:r>
            <w:r w:rsidRPr="00E1125B">
              <w:rPr>
                <w:rFonts w:eastAsia="Calibri" w:cs="Times New Roman"/>
                <w:sz w:val="18"/>
                <w:szCs w:val="18"/>
              </w:rPr>
              <w:t xml:space="preserve">This is a foliage pest of apples </w:t>
            </w:r>
            <w:r>
              <w:rPr>
                <w:rFonts w:eastAsia="Calibri" w:cs="Times New Roman"/>
                <w:noProof/>
                <w:sz w:val="18"/>
                <w:szCs w:val="18"/>
              </w:rPr>
              <w:t>(Jeppson, Keifer &amp; Baker 1975; Keifer 1952; Vidović et al. 2014)</w:t>
            </w:r>
            <w:r>
              <w:rPr>
                <w:rFonts w:eastAsia="Calibri" w:cs="Times New Roman"/>
                <w:sz w:val="18"/>
                <w:szCs w:val="18"/>
              </w:rPr>
              <w:t>.</w:t>
            </w:r>
          </w:p>
        </w:tc>
        <w:tc>
          <w:tcPr>
            <w:tcW w:w="2381" w:type="dxa"/>
            <w:shd w:val="clear" w:color="auto" w:fill="auto"/>
          </w:tcPr>
          <w:p w14:paraId="3431179E" w14:textId="77777777" w:rsidR="003438A2" w:rsidRPr="00E1125B" w:rsidRDefault="003438A2" w:rsidP="00881E29">
            <w:pPr>
              <w:spacing w:before="60" w:after="60" w:line="240" w:lineRule="auto"/>
              <w:rPr>
                <w:rFonts w:eastAsia="Calibri" w:cs="Times New Roman"/>
                <w:sz w:val="18"/>
                <w:szCs w:val="18"/>
              </w:rPr>
            </w:pPr>
            <w:r w:rsidRPr="00E1125B">
              <w:rPr>
                <w:rFonts w:eastAsia="Calibri" w:cs="Times New Roman"/>
                <w:sz w:val="18"/>
                <w:szCs w:val="18"/>
              </w:rPr>
              <w:t>Assessment not required</w:t>
            </w:r>
          </w:p>
        </w:tc>
        <w:tc>
          <w:tcPr>
            <w:tcW w:w="2211" w:type="dxa"/>
            <w:shd w:val="clear" w:color="auto" w:fill="auto"/>
          </w:tcPr>
          <w:p w14:paraId="5A63C6D0" w14:textId="77777777" w:rsidR="003438A2" w:rsidRPr="00E1125B" w:rsidRDefault="003438A2" w:rsidP="00881E29">
            <w:pPr>
              <w:spacing w:before="60" w:after="60" w:line="240" w:lineRule="auto"/>
              <w:rPr>
                <w:rFonts w:eastAsia="Calibri" w:cs="Times New Roman"/>
                <w:sz w:val="18"/>
                <w:szCs w:val="18"/>
              </w:rPr>
            </w:pPr>
            <w:r w:rsidRPr="00E1125B">
              <w:rPr>
                <w:rFonts w:eastAsia="Calibri" w:cs="Times New Roman"/>
                <w:sz w:val="18"/>
                <w:szCs w:val="18"/>
              </w:rPr>
              <w:t>Assessment not required</w:t>
            </w:r>
          </w:p>
        </w:tc>
        <w:tc>
          <w:tcPr>
            <w:tcW w:w="1191" w:type="dxa"/>
            <w:shd w:val="clear" w:color="auto" w:fill="auto"/>
          </w:tcPr>
          <w:p w14:paraId="40CEFF2A" w14:textId="77777777" w:rsidR="003438A2" w:rsidRPr="00C9060A" w:rsidRDefault="003438A2" w:rsidP="00881E29">
            <w:pPr>
              <w:spacing w:before="60" w:after="60" w:line="240" w:lineRule="auto"/>
              <w:rPr>
                <w:rFonts w:eastAsia="Calibri" w:cs="Times New Roman"/>
                <w:sz w:val="18"/>
                <w:szCs w:val="18"/>
              </w:rPr>
            </w:pPr>
            <w:r w:rsidRPr="00E1125B">
              <w:rPr>
                <w:rFonts w:eastAsia="Calibri" w:cs="Times New Roman"/>
                <w:sz w:val="18"/>
                <w:szCs w:val="18"/>
              </w:rPr>
              <w:t>No</w:t>
            </w:r>
          </w:p>
        </w:tc>
      </w:tr>
      <w:tr w:rsidR="003438A2" w:rsidRPr="00243E34" w14:paraId="71D19775" w14:textId="77777777" w:rsidTr="00C4199F">
        <w:trPr>
          <w:cantSplit/>
          <w:trHeight w:val="75"/>
          <w:jc w:val="center"/>
        </w:trPr>
        <w:tc>
          <w:tcPr>
            <w:tcW w:w="2553" w:type="dxa"/>
            <w:shd w:val="clear" w:color="auto" w:fill="auto"/>
          </w:tcPr>
          <w:p w14:paraId="400CA494" w14:textId="77777777" w:rsidR="003438A2" w:rsidRPr="00336623" w:rsidRDefault="003438A2" w:rsidP="00881E29">
            <w:pPr>
              <w:spacing w:before="60" w:after="60" w:line="240" w:lineRule="auto"/>
              <w:rPr>
                <w:rFonts w:eastAsia="Calibri" w:cs="Times New Roman"/>
                <w:sz w:val="18"/>
                <w:szCs w:val="18"/>
              </w:rPr>
            </w:pPr>
            <w:r w:rsidRPr="00336623">
              <w:rPr>
                <w:rFonts w:eastAsia="Calibri" w:cs="Times New Roman"/>
                <w:i/>
                <w:sz w:val="18"/>
                <w:szCs w:val="18"/>
              </w:rPr>
              <w:t xml:space="preserve">Cenopalpus pulcher </w:t>
            </w:r>
            <w:r w:rsidRPr="00336623">
              <w:rPr>
                <w:rFonts w:eastAsia="Calibri" w:cs="Times New Roman"/>
                <w:sz w:val="18"/>
                <w:szCs w:val="18"/>
              </w:rPr>
              <w:t>(Canestrini &amp; Fanzago, 1876)</w:t>
            </w:r>
          </w:p>
          <w:p w14:paraId="4012A472" w14:textId="77777777" w:rsidR="003438A2" w:rsidRPr="00336623" w:rsidRDefault="003438A2" w:rsidP="00881E29">
            <w:pPr>
              <w:spacing w:before="60" w:after="60" w:line="240" w:lineRule="auto"/>
              <w:rPr>
                <w:rFonts w:eastAsia="Calibri" w:cs="Times New Roman"/>
                <w:sz w:val="18"/>
                <w:szCs w:val="18"/>
              </w:rPr>
            </w:pPr>
            <w:r w:rsidRPr="00336623">
              <w:rPr>
                <w:rFonts w:eastAsia="Calibri" w:cs="Times New Roman"/>
                <w:sz w:val="18"/>
                <w:szCs w:val="18"/>
              </w:rPr>
              <w:t>[Tenuipalpidae]</w:t>
            </w:r>
          </w:p>
          <w:p w14:paraId="263B8BB9" w14:textId="77777777" w:rsidR="003438A2" w:rsidRPr="00336623" w:rsidRDefault="003438A2" w:rsidP="00881E29">
            <w:pPr>
              <w:spacing w:before="60" w:after="60" w:line="240" w:lineRule="auto"/>
              <w:rPr>
                <w:rFonts w:eastAsia="Calibri" w:cs="Times New Roman"/>
                <w:i/>
                <w:sz w:val="18"/>
                <w:szCs w:val="18"/>
              </w:rPr>
            </w:pPr>
            <w:r w:rsidRPr="00336623">
              <w:rPr>
                <w:rFonts w:eastAsia="Calibri" w:cs="Times New Roman"/>
                <w:sz w:val="18"/>
                <w:szCs w:val="18"/>
              </w:rPr>
              <w:t>Flat scarlet mite</w:t>
            </w:r>
          </w:p>
        </w:tc>
        <w:tc>
          <w:tcPr>
            <w:tcW w:w="1474" w:type="dxa"/>
            <w:shd w:val="clear" w:color="auto" w:fill="auto"/>
          </w:tcPr>
          <w:p w14:paraId="556BF7AC" w14:textId="77777777" w:rsidR="003438A2" w:rsidRDefault="003438A2" w:rsidP="008423E3">
            <w:pPr>
              <w:pStyle w:val="TableText"/>
            </w:pPr>
            <w:r w:rsidRPr="00336623">
              <w:t xml:space="preserve">Yes. </w:t>
            </w:r>
            <w:r>
              <w:t xml:space="preserve">Present in </w:t>
            </w:r>
            <w:r w:rsidRPr="00336623">
              <w:t>OR</w:t>
            </w:r>
            <w:r>
              <w:t xml:space="preserve"> </w:t>
            </w:r>
            <w:r>
              <w:rPr>
                <w:noProof/>
              </w:rPr>
              <w:t>(Bajwa &amp; Kogan 2001; Bajwa &amp; Kogan 2003; USDA-APHIS 2000; Vacante 2015)</w:t>
            </w:r>
          </w:p>
          <w:p w14:paraId="2A09558E" w14:textId="77777777" w:rsidR="003438A2" w:rsidRPr="00336623" w:rsidRDefault="003438A2" w:rsidP="00881E29">
            <w:pPr>
              <w:spacing w:before="60" w:after="60" w:line="240" w:lineRule="auto"/>
              <w:rPr>
                <w:rFonts w:eastAsia="Calibri" w:cs="Times New Roman"/>
                <w:snapToGrid w:val="0"/>
                <w:sz w:val="18"/>
                <w:szCs w:val="18"/>
              </w:rPr>
            </w:pPr>
          </w:p>
        </w:tc>
        <w:tc>
          <w:tcPr>
            <w:tcW w:w="1474" w:type="dxa"/>
            <w:shd w:val="clear" w:color="auto" w:fill="auto"/>
          </w:tcPr>
          <w:p w14:paraId="4323FAC8" w14:textId="77777777" w:rsidR="003438A2" w:rsidRPr="001E4A91" w:rsidRDefault="003438A2" w:rsidP="00881E29">
            <w:pPr>
              <w:spacing w:before="60" w:after="60" w:line="240" w:lineRule="auto"/>
              <w:rPr>
                <w:rFonts w:eastAsia="Calibri" w:cs="Times New Roman"/>
                <w:sz w:val="18"/>
                <w:szCs w:val="18"/>
              </w:rPr>
            </w:pPr>
            <w:r w:rsidRPr="001E4A91">
              <w:rPr>
                <w:rFonts w:eastAsia="Calibri" w:cs="Times New Roman"/>
                <w:sz w:val="18"/>
                <w:szCs w:val="18"/>
              </w:rPr>
              <w:t>No records found</w:t>
            </w:r>
          </w:p>
        </w:tc>
        <w:tc>
          <w:tcPr>
            <w:tcW w:w="2552" w:type="dxa"/>
            <w:shd w:val="clear" w:color="auto" w:fill="auto"/>
          </w:tcPr>
          <w:p w14:paraId="5658AE76" w14:textId="77777777" w:rsidR="003438A2" w:rsidRPr="001E4A91" w:rsidRDefault="003438A2" w:rsidP="00881E29">
            <w:pPr>
              <w:spacing w:before="60" w:after="60" w:line="240" w:lineRule="auto"/>
              <w:rPr>
                <w:rFonts w:eastAsia="Calibri" w:cs="Times New Roman"/>
                <w:sz w:val="18"/>
                <w:szCs w:val="18"/>
              </w:rPr>
            </w:pPr>
            <w:r w:rsidRPr="001E4A91">
              <w:rPr>
                <w:rFonts w:eastAsia="Calibri" w:cs="Times New Roman"/>
                <w:sz w:val="18"/>
                <w:szCs w:val="18"/>
              </w:rPr>
              <w:t xml:space="preserve">Yes. Prefers the lower leaf surface and moves to the buds for winter </w:t>
            </w:r>
            <w:r>
              <w:rPr>
                <w:rFonts w:eastAsia="Calibri" w:cs="Times New Roman"/>
                <w:noProof/>
                <w:sz w:val="18"/>
                <w:szCs w:val="18"/>
              </w:rPr>
              <w:t>(Jeppson, Keifer &amp; Baker 1975)</w:t>
            </w:r>
            <w:r>
              <w:rPr>
                <w:rFonts w:eastAsia="Calibri" w:cs="Times New Roman"/>
                <w:sz w:val="18"/>
                <w:szCs w:val="18"/>
              </w:rPr>
              <w:t>. F</w:t>
            </w:r>
            <w:r w:rsidRPr="001E4A91">
              <w:rPr>
                <w:rFonts w:eastAsia="Calibri" w:cs="Times New Roman"/>
                <w:sz w:val="18"/>
                <w:szCs w:val="18"/>
              </w:rPr>
              <w:t xml:space="preserve">emales deposit eggs on the striations and natural indentations of leaves and </w:t>
            </w:r>
            <w:r>
              <w:rPr>
                <w:rFonts w:eastAsia="Calibri" w:cs="Times New Roman"/>
                <w:sz w:val="18"/>
                <w:szCs w:val="18"/>
              </w:rPr>
              <w:t>fruit,</w:t>
            </w:r>
            <w:r w:rsidRPr="001E4A91">
              <w:rPr>
                <w:rFonts w:eastAsia="Calibri" w:cs="Times New Roman"/>
                <w:sz w:val="18"/>
                <w:szCs w:val="18"/>
              </w:rPr>
              <w:t xml:space="preserve"> and have been observed feeding on leaves, soft twigs and </w:t>
            </w:r>
            <w:r>
              <w:rPr>
                <w:rFonts w:eastAsia="Calibri" w:cs="Times New Roman"/>
                <w:sz w:val="18"/>
                <w:szCs w:val="18"/>
              </w:rPr>
              <w:t>fruit</w:t>
            </w:r>
            <w:r w:rsidRPr="001E4A91">
              <w:rPr>
                <w:rFonts w:eastAsia="Calibri" w:cs="Times New Roman"/>
                <w:sz w:val="18"/>
                <w:szCs w:val="18"/>
              </w:rPr>
              <w:t xml:space="preserve"> </w:t>
            </w:r>
            <w:r>
              <w:rPr>
                <w:rFonts w:eastAsia="Calibri" w:cs="Times New Roman"/>
                <w:noProof/>
                <w:sz w:val="18"/>
                <w:szCs w:val="18"/>
              </w:rPr>
              <w:t>(Bajwa &amp; Kogan 2003)</w:t>
            </w:r>
            <w:r w:rsidRPr="001E4A91">
              <w:rPr>
                <w:rFonts w:eastAsia="Calibri" w:cs="Times New Roman"/>
                <w:sz w:val="18"/>
                <w:szCs w:val="18"/>
              </w:rPr>
              <w:t xml:space="preserve">. In the west of England it was associated with quite severe russeting around the calyx and stalk ends of apples in 2006 </w:t>
            </w:r>
            <w:r>
              <w:rPr>
                <w:rFonts w:eastAsia="Calibri" w:cs="Times New Roman"/>
                <w:noProof/>
                <w:sz w:val="18"/>
                <w:szCs w:val="18"/>
              </w:rPr>
              <w:t>(Green 2007)</w:t>
            </w:r>
            <w:r>
              <w:rPr>
                <w:rFonts w:eastAsia="Calibri" w:cs="Times New Roman"/>
                <w:sz w:val="18"/>
                <w:szCs w:val="18"/>
              </w:rPr>
              <w:t>.</w:t>
            </w:r>
          </w:p>
        </w:tc>
        <w:tc>
          <w:tcPr>
            <w:tcW w:w="2381" w:type="dxa"/>
            <w:shd w:val="clear" w:color="auto" w:fill="auto"/>
          </w:tcPr>
          <w:p w14:paraId="2329BC9C" w14:textId="77777777" w:rsidR="003438A2" w:rsidRPr="001E4A91" w:rsidRDefault="003438A2" w:rsidP="00EC7D41">
            <w:pPr>
              <w:pStyle w:val="TableText"/>
            </w:pPr>
            <w:r w:rsidRPr="001E4A91">
              <w:t>Yes. An invasive species that is widely distributed in Europe, the Middle East, Central Asia, North Africa</w:t>
            </w:r>
            <w:r>
              <w:t xml:space="preserve"> </w:t>
            </w:r>
            <w:r>
              <w:rPr>
                <w:noProof/>
              </w:rPr>
              <w:t>(CABI 2019; Vacante 2015)</w:t>
            </w:r>
            <w:r>
              <w:t>;</w:t>
            </w:r>
            <w:r w:rsidRPr="001E4A91">
              <w:t xml:space="preserve"> India </w:t>
            </w:r>
            <w:r>
              <w:rPr>
                <w:noProof/>
              </w:rPr>
              <w:t>(Menon, Ghai &amp; Katiyar 1971)</w:t>
            </w:r>
            <w:r w:rsidRPr="001E4A91">
              <w:t xml:space="preserve"> and Iraq </w:t>
            </w:r>
            <w:r>
              <w:rPr>
                <w:noProof/>
              </w:rPr>
              <w:t>(Elmosa 1971)</w:t>
            </w:r>
            <w:r w:rsidRPr="001E4A91">
              <w:t xml:space="preserve"> in a variety of environments with similarities to Australia </w:t>
            </w:r>
            <w:r>
              <w:rPr>
                <w:noProof/>
              </w:rPr>
              <w:t>(CABI 2018)</w:t>
            </w:r>
            <w:r>
              <w:t>.</w:t>
            </w:r>
          </w:p>
        </w:tc>
        <w:tc>
          <w:tcPr>
            <w:tcW w:w="2211" w:type="dxa"/>
            <w:shd w:val="clear" w:color="auto" w:fill="auto"/>
          </w:tcPr>
          <w:p w14:paraId="13357B0D" w14:textId="77777777" w:rsidR="003438A2" w:rsidRPr="001E4A91" w:rsidRDefault="003438A2" w:rsidP="00881E29">
            <w:pPr>
              <w:spacing w:before="60" w:after="60" w:line="240" w:lineRule="auto"/>
              <w:rPr>
                <w:rFonts w:eastAsia="Calibri" w:cs="Times New Roman"/>
                <w:sz w:val="18"/>
                <w:szCs w:val="18"/>
              </w:rPr>
            </w:pPr>
            <w:r w:rsidRPr="001E4A91">
              <w:rPr>
                <w:rFonts w:eastAsia="Calibri" w:cs="Times New Roman"/>
                <w:sz w:val="18"/>
                <w:szCs w:val="18"/>
              </w:rPr>
              <w:t xml:space="preserve">Yes. </w:t>
            </w:r>
            <w:r w:rsidRPr="001E4A91">
              <w:rPr>
                <w:rFonts w:eastAsia="Calibri" w:cs="Times New Roman"/>
                <w:i/>
                <w:sz w:val="18"/>
                <w:szCs w:val="18"/>
              </w:rPr>
              <w:t>Cenopalpus pulcher</w:t>
            </w:r>
            <w:r w:rsidRPr="001E4A91">
              <w:rPr>
                <w:rFonts w:eastAsia="Calibri" w:cs="Times New Roman"/>
                <w:sz w:val="18"/>
                <w:szCs w:val="18"/>
              </w:rPr>
              <w:t xml:space="preserve"> is an important pest in apple and other fruit crops in Asia, Europe, Africa and North America </w:t>
            </w:r>
            <w:r>
              <w:rPr>
                <w:rFonts w:eastAsia="Calibri" w:cs="Times New Roman"/>
                <w:noProof/>
                <w:sz w:val="18"/>
                <w:szCs w:val="18"/>
              </w:rPr>
              <w:t>(CABI 2019; NAPPO 2008)</w:t>
            </w:r>
            <w:r>
              <w:rPr>
                <w:rFonts w:eastAsia="Calibri" w:cs="Times New Roman"/>
                <w:sz w:val="18"/>
                <w:szCs w:val="18"/>
              </w:rPr>
              <w:t>.</w:t>
            </w:r>
          </w:p>
        </w:tc>
        <w:tc>
          <w:tcPr>
            <w:tcW w:w="1191" w:type="dxa"/>
            <w:shd w:val="clear" w:color="auto" w:fill="auto"/>
          </w:tcPr>
          <w:p w14:paraId="05BE550D" w14:textId="77777777" w:rsidR="003438A2" w:rsidRPr="00336623" w:rsidRDefault="003438A2" w:rsidP="00881E29">
            <w:pPr>
              <w:spacing w:before="60" w:after="60" w:line="240" w:lineRule="auto"/>
              <w:rPr>
                <w:rFonts w:eastAsia="Calibri" w:cs="Times New Roman"/>
                <w:sz w:val="18"/>
                <w:szCs w:val="18"/>
              </w:rPr>
            </w:pPr>
            <w:r w:rsidRPr="00336623">
              <w:rPr>
                <w:rFonts w:eastAsia="Calibri" w:cs="Times New Roman"/>
                <w:sz w:val="18"/>
                <w:szCs w:val="18"/>
              </w:rPr>
              <w:t>Yes</w:t>
            </w:r>
            <w:r>
              <w:rPr>
                <w:rFonts w:eastAsia="Calibri" w:cs="Times New Roman"/>
                <w:sz w:val="18"/>
                <w:szCs w:val="18"/>
              </w:rPr>
              <w:t xml:space="preserve"> (EP)</w:t>
            </w:r>
          </w:p>
        </w:tc>
      </w:tr>
      <w:tr w:rsidR="003438A2" w:rsidRPr="00243E34" w14:paraId="7D147FE2" w14:textId="77777777" w:rsidTr="00C4199F">
        <w:trPr>
          <w:cantSplit/>
          <w:trHeight w:val="75"/>
          <w:jc w:val="center"/>
        </w:trPr>
        <w:tc>
          <w:tcPr>
            <w:tcW w:w="2553" w:type="dxa"/>
            <w:shd w:val="clear" w:color="auto" w:fill="auto"/>
          </w:tcPr>
          <w:p w14:paraId="10AC4524" w14:textId="77777777" w:rsidR="003438A2" w:rsidRPr="00D900E1" w:rsidRDefault="003438A2" w:rsidP="00881E29">
            <w:pPr>
              <w:spacing w:before="60" w:after="60" w:line="240" w:lineRule="auto"/>
              <w:rPr>
                <w:rFonts w:eastAsia="Calibri" w:cs="Times New Roman"/>
                <w:sz w:val="18"/>
                <w:szCs w:val="18"/>
              </w:rPr>
            </w:pPr>
            <w:r w:rsidRPr="00D900E1">
              <w:rPr>
                <w:rFonts w:eastAsia="Calibri" w:cs="Times New Roman"/>
                <w:i/>
                <w:sz w:val="18"/>
                <w:szCs w:val="18"/>
              </w:rPr>
              <w:t xml:space="preserve">Eotetranychus carpini borealis </w:t>
            </w:r>
            <w:r w:rsidRPr="00D900E1">
              <w:rPr>
                <w:rFonts w:eastAsia="Calibri" w:cs="Times New Roman"/>
                <w:sz w:val="18"/>
                <w:szCs w:val="18"/>
              </w:rPr>
              <w:t>(Ewing,</w:t>
            </w:r>
            <w:r w:rsidRPr="00D900E1">
              <w:rPr>
                <w:rFonts w:eastAsia="Calibri" w:cs="Times New Roman"/>
                <w:i/>
                <w:sz w:val="18"/>
                <w:szCs w:val="18"/>
              </w:rPr>
              <w:t xml:space="preserve"> </w:t>
            </w:r>
            <w:r w:rsidRPr="00D900E1">
              <w:rPr>
                <w:rFonts w:eastAsia="Calibri" w:cs="Times New Roman"/>
                <w:sz w:val="18"/>
                <w:szCs w:val="18"/>
              </w:rPr>
              <w:t>1913)</w:t>
            </w:r>
          </w:p>
          <w:p w14:paraId="3BE51D44" w14:textId="77777777" w:rsidR="003438A2" w:rsidRPr="00D900E1" w:rsidRDefault="003438A2" w:rsidP="00881E29">
            <w:pPr>
              <w:spacing w:before="60" w:after="60" w:line="240" w:lineRule="auto"/>
              <w:rPr>
                <w:rFonts w:eastAsia="Calibri" w:cs="Times New Roman"/>
                <w:sz w:val="18"/>
                <w:szCs w:val="18"/>
              </w:rPr>
            </w:pPr>
            <w:r w:rsidRPr="00D900E1">
              <w:rPr>
                <w:rFonts w:eastAsia="Calibri" w:cs="Times New Roman"/>
                <w:sz w:val="18"/>
                <w:szCs w:val="18"/>
              </w:rPr>
              <w:t>[Tetranychidae]</w:t>
            </w:r>
          </w:p>
          <w:p w14:paraId="5FA09377" w14:textId="77777777" w:rsidR="003438A2" w:rsidRPr="00D900E1" w:rsidRDefault="003438A2" w:rsidP="00881E29">
            <w:pPr>
              <w:spacing w:before="60" w:after="60" w:line="240" w:lineRule="auto"/>
              <w:rPr>
                <w:rFonts w:eastAsia="Calibri" w:cs="Times New Roman"/>
                <w:i/>
                <w:sz w:val="18"/>
                <w:szCs w:val="18"/>
              </w:rPr>
            </w:pPr>
            <w:r w:rsidRPr="00D900E1">
              <w:rPr>
                <w:rFonts w:eastAsia="Calibri" w:cs="Times New Roman"/>
                <w:sz w:val="18"/>
                <w:szCs w:val="18"/>
              </w:rPr>
              <w:t>Yellow spider mite</w:t>
            </w:r>
          </w:p>
        </w:tc>
        <w:tc>
          <w:tcPr>
            <w:tcW w:w="1474" w:type="dxa"/>
            <w:shd w:val="clear" w:color="auto" w:fill="auto"/>
          </w:tcPr>
          <w:p w14:paraId="2E462D4C" w14:textId="77777777" w:rsidR="003438A2" w:rsidRPr="00156BA6" w:rsidRDefault="003438A2" w:rsidP="00156BA6">
            <w:r w:rsidRPr="00D900E1">
              <w:rPr>
                <w:rFonts w:eastAsia="Calibri" w:cs="Times New Roman"/>
                <w:sz w:val="18"/>
                <w:szCs w:val="18"/>
              </w:rPr>
              <w:t xml:space="preserve">Yes. </w:t>
            </w:r>
            <w:r>
              <w:rPr>
                <w:rFonts w:eastAsia="Calibri" w:cs="Times New Roman"/>
                <w:sz w:val="18"/>
                <w:szCs w:val="18"/>
              </w:rPr>
              <w:t xml:space="preserve">Present in </w:t>
            </w:r>
            <w:r w:rsidRPr="00D900E1">
              <w:rPr>
                <w:rFonts w:eastAsia="Calibri" w:cs="Times New Roman"/>
                <w:sz w:val="18"/>
                <w:szCs w:val="18"/>
              </w:rPr>
              <w:t>OR</w:t>
            </w:r>
            <w:r>
              <w:rPr>
                <w:rFonts w:eastAsia="Calibri" w:cs="Times New Roman"/>
                <w:sz w:val="18"/>
                <w:szCs w:val="18"/>
              </w:rPr>
              <w:t xml:space="preserve"> and</w:t>
            </w:r>
            <w:r w:rsidRPr="00D900E1">
              <w:rPr>
                <w:rFonts w:eastAsia="Calibri" w:cs="Times New Roman"/>
                <w:sz w:val="18"/>
                <w:szCs w:val="18"/>
              </w:rPr>
              <w:t xml:space="preserve"> WA</w:t>
            </w:r>
            <w:r>
              <w:rPr>
                <w:rFonts w:eastAsia="Calibri" w:cs="Times New Roman"/>
                <w:sz w:val="18"/>
                <w:szCs w:val="18"/>
              </w:rPr>
              <w:t xml:space="preserve"> </w:t>
            </w:r>
            <w:r>
              <w:rPr>
                <w:rFonts w:eastAsia="Calibri" w:cs="Times New Roman"/>
                <w:noProof/>
                <w:sz w:val="18"/>
                <w:szCs w:val="18"/>
              </w:rPr>
              <w:t>(APHIS 2007; Wiman &amp; Stoven 2021b)</w:t>
            </w:r>
          </w:p>
        </w:tc>
        <w:tc>
          <w:tcPr>
            <w:tcW w:w="1474" w:type="dxa"/>
            <w:shd w:val="clear" w:color="auto" w:fill="auto"/>
          </w:tcPr>
          <w:p w14:paraId="55449A1E" w14:textId="77777777" w:rsidR="003438A2" w:rsidRPr="00D900E1" w:rsidRDefault="003438A2" w:rsidP="00881E29">
            <w:pPr>
              <w:spacing w:before="60" w:after="60" w:line="240" w:lineRule="auto"/>
              <w:rPr>
                <w:rFonts w:eastAsia="Calibri" w:cs="Times New Roman"/>
                <w:sz w:val="18"/>
                <w:szCs w:val="18"/>
              </w:rPr>
            </w:pPr>
            <w:r w:rsidRPr="00D900E1">
              <w:rPr>
                <w:rFonts w:eastAsia="Calibri" w:cs="Times New Roman"/>
                <w:sz w:val="18"/>
                <w:szCs w:val="18"/>
              </w:rPr>
              <w:t xml:space="preserve">No records found </w:t>
            </w:r>
          </w:p>
        </w:tc>
        <w:tc>
          <w:tcPr>
            <w:tcW w:w="2552" w:type="dxa"/>
            <w:shd w:val="clear" w:color="auto" w:fill="auto"/>
          </w:tcPr>
          <w:p w14:paraId="43D9651D" w14:textId="77777777" w:rsidR="003438A2" w:rsidRPr="00D900E1" w:rsidRDefault="003438A2" w:rsidP="00881E29">
            <w:pPr>
              <w:spacing w:before="60" w:after="60" w:line="240" w:lineRule="auto"/>
              <w:rPr>
                <w:rFonts w:eastAsia="Calibri" w:cs="Times New Roman"/>
                <w:sz w:val="18"/>
                <w:szCs w:val="18"/>
              </w:rPr>
            </w:pPr>
            <w:r w:rsidRPr="00D900E1">
              <w:rPr>
                <w:rFonts w:eastAsia="Calibri" w:cs="Times New Roman"/>
                <w:sz w:val="18"/>
                <w:szCs w:val="18"/>
              </w:rPr>
              <w:t xml:space="preserve">No. Not reported on apple fruit </w:t>
            </w:r>
            <w:r>
              <w:rPr>
                <w:rFonts w:eastAsia="Calibri" w:cs="Times New Roman"/>
                <w:noProof/>
                <w:sz w:val="18"/>
                <w:szCs w:val="18"/>
              </w:rPr>
              <w:t>(Baker &amp; Tuttle 1994; Jeppson, Keifer &amp; Baker 1975)</w:t>
            </w:r>
            <w:r w:rsidRPr="00D900E1">
              <w:rPr>
                <w:rFonts w:eastAsia="Calibri" w:cs="Times New Roman"/>
                <w:sz w:val="18"/>
                <w:szCs w:val="18"/>
              </w:rPr>
              <w:t xml:space="preserve"> </w:t>
            </w:r>
          </w:p>
        </w:tc>
        <w:tc>
          <w:tcPr>
            <w:tcW w:w="2381" w:type="dxa"/>
            <w:shd w:val="clear" w:color="auto" w:fill="auto"/>
          </w:tcPr>
          <w:p w14:paraId="0608D8D0" w14:textId="77777777" w:rsidR="003438A2" w:rsidRPr="00D900E1" w:rsidRDefault="003438A2" w:rsidP="00881E29">
            <w:pPr>
              <w:spacing w:before="60" w:after="60" w:line="240" w:lineRule="auto"/>
              <w:rPr>
                <w:rFonts w:eastAsia="Calibri" w:cs="Times New Roman"/>
                <w:sz w:val="18"/>
                <w:szCs w:val="18"/>
              </w:rPr>
            </w:pPr>
            <w:r w:rsidRPr="00D900E1">
              <w:rPr>
                <w:rFonts w:eastAsia="Calibri" w:cs="Times New Roman"/>
                <w:sz w:val="18"/>
                <w:szCs w:val="18"/>
              </w:rPr>
              <w:t>Assessment not required</w:t>
            </w:r>
          </w:p>
        </w:tc>
        <w:tc>
          <w:tcPr>
            <w:tcW w:w="2211" w:type="dxa"/>
            <w:shd w:val="clear" w:color="auto" w:fill="auto"/>
          </w:tcPr>
          <w:p w14:paraId="1C725DC9" w14:textId="77777777" w:rsidR="003438A2" w:rsidRPr="00D900E1" w:rsidRDefault="003438A2" w:rsidP="00881E29">
            <w:pPr>
              <w:spacing w:before="60" w:after="60" w:line="240" w:lineRule="auto"/>
              <w:rPr>
                <w:rFonts w:eastAsia="Calibri" w:cs="Times New Roman"/>
                <w:sz w:val="18"/>
                <w:szCs w:val="18"/>
              </w:rPr>
            </w:pPr>
            <w:r w:rsidRPr="00D900E1">
              <w:rPr>
                <w:rFonts w:eastAsia="Calibri" w:cs="Times New Roman"/>
                <w:sz w:val="18"/>
                <w:szCs w:val="18"/>
              </w:rPr>
              <w:t>Assessment not required</w:t>
            </w:r>
          </w:p>
        </w:tc>
        <w:tc>
          <w:tcPr>
            <w:tcW w:w="1191" w:type="dxa"/>
            <w:shd w:val="clear" w:color="auto" w:fill="auto"/>
          </w:tcPr>
          <w:p w14:paraId="6A84A0AA" w14:textId="77777777" w:rsidR="003438A2" w:rsidRPr="00D900E1" w:rsidRDefault="003438A2" w:rsidP="00881E29">
            <w:pPr>
              <w:spacing w:before="60" w:after="60" w:line="240" w:lineRule="auto"/>
              <w:rPr>
                <w:rFonts w:eastAsia="Calibri" w:cs="Times New Roman"/>
                <w:sz w:val="18"/>
                <w:szCs w:val="18"/>
              </w:rPr>
            </w:pPr>
            <w:r w:rsidRPr="00D900E1">
              <w:rPr>
                <w:rFonts w:eastAsia="Calibri" w:cs="Times New Roman"/>
                <w:sz w:val="18"/>
                <w:szCs w:val="18"/>
              </w:rPr>
              <w:t>No</w:t>
            </w:r>
          </w:p>
        </w:tc>
      </w:tr>
      <w:tr w:rsidR="003438A2" w:rsidRPr="00F668AC" w14:paraId="4B4D0977" w14:textId="77777777" w:rsidTr="00C4199F">
        <w:tblPrEx>
          <w:tblBorders>
            <w:insideH w:val="single" w:sz="4" w:space="0" w:color="BFBFBF" w:themeColor="background1" w:themeShade="BF"/>
          </w:tblBorders>
        </w:tblPrEx>
        <w:trPr>
          <w:cantSplit/>
          <w:trHeight w:val="1991"/>
          <w:jc w:val="center"/>
        </w:trPr>
        <w:tc>
          <w:tcPr>
            <w:tcW w:w="2553" w:type="dxa"/>
            <w:shd w:val="clear" w:color="auto" w:fill="auto"/>
          </w:tcPr>
          <w:p w14:paraId="167AF10C" w14:textId="77777777" w:rsidR="003438A2" w:rsidRPr="001E4A91" w:rsidRDefault="003438A2" w:rsidP="00881E29">
            <w:pPr>
              <w:pStyle w:val="TableText"/>
              <w:rPr>
                <w:szCs w:val="18"/>
              </w:rPr>
            </w:pPr>
            <w:r w:rsidRPr="001E4A91">
              <w:rPr>
                <w:i/>
                <w:szCs w:val="18"/>
              </w:rPr>
              <w:lastRenderedPageBreak/>
              <w:t xml:space="preserve">Eotetranychus frosti </w:t>
            </w:r>
            <w:r w:rsidRPr="001E4A91">
              <w:rPr>
                <w:szCs w:val="18"/>
              </w:rPr>
              <w:t>(McGregor, 1952)</w:t>
            </w:r>
          </w:p>
          <w:p w14:paraId="057E1B3A" w14:textId="77777777" w:rsidR="003438A2" w:rsidRDefault="003438A2" w:rsidP="00881E29">
            <w:pPr>
              <w:pStyle w:val="TableText"/>
              <w:rPr>
                <w:szCs w:val="18"/>
              </w:rPr>
            </w:pPr>
            <w:r w:rsidRPr="001E4A91">
              <w:rPr>
                <w:szCs w:val="18"/>
              </w:rPr>
              <w:t>[Tetranychidae]</w:t>
            </w:r>
          </w:p>
          <w:p w14:paraId="51E72695" w14:textId="77777777" w:rsidR="003438A2" w:rsidRPr="001E4A91" w:rsidRDefault="003438A2" w:rsidP="00881E29">
            <w:pPr>
              <w:pStyle w:val="TableText"/>
              <w:rPr>
                <w:i/>
                <w:szCs w:val="18"/>
              </w:rPr>
            </w:pPr>
            <w:r w:rsidRPr="001E4A91">
              <w:rPr>
                <w:szCs w:val="18"/>
              </w:rPr>
              <w:t>Spider mite</w:t>
            </w:r>
          </w:p>
        </w:tc>
        <w:tc>
          <w:tcPr>
            <w:tcW w:w="1474" w:type="dxa"/>
            <w:shd w:val="clear" w:color="auto" w:fill="auto"/>
          </w:tcPr>
          <w:p w14:paraId="2BC009E8" w14:textId="77777777" w:rsidR="003438A2" w:rsidRPr="001E4A91" w:rsidRDefault="003438A2" w:rsidP="00881E29">
            <w:pPr>
              <w:spacing w:before="60" w:after="60" w:line="240" w:lineRule="auto"/>
              <w:rPr>
                <w:rFonts w:eastAsia="Calibri" w:cs="Times New Roman"/>
                <w:sz w:val="18"/>
                <w:szCs w:val="18"/>
              </w:rPr>
            </w:pPr>
            <w:r>
              <w:rPr>
                <w:rFonts w:eastAsia="Calibri" w:cs="Times New Roman"/>
                <w:sz w:val="18"/>
                <w:szCs w:val="18"/>
              </w:rPr>
              <w:t>No</w:t>
            </w:r>
            <w:r w:rsidRPr="001E4A91">
              <w:rPr>
                <w:rFonts w:eastAsia="Calibri" w:cs="Times New Roman"/>
                <w:sz w:val="18"/>
                <w:szCs w:val="18"/>
              </w:rPr>
              <w:t>.</w:t>
            </w:r>
            <w:r>
              <w:rPr>
                <w:rFonts w:eastAsia="Calibri" w:cs="Times New Roman"/>
                <w:sz w:val="18"/>
                <w:szCs w:val="18"/>
              </w:rPr>
              <w:t xml:space="preserve"> Present in</w:t>
            </w:r>
            <w:r w:rsidRPr="001E4A91">
              <w:rPr>
                <w:rFonts w:eastAsia="Calibri" w:cs="Times New Roman"/>
                <w:sz w:val="18"/>
                <w:szCs w:val="18"/>
              </w:rPr>
              <w:t xml:space="preserve"> AZ, CA, LA, MO, ND, NY</w:t>
            </w:r>
            <w:r>
              <w:rPr>
                <w:rFonts w:eastAsia="Calibri" w:cs="Times New Roman"/>
                <w:sz w:val="18"/>
                <w:szCs w:val="18"/>
              </w:rPr>
              <w:t xml:space="preserve"> and</w:t>
            </w:r>
            <w:r w:rsidRPr="001E4A91">
              <w:rPr>
                <w:rFonts w:eastAsia="Calibri" w:cs="Times New Roman"/>
                <w:sz w:val="18"/>
                <w:szCs w:val="18"/>
              </w:rPr>
              <w:t xml:space="preserve"> OH </w:t>
            </w:r>
            <w:r>
              <w:rPr>
                <w:rFonts w:eastAsia="Calibri" w:cs="Times New Roman"/>
                <w:noProof/>
                <w:sz w:val="18"/>
                <w:szCs w:val="18"/>
              </w:rPr>
              <w:t>(Baker &amp; Tuttle 1994; Jeppson, Keifer &amp; Baker 1975)</w:t>
            </w:r>
          </w:p>
        </w:tc>
        <w:tc>
          <w:tcPr>
            <w:tcW w:w="1474" w:type="dxa"/>
            <w:shd w:val="clear" w:color="auto" w:fill="auto"/>
          </w:tcPr>
          <w:p w14:paraId="0148D2B7" w14:textId="77777777" w:rsidR="003438A2" w:rsidRPr="001E4A91" w:rsidRDefault="003438A2" w:rsidP="00881E29">
            <w:pPr>
              <w:spacing w:before="60" w:after="60" w:line="240" w:lineRule="auto"/>
              <w:rPr>
                <w:rFonts w:eastAsia="Calibri" w:cs="Times New Roman"/>
                <w:sz w:val="18"/>
                <w:szCs w:val="18"/>
              </w:rPr>
            </w:pPr>
            <w:r w:rsidRPr="001E4A91">
              <w:rPr>
                <w:rFonts w:eastAsia="Calibri" w:cs="Times New Roman"/>
                <w:sz w:val="18"/>
                <w:szCs w:val="18"/>
              </w:rPr>
              <w:t>No records found</w:t>
            </w:r>
          </w:p>
        </w:tc>
        <w:tc>
          <w:tcPr>
            <w:tcW w:w="2552" w:type="dxa"/>
            <w:shd w:val="clear" w:color="auto" w:fill="auto"/>
          </w:tcPr>
          <w:p w14:paraId="61C86A41" w14:textId="77777777" w:rsidR="003438A2" w:rsidRPr="00A82A5F" w:rsidRDefault="003438A2" w:rsidP="00881E29">
            <w:pPr>
              <w:spacing w:before="60" w:after="60" w:line="240" w:lineRule="auto"/>
              <w:rPr>
                <w:rFonts w:eastAsia="Calibri" w:cs="Times New Roman"/>
                <w:sz w:val="18"/>
                <w:szCs w:val="18"/>
              </w:rPr>
            </w:pPr>
            <w:r w:rsidRPr="00FD1D75">
              <w:rPr>
                <w:rFonts w:eastAsia="Calibri" w:cs="Times New Roman"/>
                <w:sz w:val="18"/>
                <w:szCs w:val="18"/>
              </w:rPr>
              <w:t>Assessment not required</w:t>
            </w:r>
          </w:p>
        </w:tc>
        <w:tc>
          <w:tcPr>
            <w:tcW w:w="2381" w:type="dxa"/>
            <w:shd w:val="clear" w:color="auto" w:fill="auto"/>
          </w:tcPr>
          <w:p w14:paraId="60A12D28" w14:textId="77777777" w:rsidR="003438A2" w:rsidRPr="00761F99" w:rsidRDefault="003438A2" w:rsidP="00881E29">
            <w:pPr>
              <w:spacing w:before="60" w:after="60" w:line="240" w:lineRule="auto"/>
              <w:rPr>
                <w:rFonts w:eastAsia="Calibri" w:cs="Times New Roman"/>
                <w:sz w:val="18"/>
                <w:szCs w:val="18"/>
              </w:rPr>
            </w:pPr>
            <w:r w:rsidRPr="00761F99">
              <w:rPr>
                <w:rFonts w:eastAsia="Calibri" w:cs="Times New Roman"/>
                <w:sz w:val="18"/>
                <w:szCs w:val="18"/>
              </w:rPr>
              <w:t>Assessment not required</w:t>
            </w:r>
          </w:p>
        </w:tc>
        <w:tc>
          <w:tcPr>
            <w:tcW w:w="2211" w:type="dxa"/>
            <w:shd w:val="clear" w:color="auto" w:fill="auto"/>
          </w:tcPr>
          <w:p w14:paraId="224E5244" w14:textId="77777777" w:rsidR="003438A2" w:rsidRPr="00761F99" w:rsidRDefault="003438A2" w:rsidP="00881E29">
            <w:pPr>
              <w:spacing w:before="60" w:after="60" w:line="240" w:lineRule="auto"/>
              <w:rPr>
                <w:rFonts w:eastAsia="Calibri" w:cs="Times New Roman"/>
                <w:sz w:val="18"/>
                <w:szCs w:val="18"/>
              </w:rPr>
            </w:pPr>
            <w:r w:rsidRPr="00761F99">
              <w:rPr>
                <w:rFonts w:eastAsia="Calibri" w:cs="Times New Roman"/>
                <w:sz w:val="18"/>
                <w:szCs w:val="18"/>
              </w:rPr>
              <w:t>Assessment not required</w:t>
            </w:r>
          </w:p>
        </w:tc>
        <w:tc>
          <w:tcPr>
            <w:tcW w:w="1191" w:type="dxa"/>
            <w:shd w:val="clear" w:color="auto" w:fill="auto"/>
          </w:tcPr>
          <w:p w14:paraId="31B6C269" w14:textId="77777777" w:rsidR="003438A2" w:rsidRPr="00F668AC" w:rsidRDefault="003438A2" w:rsidP="00881E29">
            <w:pPr>
              <w:spacing w:before="60" w:after="60" w:line="240" w:lineRule="auto"/>
              <w:rPr>
                <w:rFonts w:eastAsia="Calibri" w:cs="Times New Roman"/>
                <w:sz w:val="18"/>
                <w:szCs w:val="18"/>
              </w:rPr>
            </w:pPr>
            <w:r w:rsidRPr="00761F99">
              <w:rPr>
                <w:rFonts w:eastAsia="Calibri" w:cs="Times New Roman"/>
                <w:sz w:val="18"/>
                <w:szCs w:val="18"/>
              </w:rPr>
              <w:t>No</w:t>
            </w:r>
          </w:p>
        </w:tc>
      </w:tr>
      <w:tr w:rsidR="003438A2" w:rsidRPr="00243E34" w14:paraId="17C578D1" w14:textId="77777777" w:rsidTr="00C4199F">
        <w:trPr>
          <w:cantSplit/>
          <w:trHeight w:val="75"/>
          <w:jc w:val="center"/>
        </w:trPr>
        <w:tc>
          <w:tcPr>
            <w:tcW w:w="2553" w:type="dxa"/>
            <w:shd w:val="clear" w:color="auto" w:fill="auto"/>
          </w:tcPr>
          <w:p w14:paraId="6570F378" w14:textId="77777777" w:rsidR="003438A2" w:rsidRPr="001E4A91" w:rsidRDefault="003438A2" w:rsidP="00881E29">
            <w:pPr>
              <w:spacing w:before="60" w:after="60" w:line="240" w:lineRule="auto"/>
              <w:rPr>
                <w:rFonts w:eastAsia="Calibri" w:cs="Times New Roman"/>
                <w:sz w:val="18"/>
                <w:szCs w:val="18"/>
              </w:rPr>
            </w:pPr>
            <w:r w:rsidRPr="001E4A91">
              <w:rPr>
                <w:rFonts w:eastAsia="Calibri" w:cs="Times New Roman"/>
                <w:i/>
                <w:sz w:val="18"/>
                <w:szCs w:val="18"/>
              </w:rPr>
              <w:t xml:space="preserve">Eotetranychus uncatus </w:t>
            </w:r>
            <w:r w:rsidRPr="001E4A91">
              <w:rPr>
                <w:rFonts w:eastAsia="Calibri" w:cs="Times New Roman"/>
                <w:sz w:val="18"/>
                <w:szCs w:val="18"/>
              </w:rPr>
              <w:t>Garman, 1952</w:t>
            </w:r>
          </w:p>
          <w:p w14:paraId="3939293F" w14:textId="77777777" w:rsidR="003438A2" w:rsidRPr="001E4A91" w:rsidRDefault="003438A2" w:rsidP="00881E29">
            <w:pPr>
              <w:spacing w:before="60" w:after="60" w:line="240" w:lineRule="auto"/>
              <w:rPr>
                <w:rFonts w:eastAsia="Calibri" w:cs="Times New Roman"/>
                <w:sz w:val="18"/>
                <w:szCs w:val="18"/>
              </w:rPr>
            </w:pPr>
            <w:r w:rsidRPr="001E4A91">
              <w:rPr>
                <w:rFonts w:eastAsia="Calibri" w:cs="Times New Roman"/>
                <w:sz w:val="18"/>
                <w:szCs w:val="18"/>
              </w:rPr>
              <w:t>[Tetranychidae]</w:t>
            </w:r>
          </w:p>
          <w:p w14:paraId="60F029E1" w14:textId="77777777" w:rsidR="003438A2" w:rsidRPr="001E4A91" w:rsidRDefault="003438A2" w:rsidP="00881E29">
            <w:pPr>
              <w:spacing w:before="60" w:after="60" w:line="240" w:lineRule="auto"/>
              <w:rPr>
                <w:rFonts w:eastAsia="Calibri" w:cs="Times New Roman"/>
                <w:i/>
                <w:sz w:val="18"/>
                <w:szCs w:val="18"/>
              </w:rPr>
            </w:pPr>
            <w:r w:rsidRPr="001E4A91">
              <w:rPr>
                <w:rFonts w:eastAsia="Calibri" w:cs="Times New Roman"/>
                <w:sz w:val="18"/>
                <w:szCs w:val="18"/>
              </w:rPr>
              <w:t>Spider mite</w:t>
            </w:r>
          </w:p>
        </w:tc>
        <w:tc>
          <w:tcPr>
            <w:tcW w:w="1474" w:type="dxa"/>
            <w:shd w:val="clear" w:color="auto" w:fill="auto"/>
          </w:tcPr>
          <w:p w14:paraId="78838E54" w14:textId="77777777" w:rsidR="003438A2" w:rsidRPr="001E4A91" w:rsidRDefault="003438A2" w:rsidP="00881E29">
            <w:pPr>
              <w:spacing w:before="60" w:after="60" w:line="240" w:lineRule="auto"/>
              <w:rPr>
                <w:rFonts w:eastAsia="Calibri" w:cs="Times New Roman"/>
                <w:snapToGrid w:val="0"/>
                <w:sz w:val="18"/>
                <w:szCs w:val="18"/>
              </w:rPr>
            </w:pPr>
            <w:r>
              <w:rPr>
                <w:rFonts w:eastAsia="Calibri" w:cs="Times New Roman"/>
                <w:sz w:val="18"/>
                <w:szCs w:val="18"/>
              </w:rPr>
              <w:t>No</w:t>
            </w:r>
            <w:r w:rsidRPr="001E4A91">
              <w:rPr>
                <w:rFonts w:eastAsia="Calibri" w:cs="Times New Roman"/>
                <w:sz w:val="18"/>
                <w:szCs w:val="18"/>
              </w:rPr>
              <w:t>.</w:t>
            </w:r>
            <w:r>
              <w:rPr>
                <w:rFonts w:eastAsia="Calibri" w:cs="Times New Roman"/>
                <w:sz w:val="18"/>
                <w:szCs w:val="18"/>
              </w:rPr>
              <w:t xml:space="preserve"> Present in</w:t>
            </w:r>
            <w:r w:rsidRPr="001E4A91">
              <w:rPr>
                <w:rFonts w:eastAsia="Calibri" w:cs="Times New Roman"/>
                <w:sz w:val="18"/>
                <w:szCs w:val="18"/>
              </w:rPr>
              <w:t xml:space="preserve"> Eastern United States</w:t>
            </w:r>
            <w:r>
              <w:rPr>
                <w:rFonts w:eastAsia="Calibri" w:cs="Times New Roman"/>
                <w:sz w:val="18"/>
                <w:szCs w:val="18"/>
              </w:rPr>
              <w:t>,</w:t>
            </w:r>
            <w:r w:rsidRPr="001E4A91">
              <w:rPr>
                <w:rFonts w:eastAsia="Calibri" w:cs="Times New Roman"/>
                <w:sz w:val="18"/>
                <w:szCs w:val="18"/>
              </w:rPr>
              <w:t xml:space="preserve"> UT</w:t>
            </w:r>
            <w:r>
              <w:rPr>
                <w:rFonts w:eastAsia="Calibri" w:cs="Times New Roman"/>
                <w:sz w:val="18"/>
                <w:szCs w:val="18"/>
              </w:rPr>
              <w:t xml:space="preserve"> and</w:t>
            </w:r>
            <w:r w:rsidRPr="001E4A91">
              <w:rPr>
                <w:rFonts w:eastAsia="Calibri" w:cs="Times New Roman"/>
                <w:sz w:val="18"/>
                <w:szCs w:val="18"/>
              </w:rPr>
              <w:t xml:space="preserve"> CA</w:t>
            </w:r>
            <w:r>
              <w:rPr>
                <w:rFonts w:eastAsia="Calibri" w:cs="Times New Roman"/>
                <w:sz w:val="18"/>
                <w:szCs w:val="18"/>
              </w:rPr>
              <w:t xml:space="preserve"> </w:t>
            </w:r>
            <w:r>
              <w:rPr>
                <w:rFonts w:eastAsia="Calibri" w:cs="Times New Roman"/>
                <w:noProof/>
                <w:sz w:val="18"/>
                <w:szCs w:val="18"/>
              </w:rPr>
              <w:t>(Jeppson, Keifer &amp; Baker 1975)</w:t>
            </w:r>
          </w:p>
        </w:tc>
        <w:tc>
          <w:tcPr>
            <w:tcW w:w="1474" w:type="dxa"/>
            <w:shd w:val="clear" w:color="auto" w:fill="auto"/>
          </w:tcPr>
          <w:p w14:paraId="69F81470" w14:textId="77777777" w:rsidR="003438A2" w:rsidRPr="001E4A91" w:rsidRDefault="003438A2" w:rsidP="00881E29">
            <w:pPr>
              <w:spacing w:before="60" w:after="60" w:line="240" w:lineRule="auto"/>
              <w:rPr>
                <w:rFonts w:eastAsia="Calibri" w:cs="Times New Roman"/>
                <w:sz w:val="18"/>
                <w:szCs w:val="18"/>
              </w:rPr>
            </w:pPr>
            <w:r w:rsidRPr="001E4A91">
              <w:rPr>
                <w:rFonts w:eastAsia="Calibri" w:cs="Times New Roman"/>
                <w:sz w:val="18"/>
                <w:szCs w:val="18"/>
              </w:rPr>
              <w:t>No records found</w:t>
            </w:r>
          </w:p>
        </w:tc>
        <w:tc>
          <w:tcPr>
            <w:tcW w:w="2552" w:type="dxa"/>
            <w:shd w:val="clear" w:color="auto" w:fill="auto"/>
          </w:tcPr>
          <w:p w14:paraId="6D350A7D" w14:textId="77777777" w:rsidR="003438A2" w:rsidRPr="001E4A91" w:rsidRDefault="003438A2" w:rsidP="00881E29">
            <w:pPr>
              <w:spacing w:before="60" w:after="60" w:line="240" w:lineRule="auto"/>
              <w:rPr>
                <w:rFonts w:eastAsia="Calibri" w:cs="Times New Roman"/>
                <w:sz w:val="18"/>
                <w:szCs w:val="18"/>
              </w:rPr>
            </w:pPr>
            <w:r w:rsidRPr="002E0547">
              <w:rPr>
                <w:rFonts w:eastAsia="Calibri" w:cs="Times New Roman"/>
                <w:sz w:val="18"/>
                <w:szCs w:val="18"/>
              </w:rPr>
              <w:t>Assessment not required</w:t>
            </w:r>
          </w:p>
        </w:tc>
        <w:tc>
          <w:tcPr>
            <w:tcW w:w="2381" w:type="dxa"/>
            <w:shd w:val="clear" w:color="auto" w:fill="auto"/>
          </w:tcPr>
          <w:p w14:paraId="26E05CA4" w14:textId="77777777" w:rsidR="003438A2" w:rsidRPr="001E4A91" w:rsidRDefault="003438A2" w:rsidP="00881E29">
            <w:pPr>
              <w:spacing w:before="60" w:after="60" w:line="240" w:lineRule="auto"/>
              <w:rPr>
                <w:rFonts w:eastAsia="Calibri" w:cs="Times New Roman"/>
                <w:sz w:val="18"/>
                <w:szCs w:val="18"/>
              </w:rPr>
            </w:pPr>
            <w:r w:rsidRPr="001E4A91">
              <w:rPr>
                <w:rFonts w:eastAsia="Calibri" w:cs="Times New Roman"/>
                <w:sz w:val="18"/>
                <w:szCs w:val="18"/>
              </w:rPr>
              <w:t>Assessment not required</w:t>
            </w:r>
          </w:p>
        </w:tc>
        <w:tc>
          <w:tcPr>
            <w:tcW w:w="2211" w:type="dxa"/>
            <w:shd w:val="clear" w:color="auto" w:fill="auto"/>
          </w:tcPr>
          <w:p w14:paraId="084EC38B" w14:textId="77777777" w:rsidR="003438A2" w:rsidRPr="001E4A91" w:rsidRDefault="003438A2" w:rsidP="00881E29">
            <w:pPr>
              <w:spacing w:before="60" w:after="60" w:line="240" w:lineRule="auto"/>
              <w:rPr>
                <w:rFonts w:eastAsia="Calibri" w:cs="Times New Roman"/>
                <w:sz w:val="18"/>
                <w:szCs w:val="18"/>
              </w:rPr>
            </w:pPr>
            <w:r w:rsidRPr="001E4A91">
              <w:rPr>
                <w:rFonts w:eastAsia="Calibri" w:cs="Times New Roman"/>
                <w:sz w:val="18"/>
                <w:szCs w:val="18"/>
              </w:rPr>
              <w:t>Assessment not required</w:t>
            </w:r>
          </w:p>
        </w:tc>
        <w:tc>
          <w:tcPr>
            <w:tcW w:w="1191" w:type="dxa"/>
            <w:shd w:val="clear" w:color="auto" w:fill="auto"/>
          </w:tcPr>
          <w:p w14:paraId="50B0554E" w14:textId="77777777" w:rsidR="003438A2" w:rsidRPr="001711B6" w:rsidRDefault="003438A2" w:rsidP="00881E29">
            <w:pPr>
              <w:spacing w:before="60" w:after="60" w:line="240" w:lineRule="auto"/>
              <w:rPr>
                <w:rFonts w:eastAsia="Calibri" w:cs="Times New Roman"/>
                <w:sz w:val="18"/>
                <w:szCs w:val="18"/>
              </w:rPr>
            </w:pPr>
            <w:r w:rsidRPr="001E4A91">
              <w:rPr>
                <w:rFonts w:eastAsia="Calibri" w:cs="Times New Roman"/>
                <w:sz w:val="18"/>
                <w:szCs w:val="18"/>
              </w:rPr>
              <w:t>No</w:t>
            </w:r>
          </w:p>
        </w:tc>
      </w:tr>
      <w:tr w:rsidR="003438A2" w:rsidRPr="00F668AC" w14:paraId="23BABEB9" w14:textId="77777777" w:rsidTr="00C4199F">
        <w:tblPrEx>
          <w:tblBorders>
            <w:insideH w:val="single" w:sz="4" w:space="0" w:color="BFBFBF" w:themeColor="background1" w:themeShade="BF"/>
          </w:tblBorders>
        </w:tblPrEx>
        <w:trPr>
          <w:cantSplit/>
          <w:trHeight w:val="75"/>
          <w:jc w:val="center"/>
        </w:trPr>
        <w:tc>
          <w:tcPr>
            <w:tcW w:w="2553" w:type="dxa"/>
            <w:shd w:val="clear" w:color="auto" w:fill="auto"/>
          </w:tcPr>
          <w:p w14:paraId="0DB8977C" w14:textId="77777777" w:rsidR="003438A2" w:rsidRDefault="003438A2" w:rsidP="00881E29">
            <w:pPr>
              <w:pStyle w:val="TableText"/>
              <w:rPr>
                <w:szCs w:val="18"/>
              </w:rPr>
            </w:pPr>
            <w:r w:rsidRPr="00E1125B">
              <w:rPr>
                <w:i/>
                <w:szCs w:val="18"/>
              </w:rPr>
              <w:t xml:space="preserve">Eotetranychus willamettei </w:t>
            </w:r>
            <w:r w:rsidRPr="00E1125B">
              <w:rPr>
                <w:szCs w:val="18"/>
              </w:rPr>
              <w:t>(McGregor, 1917) [Tetranychidae]</w:t>
            </w:r>
          </w:p>
          <w:p w14:paraId="7D98344E" w14:textId="77777777" w:rsidR="003438A2" w:rsidRPr="00E1125B" w:rsidRDefault="003438A2" w:rsidP="00881E29">
            <w:pPr>
              <w:pStyle w:val="TableText"/>
              <w:rPr>
                <w:i/>
                <w:szCs w:val="18"/>
              </w:rPr>
            </w:pPr>
            <w:r w:rsidRPr="00E1125B">
              <w:rPr>
                <w:szCs w:val="18"/>
              </w:rPr>
              <w:t>Willamette spider mite</w:t>
            </w:r>
          </w:p>
        </w:tc>
        <w:tc>
          <w:tcPr>
            <w:tcW w:w="1474" w:type="dxa"/>
            <w:shd w:val="clear" w:color="auto" w:fill="auto"/>
          </w:tcPr>
          <w:p w14:paraId="531B8062" w14:textId="77777777" w:rsidR="003438A2" w:rsidRPr="00930737" w:rsidRDefault="003438A2" w:rsidP="00663A36">
            <w:pPr>
              <w:pStyle w:val="TableText"/>
              <w:rPr>
                <w:rFonts w:eastAsia="Times New Roman" w:cs="Calibri"/>
                <w:color w:val="000000"/>
                <w:lang w:eastAsia="en-AU"/>
              </w:rPr>
            </w:pPr>
            <w:r w:rsidRPr="00E1125B">
              <w:t>Yes.</w:t>
            </w:r>
            <w:r>
              <w:t xml:space="preserve"> Present in</w:t>
            </w:r>
            <w:r w:rsidRPr="00E1125B">
              <w:t xml:space="preserve"> OR</w:t>
            </w:r>
            <w:r>
              <w:t xml:space="preserve"> and</w:t>
            </w:r>
            <w:r w:rsidRPr="00E1125B">
              <w:t xml:space="preserve"> </w:t>
            </w:r>
            <w:r w:rsidRPr="00FA1B57">
              <w:t>WA</w:t>
            </w:r>
            <w:r>
              <w:t xml:space="preserve"> </w:t>
            </w:r>
            <w:r>
              <w:rPr>
                <w:noProof/>
              </w:rPr>
              <w:t>(Baker &amp; Tuttle 1994; Hollingsworth 2018; Jeppson, Keifer &amp; Baker 1975; Vacante 2015)</w:t>
            </w:r>
            <w:r>
              <w:t>.</w:t>
            </w:r>
            <w:r w:rsidRPr="00AA2324">
              <w:t xml:space="preserve"> Also </w:t>
            </w:r>
            <w:r>
              <w:rPr>
                <w:noProof/>
              </w:rPr>
              <w:t xml:space="preserve">present in </w:t>
            </w:r>
            <w:r w:rsidRPr="00E1125B">
              <w:rPr>
                <w:noProof/>
              </w:rPr>
              <w:t>CA</w:t>
            </w:r>
            <w:r>
              <w:rPr>
                <w:noProof/>
              </w:rPr>
              <w:t xml:space="preserve"> </w:t>
            </w:r>
            <w:r w:rsidRPr="002017CB">
              <w:rPr>
                <w:noProof/>
                <w:lang w:eastAsia="en-AU"/>
              </w:rPr>
              <w:t>(CABI 2022)</w:t>
            </w:r>
            <w:r w:rsidRPr="00930737">
              <w:rPr>
                <w:rFonts w:eastAsia="Times New Roman" w:cs="Calibri"/>
                <w:color w:val="000000"/>
                <w:lang w:eastAsia="en-AU"/>
              </w:rPr>
              <w:t xml:space="preserve"> </w:t>
            </w:r>
          </w:p>
          <w:p w14:paraId="611906BE" w14:textId="77777777" w:rsidR="003438A2" w:rsidRPr="00E1125B" w:rsidRDefault="003438A2" w:rsidP="00881E29">
            <w:pPr>
              <w:spacing w:before="60" w:after="60" w:line="240" w:lineRule="auto"/>
              <w:rPr>
                <w:rFonts w:eastAsia="Calibri" w:cs="Times New Roman"/>
                <w:sz w:val="18"/>
                <w:szCs w:val="18"/>
              </w:rPr>
            </w:pPr>
          </w:p>
        </w:tc>
        <w:tc>
          <w:tcPr>
            <w:tcW w:w="1474" w:type="dxa"/>
            <w:shd w:val="clear" w:color="auto" w:fill="auto"/>
          </w:tcPr>
          <w:p w14:paraId="18248A62" w14:textId="77777777" w:rsidR="003438A2" w:rsidRPr="00E1125B" w:rsidRDefault="003438A2" w:rsidP="00881E29">
            <w:pPr>
              <w:spacing w:before="60" w:after="60" w:line="240" w:lineRule="auto"/>
              <w:rPr>
                <w:rFonts w:eastAsia="Calibri" w:cs="Times New Roman"/>
                <w:sz w:val="18"/>
                <w:szCs w:val="18"/>
              </w:rPr>
            </w:pPr>
            <w:r w:rsidRPr="00E1125B">
              <w:rPr>
                <w:rFonts w:eastAsia="Calibri" w:cs="Times New Roman"/>
                <w:sz w:val="18"/>
                <w:szCs w:val="18"/>
              </w:rPr>
              <w:t>No records found</w:t>
            </w:r>
          </w:p>
        </w:tc>
        <w:tc>
          <w:tcPr>
            <w:tcW w:w="2552" w:type="dxa"/>
            <w:shd w:val="clear" w:color="auto" w:fill="auto"/>
          </w:tcPr>
          <w:p w14:paraId="4CDD7F88" w14:textId="77777777" w:rsidR="003438A2" w:rsidRPr="00E1125B" w:rsidRDefault="003438A2" w:rsidP="00881E29">
            <w:pPr>
              <w:spacing w:before="60" w:after="60" w:line="240" w:lineRule="auto"/>
              <w:rPr>
                <w:rFonts w:eastAsia="Calibri" w:cs="Times New Roman"/>
                <w:sz w:val="18"/>
                <w:szCs w:val="18"/>
              </w:rPr>
            </w:pPr>
            <w:r w:rsidRPr="00E1125B">
              <w:rPr>
                <w:rFonts w:eastAsia="Calibri" w:cs="Times New Roman"/>
                <w:sz w:val="18"/>
                <w:szCs w:val="18"/>
              </w:rPr>
              <w:t xml:space="preserve">No. This pest feeds on apple leaves. These mites live in colonies on the upper leaf surface </w:t>
            </w:r>
            <w:r>
              <w:rPr>
                <w:rFonts w:eastAsia="Calibri" w:cs="Times New Roman"/>
                <w:noProof/>
                <w:sz w:val="18"/>
                <w:szCs w:val="18"/>
              </w:rPr>
              <w:t>(Jeppson, Keifer &amp; Baker 1975; Vacante 2015)</w:t>
            </w:r>
            <w:r>
              <w:rPr>
                <w:rFonts w:eastAsia="Calibri" w:cs="Times New Roman"/>
                <w:sz w:val="18"/>
                <w:szCs w:val="18"/>
              </w:rPr>
              <w:t>.</w:t>
            </w:r>
            <w:r w:rsidRPr="00E1125B">
              <w:rPr>
                <w:rFonts w:eastAsia="Calibri" w:cs="Times New Roman"/>
                <w:sz w:val="18"/>
                <w:szCs w:val="18"/>
              </w:rPr>
              <w:t xml:space="preserve"> </w:t>
            </w:r>
          </w:p>
        </w:tc>
        <w:tc>
          <w:tcPr>
            <w:tcW w:w="2381" w:type="dxa"/>
            <w:shd w:val="clear" w:color="auto" w:fill="auto"/>
          </w:tcPr>
          <w:p w14:paraId="68726B81" w14:textId="77777777" w:rsidR="003438A2" w:rsidRPr="00E1125B" w:rsidRDefault="003438A2" w:rsidP="00881E29">
            <w:pPr>
              <w:spacing w:before="60" w:after="60" w:line="240" w:lineRule="auto"/>
              <w:rPr>
                <w:rFonts w:eastAsia="Calibri" w:cs="Times New Roman"/>
                <w:sz w:val="18"/>
                <w:szCs w:val="18"/>
              </w:rPr>
            </w:pPr>
            <w:r w:rsidRPr="00E1125B">
              <w:rPr>
                <w:rFonts w:eastAsia="Calibri" w:cs="Times New Roman"/>
                <w:sz w:val="18"/>
                <w:szCs w:val="18"/>
              </w:rPr>
              <w:t>Assessment not required</w:t>
            </w:r>
          </w:p>
        </w:tc>
        <w:tc>
          <w:tcPr>
            <w:tcW w:w="2211" w:type="dxa"/>
            <w:shd w:val="clear" w:color="auto" w:fill="auto"/>
          </w:tcPr>
          <w:p w14:paraId="089331AC" w14:textId="77777777" w:rsidR="003438A2" w:rsidRPr="00E1125B" w:rsidRDefault="003438A2" w:rsidP="00881E29">
            <w:pPr>
              <w:spacing w:before="60" w:after="60" w:line="240" w:lineRule="auto"/>
              <w:rPr>
                <w:rFonts w:eastAsia="Calibri" w:cs="Times New Roman"/>
                <w:sz w:val="18"/>
                <w:szCs w:val="18"/>
              </w:rPr>
            </w:pPr>
            <w:r w:rsidRPr="00E1125B">
              <w:rPr>
                <w:rFonts w:eastAsia="Calibri" w:cs="Times New Roman"/>
                <w:sz w:val="18"/>
                <w:szCs w:val="18"/>
              </w:rPr>
              <w:t>Assessment not required</w:t>
            </w:r>
          </w:p>
        </w:tc>
        <w:tc>
          <w:tcPr>
            <w:tcW w:w="1191" w:type="dxa"/>
            <w:shd w:val="clear" w:color="auto" w:fill="auto"/>
          </w:tcPr>
          <w:p w14:paraId="11E545FD" w14:textId="77777777" w:rsidR="003438A2" w:rsidRPr="00F668AC" w:rsidRDefault="003438A2" w:rsidP="00881E29">
            <w:pPr>
              <w:spacing w:before="60" w:after="60" w:line="240" w:lineRule="auto"/>
              <w:rPr>
                <w:rFonts w:eastAsia="Calibri" w:cs="Times New Roman"/>
                <w:sz w:val="18"/>
                <w:szCs w:val="18"/>
              </w:rPr>
            </w:pPr>
            <w:r w:rsidRPr="00E1125B">
              <w:rPr>
                <w:rFonts w:eastAsia="Calibri" w:cs="Times New Roman"/>
                <w:sz w:val="18"/>
                <w:szCs w:val="18"/>
              </w:rPr>
              <w:t>No</w:t>
            </w:r>
          </w:p>
        </w:tc>
      </w:tr>
      <w:tr w:rsidR="003438A2" w:rsidRPr="009C61F6" w14:paraId="55714725" w14:textId="77777777" w:rsidTr="00C4199F">
        <w:tblPrEx>
          <w:tblBorders>
            <w:insideH w:val="single" w:sz="4" w:space="0" w:color="BFBFBF" w:themeColor="background1" w:themeShade="BF"/>
          </w:tblBorders>
        </w:tblPrEx>
        <w:trPr>
          <w:cantSplit/>
          <w:trHeight w:val="75"/>
          <w:jc w:val="center"/>
        </w:trPr>
        <w:tc>
          <w:tcPr>
            <w:tcW w:w="2553" w:type="dxa"/>
            <w:shd w:val="clear" w:color="auto" w:fill="auto"/>
          </w:tcPr>
          <w:p w14:paraId="4E338171" w14:textId="77777777" w:rsidR="003438A2" w:rsidRPr="009C61F6" w:rsidRDefault="003438A2" w:rsidP="00881E29">
            <w:pPr>
              <w:pStyle w:val="TableText"/>
              <w:rPr>
                <w:szCs w:val="18"/>
              </w:rPr>
            </w:pPr>
            <w:r w:rsidRPr="009C61F6">
              <w:rPr>
                <w:i/>
                <w:szCs w:val="18"/>
              </w:rPr>
              <w:lastRenderedPageBreak/>
              <w:t xml:space="preserve">Eriophyes mali </w:t>
            </w:r>
            <w:r w:rsidRPr="009C61F6">
              <w:rPr>
                <w:szCs w:val="18"/>
              </w:rPr>
              <w:t>(Nalepa, 1926)</w:t>
            </w:r>
          </w:p>
          <w:p w14:paraId="28F9BBC5" w14:textId="77777777" w:rsidR="003438A2" w:rsidRPr="009C61F6" w:rsidRDefault="003438A2" w:rsidP="00881E29">
            <w:pPr>
              <w:pStyle w:val="TableText"/>
              <w:rPr>
                <w:szCs w:val="18"/>
              </w:rPr>
            </w:pPr>
            <w:r w:rsidRPr="009C61F6">
              <w:rPr>
                <w:szCs w:val="18"/>
              </w:rPr>
              <w:t>[Eriophyidae]</w:t>
            </w:r>
          </w:p>
          <w:p w14:paraId="0FA547BD" w14:textId="77777777" w:rsidR="003438A2" w:rsidRPr="009C61F6" w:rsidRDefault="003438A2" w:rsidP="00881E29">
            <w:pPr>
              <w:pStyle w:val="TableText"/>
              <w:rPr>
                <w:szCs w:val="18"/>
              </w:rPr>
            </w:pPr>
            <w:r w:rsidRPr="009C61F6">
              <w:rPr>
                <w:i/>
                <w:szCs w:val="18"/>
              </w:rPr>
              <w:t>Phytoptus mali</w:t>
            </w:r>
            <w:r w:rsidRPr="009C61F6">
              <w:rPr>
                <w:szCs w:val="18"/>
              </w:rPr>
              <w:t xml:space="preserve"> </w:t>
            </w:r>
          </w:p>
          <w:p w14:paraId="52BDE8F6" w14:textId="77777777" w:rsidR="003438A2" w:rsidRPr="009C61F6" w:rsidRDefault="003438A2" w:rsidP="00881E29">
            <w:pPr>
              <w:pStyle w:val="TableText"/>
              <w:rPr>
                <w:szCs w:val="18"/>
              </w:rPr>
            </w:pPr>
            <w:r w:rsidRPr="009C61F6">
              <w:rPr>
                <w:szCs w:val="18"/>
              </w:rPr>
              <w:t>Apple blister mite</w:t>
            </w:r>
          </w:p>
          <w:p w14:paraId="5A9F1442" w14:textId="77777777" w:rsidR="003438A2" w:rsidRPr="009C61F6" w:rsidRDefault="003438A2" w:rsidP="00881E29">
            <w:pPr>
              <w:pStyle w:val="TableText"/>
              <w:rPr>
                <w:i/>
                <w:szCs w:val="18"/>
              </w:rPr>
            </w:pPr>
          </w:p>
        </w:tc>
        <w:tc>
          <w:tcPr>
            <w:tcW w:w="1474" w:type="dxa"/>
            <w:shd w:val="clear" w:color="auto" w:fill="auto"/>
          </w:tcPr>
          <w:p w14:paraId="23D92196" w14:textId="77777777" w:rsidR="003438A2" w:rsidRPr="009C61F6" w:rsidRDefault="003438A2" w:rsidP="00881E29">
            <w:pPr>
              <w:pStyle w:val="TableText"/>
              <w:rPr>
                <w:rFonts w:eastAsia="Calibri" w:cs="Times New Roman"/>
                <w:szCs w:val="18"/>
              </w:rPr>
            </w:pPr>
            <w:r w:rsidRPr="009C61F6">
              <w:rPr>
                <w:szCs w:val="18"/>
              </w:rPr>
              <w:t>Yes. Present in</w:t>
            </w:r>
            <w:r>
              <w:rPr>
                <w:szCs w:val="18"/>
              </w:rPr>
              <w:t xml:space="preserve"> </w:t>
            </w:r>
            <w:r w:rsidRPr="009C61F6">
              <w:rPr>
                <w:szCs w:val="18"/>
              </w:rPr>
              <w:t xml:space="preserve">OR and WA </w:t>
            </w:r>
            <w:r w:rsidRPr="009C61F6">
              <w:rPr>
                <w:noProof/>
                <w:szCs w:val="18"/>
              </w:rPr>
              <w:t>(Burts 1970)</w:t>
            </w:r>
            <w:r w:rsidRPr="009C61F6">
              <w:rPr>
                <w:szCs w:val="18"/>
              </w:rPr>
              <w:t>. Also present in CA</w:t>
            </w:r>
          </w:p>
        </w:tc>
        <w:tc>
          <w:tcPr>
            <w:tcW w:w="1474" w:type="dxa"/>
            <w:shd w:val="clear" w:color="auto" w:fill="auto"/>
          </w:tcPr>
          <w:p w14:paraId="5BEA49C3" w14:textId="77777777" w:rsidR="003438A2" w:rsidRPr="009C61F6" w:rsidRDefault="003438A2" w:rsidP="00881E29">
            <w:pPr>
              <w:spacing w:before="60" w:after="60" w:line="240" w:lineRule="auto"/>
              <w:rPr>
                <w:rFonts w:eastAsia="Calibri" w:cs="Times New Roman"/>
                <w:sz w:val="18"/>
                <w:szCs w:val="18"/>
              </w:rPr>
            </w:pPr>
            <w:r w:rsidRPr="009C61F6">
              <w:rPr>
                <w:rFonts w:eastAsia="Calibri" w:cs="Times New Roman"/>
                <w:sz w:val="18"/>
                <w:szCs w:val="18"/>
              </w:rPr>
              <w:t>No records found</w:t>
            </w:r>
          </w:p>
        </w:tc>
        <w:tc>
          <w:tcPr>
            <w:tcW w:w="2552" w:type="dxa"/>
            <w:shd w:val="clear" w:color="auto" w:fill="auto"/>
          </w:tcPr>
          <w:p w14:paraId="461CA89D" w14:textId="77777777" w:rsidR="003438A2" w:rsidRPr="009C61F6" w:rsidRDefault="003438A2" w:rsidP="00881E29">
            <w:pPr>
              <w:spacing w:before="60" w:after="60" w:line="240" w:lineRule="auto"/>
              <w:rPr>
                <w:rFonts w:eastAsia="Calibri" w:cs="Times New Roman"/>
                <w:sz w:val="18"/>
                <w:szCs w:val="18"/>
              </w:rPr>
            </w:pPr>
            <w:r w:rsidRPr="009C61F6">
              <w:rPr>
                <w:rFonts w:eastAsia="Calibri" w:cs="Times New Roman"/>
                <w:sz w:val="18"/>
                <w:szCs w:val="18"/>
              </w:rPr>
              <w:t xml:space="preserve">No. </w:t>
            </w:r>
            <w:hyperlink w:anchor="_ENREF_799" w:tooltip="Wiman, 2019 #37414" w:history="1">
              <w:r w:rsidRPr="009C61F6">
                <w:rPr>
                  <w:rFonts w:eastAsia="Calibri" w:cs="Times New Roman"/>
                  <w:sz w:val="18"/>
                  <w:szCs w:val="18"/>
                </w:rPr>
                <w:t>Wiman et al. (2019</w:t>
              </w:r>
            </w:hyperlink>
            <w:r w:rsidRPr="009C61F6">
              <w:rPr>
                <w:rFonts w:eastAsia="Calibri" w:cs="Times New Roman"/>
                <w:sz w:val="18"/>
                <w:szCs w:val="18"/>
              </w:rPr>
              <w:t xml:space="preserve">) recorded that </w:t>
            </w:r>
            <w:r>
              <w:rPr>
                <w:rFonts w:eastAsia="Calibri" w:cs="Times New Roman"/>
                <w:sz w:val="18"/>
                <w:szCs w:val="18"/>
              </w:rPr>
              <w:t xml:space="preserve">mite </w:t>
            </w:r>
            <w:r w:rsidRPr="009C61F6">
              <w:rPr>
                <w:rFonts w:eastAsia="Calibri" w:cs="Times New Roman"/>
                <w:sz w:val="18"/>
                <w:szCs w:val="18"/>
              </w:rPr>
              <w:t xml:space="preserve">feeding on leaves causes reddish to yellow green blisters; blisters turn brown or black as the tissue dies later in the season; leaves may drop prematurely; loss of foliage weakens trees, reduces shoot growth, and interferes with fruit maturation and fruit bud formation. </w:t>
            </w:r>
            <w:r w:rsidRPr="009C61F6">
              <w:rPr>
                <w:sz w:val="18"/>
                <w:szCs w:val="18"/>
              </w:rPr>
              <w:t>Fruit damage is caused by feeding injury to buds before bloom—mites do not reside in the blisters on fruit (</w:t>
            </w:r>
            <w:hyperlink w:anchor="_ENREF_837" w:tooltip="Wiman, 2021 #42832" w:history="1">
              <w:r w:rsidRPr="009C61F6">
                <w:rPr>
                  <w:noProof/>
                  <w:sz w:val="18"/>
                  <w:szCs w:val="18"/>
                </w:rPr>
                <w:t>Wiman &amp; Stoven 2021</w:t>
              </w:r>
            </w:hyperlink>
            <w:r w:rsidRPr="009C61F6">
              <w:rPr>
                <w:sz w:val="18"/>
                <w:szCs w:val="18"/>
              </w:rPr>
              <w:t>)</w:t>
            </w:r>
            <w:r>
              <w:rPr>
                <w:sz w:val="18"/>
                <w:szCs w:val="18"/>
              </w:rPr>
              <w:t>.</w:t>
            </w:r>
          </w:p>
        </w:tc>
        <w:tc>
          <w:tcPr>
            <w:tcW w:w="2381" w:type="dxa"/>
            <w:shd w:val="clear" w:color="auto" w:fill="auto"/>
          </w:tcPr>
          <w:p w14:paraId="547D62A7" w14:textId="77777777" w:rsidR="003438A2" w:rsidRPr="009C61F6" w:rsidRDefault="003438A2" w:rsidP="00881E29">
            <w:pPr>
              <w:spacing w:before="60" w:after="60" w:line="240" w:lineRule="auto"/>
              <w:rPr>
                <w:rFonts w:eastAsia="Calibri" w:cs="Times New Roman"/>
                <w:sz w:val="18"/>
                <w:szCs w:val="18"/>
              </w:rPr>
            </w:pPr>
            <w:r w:rsidRPr="009C61F6">
              <w:rPr>
                <w:rFonts w:eastAsia="Calibri" w:cs="Times New Roman"/>
                <w:sz w:val="18"/>
                <w:szCs w:val="18"/>
              </w:rPr>
              <w:t>Assessment not required</w:t>
            </w:r>
          </w:p>
        </w:tc>
        <w:tc>
          <w:tcPr>
            <w:tcW w:w="2211" w:type="dxa"/>
            <w:shd w:val="clear" w:color="auto" w:fill="auto"/>
          </w:tcPr>
          <w:p w14:paraId="693E95C7" w14:textId="77777777" w:rsidR="003438A2" w:rsidRPr="009C61F6" w:rsidRDefault="003438A2" w:rsidP="00881E29">
            <w:pPr>
              <w:spacing w:before="60" w:after="60" w:line="240" w:lineRule="auto"/>
              <w:rPr>
                <w:rFonts w:eastAsia="Calibri" w:cs="Times New Roman"/>
                <w:sz w:val="18"/>
                <w:szCs w:val="18"/>
              </w:rPr>
            </w:pPr>
            <w:r w:rsidRPr="009C61F6">
              <w:rPr>
                <w:rFonts w:eastAsia="Calibri" w:cs="Times New Roman"/>
                <w:sz w:val="18"/>
                <w:szCs w:val="18"/>
              </w:rPr>
              <w:t>Assessment not required</w:t>
            </w:r>
          </w:p>
        </w:tc>
        <w:tc>
          <w:tcPr>
            <w:tcW w:w="1191" w:type="dxa"/>
            <w:shd w:val="clear" w:color="auto" w:fill="auto"/>
          </w:tcPr>
          <w:p w14:paraId="2104EFD3" w14:textId="77777777" w:rsidR="003438A2" w:rsidRPr="009C61F6" w:rsidRDefault="003438A2" w:rsidP="00881E29">
            <w:pPr>
              <w:spacing w:before="60" w:after="60" w:line="240" w:lineRule="auto"/>
              <w:rPr>
                <w:rFonts w:eastAsia="Calibri" w:cs="Times New Roman"/>
                <w:sz w:val="18"/>
                <w:szCs w:val="18"/>
              </w:rPr>
            </w:pPr>
            <w:r w:rsidRPr="009C61F6">
              <w:rPr>
                <w:rFonts w:eastAsia="Calibri" w:cs="Times New Roman"/>
                <w:sz w:val="18"/>
                <w:szCs w:val="18"/>
              </w:rPr>
              <w:t>No</w:t>
            </w:r>
          </w:p>
        </w:tc>
      </w:tr>
      <w:tr w:rsidR="003438A2" w:rsidRPr="009C61F6" w14:paraId="4AEE85BB" w14:textId="77777777" w:rsidTr="00C4199F">
        <w:tblPrEx>
          <w:tblBorders>
            <w:insideH w:val="single" w:sz="4" w:space="0" w:color="BFBFBF" w:themeColor="background1" w:themeShade="BF"/>
          </w:tblBorders>
        </w:tblPrEx>
        <w:trPr>
          <w:cantSplit/>
          <w:trHeight w:val="75"/>
          <w:jc w:val="center"/>
        </w:trPr>
        <w:tc>
          <w:tcPr>
            <w:tcW w:w="2553" w:type="dxa"/>
            <w:shd w:val="clear" w:color="auto" w:fill="auto"/>
          </w:tcPr>
          <w:p w14:paraId="75C339F1" w14:textId="77777777" w:rsidR="003438A2" w:rsidRPr="009C61F6" w:rsidRDefault="003438A2" w:rsidP="00881E29">
            <w:pPr>
              <w:pStyle w:val="TableText"/>
              <w:rPr>
                <w:szCs w:val="18"/>
              </w:rPr>
            </w:pPr>
            <w:r w:rsidRPr="009C61F6">
              <w:rPr>
                <w:i/>
                <w:szCs w:val="18"/>
              </w:rPr>
              <w:t xml:space="preserve">Oligonychus newcomeri </w:t>
            </w:r>
            <w:r w:rsidRPr="009C61F6">
              <w:rPr>
                <w:szCs w:val="18"/>
              </w:rPr>
              <w:t>(McGregor, 1950)</w:t>
            </w:r>
          </w:p>
          <w:p w14:paraId="5D92DB25" w14:textId="77777777" w:rsidR="003438A2" w:rsidRPr="009C61F6" w:rsidRDefault="003438A2" w:rsidP="00881E29">
            <w:pPr>
              <w:pStyle w:val="TableText"/>
              <w:rPr>
                <w:szCs w:val="18"/>
              </w:rPr>
            </w:pPr>
            <w:r w:rsidRPr="009C61F6">
              <w:rPr>
                <w:szCs w:val="18"/>
              </w:rPr>
              <w:t>[Tetranychidae]</w:t>
            </w:r>
          </w:p>
          <w:p w14:paraId="65EDF960" w14:textId="77777777" w:rsidR="003438A2" w:rsidRPr="009C61F6" w:rsidRDefault="003438A2" w:rsidP="00881E29">
            <w:pPr>
              <w:pStyle w:val="TableText"/>
              <w:rPr>
                <w:i/>
                <w:szCs w:val="18"/>
              </w:rPr>
            </w:pPr>
            <w:r w:rsidRPr="009C61F6">
              <w:rPr>
                <w:szCs w:val="18"/>
              </w:rPr>
              <w:t>Spider mite</w:t>
            </w:r>
          </w:p>
        </w:tc>
        <w:tc>
          <w:tcPr>
            <w:tcW w:w="1474" w:type="dxa"/>
            <w:shd w:val="clear" w:color="auto" w:fill="auto"/>
          </w:tcPr>
          <w:p w14:paraId="7584B708" w14:textId="77777777" w:rsidR="003438A2" w:rsidRPr="009C61F6" w:rsidRDefault="003438A2" w:rsidP="00881E29">
            <w:pPr>
              <w:pStyle w:val="TableText"/>
              <w:rPr>
                <w:rFonts w:eastAsia="Calibri" w:cs="Times New Roman"/>
                <w:szCs w:val="18"/>
              </w:rPr>
            </w:pPr>
            <w:r w:rsidRPr="009C61F6">
              <w:rPr>
                <w:szCs w:val="18"/>
              </w:rPr>
              <w:t xml:space="preserve">Yes. Present in WA </w:t>
            </w:r>
            <w:r w:rsidRPr="009C61F6">
              <w:rPr>
                <w:noProof/>
                <w:szCs w:val="18"/>
              </w:rPr>
              <w:t>(Baker &amp; Tuttle 1994; Vacante 2015)</w:t>
            </w:r>
            <w:r w:rsidRPr="009C61F6">
              <w:rPr>
                <w:szCs w:val="18"/>
              </w:rPr>
              <w:t>. Also present in PA</w:t>
            </w:r>
          </w:p>
        </w:tc>
        <w:tc>
          <w:tcPr>
            <w:tcW w:w="1474" w:type="dxa"/>
            <w:shd w:val="clear" w:color="auto" w:fill="auto"/>
          </w:tcPr>
          <w:p w14:paraId="7F6EA1F7" w14:textId="77777777" w:rsidR="003438A2" w:rsidRPr="009C61F6" w:rsidRDefault="003438A2" w:rsidP="00881E29">
            <w:pPr>
              <w:spacing w:before="60" w:after="60" w:line="240" w:lineRule="auto"/>
              <w:rPr>
                <w:rFonts w:eastAsia="Calibri" w:cs="Times New Roman"/>
                <w:sz w:val="18"/>
                <w:szCs w:val="18"/>
              </w:rPr>
            </w:pPr>
            <w:r w:rsidRPr="009C61F6">
              <w:rPr>
                <w:rFonts w:eastAsia="Calibri" w:cs="Times New Roman"/>
                <w:sz w:val="18"/>
                <w:szCs w:val="18"/>
              </w:rPr>
              <w:t>No records found</w:t>
            </w:r>
          </w:p>
        </w:tc>
        <w:tc>
          <w:tcPr>
            <w:tcW w:w="2552" w:type="dxa"/>
            <w:shd w:val="clear" w:color="auto" w:fill="auto"/>
          </w:tcPr>
          <w:p w14:paraId="52488EDE" w14:textId="77777777" w:rsidR="003438A2" w:rsidRPr="009C61F6" w:rsidRDefault="003438A2" w:rsidP="00881E29">
            <w:pPr>
              <w:spacing w:before="60" w:after="60" w:line="240" w:lineRule="auto"/>
              <w:rPr>
                <w:rFonts w:eastAsia="Calibri" w:cs="Times New Roman"/>
                <w:sz w:val="18"/>
                <w:szCs w:val="18"/>
              </w:rPr>
            </w:pPr>
            <w:r w:rsidRPr="009C61F6">
              <w:rPr>
                <w:rFonts w:eastAsia="Calibri" w:cs="Times New Roman"/>
                <w:sz w:val="18"/>
                <w:szCs w:val="18"/>
              </w:rPr>
              <w:t xml:space="preserve">No. This pest feeds on leaves </w:t>
            </w:r>
            <w:r w:rsidRPr="009C61F6">
              <w:rPr>
                <w:rFonts w:eastAsia="Calibri" w:cs="Times New Roman"/>
                <w:noProof/>
                <w:sz w:val="18"/>
                <w:szCs w:val="18"/>
              </w:rPr>
              <w:t>(Jeppson, Keifer &amp; Baker 1975; Vacante 2015)</w:t>
            </w:r>
            <w:r>
              <w:rPr>
                <w:rFonts w:eastAsia="Calibri" w:cs="Times New Roman"/>
                <w:sz w:val="18"/>
                <w:szCs w:val="18"/>
              </w:rPr>
              <w:t>.</w:t>
            </w:r>
          </w:p>
        </w:tc>
        <w:tc>
          <w:tcPr>
            <w:tcW w:w="2381" w:type="dxa"/>
            <w:shd w:val="clear" w:color="auto" w:fill="auto"/>
          </w:tcPr>
          <w:p w14:paraId="449DCA84" w14:textId="77777777" w:rsidR="003438A2" w:rsidRPr="009C61F6" w:rsidRDefault="003438A2" w:rsidP="00881E29">
            <w:pPr>
              <w:spacing w:before="60" w:after="60" w:line="240" w:lineRule="auto"/>
              <w:rPr>
                <w:rFonts w:eastAsia="Calibri" w:cs="Times New Roman"/>
                <w:sz w:val="18"/>
                <w:szCs w:val="18"/>
              </w:rPr>
            </w:pPr>
            <w:r w:rsidRPr="009C61F6">
              <w:rPr>
                <w:rFonts w:eastAsia="Calibri" w:cs="Times New Roman"/>
                <w:sz w:val="18"/>
                <w:szCs w:val="18"/>
              </w:rPr>
              <w:t>Assessment not required</w:t>
            </w:r>
          </w:p>
        </w:tc>
        <w:tc>
          <w:tcPr>
            <w:tcW w:w="2211" w:type="dxa"/>
            <w:shd w:val="clear" w:color="auto" w:fill="auto"/>
          </w:tcPr>
          <w:p w14:paraId="746F0B0F" w14:textId="77777777" w:rsidR="003438A2" w:rsidRPr="009C61F6" w:rsidRDefault="003438A2" w:rsidP="00881E29">
            <w:pPr>
              <w:spacing w:before="60" w:after="60" w:line="240" w:lineRule="auto"/>
              <w:rPr>
                <w:rFonts w:eastAsia="Calibri" w:cs="Times New Roman"/>
                <w:sz w:val="18"/>
                <w:szCs w:val="18"/>
              </w:rPr>
            </w:pPr>
            <w:r w:rsidRPr="009C61F6">
              <w:rPr>
                <w:rFonts w:eastAsia="Calibri" w:cs="Times New Roman"/>
                <w:sz w:val="18"/>
                <w:szCs w:val="18"/>
              </w:rPr>
              <w:t>Assessment not required</w:t>
            </w:r>
          </w:p>
        </w:tc>
        <w:tc>
          <w:tcPr>
            <w:tcW w:w="1191" w:type="dxa"/>
            <w:shd w:val="clear" w:color="auto" w:fill="auto"/>
          </w:tcPr>
          <w:p w14:paraId="630827DF" w14:textId="77777777" w:rsidR="003438A2" w:rsidRPr="009C61F6" w:rsidRDefault="003438A2" w:rsidP="00881E29">
            <w:pPr>
              <w:spacing w:before="60" w:after="60" w:line="240" w:lineRule="auto"/>
              <w:rPr>
                <w:rFonts w:eastAsia="Calibri" w:cs="Times New Roman"/>
                <w:sz w:val="18"/>
                <w:szCs w:val="18"/>
              </w:rPr>
            </w:pPr>
            <w:r w:rsidRPr="009C61F6">
              <w:rPr>
                <w:rFonts w:eastAsia="Calibri" w:cs="Times New Roman"/>
                <w:sz w:val="18"/>
                <w:szCs w:val="18"/>
              </w:rPr>
              <w:t>No</w:t>
            </w:r>
          </w:p>
        </w:tc>
      </w:tr>
      <w:tr w:rsidR="003438A2" w:rsidRPr="009C61F6" w14:paraId="629C9F0B" w14:textId="77777777" w:rsidTr="00C4199F">
        <w:trPr>
          <w:cantSplit/>
          <w:trHeight w:val="75"/>
          <w:jc w:val="center"/>
        </w:trPr>
        <w:tc>
          <w:tcPr>
            <w:tcW w:w="2553" w:type="dxa"/>
            <w:shd w:val="clear" w:color="auto" w:fill="auto"/>
          </w:tcPr>
          <w:p w14:paraId="3B8D2A1B" w14:textId="77777777" w:rsidR="003438A2" w:rsidRPr="009C61F6" w:rsidRDefault="003438A2" w:rsidP="00881E29">
            <w:pPr>
              <w:spacing w:before="60" w:after="60" w:line="240" w:lineRule="auto"/>
              <w:rPr>
                <w:rFonts w:eastAsia="Calibri" w:cs="Times New Roman"/>
                <w:sz w:val="18"/>
                <w:szCs w:val="18"/>
              </w:rPr>
            </w:pPr>
            <w:r w:rsidRPr="009C61F6">
              <w:rPr>
                <w:rFonts w:eastAsia="Calibri" w:cs="Times New Roman"/>
                <w:i/>
                <w:sz w:val="18"/>
                <w:szCs w:val="18"/>
              </w:rPr>
              <w:t>Tetranychus canadensis</w:t>
            </w:r>
            <w:r w:rsidRPr="009C61F6">
              <w:rPr>
                <w:rFonts w:eastAsia="Calibri" w:cs="Times New Roman"/>
                <w:sz w:val="18"/>
                <w:szCs w:val="18"/>
              </w:rPr>
              <w:t xml:space="preserve"> (McGregor, 1950)</w:t>
            </w:r>
          </w:p>
          <w:p w14:paraId="3195191D" w14:textId="77777777" w:rsidR="003438A2" w:rsidRPr="009C61F6" w:rsidRDefault="003438A2" w:rsidP="00881E29">
            <w:pPr>
              <w:spacing w:before="60" w:after="60" w:line="240" w:lineRule="auto"/>
              <w:rPr>
                <w:rFonts w:eastAsia="Calibri" w:cs="Times New Roman"/>
                <w:sz w:val="18"/>
                <w:szCs w:val="18"/>
              </w:rPr>
            </w:pPr>
            <w:r w:rsidRPr="009C61F6">
              <w:rPr>
                <w:rFonts w:eastAsia="Calibri" w:cs="Times New Roman"/>
                <w:sz w:val="18"/>
                <w:szCs w:val="18"/>
              </w:rPr>
              <w:t>[Tetranychidae]</w:t>
            </w:r>
          </w:p>
          <w:p w14:paraId="3FF13611" w14:textId="77777777" w:rsidR="003438A2" w:rsidRPr="009C61F6" w:rsidRDefault="003438A2" w:rsidP="00881E29">
            <w:pPr>
              <w:spacing w:before="60" w:after="60" w:line="240" w:lineRule="auto"/>
              <w:rPr>
                <w:rFonts w:eastAsia="Calibri" w:cs="Times New Roman"/>
                <w:i/>
                <w:sz w:val="18"/>
                <w:szCs w:val="18"/>
              </w:rPr>
            </w:pPr>
            <w:r w:rsidRPr="009C61F6">
              <w:rPr>
                <w:rFonts w:eastAsia="Calibri" w:cs="Times New Roman"/>
                <w:sz w:val="18"/>
                <w:szCs w:val="18"/>
              </w:rPr>
              <w:t>Four spotted spider-mite; Hawthorn spider mite</w:t>
            </w:r>
          </w:p>
        </w:tc>
        <w:tc>
          <w:tcPr>
            <w:tcW w:w="1474" w:type="dxa"/>
            <w:shd w:val="clear" w:color="auto" w:fill="auto"/>
          </w:tcPr>
          <w:p w14:paraId="23B3FD6C" w14:textId="77777777" w:rsidR="003438A2" w:rsidRPr="00796237" w:rsidRDefault="003438A2" w:rsidP="00796237">
            <w:pPr>
              <w:pStyle w:val="TableText"/>
            </w:pPr>
            <w:r w:rsidRPr="009C61F6">
              <w:t>No. Widely distributed throughout the USA, but not reported from PNW-USA</w:t>
            </w:r>
            <w:r>
              <w:t xml:space="preserve"> </w:t>
            </w:r>
            <w:r>
              <w:rPr>
                <w:noProof/>
              </w:rPr>
              <w:t>(Jeppson, Keifer &amp; Baker 1975; Pritchard 1955)</w:t>
            </w:r>
          </w:p>
        </w:tc>
        <w:tc>
          <w:tcPr>
            <w:tcW w:w="1474" w:type="dxa"/>
            <w:shd w:val="clear" w:color="auto" w:fill="auto"/>
          </w:tcPr>
          <w:p w14:paraId="4B0DEA81" w14:textId="77777777" w:rsidR="003438A2" w:rsidRPr="009C61F6" w:rsidRDefault="003438A2" w:rsidP="00881E29">
            <w:pPr>
              <w:spacing w:before="60" w:after="60" w:line="240" w:lineRule="auto"/>
              <w:rPr>
                <w:rFonts w:eastAsia="Calibri" w:cs="Times New Roman"/>
                <w:sz w:val="18"/>
                <w:szCs w:val="18"/>
              </w:rPr>
            </w:pPr>
            <w:r w:rsidRPr="009C61F6">
              <w:rPr>
                <w:rFonts w:eastAsia="Calibri" w:cs="Times New Roman"/>
                <w:sz w:val="18"/>
                <w:szCs w:val="18"/>
              </w:rPr>
              <w:t>No records found</w:t>
            </w:r>
          </w:p>
        </w:tc>
        <w:tc>
          <w:tcPr>
            <w:tcW w:w="2552" w:type="dxa"/>
            <w:shd w:val="clear" w:color="auto" w:fill="auto"/>
          </w:tcPr>
          <w:p w14:paraId="6FEA41A2" w14:textId="77777777" w:rsidR="003438A2" w:rsidRPr="009C61F6" w:rsidRDefault="003438A2" w:rsidP="00881E29">
            <w:pPr>
              <w:spacing w:before="60" w:after="60" w:line="240" w:lineRule="auto"/>
              <w:rPr>
                <w:rFonts w:eastAsia="Calibri" w:cs="Times New Roman"/>
                <w:sz w:val="18"/>
                <w:szCs w:val="18"/>
              </w:rPr>
            </w:pPr>
            <w:r w:rsidRPr="009C61F6">
              <w:rPr>
                <w:rFonts w:eastAsia="Calibri" w:cs="Times New Roman"/>
                <w:sz w:val="18"/>
                <w:szCs w:val="18"/>
              </w:rPr>
              <w:t>Assessment not required</w:t>
            </w:r>
          </w:p>
        </w:tc>
        <w:tc>
          <w:tcPr>
            <w:tcW w:w="2381" w:type="dxa"/>
            <w:shd w:val="clear" w:color="auto" w:fill="auto"/>
          </w:tcPr>
          <w:p w14:paraId="08E4DDD7" w14:textId="77777777" w:rsidR="003438A2" w:rsidRPr="009C61F6" w:rsidRDefault="003438A2" w:rsidP="00881E29">
            <w:pPr>
              <w:spacing w:before="60" w:after="60" w:line="240" w:lineRule="auto"/>
              <w:rPr>
                <w:rFonts w:eastAsia="Calibri" w:cs="Times New Roman"/>
                <w:sz w:val="18"/>
                <w:szCs w:val="18"/>
              </w:rPr>
            </w:pPr>
            <w:r w:rsidRPr="009C61F6">
              <w:rPr>
                <w:rFonts w:eastAsia="Calibri" w:cs="Times New Roman"/>
                <w:sz w:val="18"/>
                <w:szCs w:val="18"/>
              </w:rPr>
              <w:t>Assessment not required</w:t>
            </w:r>
            <w:r w:rsidRPr="009C61F6" w:rsidDel="00407C75">
              <w:rPr>
                <w:rFonts w:eastAsia="Calibri" w:cs="Times New Roman"/>
                <w:sz w:val="18"/>
                <w:szCs w:val="18"/>
              </w:rPr>
              <w:t xml:space="preserve"> </w:t>
            </w:r>
          </w:p>
        </w:tc>
        <w:tc>
          <w:tcPr>
            <w:tcW w:w="2211" w:type="dxa"/>
            <w:shd w:val="clear" w:color="auto" w:fill="auto"/>
          </w:tcPr>
          <w:p w14:paraId="4F1F297E" w14:textId="77777777" w:rsidR="003438A2" w:rsidRPr="009C61F6" w:rsidRDefault="003438A2" w:rsidP="00881E29">
            <w:pPr>
              <w:spacing w:before="60" w:after="60" w:line="240" w:lineRule="auto"/>
              <w:rPr>
                <w:rFonts w:eastAsia="Calibri" w:cs="Times New Roman"/>
                <w:sz w:val="18"/>
                <w:szCs w:val="18"/>
              </w:rPr>
            </w:pPr>
            <w:r w:rsidRPr="009C61F6">
              <w:rPr>
                <w:rFonts w:eastAsia="Calibri" w:cs="Times New Roman"/>
                <w:sz w:val="18"/>
                <w:szCs w:val="18"/>
              </w:rPr>
              <w:t xml:space="preserve">Assessment not required </w:t>
            </w:r>
          </w:p>
        </w:tc>
        <w:tc>
          <w:tcPr>
            <w:tcW w:w="1191" w:type="dxa"/>
            <w:shd w:val="clear" w:color="auto" w:fill="auto"/>
          </w:tcPr>
          <w:p w14:paraId="79879CF0" w14:textId="77777777" w:rsidR="003438A2" w:rsidRPr="009C61F6" w:rsidRDefault="003438A2" w:rsidP="00881E29">
            <w:pPr>
              <w:spacing w:before="60" w:after="60" w:line="240" w:lineRule="auto"/>
              <w:rPr>
                <w:rFonts w:eastAsia="Calibri" w:cs="Times New Roman"/>
                <w:sz w:val="18"/>
                <w:szCs w:val="18"/>
              </w:rPr>
            </w:pPr>
            <w:r w:rsidRPr="009C61F6">
              <w:rPr>
                <w:rFonts w:eastAsia="Calibri" w:cs="Times New Roman"/>
                <w:sz w:val="18"/>
                <w:szCs w:val="18"/>
              </w:rPr>
              <w:t>No</w:t>
            </w:r>
          </w:p>
        </w:tc>
      </w:tr>
      <w:tr w:rsidR="003438A2" w:rsidRPr="009C61F6" w14:paraId="031DDD32" w14:textId="77777777" w:rsidTr="00C4199F">
        <w:trPr>
          <w:cantSplit/>
          <w:trHeight w:val="75"/>
          <w:jc w:val="center"/>
        </w:trPr>
        <w:tc>
          <w:tcPr>
            <w:tcW w:w="2553" w:type="dxa"/>
            <w:shd w:val="clear" w:color="auto" w:fill="auto"/>
          </w:tcPr>
          <w:p w14:paraId="2D8E4C94" w14:textId="77777777" w:rsidR="003438A2" w:rsidRPr="009C61F6" w:rsidRDefault="003438A2" w:rsidP="00881E29">
            <w:pPr>
              <w:spacing w:before="60" w:after="60" w:line="240" w:lineRule="auto"/>
              <w:rPr>
                <w:rFonts w:eastAsia="Calibri" w:cs="Times New Roman"/>
                <w:sz w:val="18"/>
                <w:szCs w:val="18"/>
              </w:rPr>
            </w:pPr>
            <w:r w:rsidRPr="009C61F6">
              <w:rPr>
                <w:rFonts w:eastAsia="Calibri" w:cs="Times New Roman"/>
                <w:i/>
                <w:sz w:val="18"/>
                <w:szCs w:val="18"/>
              </w:rPr>
              <w:lastRenderedPageBreak/>
              <w:t xml:space="preserve">Tetranychus mcdanieli </w:t>
            </w:r>
            <w:r w:rsidRPr="009C61F6">
              <w:rPr>
                <w:rFonts w:eastAsia="Calibri" w:cs="Times New Roman"/>
                <w:sz w:val="18"/>
                <w:szCs w:val="18"/>
              </w:rPr>
              <w:t>McGregor, 1931</w:t>
            </w:r>
          </w:p>
          <w:p w14:paraId="471C8C9A" w14:textId="77777777" w:rsidR="003438A2" w:rsidRPr="009C61F6" w:rsidRDefault="003438A2" w:rsidP="00881E29">
            <w:pPr>
              <w:spacing w:before="60" w:after="60" w:line="240" w:lineRule="auto"/>
              <w:rPr>
                <w:rFonts w:eastAsia="Calibri" w:cs="Times New Roman"/>
                <w:sz w:val="18"/>
                <w:szCs w:val="18"/>
              </w:rPr>
            </w:pPr>
            <w:r w:rsidRPr="009C61F6">
              <w:rPr>
                <w:rFonts w:eastAsia="Calibri" w:cs="Times New Roman"/>
                <w:sz w:val="18"/>
                <w:szCs w:val="18"/>
              </w:rPr>
              <w:t>[Tetranychidae]</w:t>
            </w:r>
          </w:p>
          <w:p w14:paraId="2D4ACAAF" w14:textId="77777777" w:rsidR="003438A2" w:rsidRPr="009C61F6" w:rsidRDefault="003438A2" w:rsidP="00881E29">
            <w:pPr>
              <w:spacing w:before="60" w:after="60" w:line="240" w:lineRule="auto"/>
              <w:rPr>
                <w:rFonts w:eastAsia="Calibri" w:cs="Times New Roman"/>
                <w:i/>
                <w:sz w:val="18"/>
                <w:szCs w:val="18"/>
              </w:rPr>
            </w:pPr>
            <w:r w:rsidRPr="009C61F6">
              <w:rPr>
                <w:rFonts w:eastAsia="Calibri" w:cs="Times New Roman"/>
                <w:sz w:val="18"/>
                <w:szCs w:val="18"/>
              </w:rPr>
              <w:t>McDaniel spider mite</w:t>
            </w:r>
          </w:p>
        </w:tc>
        <w:tc>
          <w:tcPr>
            <w:tcW w:w="1474" w:type="dxa"/>
            <w:shd w:val="clear" w:color="auto" w:fill="auto"/>
          </w:tcPr>
          <w:p w14:paraId="294E7424" w14:textId="77777777" w:rsidR="003438A2" w:rsidRPr="009C61F6" w:rsidRDefault="003438A2" w:rsidP="00881E29">
            <w:pPr>
              <w:spacing w:before="60" w:after="60" w:line="240" w:lineRule="auto"/>
              <w:rPr>
                <w:rFonts w:eastAsia="Calibri" w:cs="Times New Roman"/>
                <w:snapToGrid w:val="0"/>
                <w:sz w:val="18"/>
                <w:szCs w:val="18"/>
              </w:rPr>
            </w:pPr>
            <w:r w:rsidRPr="009C61F6">
              <w:rPr>
                <w:rFonts w:eastAsia="Calibri" w:cs="Times New Roman"/>
                <w:sz w:val="18"/>
                <w:szCs w:val="18"/>
              </w:rPr>
              <w:t xml:space="preserve">Yes. Present in ID, OR and WA </w:t>
            </w:r>
            <w:r>
              <w:rPr>
                <w:rFonts w:eastAsia="Calibri" w:cs="Times New Roman"/>
                <w:noProof/>
                <w:sz w:val="18"/>
                <w:szCs w:val="18"/>
              </w:rPr>
              <w:t>(APHIS 2007; Mellott 2021)</w:t>
            </w:r>
          </w:p>
        </w:tc>
        <w:tc>
          <w:tcPr>
            <w:tcW w:w="1474" w:type="dxa"/>
            <w:shd w:val="clear" w:color="auto" w:fill="auto"/>
          </w:tcPr>
          <w:p w14:paraId="41CA5761" w14:textId="77777777" w:rsidR="003438A2" w:rsidRPr="009C61F6" w:rsidRDefault="003438A2" w:rsidP="00881E29">
            <w:pPr>
              <w:spacing w:before="60" w:after="60" w:line="240" w:lineRule="auto"/>
              <w:rPr>
                <w:rFonts w:eastAsia="Calibri" w:cs="Times New Roman"/>
                <w:sz w:val="18"/>
                <w:szCs w:val="18"/>
              </w:rPr>
            </w:pPr>
            <w:r w:rsidRPr="009C61F6">
              <w:rPr>
                <w:rFonts w:eastAsia="Calibri" w:cs="Times New Roman"/>
                <w:sz w:val="18"/>
                <w:szCs w:val="18"/>
              </w:rPr>
              <w:t>No records found</w:t>
            </w:r>
          </w:p>
        </w:tc>
        <w:tc>
          <w:tcPr>
            <w:tcW w:w="2552" w:type="dxa"/>
            <w:shd w:val="clear" w:color="auto" w:fill="auto"/>
          </w:tcPr>
          <w:p w14:paraId="0A86F6F6" w14:textId="77777777" w:rsidR="003438A2" w:rsidRPr="009C61F6" w:rsidRDefault="003438A2" w:rsidP="00881E29">
            <w:pPr>
              <w:spacing w:before="60" w:after="60" w:line="240" w:lineRule="auto"/>
              <w:rPr>
                <w:rFonts w:eastAsia="Calibri" w:cs="Times New Roman"/>
                <w:sz w:val="18"/>
                <w:szCs w:val="18"/>
              </w:rPr>
            </w:pPr>
            <w:r w:rsidRPr="009C61F6">
              <w:rPr>
                <w:rFonts w:eastAsia="Calibri" w:cs="Times New Roman"/>
                <w:sz w:val="18"/>
                <w:szCs w:val="18"/>
              </w:rPr>
              <w:t xml:space="preserve">Yes. Apple is listed as a host </w:t>
            </w:r>
            <w:r w:rsidRPr="009C61F6">
              <w:rPr>
                <w:rFonts w:eastAsia="Calibri" w:cs="Times New Roman"/>
                <w:noProof/>
                <w:sz w:val="18"/>
                <w:szCs w:val="18"/>
              </w:rPr>
              <w:t>(Pritchard 1955)</w:t>
            </w:r>
            <w:r w:rsidRPr="009C61F6">
              <w:rPr>
                <w:rFonts w:eastAsia="Calibri" w:cs="Times New Roman"/>
                <w:sz w:val="18"/>
                <w:szCs w:val="18"/>
              </w:rPr>
              <w:t xml:space="preserve">. Usually stays on leaves and overwinters on tree trunk. However, they can collect around the calyx in winter </w:t>
            </w:r>
            <w:r>
              <w:rPr>
                <w:rFonts w:eastAsia="Calibri" w:cs="Times New Roman"/>
                <w:noProof/>
                <w:sz w:val="18"/>
                <w:szCs w:val="18"/>
              </w:rPr>
              <w:t>(APHIS 2007)</w:t>
            </w:r>
            <w:r>
              <w:rPr>
                <w:rFonts w:eastAsia="Calibri" w:cs="Times New Roman"/>
                <w:sz w:val="18"/>
                <w:szCs w:val="18"/>
              </w:rPr>
              <w:t>.</w:t>
            </w:r>
          </w:p>
        </w:tc>
        <w:tc>
          <w:tcPr>
            <w:tcW w:w="2381" w:type="dxa"/>
            <w:shd w:val="clear" w:color="auto" w:fill="auto"/>
          </w:tcPr>
          <w:p w14:paraId="76BD0338" w14:textId="77777777" w:rsidR="003438A2" w:rsidRPr="009C61F6" w:rsidRDefault="003438A2" w:rsidP="00881E29">
            <w:pPr>
              <w:spacing w:before="60" w:after="60" w:line="240" w:lineRule="auto"/>
              <w:rPr>
                <w:rFonts w:eastAsia="Calibri" w:cs="Times New Roman"/>
                <w:sz w:val="18"/>
                <w:szCs w:val="18"/>
              </w:rPr>
            </w:pPr>
            <w:r w:rsidRPr="009C61F6">
              <w:rPr>
                <w:rFonts w:eastAsia="Calibri" w:cs="Times New Roman"/>
                <w:sz w:val="18"/>
                <w:szCs w:val="18"/>
              </w:rPr>
              <w:t>Yes. Wide host range including deciduous tree fruit (apple (</w:t>
            </w:r>
            <w:r w:rsidRPr="009C61F6">
              <w:rPr>
                <w:rFonts w:eastAsia="Calibri" w:cs="Times New Roman"/>
                <w:i/>
                <w:sz w:val="18"/>
                <w:szCs w:val="18"/>
              </w:rPr>
              <w:t>Malus</w:t>
            </w:r>
            <w:r w:rsidRPr="009C61F6">
              <w:rPr>
                <w:rFonts w:eastAsia="Calibri" w:cs="Times New Roman"/>
                <w:sz w:val="18"/>
                <w:szCs w:val="18"/>
              </w:rPr>
              <w:t xml:space="preserve"> spp.), pear (</w:t>
            </w:r>
            <w:r w:rsidRPr="009C61F6">
              <w:rPr>
                <w:rFonts w:eastAsia="Calibri" w:cs="Times New Roman"/>
                <w:i/>
                <w:sz w:val="18"/>
                <w:szCs w:val="18"/>
              </w:rPr>
              <w:t xml:space="preserve">Pyrus </w:t>
            </w:r>
            <w:r w:rsidRPr="009C61F6">
              <w:rPr>
                <w:rFonts w:eastAsia="Calibri" w:cs="Times New Roman"/>
                <w:sz w:val="18"/>
                <w:szCs w:val="18"/>
              </w:rPr>
              <w:t xml:space="preserve">spp.), apricot, sweet and sour cherry, peach, </w:t>
            </w:r>
            <w:r>
              <w:rPr>
                <w:rFonts w:eastAsia="Calibri" w:cs="Times New Roman"/>
                <w:sz w:val="18"/>
                <w:szCs w:val="18"/>
              </w:rPr>
              <w:t>plum</w:t>
            </w:r>
            <w:r w:rsidRPr="009C61F6">
              <w:rPr>
                <w:rFonts w:eastAsia="Calibri" w:cs="Times New Roman"/>
                <w:sz w:val="18"/>
                <w:szCs w:val="18"/>
              </w:rPr>
              <w:t xml:space="preserve"> (</w:t>
            </w:r>
            <w:r w:rsidRPr="009C61F6">
              <w:rPr>
                <w:rFonts w:eastAsia="Calibri" w:cs="Times New Roman"/>
                <w:i/>
                <w:sz w:val="18"/>
                <w:szCs w:val="18"/>
              </w:rPr>
              <w:t>Prunus</w:t>
            </w:r>
            <w:r w:rsidRPr="009C61F6">
              <w:rPr>
                <w:rFonts w:eastAsia="Calibri" w:cs="Times New Roman"/>
                <w:sz w:val="18"/>
                <w:szCs w:val="18"/>
              </w:rPr>
              <w:t xml:space="preserve"> spp.) some field and vegetable crops (squash (</w:t>
            </w:r>
            <w:r w:rsidRPr="009C61F6">
              <w:rPr>
                <w:rFonts w:eastAsia="Calibri" w:cs="Times New Roman"/>
                <w:i/>
                <w:sz w:val="18"/>
                <w:szCs w:val="18"/>
              </w:rPr>
              <w:t xml:space="preserve">Cucurbita </w:t>
            </w:r>
            <w:r w:rsidRPr="009C61F6">
              <w:rPr>
                <w:rFonts w:eastAsia="Calibri" w:cs="Times New Roman"/>
                <w:sz w:val="18"/>
                <w:szCs w:val="18"/>
              </w:rPr>
              <w:t xml:space="preserve">spp.), </w:t>
            </w:r>
            <w:r w:rsidRPr="009C61F6">
              <w:rPr>
                <w:rFonts w:eastAsia="Calibri" w:cs="Times New Roman"/>
                <w:i/>
                <w:sz w:val="18"/>
                <w:szCs w:val="18"/>
              </w:rPr>
              <w:t>Asparagus</w:t>
            </w:r>
            <w:r w:rsidRPr="009C61F6">
              <w:rPr>
                <w:rFonts w:eastAsia="Calibri" w:cs="Times New Roman"/>
                <w:sz w:val="18"/>
                <w:szCs w:val="18"/>
              </w:rPr>
              <w:t>, alfalfa (</w:t>
            </w:r>
            <w:r w:rsidRPr="009C61F6">
              <w:rPr>
                <w:rFonts w:eastAsia="Calibri" w:cs="Times New Roman"/>
                <w:i/>
                <w:sz w:val="18"/>
                <w:szCs w:val="18"/>
              </w:rPr>
              <w:t>Medicago sativa</w:t>
            </w:r>
            <w:r w:rsidRPr="009C61F6">
              <w:rPr>
                <w:rFonts w:eastAsia="Calibri" w:cs="Times New Roman"/>
                <w:sz w:val="18"/>
                <w:szCs w:val="18"/>
              </w:rPr>
              <w:t>), clover (</w:t>
            </w:r>
            <w:r w:rsidRPr="009C61F6">
              <w:rPr>
                <w:rFonts w:eastAsia="Calibri" w:cs="Times New Roman"/>
                <w:i/>
                <w:sz w:val="18"/>
                <w:szCs w:val="18"/>
              </w:rPr>
              <w:t>Trifolium</w:t>
            </w:r>
            <w:r w:rsidRPr="009C61F6">
              <w:rPr>
                <w:rFonts w:eastAsia="Calibri" w:cs="Times New Roman"/>
                <w:sz w:val="18"/>
                <w:szCs w:val="18"/>
              </w:rPr>
              <w:t xml:space="preserve"> spp.), and a number of weeds (mallow (</w:t>
            </w:r>
            <w:r w:rsidRPr="009C61F6">
              <w:rPr>
                <w:rFonts w:eastAsia="Calibri" w:cs="Times New Roman"/>
                <w:i/>
                <w:sz w:val="18"/>
                <w:szCs w:val="18"/>
              </w:rPr>
              <w:t xml:space="preserve">Malva </w:t>
            </w:r>
            <w:r w:rsidRPr="009C61F6">
              <w:rPr>
                <w:rFonts w:eastAsia="Calibri" w:cs="Times New Roman"/>
                <w:sz w:val="18"/>
                <w:szCs w:val="18"/>
              </w:rPr>
              <w:t>spp.), milkweed (</w:t>
            </w:r>
            <w:r w:rsidRPr="009C61F6">
              <w:rPr>
                <w:rFonts w:eastAsia="Calibri" w:cs="Times New Roman"/>
                <w:i/>
                <w:sz w:val="18"/>
                <w:szCs w:val="18"/>
              </w:rPr>
              <w:t xml:space="preserve">Asclepias </w:t>
            </w:r>
            <w:r w:rsidRPr="009C61F6">
              <w:rPr>
                <w:rFonts w:eastAsia="Calibri" w:cs="Times New Roman"/>
                <w:sz w:val="18"/>
                <w:szCs w:val="18"/>
              </w:rPr>
              <w:t>spp.), knotweed (</w:t>
            </w:r>
            <w:r w:rsidRPr="009C61F6">
              <w:rPr>
                <w:rFonts w:eastAsia="Calibri" w:cs="Times New Roman"/>
                <w:i/>
                <w:sz w:val="18"/>
                <w:szCs w:val="18"/>
              </w:rPr>
              <w:t xml:space="preserve">Polygonum </w:t>
            </w:r>
            <w:r w:rsidRPr="009C61F6">
              <w:rPr>
                <w:rFonts w:eastAsia="Calibri" w:cs="Times New Roman"/>
                <w:sz w:val="18"/>
                <w:szCs w:val="18"/>
              </w:rPr>
              <w:t>spp.), ragweed (</w:t>
            </w:r>
            <w:r w:rsidRPr="009C61F6">
              <w:rPr>
                <w:rFonts w:eastAsia="Calibri" w:cs="Times New Roman"/>
                <w:i/>
                <w:sz w:val="18"/>
                <w:szCs w:val="18"/>
              </w:rPr>
              <w:t xml:space="preserve">Ambrosia </w:t>
            </w:r>
            <w:r w:rsidRPr="009C61F6">
              <w:rPr>
                <w:rFonts w:eastAsia="Calibri" w:cs="Times New Roman"/>
                <w:sz w:val="18"/>
                <w:szCs w:val="18"/>
              </w:rPr>
              <w:t>spp.), mustard (</w:t>
            </w:r>
            <w:r w:rsidRPr="009C61F6">
              <w:rPr>
                <w:rFonts w:eastAsia="Calibri" w:cs="Times New Roman"/>
                <w:i/>
                <w:sz w:val="18"/>
                <w:szCs w:val="18"/>
              </w:rPr>
              <w:t>Brassica nigra</w:t>
            </w:r>
            <w:r w:rsidRPr="009C61F6">
              <w:rPr>
                <w:rFonts w:eastAsia="Calibri" w:cs="Times New Roman"/>
                <w:sz w:val="18"/>
                <w:szCs w:val="18"/>
              </w:rPr>
              <w:t>), dock (</w:t>
            </w:r>
            <w:r w:rsidRPr="009C61F6">
              <w:rPr>
                <w:rFonts w:eastAsia="Calibri" w:cs="Times New Roman"/>
                <w:i/>
                <w:sz w:val="18"/>
                <w:szCs w:val="18"/>
              </w:rPr>
              <w:t xml:space="preserve">Rumex </w:t>
            </w:r>
            <w:r w:rsidRPr="009C61F6">
              <w:rPr>
                <w:rFonts w:eastAsia="Calibri" w:cs="Times New Roman"/>
                <w:sz w:val="18"/>
                <w:szCs w:val="18"/>
              </w:rPr>
              <w:t>spp.), wild buckwheat (</w:t>
            </w:r>
            <w:r w:rsidRPr="009C61F6">
              <w:rPr>
                <w:rFonts w:eastAsia="Calibri" w:cs="Times New Roman"/>
                <w:i/>
                <w:sz w:val="18"/>
                <w:szCs w:val="18"/>
              </w:rPr>
              <w:t>Fagopyrum esculentum</w:t>
            </w:r>
            <w:r w:rsidRPr="009C61F6">
              <w:rPr>
                <w:rFonts w:eastAsia="Calibri" w:cs="Times New Roman"/>
                <w:sz w:val="18"/>
                <w:szCs w:val="18"/>
              </w:rPr>
              <w:t>), wild lettuce (</w:t>
            </w:r>
            <w:r w:rsidRPr="009C61F6">
              <w:rPr>
                <w:rFonts w:eastAsia="Calibri" w:cs="Times New Roman"/>
                <w:i/>
                <w:sz w:val="18"/>
                <w:szCs w:val="18"/>
              </w:rPr>
              <w:t>Lactuca</w:t>
            </w:r>
            <w:r w:rsidRPr="009C61F6">
              <w:rPr>
                <w:rFonts w:eastAsia="Calibri" w:cs="Times New Roman"/>
                <w:sz w:val="18"/>
                <w:szCs w:val="18"/>
              </w:rPr>
              <w:t xml:space="preserve"> spp.) </w:t>
            </w:r>
            <w:r w:rsidRPr="009C61F6">
              <w:rPr>
                <w:rFonts w:eastAsia="Calibri" w:cs="Times New Roman"/>
                <w:noProof/>
                <w:sz w:val="18"/>
                <w:szCs w:val="18"/>
              </w:rPr>
              <w:t>(Hoyt &amp; Beers 1993)</w:t>
            </w:r>
            <w:r w:rsidRPr="009C61F6">
              <w:rPr>
                <w:rFonts w:eastAsia="Calibri" w:cs="Times New Roman"/>
                <w:sz w:val="18"/>
                <w:szCs w:val="18"/>
              </w:rPr>
              <w:t xml:space="preserve">. Distributed across North America in environments similar to Australia </w:t>
            </w:r>
            <w:r w:rsidRPr="009C61F6">
              <w:rPr>
                <w:rFonts w:eastAsia="Calibri" w:cs="Times New Roman"/>
                <w:noProof/>
                <w:sz w:val="18"/>
                <w:szCs w:val="18"/>
              </w:rPr>
              <w:t>(Roy, Brodeur &amp; Cloutier 2005)</w:t>
            </w:r>
          </w:p>
        </w:tc>
        <w:tc>
          <w:tcPr>
            <w:tcW w:w="2211" w:type="dxa"/>
            <w:shd w:val="clear" w:color="auto" w:fill="auto"/>
          </w:tcPr>
          <w:p w14:paraId="4C3182F7" w14:textId="77777777" w:rsidR="003438A2" w:rsidRDefault="003438A2" w:rsidP="008018A7">
            <w:pPr>
              <w:pStyle w:val="TableText"/>
              <w:rPr>
                <w:noProof/>
              </w:rPr>
            </w:pPr>
            <w:r w:rsidRPr="009C61F6">
              <w:t xml:space="preserve">Yes. Feeds and lays eggs on buds and fruit. An economically important pest </w:t>
            </w:r>
            <w:r w:rsidRPr="009C61F6">
              <w:rPr>
                <w:noProof/>
              </w:rPr>
              <w:t>(Roy, Brodeur &amp; Cloutier 1999, 2005)</w:t>
            </w:r>
            <w:r w:rsidRPr="009C61F6">
              <w:t>. Damage caused by this pest is significant, particularly when the hot and dry summer climatic conditions favour the development of infestations</w:t>
            </w:r>
            <w:r>
              <w:t xml:space="preserve"> </w:t>
            </w:r>
            <w:bookmarkStart w:id="540" w:name="_Hlk111615948"/>
            <w:r>
              <w:rPr>
                <w:noProof/>
              </w:rPr>
              <w:t>(Wiman &amp; Stoven 2022).</w:t>
            </w:r>
          </w:p>
          <w:bookmarkEnd w:id="540"/>
          <w:p w14:paraId="227A0EE1" w14:textId="77777777" w:rsidR="003438A2" w:rsidRPr="009C61F6" w:rsidRDefault="003438A2" w:rsidP="00881E29">
            <w:pPr>
              <w:spacing w:before="60" w:after="60" w:line="240" w:lineRule="auto"/>
              <w:rPr>
                <w:rFonts w:eastAsia="Calibri" w:cs="Times New Roman"/>
                <w:sz w:val="18"/>
                <w:szCs w:val="18"/>
              </w:rPr>
            </w:pPr>
          </w:p>
        </w:tc>
        <w:tc>
          <w:tcPr>
            <w:tcW w:w="1191" w:type="dxa"/>
            <w:shd w:val="clear" w:color="auto" w:fill="auto"/>
          </w:tcPr>
          <w:p w14:paraId="3F999CB7" w14:textId="77777777" w:rsidR="003438A2" w:rsidRPr="009C61F6" w:rsidRDefault="003438A2" w:rsidP="00881E29">
            <w:pPr>
              <w:spacing w:before="60" w:after="60" w:line="240" w:lineRule="auto"/>
              <w:rPr>
                <w:rFonts w:eastAsia="Calibri" w:cs="Times New Roman"/>
                <w:sz w:val="18"/>
                <w:szCs w:val="18"/>
              </w:rPr>
            </w:pPr>
            <w:r w:rsidRPr="009C61F6">
              <w:rPr>
                <w:rFonts w:eastAsia="Calibri" w:cs="Times New Roman"/>
                <w:sz w:val="18"/>
                <w:szCs w:val="18"/>
              </w:rPr>
              <w:t>Yes (EP)</w:t>
            </w:r>
          </w:p>
        </w:tc>
      </w:tr>
      <w:tr w:rsidR="003438A2" w:rsidRPr="009C61F6" w14:paraId="53224205" w14:textId="77777777" w:rsidTr="00C4199F">
        <w:tblPrEx>
          <w:tblBorders>
            <w:insideH w:val="single" w:sz="4" w:space="0" w:color="BFBFBF" w:themeColor="background1" w:themeShade="BF"/>
          </w:tblBorders>
        </w:tblPrEx>
        <w:trPr>
          <w:cantSplit/>
          <w:trHeight w:val="75"/>
          <w:jc w:val="center"/>
        </w:trPr>
        <w:tc>
          <w:tcPr>
            <w:tcW w:w="2553" w:type="dxa"/>
            <w:shd w:val="clear" w:color="auto" w:fill="auto"/>
          </w:tcPr>
          <w:p w14:paraId="2BBB69EF" w14:textId="77777777" w:rsidR="003438A2" w:rsidRPr="009C61F6" w:rsidRDefault="003438A2" w:rsidP="00881E29">
            <w:pPr>
              <w:pStyle w:val="TableText"/>
              <w:rPr>
                <w:szCs w:val="18"/>
              </w:rPr>
            </w:pPr>
            <w:r w:rsidRPr="009C61F6">
              <w:rPr>
                <w:i/>
                <w:szCs w:val="18"/>
              </w:rPr>
              <w:t xml:space="preserve">Tetranychus mexicanus </w:t>
            </w:r>
            <w:r w:rsidRPr="009C61F6">
              <w:rPr>
                <w:szCs w:val="18"/>
              </w:rPr>
              <w:t>(McGregor, 1950)</w:t>
            </w:r>
          </w:p>
          <w:p w14:paraId="4FDBB417" w14:textId="77777777" w:rsidR="003438A2" w:rsidRPr="009C61F6" w:rsidRDefault="003438A2" w:rsidP="00881E29">
            <w:pPr>
              <w:pStyle w:val="TableText"/>
              <w:rPr>
                <w:szCs w:val="18"/>
              </w:rPr>
            </w:pPr>
            <w:r w:rsidRPr="009C61F6">
              <w:rPr>
                <w:szCs w:val="18"/>
              </w:rPr>
              <w:t>[Tetranychidae]</w:t>
            </w:r>
          </w:p>
          <w:p w14:paraId="3A98C506" w14:textId="77777777" w:rsidR="003438A2" w:rsidRPr="009C61F6" w:rsidRDefault="003438A2" w:rsidP="00881E29">
            <w:pPr>
              <w:pStyle w:val="TableText"/>
              <w:rPr>
                <w:szCs w:val="18"/>
              </w:rPr>
            </w:pPr>
            <w:r w:rsidRPr="009C61F6">
              <w:rPr>
                <w:szCs w:val="18"/>
              </w:rPr>
              <w:t>Spider mite</w:t>
            </w:r>
          </w:p>
        </w:tc>
        <w:tc>
          <w:tcPr>
            <w:tcW w:w="1474" w:type="dxa"/>
            <w:shd w:val="clear" w:color="auto" w:fill="auto"/>
          </w:tcPr>
          <w:p w14:paraId="11CB5BE3" w14:textId="77777777" w:rsidR="003438A2" w:rsidRPr="009C61F6" w:rsidRDefault="003438A2" w:rsidP="00881E29">
            <w:pPr>
              <w:spacing w:before="60" w:after="60" w:line="240" w:lineRule="auto"/>
              <w:rPr>
                <w:sz w:val="18"/>
                <w:szCs w:val="18"/>
              </w:rPr>
            </w:pPr>
            <w:r w:rsidRPr="009C61F6">
              <w:rPr>
                <w:sz w:val="18"/>
                <w:szCs w:val="18"/>
              </w:rPr>
              <w:t xml:space="preserve">No. Present in CA and TX </w:t>
            </w:r>
            <w:r w:rsidRPr="009C61F6">
              <w:rPr>
                <w:noProof/>
                <w:sz w:val="18"/>
                <w:szCs w:val="18"/>
              </w:rPr>
              <w:t>(Baker &amp; Tuttle 1994)</w:t>
            </w:r>
          </w:p>
        </w:tc>
        <w:tc>
          <w:tcPr>
            <w:tcW w:w="1474" w:type="dxa"/>
            <w:shd w:val="clear" w:color="auto" w:fill="auto"/>
          </w:tcPr>
          <w:p w14:paraId="4190CBBC" w14:textId="77777777" w:rsidR="003438A2" w:rsidRPr="009C61F6" w:rsidRDefault="003438A2" w:rsidP="00881E29">
            <w:pPr>
              <w:spacing w:before="60" w:after="60" w:line="240" w:lineRule="auto"/>
              <w:rPr>
                <w:sz w:val="18"/>
                <w:szCs w:val="18"/>
              </w:rPr>
            </w:pPr>
            <w:r w:rsidRPr="009C61F6">
              <w:rPr>
                <w:rFonts w:eastAsia="Calibri" w:cs="Times New Roman"/>
                <w:sz w:val="18"/>
                <w:szCs w:val="18"/>
              </w:rPr>
              <w:t>No records found</w:t>
            </w:r>
          </w:p>
        </w:tc>
        <w:tc>
          <w:tcPr>
            <w:tcW w:w="2552" w:type="dxa"/>
            <w:shd w:val="clear" w:color="auto" w:fill="auto"/>
          </w:tcPr>
          <w:p w14:paraId="6AE4D4F2" w14:textId="77777777" w:rsidR="003438A2" w:rsidRPr="009C61F6" w:rsidRDefault="003438A2" w:rsidP="00881E29">
            <w:pPr>
              <w:spacing w:before="60" w:after="60" w:line="240" w:lineRule="auto"/>
              <w:rPr>
                <w:sz w:val="18"/>
                <w:szCs w:val="18"/>
              </w:rPr>
            </w:pPr>
            <w:r w:rsidRPr="009C61F6">
              <w:rPr>
                <w:rFonts w:eastAsia="Calibri" w:cs="Times New Roman"/>
                <w:sz w:val="18"/>
                <w:szCs w:val="18"/>
              </w:rPr>
              <w:t>Assessment not required</w:t>
            </w:r>
          </w:p>
        </w:tc>
        <w:tc>
          <w:tcPr>
            <w:tcW w:w="2381" w:type="dxa"/>
            <w:shd w:val="clear" w:color="auto" w:fill="auto"/>
          </w:tcPr>
          <w:p w14:paraId="67CA2619" w14:textId="77777777" w:rsidR="003438A2" w:rsidRPr="009C61F6" w:rsidRDefault="003438A2" w:rsidP="00881E29">
            <w:pPr>
              <w:spacing w:before="60" w:after="60" w:line="240" w:lineRule="auto"/>
              <w:rPr>
                <w:rFonts w:eastAsia="Calibri" w:cs="Times New Roman"/>
                <w:sz w:val="18"/>
                <w:szCs w:val="18"/>
              </w:rPr>
            </w:pPr>
            <w:r w:rsidRPr="009C61F6">
              <w:rPr>
                <w:rFonts w:eastAsia="Calibri" w:cs="Times New Roman"/>
                <w:sz w:val="18"/>
                <w:szCs w:val="18"/>
              </w:rPr>
              <w:t>Assessment not required</w:t>
            </w:r>
          </w:p>
        </w:tc>
        <w:tc>
          <w:tcPr>
            <w:tcW w:w="2211" w:type="dxa"/>
            <w:shd w:val="clear" w:color="auto" w:fill="auto"/>
          </w:tcPr>
          <w:p w14:paraId="5124735C" w14:textId="77777777" w:rsidR="003438A2" w:rsidRPr="009C61F6" w:rsidRDefault="003438A2" w:rsidP="00881E29">
            <w:pPr>
              <w:spacing w:before="60" w:after="60" w:line="240" w:lineRule="auto"/>
              <w:rPr>
                <w:rFonts w:eastAsia="Calibri" w:cs="Times New Roman"/>
                <w:sz w:val="18"/>
                <w:szCs w:val="18"/>
              </w:rPr>
            </w:pPr>
            <w:r w:rsidRPr="009C61F6">
              <w:rPr>
                <w:rFonts w:eastAsia="Calibri" w:cs="Times New Roman"/>
                <w:sz w:val="18"/>
                <w:szCs w:val="18"/>
              </w:rPr>
              <w:t>Assessment not required</w:t>
            </w:r>
          </w:p>
        </w:tc>
        <w:tc>
          <w:tcPr>
            <w:tcW w:w="1191" w:type="dxa"/>
            <w:shd w:val="clear" w:color="auto" w:fill="auto"/>
          </w:tcPr>
          <w:p w14:paraId="7E6A67EF" w14:textId="77777777" w:rsidR="003438A2" w:rsidRPr="009C61F6" w:rsidRDefault="003438A2" w:rsidP="00881E29">
            <w:pPr>
              <w:spacing w:before="60" w:after="60" w:line="240" w:lineRule="auto"/>
              <w:rPr>
                <w:rFonts w:eastAsia="Calibri" w:cs="Times New Roman"/>
                <w:sz w:val="18"/>
                <w:szCs w:val="18"/>
              </w:rPr>
            </w:pPr>
            <w:r w:rsidRPr="009C61F6">
              <w:rPr>
                <w:rFonts w:eastAsia="Calibri" w:cs="Times New Roman"/>
                <w:sz w:val="18"/>
                <w:szCs w:val="18"/>
              </w:rPr>
              <w:t>No</w:t>
            </w:r>
          </w:p>
        </w:tc>
      </w:tr>
      <w:tr w:rsidR="003438A2" w:rsidRPr="00967D80" w14:paraId="7DB82BAC" w14:textId="77777777" w:rsidTr="00C4199F">
        <w:trPr>
          <w:cantSplit/>
          <w:trHeight w:val="75"/>
          <w:jc w:val="center"/>
        </w:trPr>
        <w:tc>
          <w:tcPr>
            <w:tcW w:w="2553" w:type="dxa"/>
            <w:shd w:val="clear" w:color="auto" w:fill="auto"/>
          </w:tcPr>
          <w:p w14:paraId="644B9FF1" w14:textId="77777777" w:rsidR="003438A2" w:rsidRPr="00967D80" w:rsidRDefault="003438A2" w:rsidP="00881E29">
            <w:pPr>
              <w:spacing w:before="60" w:after="60" w:line="240" w:lineRule="auto"/>
              <w:rPr>
                <w:rFonts w:eastAsia="Calibri" w:cs="Times New Roman"/>
                <w:sz w:val="18"/>
                <w:szCs w:val="18"/>
              </w:rPr>
            </w:pPr>
            <w:r w:rsidRPr="00967D80">
              <w:rPr>
                <w:rFonts w:eastAsia="Calibri" w:cs="Times New Roman"/>
                <w:i/>
                <w:sz w:val="18"/>
                <w:szCs w:val="18"/>
              </w:rPr>
              <w:lastRenderedPageBreak/>
              <w:t>Tetranychus pacificus</w:t>
            </w:r>
            <w:r w:rsidRPr="00967D80">
              <w:rPr>
                <w:rFonts w:eastAsia="Calibri" w:cs="Times New Roman"/>
                <w:sz w:val="18"/>
                <w:szCs w:val="18"/>
              </w:rPr>
              <w:t xml:space="preserve"> McGregor, 1919</w:t>
            </w:r>
          </w:p>
          <w:p w14:paraId="4443D07E" w14:textId="77777777" w:rsidR="003438A2" w:rsidRPr="00967D80" w:rsidRDefault="003438A2" w:rsidP="00881E29">
            <w:pPr>
              <w:spacing w:before="60" w:after="60" w:line="240" w:lineRule="auto"/>
              <w:rPr>
                <w:rFonts w:eastAsia="Calibri" w:cs="Times New Roman"/>
                <w:sz w:val="18"/>
                <w:szCs w:val="18"/>
              </w:rPr>
            </w:pPr>
            <w:r w:rsidRPr="00967D80">
              <w:rPr>
                <w:rFonts w:eastAsia="Calibri" w:cs="Times New Roman"/>
                <w:sz w:val="18"/>
                <w:szCs w:val="18"/>
              </w:rPr>
              <w:t>[Tetranychidae]</w:t>
            </w:r>
          </w:p>
          <w:p w14:paraId="78A259D8" w14:textId="77777777" w:rsidR="003438A2" w:rsidRPr="00967D80" w:rsidRDefault="003438A2" w:rsidP="00881E29">
            <w:pPr>
              <w:spacing w:before="60" w:after="60" w:line="240" w:lineRule="auto"/>
              <w:rPr>
                <w:rFonts w:eastAsia="Calibri" w:cs="Times New Roman"/>
                <w:i/>
                <w:sz w:val="18"/>
                <w:szCs w:val="18"/>
              </w:rPr>
            </w:pPr>
            <w:r w:rsidRPr="00967D80">
              <w:rPr>
                <w:rFonts w:eastAsia="Calibri" w:cs="Times New Roman"/>
                <w:sz w:val="18"/>
                <w:szCs w:val="18"/>
              </w:rPr>
              <w:t>Pacific spider mite</w:t>
            </w:r>
          </w:p>
        </w:tc>
        <w:tc>
          <w:tcPr>
            <w:tcW w:w="1474" w:type="dxa"/>
            <w:shd w:val="clear" w:color="auto" w:fill="auto"/>
          </w:tcPr>
          <w:p w14:paraId="075DBF24" w14:textId="77777777" w:rsidR="003438A2" w:rsidRPr="00967D80" w:rsidRDefault="003438A2" w:rsidP="00881E29">
            <w:pPr>
              <w:spacing w:before="60" w:after="60" w:line="240" w:lineRule="auto"/>
              <w:rPr>
                <w:rFonts w:eastAsia="Calibri" w:cs="Times New Roman"/>
                <w:snapToGrid w:val="0"/>
                <w:sz w:val="18"/>
                <w:szCs w:val="18"/>
              </w:rPr>
            </w:pPr>
            <w:r w:rsidRPr="00967D80">
              <w:rPr>
                <w:rFonts w:eastAsia="Calibri" w:cs="Times New Roman"/>
                <w:sz w:val="18"/>
                <w:szCs w:val="18"/>
              </w:rPr>
              <w:t xml:space="preserve">Yes. Present in ID, OR and WA </w:t>
            </w:r>
            <w:r>
              <w:rPr>
                <w:rFonts w:eastAsia="Calibri" w:cs="Times New Roman"/>
                <w:noProof/>
                <w:sz w:val="18"/>
                <w:szCs w:val="18"/>
              </w:rPr>
              <w:t>(APHIS 2007; Pritchard &amp; Baker 1952)</w:t>
            </w:r>
          </w:p>
        </w:tc>
        <w:tc>
          <w:tcPr>
            <w:tcW w:w="1474" w:type="dxa"/>
            <w:shd w:val="clear" w:color="auto" w:fill="auto"/>
          </w:tcPr>
          <w:p w14:paraId="327A6B5F" w14:textId="77777777" w:rsidR="003438A2" w:rsidRPr="00967D80" w:rsidRDefault="003438A2" w:rsidP="00881E29">
            <w:pPr>
              <w:spacing w:before="60" w:after="60" w:line="240" w:lineRule="auto"/>
              <w:rPr>
                <w:rFonts w:eastAsia="Calibri" w:cs="Times New Roman"/>
                <w:sz w:val="18"/>
                <w:szCs w:val="18"/>
              </w:rPr>
            </w:pPr>
            <w:r w:rsidRPr="00967D80">
              <w:rPr>
                <w:rFonts w:eastAsia="Calibri" w:cs="Times New Roman"/>
                <w:sz w:val="18"/>
                <w:szCs w:val="18"/>
              </w:rPr>
              <w:t>No records found</w:t>
            </w:r>
          </w:p>
        </w:tc>
        <w:tc>
          <w:tcPr>
            <w:tcW w:w="2552" w:type="dxa"/>
            <w:shd w:val="clear" w:color="auto" w:fill="auto"/>
          </w:tcPr>
          <w:p w14:paraId="1D75E432" w14:textId="77777777" w:rsidR="003438A2" w:rsidRPr="00967D80" w:rsidRDefault="003438A2" w:rsidP="00881E29">
            <w:pPr>
              <w:spacing w:before="60" w:after="60" w:line="240" w:lineRule="auto"/>
              <w:rPr>
                <w:rFonts w:eastAsia="Calibri" w:cs="Times New Roman"/>
                <w:sz w:val="18"/>
                <w:szCs w:val="18"/>
              </w:rPr>
            </w:pPr>
            <w:r w:rsidRPr="00967D80">
              <w:rPr>
                <w:rFonts w:eastAsia="Calibri" w:cs="Times New Roman"/>
                <w:sz w:val="18"/>
                <w:szCs w:val="18"/>
              </w:rPr>
              <w:t xml:space="preserve">Yes. Principally feeds on new leaf growth </w:t>
            </w:r>
            <w:r>
              <w:rPr>
                <w:rFonts w:eastAsia="Calibri" w:cs="Times New Roman"/>
                <w:noProof/>
                <w:sz w:val="18"/>
                <w:szCs w:val="18"/>
              </w:rPr>
              <w:t>(APHIS 2007)</w:t>
            </w:r>
            <w:r w:rsidRPr="00967D80">
              <w:rPr>
                <w:rFonts w:eastAsia="Calibri" w:cs="Times New Roman"/>
                <w:sz w:val="18"/>
                <w:szCs w:val="18"/>
              </w:rPr>
              <w:t xml:space="preserve">, with most species in this family preferring the underside of leaves as a habitat. These mites are mobile and some species in the genus are recorded in and around the stems and calyx of fruit </w:t>
            </w:r>
            <w:r>
              <w:rPr>
                <w:rFonts w:eastAsia="Calibri" w:cs="Times New Roman"/>
                <w:noProof/>
                <w:sz w:val="18"/>
                <w:szCs w:val="18"/>
              </w:rPr>
              <w:t>(APHIS 2007)</w:t>
            </w:r>
            <w:r>
              <w:rPr>
                <w:rFonts w:eastAsia="Calibri" w:cs="Times New Roman"/>
                <w:sz w:val="18"/>
                <w:szCs w:val="18"/>
              </w:rPr>
              <w:t>.</w:t>
            </w:r>
          </w:p>
        </w:tc>
        <w:tc>
          <w:tcPr>
            <w:tcW w:w="2381" w:type="dxa"/>
            <w:shd w:val="clear" w:color="auto" w:fill="auto"/>
          </w:tcPr>
          <w:p w14:paraId="4EC00CFB" w14:textId="77777777" w:rsidR="003438A2" w:rsidRPr="00967D80" w:rsidRDefault="003438A2" w:rsidP="00881E29">
            <w:pPr>
              <w:spacing w:before="60" w:after="60" w:line="240" w:lineRule="auto"/>
              <w:rPr>
                <w:rFonts w:eastAsia="Calibri" w:cs="Times New Roman"/>
                <w:sz w:val="18"/>
                <w:szCs w:val="18"/>
              </w:rPr>
            </w:pPr>
            <w:r w:rsidRPr="00967D80">
              <w:rPr>
                <w:rFonts w:eastAsia="Calibri" w:cs="Times New Roman"/>
                <w:sz w:val="18"/>
                <w:szCs w:val="18"/>
              </w:rPr>
              <w:t xml:space="preserve">Yes. Wide host range includes Australian domestic crops. Distributed in a variety of environments across North America with similarities to Australia </w:t>
            </w:r>
            <w:r>
              <w:rPr>
                <w:rFonts w:eastAsia="Calibri" w:cs="Times New Roman"/>
                <w:noProof/>
                <w:sz w:val="18"/>
                <w:szCs w:val="18"/>
              </w:rPr>
              <w:t>(CABI 2019)</w:t>
            </w:r>
          </w:p>
        </w:tc>
        <w:tc>
          <w:tcPr>
            <w:tcW w:w="2211" w:type="dxa"/>
            <w:shd w:val="clear" w:color="auto" w:fill="auto"/>
          </w:tcPr>
          <w:p w14:paraId="38BEE994" w14:textId="77777777" w:rsidR="003438A2" w:rsidRPr="00967D80" w:rsidRDefault="003438A2" w:rsidP="00881E29">
            <w:pPr>
              <w:spacing w:before="60" w:after="60" w:line="240" w:lineRule="auto"/>
              <w:rPr>
                <w:rFonts w:eastAsia="Calibri" w:cs="Times New Roman"/>
                <w:sz w:val="18"/>
                <w:szCs w:val="18"/>
              </w:rPr>
            </w:pPr>
            <w:r w:rsidRPr="00967D80">
              <w:rPr>
                <w:rFonts w:eastAsia="Calibri" w:cs="Times New Roman"/>
                <w:sz w:val="18"/>
                <w:szCs w:val="18"/>
              </w:rPr>
              <w:t xml:space="preserve">Yes. Damage caused by high populations feeding on leaves can adversely affect tree vitality and fruit size </w:t>
            </w:r>
            <w:r>
              <w:rPr>
                <w:rFonts w:eastAsia="Calibri" w:cs="Times New Roman"/>
                <w:noProof/>
                <w:sz w:val="18"/>
                <w:szCs w:val="18"/>
              </w:rPr>
              <w:t>(CABI 2019)</w:t>
            </w:r>
            <w:r>
              <w:rPr>
                <w:rFonts w:eastAsia="Calibri" w:cs="Times New Roman"/>
                <w:sz w:val="18"/>
                <w:szCs w:val="18"/>
              </w:rPr>
              <w:t>.</w:t>
            </w:r>
          </w:p>
        </w:tc>
        <w:tc>
          <w:tcPr>
            <w:tcW w:w="1191" w:type="dxa"/>
            <w:shd w:val="clear" w:color="auto" w:fill="auto"/>
          </w:tcPr>
          <w:p w14:paraId="0F1397EE" w14:textId="77777777" w:rsidR="003438A2" w:rsidRPr="00967D80" w:rsidRDefault="003438A2" w:rsidP="00881E29">
            <w:pPr>
              <w:spacing w:before="60" w:after="60" w:line="240" w:lineRule="auto"/>
              <w:rPr>
                <w:rFonts w:eastAsia="Calibri" w:cs="Times New Roman"/>
                <w:sz w:val="18"/>
                <w:szCs w:val="18"/>
              </w:rPr>
            </w:pPr>
            <w:r w:rsidRPr="00967D80">
              <w:rPr>
                <w:rFonts w:eastAsia="Calibri" w:cs="Times New Roman"/>
                <w:sz w:val="18"/>
                <w:szCs w:val="18"/>
              </w:rPr>
              <w:t>Yes (EP)</w:t>
            </w:r>
          </w:p>
        </w:tc>
      </w:tr>
      <w:tr w:rsidR="003438A2" w:rsidRPr="00967D80" w14:paraId="7955F118" w14:textId="77777777" w:rsidTr="00C4199F">
        <w:trPr>
          <w:cantSplit/>
          <w:trHeight w:val="75"/>
          <w:jc w:val="center"/>
        </w:trPr>
        <w:tc>
          <w:tcPr>
            <w:tcW w:w="2553" w:type="dxa"/>
            <w:shd w:val="clear" w:color="auto" w:fill="auto"/>
          </w:tcPr>
          <w:p w14:paraId="1D7057C1" w14:textId="77777777" w:rsidR="003438A2" w:rsidRPr="00967D80" w:rsidRDefault="003438A2" w:rsidP="00881E29">
            <w:pPr>
              <w:spacing w:before="60" w:after="60" w:line="240" w:lineRule="auto"/>
              <w:rPr>
                <w:rFonts w:eastAsia="Calibri" w:cs="Times New Roman"/>
                <w:sz w:val="18"/>
                <w:szCs w:val="18"/>
              </w:rPr>
            </w:pPr>
            <w:r w:rsidRPr="00967D80">
              <w:rPr>
                <w:rFonts w:eastAsia="Calibri" w:cs="Times New Roman"/>
                <w:i/>
                <w:sz w:val="18"/>
                <w:szCs w:val="18"/>
              </w:rPr>
              <w:t xml:space="preserve">Tetranychus turkestani </w:t>
            </w:r>
            <w:r w:rsidRPr="00967D80">
              <w:rPr>
                <w:rFonts w:eastAsia="Calibri" w:cs="Times New Roman"/>
                <w:sz w:val="18"/>
                <w:szCs w:val="18"/>
              </w:rPr>
              <w:t>(Ugarov &amp; Nikolskii, 1937)</w:t>
            </w:r>
          </w:p>
          <w:p w14:paraId="79E33ABC" w14:textId="77777777" w:rsidR="003438A2" w:rsidRPr="00967D80" w:rsidRDefault="003438A2" w:rsidP="00881E29">
            <w:pPr>
              <w:spacing w:before="60" w:after="60" w:line="240" w:lineRule="auto"/>
              <w:rPr>
                <w:rFonts w:eastAsia="Calibri" w:cs="Times New Roman"/>
                <w:sz w:val="18"/>
                <w:szCs w:val="18"/>
              </w:rPr>
            </w:pPr>
            <w:r w:rsidRPr="00967D80">
              <w:rPr>
                <w:rFonts w:eastAsia="Calibri" w:cs="Times New Roman"/>
                <w:sz w:val="18"/>
                <w:szCs w:val="18"/>
              </w:rPr>
              <w:t xml:space="preserve">Synonym: </w:t>
            </w:r>
            <w:r w:rsidRPr="00967D80">
              <w:rPr>
                <w:rFonts w:eastAsia="Calibri" w:cs="Times New Roman"/>
                <w:i/>
                <w:sz w:val="18"/>
                <w:szCs w:val="18"/>
              </w:rPr>
              <w:t>Tetranychus atlanticus</w:t>
            </w:r>
            <w:r w:rsidRPr="00967D80">
              <w:rPr>
                <w:rFonts w:eastAsia="Calibri" w:cs="Times New Roman"/>
                <w:sz w:val="18"/>
                <w:szCs w:val="18"/>
              </w:rPr>
              <w:t xml:space="preserve"> McGregor, 1941</w:t>
            </w:r>
          </w:p>
          <w:p w14:paraId="1D514445" w14:textId="77777777" w:rsidR="003438A2" w:rsidRPr="00967D80" w:rsidRDefault="003438A2" w:rsidP="00881E29">
            <w:pPr>
              <w:spacing w:before="60" w:after="60" w:line="240" w:lineRule="auto"/>
              <w:rPr>
                <w:rFonts w:eastAsia="Calibri" w:cs="Times New Roman"/>
                <w:sz w:val="18"/>
                <w:szCs w:val="18"/>
              </w:rPr>
            </w:pPr>
            <w:r w:rsidRPr="00967D80">
              <w:rPr>
                <w:rFonts w:eastAsia="Calibri" w:cs="Times New Roman"/>
                <w:sz w:val="18"/>
                <w:szCs w:val="18"/>
              </w:rPr>
              <w:t>[Tetranychidae]</w:t>
            </w:r>
          </w:p>
          <w:p w14:paraId="51B4DC37" w14:textId="77777777" w:rsidR="003438A2" w:rsidRPr="00967D80" w:rsidRDefault="003438A2" w:rsidP="00881E29">
            <w:pPr>
              <w:spacing w:before="60" w:after="60" w:line="240" w:lineRule="auto"/>
              <w:rPr>
                <w:rFonts w:eastAsia="Calibri" w:cs="Times New Roman"/>
                <w:i/>
                <w:sz w:val="18"/>
                <w:szCs w:val="18"/>
              </w:rPr>
            </w:pPr>
            <w:r w:rsidRPr="00967D80">
              <w:rPr>
                <w:rFonts w:eastAsia="Calibri" w:cs="Times New Roman"/>
                <w:sz w:val="18"/>
                <w:szCs w:val="18"/>
              </w:rPr>
              <w:t>Strawberry spider mite</w:t>
            </w:r>
          </w:p>
        </w:tc>
        <w:tc>
          <w:tcPr>
            <w:tcW w:w="1474" w:type="dxa"/>
            <w:shd w:val="clear" w:color="auto" w:fill="auto"/>
          </w:tcPr>
          <w:p w14:paraId="2270F8F5" w14:textId="77777777" w:rsidR="003438A2" w:rsidRPr="00967D80" w:rsidRDefault="003438A2" w:rsidP="00881E29">
            <w:pPr>
              <w:spacing w:before="60" w:after="60" w:line="240" w:lineRule="auto"/>
              <w:rPr>
                <w:rFonts w:eastAsia="Calibri" w:cs="Times New Roman"/>
                <w:snapToGrid w:val="0"/>
                <w:sz w:val="18"/>
                <w:szCs w:val="18"/>
              </w:rPr>
            </w:pPr>
            <w:r w:rsidRPr="00967D80">
              <w:rPr>
                <w:rFonts w:eastAsia="Calibri" w:cs="Times New Roman"/>
                <w:sz w:val="18"/>
                <w:szCs w:val="18"/>
              </w:rPr>
              <w:t xml:space="preserve">Yes. Present in ID, OR and WA </w:t>
            </w:r>
            <w:r w:rsidRPr="00967D80">
              <w:rPr>
                <w:rFonts w:eastAsia="Calibri" w:cs="Times New Roman"/>
                <w:noProof/>
                <w:sz w:val="18"/>
                <w:szCs w:val="18"/>
              </w:rPr>
              <w:t>(Pritchard 1955)</w:t>
            </w:r>
          </w:p>
        </w:tc>
        <w:tc>
          <w:tcPr>
            <w:tcW w:w="1474" w:type="dxa"/>
            <w:shd w:val="clear" w:color="auto" w:fill="auto"/>
          </w:tcPr>
          <w:p w14:paraId="630B93B6" w14:textId="77777777" w:rsidR="003438A2" w:rsidRPr="00967D80" w:rsidRDefault="003438A2" w:rsidP="00881E29">
            <w:pPr>
              <w:spacing w:before="60" w:after="60" w:line="240" w:lineRule="auto"/>
              <w:rPr>
                <w:rFonts w:eastAsia="Calibri" w:cs="Times New Roman"/>
                <w:sz w:val="18"/>
                <w:szCs w:val="18"/>
              </w:rPr>
            </w:pPr>
            <w:r w:rsidRPr="00967D80">
              <w:rPr>
                <w:rFonts w:eastAsia="Calibri" w:cs="Times New Roman"/>
                <w:sz w:val="18"/>
                <w:szCs w:val="18"/>
              </w:rPr>
              <w:t>No records found</w:t>
            </w:r>
          </w:p>
        </w:tc>
        <w:tc>
          <w:tcPr>
            <w:tcW w:w="2552" w:type="dxa"/>
            <w:shd w:val="clear" w:color="auto" w:fill="auto"/>
          </w:tcPr>
          <w:p w14:paraId="4E2E9C9C" w14:textId="77777777" w:rsidR="003438A2" w:rsidRPr="00967D80" w:rsidRDefault="003438A2" w:rsidP="00881E29">
            <w:pPr>
              <w:spacing w:before="60" w:after="60" w:line="240" w:lineRule="auto"/>
              <w:rPr>
                <w:rFonts w:eastAsia="Calibri" w:cs="Times New Roman"/>
                <w:sz w:val="18"/>
                <w:szCs w:val="18"/>
              </w:rPr>
            </w:pPr>
            <w:r w:rsidRPr="00967D80">
              <w:rPr>
                <w:rFonts w:eastAsia="Calibri" w:cs="Times New Roman"/>
                <w:sz w:val="18"/>
                <w:szCs w:val="18"/>
              </w:rPr>
              <w:t xml:space="preserve">Yes. Apple is listed as a host </w:t>
            </w:r>
            <w:r w:rsidRPr="00967D80">
              <w:rPr>
                <w:rFonts w:eastAsia="Calibri" w:cs="Times New Roman"/>
                <w:noProof/>
                <w:sz w:val="18"/>
                <w:szCs w:val="18"/>
              </w:rPr>
              <w:t>(Pritchard 1955)</w:t>
            </w:r>
            <w:r w:rsidRPr="00967D80">
              <w:rPr>
                <w:rFonts w:eastAsia="Calibri" w:cs="Times New Roman"/>
                <w:sz w:val="18"/>
                <w:szCs w:val="18"/>
              </w:rPr>
              <w:t>. Tetranychid mites are principally feeders of new leaf growth, with most species in this family preferring the underside of leaves as a habitat. These mites are mobile and some species are recorded in and around the stems and calyx of fruit</w:t>
            </w:r>
            <w:r>
              <w:rPr>
                <w:rFonts w:eastAsia="Calibri" w:cs="Times New Roman"/>
                <w:sz w:val="18"/>
                <w:szCs w:val="18"/>
              </w:rPr>
              <w:t>.</w:t>
            </w:r>
            <w:r w:rsidRPr="00967D80" w:rsidDel="00967D80">
              <w:rPr>
                <w:rFonts w:eastAsia="Calibri" w:cs="Times New Roman"/>
                <w:strike/>
                <w:sz w:val="18"/>
                <w:szCs w:val="18"/>
              </w:rPr>
              <w:t xml:space="preserve"> </w:t>
            </w:r>
          </w:p>
        </w:tc>
        <w:tc>
          <w:tcPr>
            <w:tcW w:w="2381" w:type="dxa"/>
            <w:shd w:val="clear" w:color="auto" w:fill="auto"/>
          </w:tcPr>
          <w:p w14:paraId="6D3AF14C" w14:textId="77777777" w:rsidR="003438A2" w:rsidRPr="00967D80" w:rsidRDefault="003438A2" w:rsidP="00881E29">
            <w:pPr>
              <w:spacing w:before="60" w:after="60" w:line="240" w:lineRule="auto"/>
              <w:rPr>
                <w:rFonts w:eastAsia="Calibri" w:cs="Times New Roman"/>
                <w:sz w:val="18"/>
                <w:szCs w:val="18"/>
              </w:rPr>
            </w:pPr>
            <w:r w:rsidRPr="00967D80">
              <w:rPr>
                <w:rFonts w:eastAsia="Calibri" w:cs="Times New Roman"/>
                <w:sz w:val="18"/>
                <w:szCs w:val="18"/>
              </w:rPr>
              <w:t>Yes. Wide host range, primarily on a variety of low-growing hosts such as cotton (</w:t>
            </w:r>
            <w:r w:rsidRPr="00967D80">
              <w:rPr>
                <w:rFonts w:eastAsia="Calibri" w:cs="Times New Roman"/>
                <w:i/>
                <w:sz w:val="18"/>
                <w:szCs w:val="18"/>
              </w:rPr>
              <w:t>Gossypium</w:t>
            </w:r>
            <w:r w:rsidRPr="00967D80">
              <w:rPr>
                <w:rFonts w:eastAsia="Calibri" w:cs="Times New Roman"/>
                <w:sz w:val="18"/>
                <w:szCs w:val="18"/>
              </w:rPr>
              <w:t>), alfalfa (</w:t>
            </w:r>
            <w:r w:rsidRPr="00967D80">
              <w:rPr>
                <w:rFonts w:eastAsia="Calibri" w:cs="Times New Roman"/>
                <w:i/>
                <w:sz w:val="18"/>
                <w:szCs w:val="18"/>
              </w:rPr>
              <w:t>Medicago sativa</w:t>
            </w:r>
            <w:r w:rsidRPr="00967D80">
              <w:rPr>
                <w:rFonts w:eastAsia="Calibri" w:cs="Times New Roman"/>
                <w:sz w:val="18"/>
                <w:szCs w:val="18"/>
              </w:rPr>
              <w:t>), beans (</w:t>
            </w:r>
            <w:r w:rsidRPr="00967D80">
              <w:rPr>
                <w:rFonts w:eastAsia="Calibri" w:cs="Times New Roman"/>
                <w:i/>
                <w:sz w:val="18"/>
                <w:szCs w:val="18"/>
              </w:rPr>
              <w:t>Phaseolus</w:t>
            </w:r>
            <w:r w:rsidRPr="00967D80">
              <w:rPr>
                <w:rFonts w:eastAsia="Calibri" w:cs="Times New Roman"/>
                <w:sz w:val="18"/>
                <w:szCs w:val="18"/>
              </w:rPr>
              <w:t>), clover (</w:t>
            </w:r>
            <w:r w:rsidRPr="00967D80">
              <w:rPr>
                <w:rFonts w:eastAsia="Calibri" w:cs="Times New Roman"/>
                <w:i/>
                <w:sz w:val="18"/>
                <w:szCs w:val="18"/>
              </w:rPr>
              <w:t>Trifolium</w:t>
            </w:r>
            <w:r w:rsidRPr="00967D80">
              <w:rPr>
                <w:rFonts w:eastAsia="Calibri" w:cs="Times New Roman"/>
                <w:sz w:val="18"/>
                <w:szCs w:val="18"/>
              </w:rPr>
              <w:t>), and strawberry (</w:t>
            </w:r>
            <w:r w:rsidRPr="00967D80">
              <w:rPr>
                <w:rFonts w:eastAsia="Calibri" w:cs="Times New Roman"/>
                <w:i/>
                <w:sz w:val="18"/>
                <w:szCs w:val="18"/>
              </w:rPr>
              <w:t>Fragaria</w:t>
            </w:r>
            <w:r w:rsidRPr="00967D80">
              <w:rPr>
                <w:rFonts w:eastAsia="Calibri" w:cs="Times New Roman"/>
                <w:sz w:val="18"/>
                <w:szCs w:val="18"/>
              </w:rPr>
              <w:t>); vegetables such as eggplant (</w:t>
            </w:r>
            <w:r w:rsidRPr="00967D80">
              <w:rPr>
                <w:rFonts w:eastAsia="Calibri" w:cs="Times New Roman"/>
                <w:i/>
                <w:sz w:val="18"/>
                <w:szCs w:val="18"/>
              </w:rPr>
              <w:t>Solanum melongena</w:t>
            </w:r>
            <w:r w:rsidRPr="00967D80">
              <w:rPr>
                <w:rFonts w:eastAsia="Calibri" w:cs="Times New Roman"/>
                <w:sz w:val="18"/>
                <w:szCs w:val="18"/>
              </w:rPr>
              <w:t>); and ornamentals such as privet (</w:t>
            </w:r>
            <w:r w:rsidRPr="00967D80">
              <w:rPr>
                <w:rFonts w:eastAsia="Calibri" w:cs="Times New Roman"/>
                <w:i/>
                <w:sz w:val="18"/>
                <w:szCs w:val="18"/>
              </w:rPr>
              <w:t>Ligustrum</w:t>
            </w:r>
            <w:r w:rsidRPr="00967D80">
              <w:rPr>
                <w:rFonts w:eastAsia="Calibri" w:cs="Times New Roman"/>
                <w:sz w:val="18"/>
                <w:szCs w:val="18"/>
              </w:rPr>
              <w:t>), violet (</w:t>
            </w:r>
            <w:r w:rsidRPr="00967D80">
              <w:rPr>
                <w:rFonts w:eastAsia="Calibri" w:cs="Times New Roman"/>
                <w:i/>
                <w:sz w:val="18"/>
                <w:szCs w:val="18"/>
              </w:rPr>
              <w:t>Viola</w:t>
            </w:r>
            <w:r w:rsidRPr="00967D80">
              <w:rPr>
                <w:rFonts w:eastAsia="Calibri" w:cs="Times New Roman"/>
                <w:sz w:val="18"/>
                <w:szCs w:val="18"/>
              </w:rPr>
              <w:t>), and sunflower (</w:t>
            </w:r>
            <w:r w:rsidRPr="00967D80">
              <w:rPr>
                <w:rFonts w:eastAsia="Calibri" w:cs="Times New Roman"/>
                <w:i/>
                <w:sz w:val="18"/>
                <w:szCs w:val="18"/>
              </w:rPr>
              <w:t>Helianthus</w:t>
            </w:r>
            <w:r w:rsidRPr="00967D80">
              <w:rPr>
                <w:rFonts w:eastAsia="Calibri" w:cs="Times New Roman"/>
                <w:sz w:val="18"/>
                <w:szCs w:val="18"/>
              </w:rPr>
              <w:t>)</w:t>
            </w:r>
            <w:r>
              <w:rPr>
                <w:rFonts w:eastAsia="Calibri" w:cs="Times New Roman"/>
                <w:sz w:val="18"/>
                <w:szCs w:val="18"/>
              </w:rPr>
              <w:t>.</w:t>
            </w:r>
            <w:r w:rsidRPr="00967D80">
              <w:rPr>
                <w:rFonts w:eastAsia="Calibri" w:cs="Times New Roman"/>
                <w:sz w:val="18"/>
                <w:szCs w:val="18"/>
              </w:rPr>
              <w:t xml:space="preserve"> </w:t>
            </w:r>
          </w:p>
        </w:tc>
        <w:tc>
          <w:tcPr>
            <w:tcW w:w="2211" w:type="dxa"/>
            <w:shd w:val="clear" w:color="auto" w:fill="auto"/>
          </w:tcPr>
          <w:p w14:paraId="0947EEA4" w14:textId="77777777" w:rsidR="003438A2" w:rsidRPr="00967D80" w:rsidRDefault="003438A2" w:rsidP="00881E29">
            <w:pPr>
              <w:spacing w:before="60" w:after="60" w:line="240" w:lineRule="auto"/>
              <w:rPr>
                <w:rFonts w:eastAsia="Calibri" w:cs="Times New Roman"/>
                <w:sz w:val="18"/>
                <w:szCs w:val="18"/>
              </w:rPr>
            </w:pPr>
            <w:r w:rsidRPr="00967D80">
              <w:rPr>
                <w:rFonts w:eastAsia="Calibri" w:cs="Times New Roman"/>
                <w:sz w:val="18"/>
                <w:szCs w:val="18"/>
              </w:rPr>
              <w:t xml:space="preserve">Yes. Damage caused by high populations feeding on leaves can adversely affect tree vitality and fruit size </w:t>
            </w:r>
            <w:r>
              <w:rPr>
                <w:rFonts w:eastAsia="Calibri" w:cs="Times New Roman"/>
                <w:noProof/>
                <w:sz w:val="18"/>
                <w:szCs w:val="18"/>
              </w:rPr>
              <w:t>(CABI 2019)</w:t>
            </w:r>
            <w:r w:rsidRPr="00967D80">
              <w:rPr>
                <w:rFonts w:eastAsia="Calibri" w:cs="Times New Roman"/>
                <w:sz w:val="18"/>
                <w:szCs w:val="18"/>
              </w:rPr>
              <w:t xml:space="preserve">. Recognized in California, Idaho, Oregon, Utah and Washington as a dominant pest </w:t>
            </w:r>
            <w:r>
              <w:rPr>
                <w:rFonts w:eastAsia="Calibri" w:cs="Times New Roman"/>
                <w:noProof/>
                <w:sz w:val="18"/>
                <w:szCs w:val="18"/>
              </w:rPr>
              <w:t>(Pritchard &amp; Baker 1952)</w:t>
            </w:r>
            <w:r w:rsidRPr="00967D80">
              <w:rPr>
                <w:rFonts w:eastAsia="Calibri" w:cs="Times New Roman"/>
                <w:sz w:val="18"/>
                <w:szCs w:val="18"/>
              </w:rPr>
              <w:t xml:space="preserve"> and acknowledged as an economically important pest in temperate climates </w:t>
            </w:r>
            <w:r w:rsidRPr="00967D80">
              <w:rPr>
                <w:rFonts w:eastAsia="Calibri" w:cs="Times New Roman"/>
                <w:noProof/>
                <w:sz w:val="18"/>
                <w:szCs w:val="18"/>
              </w:rPr>
              <w:t>(Bailly, Migeon &amp; Navajas 2004)</w:t>
            </w:r>
            <w:r>
              <w:rPr>
                <w:rFonts w:eastAsia="Calibri" w:cs="Times New Roman"/>
                <w:sz w:val="18"/>
                <w:szCs w:val="18"/>
              </w:rPr>
              <w:t>.</w:t>
            </w:r>
          </w:p>
        </w:tc>
        <w:tc>
          <w:tcPr>
            <w:tcW w:w="1191" w:type="dxa"/>
            <w:shd w:val="clear" w:color="auto" w:fill="auto"/>
          </w:tcPr>
          <w:p w14:paraId="279AD123" w14:textId="77777777" w:rsidR="003438A2" w:rsidRPr="00967D80" w:rsidRDefault="003438A2" w:rsidP="00881E29">
            <w:pPr>
              <w:spacing w:before="60" w:after="60" w:line="240" w:lineRule="auto"/>
              <w:rPr>
                <w:rFonts w:eastAsia="Calibri" w:cs="Times New Roman"/>
                <w:sz w:val="18"/>
                <w:szCs w:val="18"/>
              </w:rPr>
            </w:pPr>
            <w:r w:rsidRPr="00967D80">
              <w:rPr>
                <w:rFonts w:eastAsia="Calibri" w:cs="Times New Roman"/>
                <w:sz w:val="18"/>
                <w:szCs w:val="18"/>
              </w:rPr>
              <w:t>Yes (EP)</w:t>
            </w:r>
          </w:p>
        </w:tc>
      </w:tr>
      <w:tr w:rsidR="003438A2" w:rsidRPr="004A0794" w14:paraId="6E53D34A" w14:textId="77777777" w:rsidTr="00C4199F">
        <w:trPr>
          <w:cantSplit/>
          <w:trHeight w:val="75"/>
          <w:jc w:val="center"/>
        </w:trPr>
        <w:tc>
          <w:tcPr>
            <w:tcW w:w="13836" w:type="dxa"/>
            <w:gridSpan w:val="7"/>
            <w:shd w:val="clear" w:color="auto" w:fill="auto"/>
          </w:tcPr>
          <w:p w14:paraId="710F2D90" w14:textId="77777777" w:rsidR="003438A2" w:rsidRPr="004A0794" w:rsidRDefault="003438A2" w:rsidP="00881E29">
            <w:pPr>
              <w:keepNext/>
              <w:spacing w:before="60" w:after="60" w:line="240" w:lineRule="auto"/>
              <w:rPr>
                <w:rFonts w:eastAsia="Calibri" w:cs="Times New Roman"/>
                <w:b/>
                <w:sz w:val="18"/>
              </w:rPr>
            </w:pPr>
            <w:r w:rsidRPr="004A0794">
              <w:rPr>
                <w:rFonts w:eastAsia="Calibri" w:cs="Times New Roman"/>
                <w:b/>
                <w:sz w:val="18"/>
              </w:rPr>
              <w:lastRenderedPageBreak/>
              <w:t>Coleoptera</w:t>
            </w:r>
          </w:p>
        </w:tc>
      </w:tr>
      <w:tr w:rsidR="003438A2" w:rsidRPr="00917A62" w14:paraId="7A63EC05" w14:textId="77777777" w:rsidTr="00C4199F">
        <w:trPr>
          <w:cantSplit/>
          <w:trHeight w:val="75"/>
          <w:jc w:val="center"/>
        </w:trPr>
        <w:tc>
          <w:tcPr>
            <w:tcW w:w="2553" w:type="dxa"/>
            <w:shd w:val="clear" w:color="auto" w:fill="auto"/>
          </w:tcPr>
          <w:p w14:paraId="20DD9FF7" w14:textId="77777777" w:rsidR="003438A2" w:rsidRPr="00917A62" w:rsidRDefault="003438A2" w:rsidP="00881E29">
            <w:pPr>
              <w:spacing w:before="60" w:after="60" w:line="240" w:lineRule="auto"/>
              <w:rPr>
                <w:rFonts w:eastAsia="Calibri" w:cs="Times New Roman"/>
                <w:sz w:val="18"/>
                <w:szCs w:val="18"/>
              </w:rPr>
            </w:pPr>
            <w:r w:rsidRPr="00917A62">
              <w:rPr>
                <w:rFonts w:eastAsia="Calibri" w:cs="Times New Roman"/>
                <w:i/>
                <w:sz w:val="18"/>
                <w:szCs w:val="18"/>
              </w:rPr>
              <w:t>Anthonomus quadrigibbus</w:t>
            </w:r>
            <w:r w:rsidRPr="00917A62">
              <w:rPr>
                <w:rFonts w:eastAsia="Calibri" w:cs="Times New Roman"/>
                <w:sz w:val="18"/>
                <w:szCs w:val="18"/>
              </w:rPr>
              <w:t xml:space="preserve"> Say, 1831</w:t>
            </w:r>
          </w:p>
          <w:p w14:paraId="714E97BA" w14:textId="77777777" w:rsidR="003438A2" w:rsidRPr="00917A62" w:rsidRDefault="003438A2" w:rsidP="00881E29">
            <w:pPr>
              <w:spacing w:before="60" w:after="60" w:line="240" w:lineRule="auto"/>
              <w:rPr>
                <w:rFonts w:eastAsia="Calibri" w:cs="Times New Roman"/>
                <w:sz w:val="18"/>
                <w:szCs w:val="18"/>
              </w:rPr>
            </w:pPr>
            <w:r w:rsidRPr="00917A62">
              <w:rPr>
                <w:rFonts w:eastAsia="Calibri" w:cs="Times New Roman"/>
                <w:sz w:val="18"/>
                <w:szCs w:val="18"/>
              </w:rPr>
              <w:t xml:space="preserve">Synonym: </w:t>
            </w:r>
            <w:r w:rsidRPr="00917A62">
              <w:rPr>
                <w:rFonts w:eastAsia="Calibri" w:cs="Times New Roman"/>
                <w:i/>
                <w:sz w:val="18"/>
                <w:szCs w:val="18"/>
              </w:rPr>
              <w:t>Tachypterellus</w:t>
            </w:r>
            <w:r w:rsidRPr="00917A62">
              <w:rPr>
                <w:rFonts w:eastAsia="Calibri" w:cs="Times New Roman"/>
                <w:sz w:val="18"/>
                <w:szCs w:val="18"/>
              </w:rPr>
              <w:t xml:space="preserve"> </w:t>
            </w:r>
            <w:r w:rsidRPr="00917A62">
              <w:rPr>
                <w:rFonts w:eastAsia="Calibri" w:cs="Times New Roman"/>
                <w:i/>
                <w:sz w:val="18"/>
                <w:szCs w:val="18"/>
              </w:rPr>
              <w:t xml:space="preserve">consors </w:t>
            </w:r>
            <w:r w:rsidRPr="00917A62">
              <w:rPr>
                <w:rFonts w:eastAsia="Calibri" w:cs="Times New Roman"/>
                <w:sz w:val="18"/>
                <w:szCs w:val="18"/>
              </w:rPr>
              <w:t>(Dietz, 1891)</w:t>
            </w:r>
          </w:p>
          <w:p w14:paraId="6F1FA1F8" w14:textId="77777777" w:rsidR="003438A2" w:rsidRPr="00917A62" w:rsidRDefault="003438A2" w:rsidP="00881E29">
            <w:pPr>
              <w:spacing w:before="60" w:after="60" w:line="240" w:lineRule="auto"/>
              <w:rPr>
                <w:rFonts w:eastAsia="Calibri" w:cs="Times New Roman"/>
                <w:sz w:val="18"/>
                <w:szCs w:val="18"/>
              </w:rPr>
            </w:pPr>
            <w:r w:rsidRPr="00917A62">
              <w:rPr>
                <w:rFonts w:eastAsia="Calibri" w:cs="Times New Roman"/>
                <w:sz w:val="18"/>
                <w:szCs w:val="18"/>
              </w:rPr>
              <w:t>[Curculionidae]</w:t>
            </w:r>
          </w:p>
          <w:p w14:paraId="2B959A69" w14:textId="77777777" w:rsidR="003438A2" w:rsidRPr="00917A62" w:rsidRDefault="003438A2" w:rsidP="00881E29">
            <w:pPr>
              <w:spacing w:before="60" w:after="60" w:line="240" w:lineRule="auto"/>
              <w:rPr>
                <w:rFonts w:eastAsia="Calibri" w:cs="Times New Roman"/>
                <w:i/>
                <w:sz w:val="18"/>
                <w:szCs w:val="18"/>
                <w:lang w:val="pt-BR"/>
              </w:rPr>
            </w:pPr>
            <w:r w:rsidRPr="00917A62">
              <w:rPr>
                <w:rFonts w:eastAsia="Calibri" w:cs="Times New Roman"/>
                <w:sz w:val="18"/>
                <w:szCs w:val="18"/>
              </w:rPr>
              <w:t>Apple curculio</w:t>
            </w:r>
          </w:p>
        </w:tc>
        <w:tc>
          <w:tcPr>
            <w:tcW w:w="1474" w:type="dxa"/>
            <w:shd w:val="clear" w:color="auto" w:fill="auto"/>
          </w:tcPr>
          <w:p w14:paraId="2551769A" w14:textId="77777777" w:rsidR="003438A2" w:rsidRPr="00917A62" w:rsidRDefault="003438A2" w:rsidP="00EF6A09">
            <w:pPr>
              <w:spacing w:before="60" w:after="60" w:line="240" w:lineRule="auto"/>
              <w:rPr>
                <w:rFonts w:eastAsia="Calibri" w:cs="Times New Roman"/>
                <w:sz w:val="18"/>
                <w:szCs w:val="18"/>
                <w:lang w:val="pt-BR"/>
              </w:rPr>
            </w:pPr>
            <w:r w:rsidRPr="00917A62">
              <w:rPr>
                <w:rFonts w:eastAsia="Calibri" w:cs="Times New Roman"/>
                <w:sz w:val="18"/>
                <w:szCs w:val="18"/>
              </w:rPr>
              <w:t>Yes. Present in ID, OR and WA</w:t>
            </w:r>
            <w:r>
              <w:rPr>
                <w:rFonts w:eastAsia="Calibri" w:cs="Times New Roman"/>
                <w:sz w:val="18"/>
                <w:szCs w:val="18"/>
              </w:rPr>
              <w:t xml:space="preserve"> </w:t>
            </w:r>
            <w:r>
              <w:rPr>
                <w:rFonts w:eastAsia="Calibri" w:cs="Times New Roman"/>
                <w:noProof/>
                <w:sz w:val="18"/>
                <w:szCs w:val="18"/>
              </w:rPr>
              <w:t>(Burke &amp; Anderson 1989; CABI 2021a)</w:t>
            </w:r>
            <w:r w:rsidRPr="00917A62">
              <w:rPr>
                <w:rFonts w:eastAsia="Calibri" w:cs="Times New Roman"/>
                <w:sz w:val="18"/>
                <w:szCs w:val="18"/>
                <w:lang w:val="pt-BR"/>
              </w:rPr>
              <w:t xml:space="preserve"> </w:t>
            </w:r>
          </w:p>
        </w:tc>
        <w:tc>
          <w:tcPr>
            <w:tcW w:w="1474" w:type="dxa"/>
            <w:shd w:val="clear" w:color="auto" w:fill="auto"/>
          </w:tcPr>
          <w:p w14:paraId="413FBE39" w14:textId="77777777" w:rsidR="003438A2" w:rsidRPr="00917A62" w:rsidRDefault="003438A2" w:rsidP="00881E29">
            <w:pPr>
              <w:spacing w:before="60" w:after="60" w:line="240" w:lineRule="auto"/>
              <w:rPr>
                <w:rFonts w:eastAsia="Calibri" w:cs="Times New Roman"/>
                <w:sz w:val="18"/>
                <w:szCs w:val="18"/>
              </w:rPr>
            </w:pPr>
            <w:r w:rsidRPr="00917A62">
              <w:rPr>
                <w:rFonts w:eastAsia="Calibri" w:cs="Arial"/>
                <w:sz w:val="18"/>
                <w:szCs w:val="18"/>
              </w:rPr>
              <w:t>No records foun</w:t>
            </w:r>
            <w:r w:rsidRPr="00917A62">
              <w:rPr>
                <w:rFonts w:eastAsia="Calibri" w:cs="Times New Roman"/>
                <w:sz w:val="18"/>
                <w:szCs w:val="18"/>
              </w:rPr>
              <w:t>d</w:t>
            </w:r>
          </w:p>
        </w:tc>
        <w:tc>
          <w:tcPr>
            <w:tcW w:w="2552" w:type="dxa"/>
            <w:shd w:val="clear" w:color="auto" w:fill="auto"/>
          </w:tcPr>
          <w:p w14:paraId="45716719" w14:textId="77777777" w:rsidR="003438A2" w:rsidRPr="00917A62" w:rsidRDefault="003438A2" w:rsidP="00881E29">
            <w:pPr>
              <w:spacing w:before="60" w:after="60" w:line="240" w:lineRule="auto"/>
              <w:rPr>
                <w:rFonts w:eastAsia="Calibri" w:cs="Times New Roman"/>
                <w:sz w:val="18"/>
                <w:szCs w:val="18"/>
              </w:rPr>
            </w:pPr>
            <w:r w:rsidRPr="00917A62">
              <w:rPr>
                <w:rFonts w:eastAsia="Calibri" w:cs="Times New Roman"/>
                <w:sz w:val="18"/>
                <w:szCs w:val="18"/>
              </w:rPr>
              <w:t>Yes. I</w:t>
            </w:r>
            <w:r>
              <w:rPr>
                <w:rFonts w:eastAsia="Calibri" w:cs="Times New Roman"/>
                <w:sz w:val="18"/>
                <w:szCs w:val="18"/>
              </w:rPr>
              <w:t>t i</w:t>
            </w:r>
            <w:r w:rsidRPr="00917A62">
              <w:rPr>
                <w:rFonts w:eastAsia="Calibri" w:cs="Times New Roman"/>
                <w:sz w:val="18"/>
                <w:szCs w:val="18"/>
              </w:rPr>
              <w:t>s principally an apple pest that attacks apple fruit resulting in dwarfed and misshapen fruit</w:t>
            </w:r>
            <w:r>
              <w:rPr>
                <w:rFonts w:eastAsia="Calibri" w:cs="Times New Roman"/>
                <w:sz w:val="18"/>
                <w:szCs w:val="18"/>
              </w:rPr>
              <w:t xml:space="preserve"> </w:t>
            </w:r>
            <w:r>
              <w:rPr>
                <w:rFonts w:eastAsia="Calibri" w:cs="Times New Roman"/>
                <w:noProof/>
                <w:sz w:val="18"/>
                <w:szCs w:val="18"/>
              </w:rPr>
              <w:t>(CABI 2019; Metcalf, Flint &amp; Metcalf 1962)</w:t>
            </w:r>
            <w:r>
              <w:rPr>
                <w:rFonts w:eastAsia="Calibri" w:cs="Times New Roman"/>
                <w:sz w:val="18"/>
                <w:szCs w:val="18"/>
              </w:rPr>
              <w:t>.</w:t>
            </w:r>
            <w:r w:rsidRPr="00917A62">
              <w:rPr>
                <w:rFonts w:eastAsia="Calibri" w:cs="Times New Roman"/>
                <w:sz w:val="18"/>
                <w:szCs w:val="18"/>
              </w:rPr>
              <w:t xml:space="preserve"> Adults are known to feed on flower buds, blossoms and fruitlets once they have set </w:t>
            </w:r>
            <w:r w:rsidRPr="00917A62">
              <w:rPr>
                <w:rFonts w:eastAsia="Calibri" w:cs="Times New Roman"/>
                <w:noProof/>
                <w:sz w:val="18"/>
                <w:szCs w:val="18"/>
              </w:rPr>
              <w:t>(Burke &amp; Anderson 1989)</w:t>
            </w:r>
            <w:r w:rsidRPr="00917A62">
              <w:rPr>
                <w:rFonts w:eastAsia="Calibri" w:cs="Times New Roman"/>
                <w:sz w:val="18"/>
                <w:szCs w:val="18"/>
              </w:rPr>
              <w:t>. Eggs are deposited in cavities made in maturing fruit; larvae feed primarily on the seeds; pupation occurs in the fruit while still on the tree;</w:t>
            </w:r>
            <w:r>
              <w:rPr>
                <w:rFonts w:eastAsia="Calibri" w:cs="Times New Roman"/>
                <w:sz w:val="18"/>
                <w:szCs w:val="18"/>
              </w:rPr>
              <w:t xml:space="preserve"> and</w:t>
            </w:r>
            <w:r w:rsidRPr="00917A62">
              <w:rPr>
                <w:rFonts w:eastAsia="Calibri" w:cs="Times New Roman"/>
                <w:sz w:val="18"/>
                <w:szCs w:val="18"/>
              </w:rPr>
              <w:t xml:space="preserve"> adults emerge and feed for a short time before seeking over-wintering sites </w:t>
            </w:r>
            <w:r w:rsidRPr="00917A62">
              <w:rPr>
                <w:rFonts w:eastAsia="Calibri" w:cs="Times New Roman"/>
                <w:noProof/>
                <w:sz w:val="18"/>
                <w:szCs w:val="18"/>
              </w:rPr>
              <w:t>(Burke &amp; Anderson 1989)</w:t>
            </w:r>
          </w:p>
        </w:tc>
        <w:tc>
          <w:tcPr>
            <w:tcW w:w="2381" w:type="dxa"/>
            <w:shd w:val="clear" w:color="auto" w:fill="auto"/>
          </w:tcPr>
          <w:p w14:paraId="2A8D147B" w14:textId="77777777" w:rsidR="003438A2" w:rsidRPr="00917A62" w:rsidRDefault="003438A2" w:rsidP="000B552A">
            <w:pPr>
              <w:spacing w:before="60" w:after="60" w:line="240" w:lineRule="auto"/>
              <w:rPr>
                <w:rFonts w:eastAsia="Calibri" w:cs="Times New Roman"/>
                <w:sz w:val="18"/>
                <w:szCs w:val="18"/>
              </w:rPr>
            </w:pPr>
            <w:r w:rsidRPr="00917A62">
              <w:rPr>
                <w:rFonts w:eastAsia="Calibri" w:cs="Times New Roman"/>
                <w:sz w:val="18"/>
                <w:szCs w:val="18"/>
              </w:rPr>
              <w:t>Yes. Associated with a wide range of plants in the Rosaceae family although apples (</w:t>
            </w:r>
            <w:r w:rsidRPr="00917A62">
              <w:rPr>
                <w:rFonts w:eastAsia="Calibri" w:cs="Times New Roman"/>
                <w:i/>
                <w:sz w:val="18"/>
                <w:szCs w:val="18"/>
              </w:rPr>
              <w:t>Malus</w:t>
            </w:r>
            <w:r w:rsidRPr="00917A62">
              <w:rPr>
                <w:rFonts w:eastAsia="Calibri" w:cs="Times New Roman"/>
                <w:sz w:val="18"/>
                <w:szCs w:val="18"/>
              </w:rPr>
              <w:t xml:space="preserve">) and </w:t>
            </w:r>
            <w:r w:rsidRPr="00917A62">
              <w:rPr>
                <w:rFonts w:eastAsia="Calibri" w:cs="Times New Roman"/>
                <w:i/>
                <w:sz w:val="18"/>
                <w:szCs w:val="18"/>
              </w:rPr>
              <w:t>Crataegus</w:t>
            </w:r>
            <w:r w:rsidRPr="00917A62">
              <w:rPr>
                <w:rFonts w:eastAsia="Calibri" w:cs="Times New Roman"/>
                <w:sz w:val="18"/>
                <w:szCs w:val="18"/>
              </w:rPr>
              <w:t xml:space="preserve"> species are the usual host plants. These plants occur in Australia and are distributed in a wide range of environments.</w:t>
            </w:r>
            <w:r>
              <w:rPr>
                <w:rFonts w:eastAsia="Calibri" w:cs="Times New Roman"/>
                <w:sz w:val="18"/>
                <w:szCs w:val="18"/>
              </w:rPr>
              <w:t xml:space="preserve"> </w:t>
            </w:r>
            <w:r w:rsidRPr="00917A62">
              <w:rPr>
                <w:rFonts w:eastAsia="Calibri" w:cs="Times New Roman"/>
                <w:sz w:val="18"/>
                <w:szCs w:val="18"/>
              </w:rPr>
              <w:t>Adults are strong fliers, dispersing actively in the spring, and seeking the most suitable host</w:t>
            </w:r>
            <w:r>
              <w:rPr>
                <w:rFonts w:eastAsia="Calibri" w:cs="Times New Roman"/>
                <w:sz w:val="18"/>
                <w:szCs w:val="18"/>
              </w:rPr>
              <w:t xml:space="preserve">s </w:t>
            </w:r>
            <w:r>
              <w:rPr>
                <w:rFonts w:eastAsia="Calibri" w:cs="Times New Roman"/>
                <w:noProof/>
                <w:sz w:val="18"/>
                <w:szCs w:val="18"/>
              </w:rPr>
              <w:t>(CABI 2022)</w:t>
            </w:r>
            <w:r>
              <w:rPr>
                <w:rFonts w:eastAsia="Calibri" w:cs="Times New Roman"/>
                <w:sz w:val="18"/>
                <w:szCs w:val="18"/>
              </w:rPr>
              <w:t xml:space="preserve"> </w:t>
            </w:r>
          </w:p>
        </w:tc>
        <w:tc>
          <w:tcPr>
            <w:tcW w:w="2211" w:type="dxa"/>
            <w:shd w:val="clear" w:color="auto" w:fill="auto"/>
          </w:tcPr>
          <w:p w14:paraId="015789D4" w14:textId="77777777" w:rsidR="003438A2" w:rsidRPr="00917A62" w:rsidRDefault="003438A2" w:rsidP="00062AED">
            <w:pPr>
              <w:pStyle w:val="TableText"/>
            </w:pPr>
            <w:r w:rsidRPr="00917A62">
              <w:t xml:space="preserve">Yes. </w:t>
            </w:r>
            <w:r>
              <w:t xml:space="preserve">Previously </w:t>
            </w:r>
            <w:r w:rsidRPr="00664AFE">
              <w:rPr>
                <w:i/>
                <w:iCs/>
              </w:rPr>
              <w:t>A. quadrigibbus</w:t>
            </w:r>
            <w:r>
              <w:t xml:space="preserve"> was thought to be d</w:t>
            </w:r>
            <w:r w:rsidRPr="00917A62">
              <w:t>estructive to cultivated apples and pears</w:t>
            </w:r>
            <w:r>
              <w:t xml:space="preserve"> </w:t>
            </w:r>
            <w:r>
              <w:rPr>
                <w:noProof/>
              </w:rPr>
              <w:t>(Brooks 1910; Hoerner &amp; List 1952; Metcalf, Flint &amp; Metcalf 1962)</w:t>
            </w:r>
            <w:r>
              <w:t xml:space="preserve">. </w:t>
            </w:r>
            <w:r w:rsidRPr="00664AFE">
              <w:t>However</w:t>
            </w:r>
            <w:r>
              <w:t>,</w:t>
            </w:r>
            <w:r w:rsidRPr="00664AFE">
              <w:t xml:space="preserve"> more recent reporting states </w:t>
            </w:r>
            <w:r w:rsidRPr="00917A62">
              <w:t xml:space="preserve">that there is little recent information about the importance of </w:t>
            </w:r>
            <w:r w:rsidRPr="00664AFE">
              <w:rPr>
                <w:i/>
                <w:iCs/>
              </w:rPr>
              <w:t>A. quadrigibbus</w:t>
            </w:r>
            <w:r w:rsidRPr="00917A62">
              <w:t xml:space="preserve"> from North America, suggesting that modern control regimes have reduced it to minor pest significanc</w:t>
            </w:r>
            <w:r>
              <w:t xml:space="preserve">e </w:t>
            </w:r>
            <w:r>
              <w:rPr>
                <w:noProof/>
              </w:rPr>
              <w:t>(CABI 2022)</w:t>
            </w:r>
            <w:r>
              <w:t>.</w:t>
            </w:r>
          </w:p>
        </w:tc>
        <w:tc>
          <w:tcPr>
            <w:tcW w:w="1191" w:type="dxa"/>
            <w:shd w:val="clear" w:color="auto" w:fill="auto"/>
          </w:tcPr>
          <w:p w14:paraId="164F4703" w14:textId="77777777" w:rsidR="003438A2" w:rsidRPr="00917A62" w:rsidRDefault="003438A2" w:rsidP="00062AED">
            <w:pPr>
              <w:pStyle w:val="TableText"/>
            </w:pPr>
            <w:r w:rsidRPr="00917A62">
              <w:t xml:space="preserve">Yes </w:t>
            </w:r>
          </w:p>
        </w:tc>
      </w:tr>
      <w:tr w:rsidR="003438A2" w:rsidRPr="00917A62" w14:paraId="02059D68" w14:textId="77777777" w:rsidTr="00C4199F">
        <w:trPr>
          <w:cantSplit/>
          <w:trHeight w:val="75"/>
          <w:jc w:val="center"/>
        </w:trPr>
        <w:tc>
          <w:tcPr>
            <w:tcW w:w="2553" w:type="dxa"/>
            <w:shd w:val="clear" w:color="auto" w:fill="auto"/>
          </w:tcPr>
          <w:p w14:paraId="66626E6B" w14:textId="77777777" w:rsidR="003438A2" w:rsidRPr="00917A62" w:rsidRDefault="003438A2" w:rsidP="00881E29">
            <w:pPr>
              <w:spacing w:before="60" w:after="60" w:line="240" w:lineRule="auto"/>
              <w:rPr>
                <w:rFonts w:eastAsia="Calibri" w:cs="Times New Roman"/>
                <w:sz w:val="18"/>
                <w:szCs w:val="18"/>
              </w:rPr>
            </w:pPr>
            <w:r w:rsidRPr="00917A62">
              <w:rPr>
                <w:rFonts w:eastAsia="Calibri" w:cs="Times New Roman"/>
                <w:i/>
                <w:sz w:val="18"/>
                <w:szCs w:val="18"/>
              </w:rPr>
              <w:t>Cercopedius artemisiae</w:t>
            </w:r>
            <w:r w:rsidRPr="00917A62">
              <w:rPr>
                <w:rFonts w:eastAsia="Calibri" w:cs="Times New Roman"/>
                <w:sz w:val="18"/>
                <w:szCs w:val="18"/>
              </w:rPr>
              <w:t xml:space="preserve"> (Pierce, 1910)</w:t>
            </w:r>
          </w:p>
          <w:p w14:paraId="6932E4FF" w14:textId="77777777" w:rsidR="003438A2" w:rsidRPr="00917A62" w:rsidRDefault="003438A2" w:rsidP="00881E29">
            <w:pPr>
              <w:spacing w:before="60" w:after="60" w:line="240" w:lineRule="auto"/>
              <w:rPr>
                <w:rFonts w:eastAsia="Calibri" w:cs="Times New Roman"/>
                <w:sz w:val="18"/>
                <w:szCs w:val="18"/>
              </w:rPr>
            </w:pPr>
            <w:r w:rsidRPr="00917A62">
              <w:rPr>
                <w:rFonts w:eastAsia="Calibri" w:cs="Times New Roman"/>
                <w:sz w:val="18"/>
                <w:szCs w:val="18"/>
              </w:rPr>
              <w:t xml:space="preserve">Synonym: </w:t>
            </w:r>
            <w:r w:rsidRPr="00917A62">
              <w:rPr>
                <w:rFonts w:eastAsia="Calibri" w:cs="Times New Roman"/>
                <w:i/>
                <w:sz w:val="18"/>
                <w:szCs w:val="18"/>
              </w:rPr>
              <w:t>Cercopeus artemisiae</w:t>
            </w:r>
            <w:r w:rsidRPr="00917A62">
              <w:rPr>
                <w:rFonts w:eastAsia="Calibri" w:cs="Times New Roman"/>
                <w:sz w:val="18"/>
                <w:szCs w:val="18"/>
              </w:rPr>
              <w:t xml:space="preserve"> Pierce, 1910</w:t>
            </w:r>
          </w:p>
          <w:p w14:paraId="6087FA94" w14:textId="77777777" w:rsidR="003438A2" w:rsidRPr="00917A62" w:rsidRDefault="003438A2" w:rsidP="00881E29">
            <w:pPr>
              <w:spacing w:before="60" w:after="60" w:line="240" w:lineRule="auto"/>
              <w:rPr>
                <w:rFonts w:eastAsia="Calibri" w:cs="Times New Roman"/>
                <w:sz w:val="18"/>
                <w:szCs w:val="18"/>
              </w:rPr>
            </w:pPr>
            <w:r w:rsidRPr="00917A62">
              <w:rPr>
                <w:rFonts w:eastAsia="Calibri" w:cs="Times New Roman"/>
                <w:sz w:val="18"/>
                <w:szCs w:val="18"/>
              </w:rPr>
              <w:t>[Curculionidae]</w:t>
            </w:r>
          </w:p>
          <w:p w14:paraId="5BA4E7D7" w14:textId="77777777" w:rsidR="003438A2" w:rsidRPr="00917A62" w:rsidRDefault="003438A2" w:rsidP="00881E29">
            <w:pPr>
              <w:spacing w:before="60" w:after="60" w:line="240" w:lineRule="auto"/>
              <w:rPr>
                <w:rFonts w:eastAsia="Calibri" w:cs="Times New Roman"/>
                <w:i/>
                <w:sz w:val="18"/>
                <w:szCs w:val="18"/>
                <w:lang w:val="pt-BR"/>
              </w:rPr>
            </w:pPr>
            <w:r w:rsidRPr="00917A62">
              <w:rPr>
                <w:rFonts w:eastAsia="Calibri" w:cs="Times New Roman"/>
                <w:sz w:val="18"/>
                <w:szCs w:val="18"/>
              </w:rPr>
              <w:t>Lesser sagebrush weevil</w:t>
            </w:r>
          </w:p>
        </w:tc>
        <w:tc>
          <w:tcPr>
            <w:tcW w:w="1474" w:type="dxa"/>
            <w:shd w:val="clear" w:color="auto" w:fill="auto"/>
          </w:tcPr>
          <w:p w14:paraId="605F0868" w14:textId="77777777" w:rsidR="003438A2" w:rsidRPr="00917A62" w:rsidRDefault="003438A2" w:rsidP="00881E29">
            <w:pPr>
              <w:spacing w:before="60" w:after="60" w:line="240" w:lineRule="auto"/>
              <w:rPr>
                <w:rFonts w:eastAsia="Calibri" w:cs="Times New Roman"/>
                <w:sz w:val="18"/>
                <w:szCs w:val="18"/>
                <w:lang w:val="pt-BR"/>
              </w:rPr>
            </w:pPr>
            <w:r w:rsidRPr="00917A62">
              <w:rPr>
                <w:rFonts w:eastAsia="Calibri" w:cs="Times New Roman"/>
                <w:sz w:val="18"/>
                <w:szCs w:val="18"/>
              </w:rPr>
              <w:t xml:space="preserve">Yes. Present in ID, OR and WA) </w:t>
            </w:r>
            <w:r w:rsidRPr="00917A62">
              <w:rPr>
                <w:rFonts w:eastAsia="Calibri" w:cs="Times New Roman"/>
                <w:noProof/>
                <w:sz w:val="18"/>
                <w:szCs w:val="18"/>
              </w:rPr>
              <w:t>(Beers 2004; Bright &amp; Bouchard 2008; Yothers 1916)</w:t>
            </w:r>
          </w:p>
        </w:tc>
        <w:tc>
          <w:tcPr>
            <w:tcW w:w="1474" w:type="dxa"/>
            <w:shd w:val="clear" w:color="auto" w:fill="auto"/>
          </w:tcPr>
          <w:p w14:paraId="38D26DCD" w14:textId="77777777" w:rsidR="003438A2" w:rsidRPr="00917A62" w:rsidRDefault="003438A2" w:rsidP="00881E29">
            <w:pPr>
              <w:spacing w:before="60" w:after="60" w:line="240" w:lineRule="auto"/>
              <w:rPr>
                <w:rFonts w:eastAsia="Calibri" w:cs="Times New Roman"/>
                <w:sz w:val="18"/>
                <w:szCs w:val="18"/>
              </w:rPr>
            </w:pPr>
            <w:r w:rsidRPr="00917A62">
              <w:rPr>
                <w:rFonts w:eastAsia="Calibri" w:cs="Times New Roman"/>
                <w:sz w:val="18"/>
                <w:szCs w:val="18"/>
              </w:rPr>
              <w:t>No records found</w:t>
            </w:r>
          </w:p>
        </w:tc>
        <w:tc>
          <w:tcPr>
            <w:tcW w:w="2552" w:type="dxa"/>
            <w:shd w:val="clear" w:color="auto" w:fill="auto"/>
          </w:tcPr>
          <w:p w14:paraId="7BCB1A26" w14:textId="77777777" w:rsidR="003438A2" w:rsidRPr="00917A62" w:rsidRDefault="003438A2" w:rsidP="00881E29">
            <w:pPr>
              <w:spacing w:before="60" w:after="60" w:line="240" w:lineRule="auto"/>
              <w:rPr>
                <w:rFonts w:eastAsia="Calibri" w:cs="Times New Roman"/>
                <w:sz w:val="18"/>
                <w:szCs w:val="18"/>
              </w:rPr>
            </w:pPr>
            <w:r w:rsidRPr="00917A62">
              <w:rPr>
                <w:rFonts w:eastAsia="Calibri" w:cs="Times New Roman"/>
                <w:sz w:val="18"/>
                <w:szCs w:val="18"/>
              </w:rPr>
              <w:t xml:space="preserve">No. Adults are reported to eat apple buds of young fruit trees and feed on sap from newly cut shoots. It is a diurnal feeder and will drop to the ground if disturbed </w:t>
            </w:r>
            <w:r w:rsidRPr="00917A62">
              <w:rPr>
                <w:rFonts w:eastAsia="Calibri" w:cs="Times New Roman"/>
                <w:noProof/>
                <w:sz w:val="18"/>
                <w:szCs w:val="18"/>
              </w:rPr>
              <w:t>(Beers 2004)</w:t>
            </w:r>
            <w:r w:rsidRPr="00917A62">
              <w:rPr>
                <w:rFonts w:eastAsia="Calibri" w:cs="Times New Roman"/>
                <w:sz w:val="18"/>
                <w:szCs w:val="18"/>
              </w:rPr>
              <w:t xml:space="preserve">. It is also reported to feed on leaves </w:t>
            </w:r>
            <w:r w:rsidRPr="00917A62">
              <w:rPr>
                <w:rFonts w:eastAsia="Calibri" w:cs="Times New Roman"/>
                <w:noProof/>
                <w:sz w:val="18"/>
                <w:szCs w:val="18"/>
              </w:rPr>
              <w:t>(Yothers 1916)</w:t>
            </w:r>
            <w:r>
              <w:rPr>
                <w:rFonts w:eastAsia="Calibri" w:cs="Times New Roman"/>
                <w:sz w:val="18"/>
                <w:szCs w:val="18"/>
              </w:rPr>
              <w:t>.</w:t>
            </w:r>
          </w:p>
        </w:tc>
        <w:tc>
          <w:tcPr>
            <w:tcW w:w="2381" w:type="dxa"/>
            <w:shd w:val="clear" w:color="auto" w:fill="auto"/>
          </w:tcPr>
          <w:p w14:paraId="39B72B5A" w14:textId="77777777" w:rsidR="003438A2" w:rsidRPr="00917A62" w:rsidRDefault="003438A2" w:rsidP="00881E29">
            <w:pPr>
              <w:spacing w:before="60" w:after="60" w:line="240" w:lineRule="auto"/>
              <w:rPr>
                <w:rFonts w:eastAsia="Calibri" w:cs="Times New Roman"/>
                <w:sz w:val="18"/>
                <w:szCs w:val="18"/>
              </w:rPr>
            </w:pPr>
            <w:r w:rsidRPr="00917A62">
              <w:rPr>
                <w:rFonts w:eastAsia="Calibri" w:cs="Times New Roman"/>
                <w:sz w:val="18"/>
                <w:szCs w:val="18"/>
              </w:rPr>
              <w:t>Assessment not required</w:t>
            </w:r>
          </w:p>
        </w:tc>
        <w:tc>
          <w:tcPr>
            <w:tcW w:w="2211" w:type="dxa"/>
            <w:shd w:val="clear" w:color="auto" w:fill="auto"/>
          </w:tcPr>
          <w:p w14:paraId="4306E5CD" w14:textId="77777777" w:rsidR="003438A2" w:rsidRPr="00917A62" w:rsidRDefault="003438A2" w:rsidP="00881E29">
            <w:pPr>
              <w:spacing w:before="60" w:after="60" w:line="240" w:lineRule="auto"/>
              <w:rPr>
                <w:rFonts w:eastAsia="Calibri" w:cs="Times New Roman"/>
                <w:sz w:val="18"/>
                <w:szCs w:val="18"/>
              </w:rPr>
            </w:pPr>
            <w:r w:rsidRPr="00917A62">
              <w:rPr>
                <w:rFonts w:eastAsia="Calibri" w:cs="Times New Roman"/>
                <w:sz w:val="18"/>
                <w:szCs w:val="18"/>
              </w:rPr>
              <w:t>Assessment not required</w:t>
            </w:r>
          </w:p>
        </w:tc>
        <w:tc>
          <w:tcPr>
            <w:tcW w:w="1191" w:type="dxa"/>
            <w:shd w:val="clear" w:color="auto" w:fill="auto"/>
          </w:tcPr>
          <w:p w14:paraId="7AAAB599" w14:textId="77777777" w:rsidR="003438A2" w:rsidRPr="00917A62" w:rsidRDefault="003438A2" w:rsidP="00881E29">
            <w:pPr>
              <w:spacing w:before="60" w:after="60" w:line="240" w:lineRule="auto"/>
              <w:rPr>
                <w:rFonts w:eastAsia="Calibri" w:cs="Times New Roman"/>
                <w:sz w:val="18"/>
                <w:szCs w:val="18"/>
              </w:rPr>
            </w:pPr>
            <w:r w:rsidRPr="00917A62">
              <w:rPr>
                <w:rFonts w:eastAsia="Calibri" w:cs="Times New Roman"/>
                <w:sz w:val="18"/>
                <w:szCs w:val="18"/>
              </w:rPr>
              <w:t>No</w:t>
            </w:r>
          </w:p>
        </w:tc>
      </w:tr>
      <w:tr w:rsidR="003438A2" w:rsidRPr="00955C12" w14:paraId="2D5848B9" w14:textId="77777777" w:rsidTr="00C4199F">
        <w:trPr>
          <w:cantSplit/>
          <w:trHeight w:val="75"/>
          <w:jc w:val="center"/>
        </w:trPr>
        <w:tc>
          <w:tcPr>
            <w:tcW w:w="2553" w:type="dxa"/>
            <w:shd w:val="clear" w:color="auto" w:fill="auto"/>
          </w:tcPr>
          <w:p w14:paraId="2C7444C5" w14:textId="77777777" w:rsidR="003438A2" w:rsidRPr="00955C12" w:rsidRDefault="003438A2" w:rsidP="00881E29">
            <w:pPr>
              <w:spacing w:before="60" w:after="60" w:line="240" w:lineRule="auto"/>
              <w:rPr>
                <w:rFonts w:eastAsia="Calibri" w:cs="Times New Roman"/>
                <w:sz w:val="18"/>
                <w:szCs w:val="18"/>
              </w:rPr>
            </w:pPr>
            <w:r w:rsidRPr="00955C12">
              <w:rPr>
                <w:rFonts w:eastAsia="Calibri" w:cs="Times New Roman"/>
                <w:i/>
                <w:sz w:val="18"/>
                <w:szCs w:val="18"/>
              </w:rPr>
              <w:t>Cleonidius canescens</w:t>
            </w:r>
            <w:r w:rsidRPr="00955C12">
              <w:rPr>
                <w:rFonts w:eastAsia="Calibri" w:cs="Times New Roman"/>
                <w:sz w:val="18"/>
                <w:szCs w:val="18"/>
              </w:rPr>
              <w:t xml:space="preserve"> (LeConte, 1875)</w:t>
            </w:r>
          </w:p>
          <w:p w14:paraId="037F16EF" w14:textId="77777777" w:rsidR="003438A2" w:rsidRPr="00955C12" w:rsidRDefault="003438A2" w:rsidP="00881E29">
            <w:pPr>
              <w:spacing w:before="60" w:after="60" w:line="240" w:lineRule="auto"/>
              <w:rPr>
                <w:rFonts w:eastAsia="Calibri" w:cs="Times New Roman"/>
                <w:sz w:val="18"/>
                <w:szCs w:val="18"/>
              </w:rPr>
            </w:pPr>
            <w:r w:rsidRPr="00955C12">
              <w:rPr>
                <w:rFonts w:eastAsia="Calibri" w:cs="Times New Roman"/>
                <w:sz w:val="18"/>
                <w:szCs w:val="18"/>
              </w:rPr>
              <w:t>[Curculionidae]</w:t>
            </w:r>
          </w:p>
          <w:p w14:paraId="3D9F7F61" w14:textId="77777777" w:rsidR="003438A2" w:rsidRPr="00955C12" w:rsidRDefault="003438A2" w:rsidP="00881E29">
            <w:pPr>
              <w:spacing w:before="60" w:after="60" w:line="240" w:lineRule="auto"/>
              <w:rPr>
                <w:rFonts w:eastAsia="Calibri" w:cs="Times New Roman"/>
                <w:i/>
                <w:sz w:val="18"/>
                <w:szCs w:val="18"/>
                <w:lang w:val="pt-BR"/>
              </w:rPr>
            </w:pPr>
          </w:p>
        </w:tc>
        <w:tc>
          <w:tcPr>
            <w:tcW w:w="1474" w:type="dxa"/>
            <w:shd w:val="clear" w:color="auto" w:fill="auto"/>
          </w:tcPr>
          <w:p w14:paraId="2AE67AB1" w14:textId="77777777" w:rsidR="003438A2" w:rsidRPr="00955C12" w:rsidRDefault="003438A2" w:rsidP="00881E29">
            <w:pPr>
              <w:spacing w:before="60" w:after="60" w:line="240" w:lineRule="auto"/>
              <w:rPr>
                <w:rFonts w:eastAsia="Calibri" w:cs="Times New Roman"/>
                <w:sz w:val="18"/>
                <w:szCs w:val="18"/>
                <w:lang w:val="pt-BR"/>
              </w:rPr>
            </w:pPr>
            <w:r w:rsidRPr="00955C12">
              <w:rPr>
                <w:rFonts w:eastAsia="Calibri" w:cs="Times New Roman"/>
                <w:sz w:val="18"/>
                <w:szCs w:val="18"/>
              </w:rPr>
              <w:t xml:space="preserve">Yes. </w:t>
            </w:r>
            <w:r>
              <w:rPr>
                <w:rFonts w:eastAsia="Calibri" w:cs="Times New Roman"/>
                <w:sz w:val="18"/>
                <w:szCs w:val="18"/>
              </w:rPr>
              <w:t>Present in</w:t>
            </w:r>
            <w:r w:rsidRPr="00955C12">
              <w:rPr>
                <w:rFonts w:eastAsia="Calibri" w:cs="Times New Roman"/>
                <w:sz w:val="18"/>
                <w:szCs w:val="18"/>
              </w:rPr>
              <w:t xml:space="preserve"> ID </w:t>
            </w:r>
            <w:r>
              <w:rPr>
                <w:rFonts w:eastAsia="Calibri" w:cs="Times New Roman"/>
                <w:noProof/>
                <w:sz w:val="18"/>
                <w:szCs w:val="18"/>
              </w:rPr>
              <w:t>(Anderson 1987; Yothers 1916)</w:t>
            </w:r>
          </w:p>
        </w:tc>
        <w:tc>
          <w:tcPr>
            <w:tcW w:w="1474" w:type="dxa"/>
            <w:shd w:val="clear" w:color="auto" w:fill="auto"/>
          </w:tcPr>
          <w:p w14:paraId="66FD9298" w14:textId="77777777" w:rsidR="003438A2" w:rsidRPr="00955C12" w:rsidRDefault="003438A2" w:rsidP="00881E29">
            <w:pPr>
              <w:spacing w:before="60" w:after="60" w:line="240" w:lineRule="auto"/>
              <w:rPr>
                <w:rFonts w:eastAsia="Calibri" w:cs="Times New Roman"/>
                <w:sz w:val="18"/>
                <w:szCs w:val="18"/>
              </w:rPr>
            </w:pPr>
            <w:r w:rsidRPr="00955C12">
              <w:rPr>
                <w:rFonts w:eastAsia="Calibri" w:cs="Times New Roman"/>
                <w:sz w:val="18"/>
                <w:szCs w:val="18"/>
              </w:rPr>
              <w:t>No records found</w:t>
            </w:r>
          </w:p>
        </w:tc>
        <w:tc>
          <w:tcPr>
            <w:tcW w:w="2552" w:type="dxa"/>
            <w:shd w:val="clear" w:color="auto" w:fill="auto"/>
          </w:tcPr>
          <w:p w14:paraId="28EDB733" w14:textId="77777777" w:rsidR="003438A2" w:rsidRPr="00410589" w:rsidRDefault="003438A2" w:rsidP="00757A9C">
            <w:pPr>
              <w:rPr>
                <w:rFonts w:eastAsia="Calibri" w:cs="Times New Roman"/>
                <w:sz w:val="18"/>
                <w:szCs w:val="18"/>
              </w:rPr>
            </w:pPr>
            <w:r w:rsidRPr="00410589">
              <w:rPr>
                <w:rFonts w:eastAsia="Calibri" w:cs="Times New Roman"/>
                <w:sz w:val="18"/>
                <w:szCs w:val="18"/>
              </w:rPr>
              <w:t xml:space="preserve">No. Reported destroying buds of young apple (and peach) trees in Colorado and Utah </w:t>
            </w:r>
            <w:r w:rsidRPr="00410589">
              <w:rPr>
                <w:noProof/>
                <w:sz w:val="18"/>
                <w:szCs w:val="18"/>
              </w:rPr>
              <w:t>(Beers 2007b; Yothers 1916)</w:t>
            </w:r>
          </w:p>
        </w:tc>
        <w:tc>
          <w:tcPr>
            <w:tcW w:w="2381" w:type="dxa"/>
            <w:shd w:val="clear" w:color="auto" w:fill="auto"/>
          </w:tcPr>
          <w:p w14:paraId="4299DB2C" w14:textId="77777777" w:rsidR="003438A2" w:rsidRPr="00955C12" w:rsidRDefault="003438A2" w:rsidP="00881E29">
            <w:pPr>
              <w:spacing w:before="60" w:after="60" w:line="240" w:lineRule="auto"/>
              <w:rPr>
                <w:rFonts w:eastAsia="Calibri" w:cs="Times New Roman"/>
                <w:sz w:val="18"/>
                <w:szCs w:val="18"/>
              </w:rPr>
            </w:pPr>
            <w:r w:rsidRPr="00955C12">
              <w:rPr>
                <w:rFonts w:eastAsia="Calibri" w:cs="Times New Roman"/>
                <w:sz w:val="18"/>
                <w:szCs w:val="18"/>
              </w:rPr>
              <w:t>Assessment not required</w:t>
            </w:r>
          </w:p>
        </w:tc>
        <w:tc>
          <w:tcPr>
            <w:tcW w:w="2211" w:type="dxa"/>
            <w:shd w:val="clear" w:color="auto" w:fill="auto"/>
          </w:tcPr>
          <w:p w14:paraId="2379F0F1" w14:textId="77777777" w:rsidR="003438A2" w:rsidRPr="00955C12" w:rsidRDefault="003438A2" w:rsidP="00881E29">
            <w:pPr>
              <w:spacing w:before="60" w:after="60" w:line="240" w:lineRule="auto"/>
              <w:rPr>
                <w:rFonts w:eastAsia="Calibri" w:cs="Times New Roman"/>
                <w:sz w:val="18"/>
                <w:szCs w:val="18"/>
              </w:rPr>
            </w:pPr>
            <w:r w:rsidRPr="00955C12">
              <w:rPr>
                <w:rFonts w:eastAsia="Calibri" w:cs="Times New Roman"/>
                <w:sz w:val="18"/>
                <w:szCs w:val="18"/>
              </w:rPr>
              <w:t>Assessment not required</w:t>
            </w:r>
          </w:p>
        </w:tc>
        <w:tc>
          <w:tcPr>
            <w:tcW w:w="1191" w:type="dxa"/>
            <w:shd w:val="clear" w:color="auto" w:fill="auto"/>
          </w:tcPr>
          <w:p w14:paraId="181D0BBE" w14:textId="77777777" w:rsidR="003438A2" w:rsidRPr="00955C12" w:rsidRDefault="003438A2" w:rsidP="00881E29">
            <w:pPr>
              <w:spacing w:before="60" w:after="60" w:line="240" w:lineRule="auto"/>
              <w:rPr>
                <w:rFonts w:eastAsia="Calibri" w:cs="Times New Roman"/>
                <w:sz w:val="18"/>
                <w:szCs w:val="18"/>
              </w:rPr>
            </w:pPr>
            <w:r w:rsidRPr="00955C12">
              <w:rPr>
                <w:rFonts w:eastAsia="Calibri" w:cs="Times New Roman"/>
                <w:sz w:val="18"/>
                <w:szCs w:val="18"/>
              </w:rPr>
              <w:t>No</w:t>
            </w:r>
          </w:p>
        </w:tc>
      </w:tr>
      <w:tr w:rsidR="003438A2" w:rsidRPr="00410589" w14:paraId="78799E59" w14:textId="77777777" w:rsidTr="00C4199F">
        <w:trPr>
          <w:cantSplit/>
          <w:trHeight w:val="75"/>
          <w:jc w:val="center"/>
        </w:trPr>
        <w:tc>
          <w:tcPr>
            <w:tcW w:w="2553" w:type="dxa"/>
            <w:shd w:val="clear" w:color="auto" w:fill="auto"/>
          </w:tcPr>
          <w:p w14:paraId="2EEAACBC"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i/>
                <w:sz w:val="18"/>
                <w:szCs w:val="18"/>
              </w:rPr>
              <w:lastRenderedPageBreak/>
              <w:t xml:space="preserve">Cleonidius quadrilineatus </w:t>
            </w:r>
            <w:r w:rsidRPr="00410589">
              <w:rPr>
                <w:rFonts w:eastAsia="Calibri" w:cs="Times New Roman"/>
                <w:sz w:val="18"/>
                <w:szCs w:val="18"/>
              </w:rPr>
              <w:t>(Chevrolat, 1873)</w:t>
            </w:r>
          </w:p>
          <w:p w14:paraId="7BF185BB"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[Curculionidae]</w:t>
            </w:r>
          </w:p>
          <w:p w14:paraId="7BA4442D" w14:textId="77777777" w:rsidR="003438A2" w:rsidRPr="00410589" w:rsidRDefault="003438A2" w:rsidP="00881E29">
            <w:pPr>
              <w:spacing w:before="60" w:after="60" w:line="240" w:lineRule="auto"/>
              <w:rPr>
                <w:rFonts w:eastAsia="Calibri" w:cs="Times New Roman"/>
                <w:i/>
                <w:sz w:val="18"/>
                <w:szCs w:val="18"/>
                <w:lang w:val="pt-BR"/>
              </w:rPr>
            </w:pPr>
            <w:r w:rsidRPr="00410589">
              <w:rPr>
                <w:rFonts w:eastAsia="Calibri" w:cs="Times New Roman"/>
                <w:sz w:val="18"/>
                <w:szCs w:val="18"/>
              </w:rPr>
              <w:t>Four-lined loco weevil</w:t>
            </w:r>
          </w:p>
        </w:tc>
        <w:tc>
          <w:tcPr>
            <w:tcW w:w="1474" w:type="dxa"/>
            <w:shd w:val="clear" w:color="auto" w:fill="auto"/>
          </w:tcPr>
          <w:p w14:paraId="67D86C41" w14:textId="77777777" w:rsidR="003438A2" w:rsidRPr="00410589" w:rsidRDefault="003438A2" w:rsidP="00881E29">
            <w:pPr>
              <w:spacing w:before="60" w:after="60" w:line="240" w:lineRule="auto"/>
              <w:rPr>
                <w:rFonts w:eastAsia="Calibri" w:cs="Times New Roman"/>
                <w:sz w:val="18"/>
                <w:szCs w:val="18"/>
                <w:lang w:val="pt-BR"/>
              </w:rPr>
            </w:pPr>
            <w:r w:rsidRPr="00410589">
              <w:rPr>
                <w:rFonts w:eastAsia="Calibri" w:cs="Times New Roman"/>
                <w:sz w:val="18"/>
                <w:szCs w:val="18"/>
              </w:rPr>
              <w:t xml:space="preserve">Yes. Present in WA </w:t>
            </w:r>
            <w:r w:rsidRPr="00410589">
              <w:rPr>
                <w:rFonts w:eastAsia="Calibri" w:cs="Times New Roman"/>
                <w:noProof/>
                <w:sz w:val="18"/>
                <w:szCs w:val="18"/>
              </w:rPr>
              <w:t>(Yothers 1916)</w:t>
            </w:r>
          </w:p>
        </w:tc>
        <w:tc>
          <w:tcPr>
            <w:tcW w:w="1474" w:type="dxa"/>
            <w:shd w:val="clear" w:color="auto" w:fill="auto"/>
          </w:tcPr>
          <w:p w14:paraId="74BDE7D4"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No records found</w:t>
            </w:r>
          </w:p>
        </w:tc>
        <w:tc>
          <w:tcPr>
            <w:tcW w:w="2552" w:type="dxa"/>
            <w:shd w:val="clear" w:color="auto" w:fill="auto"/>
          </w:tcPr>
          <w:p w14:paraId="3473B7A3" w14:textId="77777777" w:rsidR="003438A2" w:rsidRPr="00410589" w:rsidRDefault="003438A2" w:rsidP="001F05DC">
            <w:pPr>
              <w:rPr>
                <w:rFonts w:eastAsia="Calibri" w:cs="Times New Roman"/>
                <w:sz w:val="18"/>
                <w:szCs w:val="18"/>
              </w:rPr>
            </w:pPr>
            <w:r w:rsidRPr="00410589">
              <w:rPr>
                <w:rFonts w:eastAsia="Calibri" w:cs="Times New Roman"/>
                <w:sz w:val="18"/>
                <w:szCs w:val="18"/>
              </w:rPr>
              <w:t xml:space="preserve">No. Reported causing minor damage to apple buds </w:t>
            </w:r>
            <w:r w:rsidRPr="00410589">
              <w:rPr>
                <w:noProof/>
                <w:sz w:val="18"/>
                <w:szCs w:val="18"/>
              </w:rPr>
              <w:t>(Beers 2007b; Yothers 1916)</w:t>
            </w:r>
          </w:p>
        </w:tc>
        <w:tc>
          <w:tcPr>
            <w:tcW w:w="2381" w:type="dxa"/>
            <w:shd w:val="clear" w:color="auto" w:fill="auto"/>
          </w:tcPr>
          <w:p w14:paraId="5658B95C"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Assessment not required</w:t>
            </w:r>
          </w:p>
        </w:tc>
        <w:tc>
          <w:tcPr>
            <w:tcW w:w="2211" w:type="dxa"/>
            <w:shd w:val="clear" w:color="auto" w:fill="auto"/>
          </w:tcPr>
          <w:p w14:paraId="24CBF3C3"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Assessment not required</w:t>
            </w:r>
          </w:p>
        </w:tc>
        <w:tc>
          <w:tcPr>
            <w:tcW w:w="1191" w:type="dxa"/>
            <w:shd w:val="clear" w:color="auto" w:fill="auto"/>
          </w:tcPr>
          <w:p w14:paraId="3F53448D"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No</w:t>
            </w:r>
          </w:p>
        </w:tc>
      </w:tr>
      <w:tr w:rsidR="003438A2" w:rsidRPr="00410589" w14:paraId="6C3B06CF" w14:textId="77777777" w:rsidTr="00C4199F">
        <w:trPr>
          <w:cantSplit/>
          <w:trHeight w:val="75"/>
          <w:jc w:val="center"/>
        </w:trPr>
        <w:tc>
          <w:tcPr>
            <w:tcW w:w="2553" w:type="dxa"/>
            <w:shd w:val="clear" w:color="auto" w:fill="auto"/>
          </w:tcPr>
          <w:p w14:paraId="6CBCC752"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i/>
                <w:sz w:val="18"/>
                <w:szCs w:val="18"/>
              </w:rPr>
              <w:t>Conotrachelus nenuphar</w:t>
            </w:r>
            <w:r w:rsidRPr="00410589">
              <w:rPr>
                <w:rFonts w:eastAsia="Calibri" w:cs="Times New Roman"/>
                <w:sz w:val="18"/>
                <w:szCs w:val="18"/>
              </w:rPr>
              <w:t xml:space="preserve"> Harris, 1841</w:t>
            </w:r>
          </w:p>
          <w:p w14:paraId="213792E5"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[Curculionidae]</w:t>
            </w:r>
          </w:p>
          <w:p w14:paraId="6C0B29A4" w14:textId="77777777" w:rsidR="003438A2" w:rsidRPr="00410589" w:rsidRDefault="003438A2" w:rsidP="00881E29">
            <w:pPr>
              <w:spacing w:before="60" w:after="60" w:line="240" w:lineRule="auto"/>
              <w:rPr>
                <w:rFonts w:eastAsia="Calibri" w:cs="Times New Roman"/>
                <w:i/>
                <w:sz w:val="18"/>
                <w:szCs w:val="18"/>
                <w:lang w:val="pt-BR"/>
              </w:rPr>
            </w:pPr>
            <w:r w:rsidRPr="00410589">
              <w:rPr>
                <w:rFonts w:eastAsia="Calibri" w:cs="Times New Roman"/>
                <w:sz w:val="18"/>
                <w:szCs w:val="18"/>
              </w:rPr>
              <w:t>Plum curculio</w:t>
            </w:r>
          </w:p>
        </w:tc>
        <w:tc>
          <w:tcPr>
            <w:tcW w:w="1474" w:type="dxa"/>
            <w:shd w:val="clear" w:color="auto" w:fill="auto"/>
          </w:tcPr>
          <w:p w14:paraId="0349593D" w14:textId="77777777" w:rsidR="003438A2" w:rsidRPr="00410589" w:rsidRDefault="003438A2" w:rsidP="005E186A">
            <w:pPr>
              <w:rPr>
                <w:sz w:val="18"/>
                <w:szCs w:val="18"/>
              </w:rPr>
            </w:pPr>
            <w:r w:rsidRPr="00410589">
              <w:rPr>
                <w:rFonts w:eastAsia="Calibri" w:cs="Times New Roman"/>
                <w:sz w:val="18"/>
                <w:szCs w:val="18"/>
              </w:rPr>
              <w:t xml:space="preserve">No. Present in the USA but not in PNW (CABI 2022). Although an old record exists for WA, it is not considered present in the PNW-USA. It is a pest east of Rocky mountains </w:t>
            </w:r>
            <w:r w:rsidRPr="00410589">
              <w:rPr>
                <w:noProof/>
                <w:sz w:val="18"/>
                <w:szCs w:val="18"/>
              </w:rPr>
              <w:t>(Beers 2007b; EPPO 2021)</w:t>
            </w:r>
          </w:p>
        </w:tc>
        <w:tc>
          <w:tcPr>
            <w:tcW w:w="1474" w:type="dxa"/>
            <w:shd w:val="clear" w:color="auto" w:fill="auto"/>
          </w:tcPr>
          <w:p w14:paraId="2FF138ED"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No records found</w:t>
            </w:r>
          </w:p>
        </w:tc>
        <w:tc>
          <w:tcPr>
            <w:tcW w:w="2552" w:type="dxa"/>
            <w:shd w:val="clear" w:color="auto" w:fill="auto"/>
          </w:tcPr>
          <w:p w14:paraId="5421A5AE" w14:textId="77777777" w:rsidR="003438A2" w:rsidRPr="00410589" w:rsidRDefault="003438A2" w:rsidP="00881E29">
            <w:pPr>
              <w:spacing w:before="60" w:after="60" w:line="240" w:lineRule="auto"/>
              <w:rPr>
                <w:rFonts w:eastAsia="Calibri" w:cs="Times New Roman"/>
                <w:strike/>
                <w:sz w:val="18"/>
                <w:szCs w:val="18"/>
              </w:rPr>
            </w:pPr>
            <w:r w:rsidRPr="00410589">
              <w:rPr>
                <w:rFonts w:eastAsia="Calibri" w:cs="Times New Roman"/>
                <w:sz w:val="18"/>
                <w:szCs w:val="18"/>
              </w:rPr>
              <w:t>Assessment not required</w:t>
            </w:r>
          </w:p>
        </w:tc>
        <w:tc>
          <w:tcPr>
            <w:tcW w:w="2381" w:type="dxa"/>
            <w:shd w:val="clear" w:color="auto" w:fill="auto"/>
          </w:tcPr>
          <w:p w14:paraId="29DDDCED"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Assessment not required</w:t>
            </w:r>
          </w:p>
        </w:tc>
        <w:tc>
          <w:tcPr>
            <w:tcW w:w="2211" w:type="dxa"/>
            <w:shd w:val="clear" w:color="auto" w:fill="auto"/>
          </w:tcPr>
          <w:p w14:paraId="3F714C56"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Assessment not required</w:t>
            </w:r>
          </w:p>
        </w:tc>
        <w:tc>
          <w:tcPr>
            <w:tcW w:w="1191" w:type="dxa"/>
            <w:shd w:val="clear" w:color="auto" w:fill="auto"/>
          </w:tcPr>
          <w:p w14:paraId="788A49B8"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No</w:t>
            </w:r>
          </w:p>
        </w:tc>
      </w:tr>
      <w:tr w:rsidR="003438A2" w:rsidRPr="00410589" w14:paraId="0D57E749" w14:textId="77777777" w:rsidTr="00C4199F">
        <w:trPr>
          <w:cantSplit/>
          <w:trHeight w:val="75"/>
          <w:jc w:val="center"/>
        </w:trPr>
        <w:tc>
          <w:tcPr>
            <w:tcW w:w="2553" w:type="dxa"/>
            <w:shd w:val="clear" w:color="auto" w:fill="auto"/>
          </w:tcPr>
          <w:p w14:paraId="2F8133DA"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i/>
                <w:sz w:val="18"/>
                <w:szCs w:val="18"/>
              </w:rPr>
              <w:t>Evotus naso</w:t>
            </w:r>
            <w:r w:rsidRPr="00410589">
              <w:rPr>
                <w:rFonts w:eastAsia="Calibri" w:cs="Times New Roman"/>
                <w:sz w:val="18"/>
                <w:szCs w:val="18"/>
              </w:rPr>
              <w:t xml:space="preserve"> (LeConte, 1857)</w:t>
            </w:r>
          </w:p>
          <w:p w14:paraId="0AAF0764" w14:textId="77777777" w:rsidR="003438A2" w:rsidRPr="00410589" w:rsidRDefault="003438A2" w:rsidP="00881E29">
            <w:pPr>
              <w:spacing w:before="60" w:after="60" w:line="240" w:lineRule="auto"/>
              <w:rPr>
                <w:rFonts w:eastAsia="Calibri" w:cs="Times New Roman"/>
                <w:i/>
                <w:sz w:val="18"/>
                <w:szCs w:val="18"/>
                <w:lang w:val="pt-BR"/>
              </w:rPr>
            </w:pPr>
            <w:r w:rsidRPr="00410589">
              <w:rPr>
                <w:rFonts w:eastAsia="Calibri" w:cs="Times New Roman"/>
                <w:sz w:val="18"/>
                <w:szCs w:val="18"/>
              </w:rPr>
              <w:t>[Curculionidae]</w:t>
            </w:r>
          </w:p>
        </w:tc>
        <w:tc>
          <w:tcPr>
            <w:tcW w:w="1474" w:type="dxa"/>
            <w:shd w:val="clear" w:color="auto" w:fill="auto"/>
          </w:tcPr>
          <w:p w14:paraId="77BB4EF5" w14:textId="77777777" w:rsidR="003438A2" w:rsidRPr="00410589" w:rsidRDefault="003438A2" w:rsidP="00881E29">
            <w:pPr>
              <w:spacing w:before="60" w:after="60" w:line="240" w:lineRule="auto"/>
              <w:rPr>
                <w:rFonts w:eastAsia="Calibri" w:cs="Times New Roman"/>
                <w:sz w:val="18"/>
                <w:szCs w:val="18"/>
                <w:lang w:val="pt-BR"/>
              </w:rPr>
            </w:pPr>
            <w:r w:rsidRPr="00410589">
              <w:rPr>
                <w:rFonts w:eastAsia="Calibri" w:cs="Times New Roman"/>
                <w:sz w:val="18"/>
                <w:szCs w:val="18"/>
              </w:rPr>
              <w:t xml:space="preserve">Yes. Present in WA </w:t>
            </w:r>
            <w:r w:rsidRPr="00410589">
              <w:rPr>
                <w:rFonts w:eastAsia="Calibri" w:cs="Times New Roman"/>
                <w:noProof/>
                <w:sz w:val="18"/>
                <w:szCs w:val="18"/>
              </w:rPr>
              <w:t>(Yothers 1928)</w:t>
            </w:r>
          </w:p>
        </w:tc>
        <w:tc>
          <w:tcPr>
            <w:tcW w:w="1474" w:type="dxa"/>
            <w:shd w:val="clear" w:color="auto" w:fill="auto"/>
          </w:tcPr>
          <w:p w14:paraId="67D0FFB8"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No records found</w:t>
            </w:r>
          </w:p>
        </w:tc>
        <w:tc>
          <w:tcPr>
            <w:tcW w:w="2552" w:type="dxa"/>
            <w:shd w:val="clear" w:color="auto" w:fill="auto"/>
          </w:tcPr>
          <w:p w14:paraId="57EF1347"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 xml:space="preserve">No. Eats buds and leaves of apple trees </w:t>
            </w:r>
            <w:r w:rsidRPr="00410589">
              <w:rPr>
                <w:rFonts w:eastAsia="Calibri" w:cs="Times New Roman"/>
                <w:noProof/>
                <w:sz w:val="18"/>
                <w:szCs w:val="18"/>
              </w:rPr>
              <w:t>(Yothers 1928)</w:t>
            </w:r>
            <w:r w:rsidRPr="00410589">
              <w:rPr>
                <w:rFonts w:eastAsia="Calibri" w:cs="Times New Roman"/>
                <w:sz w:val="18"/>
                <w:szCs w:val="18"/>
              </w:rPr>
              <w:t xml:space="preserve"> </w:t>
            </w:r>
          </w:p>
        </w:tc>
        <w:tc>
          <w:tcPr>
            <w:tcW w:w="2381" w:type="dxa"/>
            <w:shd w:val="clear" w:color="auto" w:fill="auto"/>
          </w:tcPr>
          <w:p w14:paraId="09C3780B"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Assessment not required</w:t>
            </w:r>
          </w:p>
        </w:tc>
        <w:tc>
          <w:tcPr>
            <w:tcW w:w="2211" w:type="dxa"/>
            <w:shd w:val="clear" w:color="auto" w:fill="auto"/>
          </w:tcPr>
          <w:p w14:paraId="2AE0EB08"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Assessment not required</w:t>
            </w:r>
          </w:p>
        </w:tc>
        <w:tc>
          <w:tcPr>
            <w:tcW w:w="1191" w:type="dxa"/>
            <w:shd w:val="clear" w:color="auto" w:fill="auto"/>
          </w:tcPr>
          <w:p w14:paraId="11A54BC1"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No</w:t>
            </w:r>
          </w:p>
        </w:tc>
      </w:tr>
      <w:tr w:rsidR="003438A2" w:rsidRPr="00243E34" w14:paraId="43EF4E37" w14:textId="77777777" w:rsidTr="00C4199F">
        <w:trPr>
          <w:cantSplit/>
          <w:trHeight w:val="75"/>
          <w:jc w:val="center"/>
        </w:trPr>
        <w:tc>
          <w:tcPr>
            <w:tcW w:w="2553" w:type="dxa"/>
            <w:shd w:val="clear" w:color="auto" w:fill="auto"/>
          </w:tcPr>
          <w:p w14:paraId="00508988"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i/>
                <w:sz w:val="18"/>
                <w:szCs w:val="18"/>
              </w:rPr>
              <w:t>Lepesoma nigrescens</w:t>
            </w:r>
            <w:r w:rsidRPr="00410589">
              <w:rPr>
                <w:rFonts w:eastAsia="Calibri" w:cs="Times New Roman"/>
                <w:sz w:val="18"/>
                <w:szCs w:val="18"/>
              </w:rPr>
              <w:t xml:space="preserve"> (Pierce, 1913)</w:t>
            </w:r>
          </w:p>
          <w:p w14:paraId="2CB8C7C0"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 xml:space="preserve">Synonyms: </w:t>
            </w:r>
            <w:r w:rsidRPr="00410589">
              <w:rPr>
                <w:rFonts w:eastAsia="Calibri" w:cs="Times New Roman"/>
                <w:i/>
                <w:sz w:val="18"/>
                <w:szCs w:val="18"/>
              </w:rPr>
              <w:t>Dyslobus nigrescens</w:t>
            </w:r>
            <w:r w:rsidRPr="00410589">
              <w:rPr>
                <w:rFonts w:eastAsia="Calibri" w:cs="Times New Roman"/>
                <w:sz w:val="18"/>
                <w:szCs w:val="18"/>
              </w:rPr>
              <w:t xml:space="preserve"> (Pierce, 1913) </w:t>
            </w:r>
            <w:r w:rsidRPr="00410589">
              <w:rPr>
                <w:rFonts w:eastAsia="Calibri" w:cs="Times New Roman"/>
                <w:i/>
                <w:sz w:val="18"/>
                <w:szCs w:val="18"/>
              </w:rPr>
              <w:t xml:space="preserve">Melamomphus nigrescens </w:t>
            </w:r>
            <w:r w:rsidRPr="00410589">
              <w:rPr>
                <w:rFonts w:eastAsia="Calibri" w:cs="Times New Roman"/>
                <w:sz w:val="18"/>
                <w:szCs w:val="18"/>
              </w:rPr>
              <w:t>(Pierce, 1913)</w:t>
            </w:r>
          </w:p>
          <w:p w14:paraId="47D3E412"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[Curculionidae]</w:t>
            </w:r>
          </w:p>
        </w:tc>
        <w:tc>
          <w:tcPr>
            <w:tcW w:w="1474" w:type="dxa"/>
            <w:shd w:val="clear" w:color="auto" w:fill="auto"/>
          </w:tcPr>
          <w:p w14:paraId="26E16E2B" w14:textId="77777777" w:rsidR="003438A2" w:rsidRPr="00410589" w:rsidRDefault="003438A2" w:rsidP="008039F4">
            <w:pPr>
              <w:rPr>
                <w:rFonts w:eastAsia="Calibri" w:cs="Times New Roman"/>
                <w:sz w:val="18"/>
                <w:szCs w:val="18"/>
              </w:rPr>
            </w:pPr>
            <w:r w:rsidRPr="00410589">
              <w:rPr>
                <w:rFonts w:eastAsia="Calibri" w:cs="Times New Roman"/>
                <w:sz w:val="18"/>
                <w:szCs w:val="18"/>
              </w:rPr>
              <w:t xml:space="preserve">Yes. Present in WA </w:t>
            </w:r>
            <w:r w:rsidRPr="00410589">
              <w:rPr>
                <w:noProof/>
                <w:sz w:val="18"/>
                <w:szCs w:val="18"/>
              </w:rPr>
              <w:t>(Beers 2007b; Yothers 1914, 1916)</w:t>
            </w:r>
          </w:p>
          <w:p w14:paraId="314C231E" w14:textId="77777777" w:rsidR="003438A2" w:rsidRPr="00410589" w:rsidRDefault="003438A2" w:rsidP="00881E29">
            <w:pPr>
              <w:spacing w:before="60" w:after="60" w:line="240" w:lineRule="auto"/>
              <w:rPr>
                <w:rFonts w:eastAsia="Calibri" w:cs="Times New Roman"/>
                <w:sz w:val="18"/>
                <w:szCs w:val="18"/>
                <w:lang w:val="pt-BR"/>
              </w:rPr>
            </w:pPr>
          </w:p>
        </w:tc>
        <w:tc>
          <w:tcPr>
            <w:tcW w:w="1474" w:type="dxa"/>
            <w:shd w:val="clear" w:color="auto" w:fill="auto"/>
          </w:tcPr>
          <w:p w14:paraId="50EBF1EA"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No records found</w:t>
            </w:r>
          </w:p>
        </w:tc>
        <w:tc>
          <w:tcPr>
            <w:tcW w:w="2552" w:type="dxa"/>
            <w:shd w:val="clear" w:color="auto" w:fill="auto"/>
          </w:tcPr>
          <w:p w14:paraId="06AC8ACF" w14:textId="77777777" w:rsidR="003438A2" w:rsidRPr="00410589" w:rsidRDefault="003438A2" w:rsidP="00692391">
            <w:pPr>
              <w:rPr>
                <w:rFonts w:eastAsia="Calibri" w:cs="Times New Roman"/>
                <w:sz w:val="18"/>
                <w:szCs w:val="18"/>
              </w:rPr>
            </w:pPr>
            <w:r w:rsidRPr="00410589">
              <w:rPr>
                <w:rFonts w:eastAsia="Calibri" w:cs="Times New Roman"/>
                <w:sz w:val="18"/>
                <w:szCs w:val="18"/>
              </w:rPr>
              <w:t xml:space="preserve">No. Reported destroying young buds of young apple (and peach) trees </w:t>
            </w:r>
            <w:r w:rsidRPr="00410589">
              <w:rPr>
                <w:noProof/>
                <w:sz w:val="18"/>
                <w:szCs w:val="18"/>
              </w:rPr>
              <w:t>(Beers 2007b; Yothers 1914, 1916)</w:t>
            </w:r>
          </w:p>
        </w:tc>
        <w:tc>
          <w:tcPr>
            <w:tcW w:w="2381" w:type="dxa"/>
            <w:shd w:val="clear" w:color="auto" w:fill="auto"/>
          </w:tcPr>
          <w:p w14:paraId="2455D0C9"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Assessment not required</w:t>
            </w:r>
          </w:p>
        </w:tc>
        <w:tc>
          <w:tcPr>
            <w:tcW w:w="2211" w:type="dxa"/>
            <w:shd w:val="clear" w:color="auto" w:fill="auto"/>
          </w:tcPr>
          <w:p w14:paraId="0B378198"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Assessment not required</w:t>
            </w:r>
          </w:p>
        </w:tc>
        <w:tc>
          <w:tcPr>
            <w:tcW w:w="1191" w:type="dxa"/>
            <w:shd w:val="clear" w:color="auto" w:fill="auto"/>
          </w:tcPr>
          <w:p w14:paraId="6B735E23" w14:textId="77777777" w:rsidR="003438A2" w:rsidRPr="009320E9" w:rsidRDefault="003438A2" w:rsidP="00881E29">
            <w:pPr>
              <w:spacing w:before="60" w:after="60" w:line="240" w:lineRule="auto"/>
              <w:rPr>
                <w:rFonts w:eastAsia="Calibri" w:cs="Times New Roman"/>
                <w:sz w:val="18"/>
                <w:szCs w:val="18"/>
              </w:rPr>
            </w:pPr>
            <w:r w:rsidRPr="00410589">
              <w:rPr>
                <w:rFonts w:eastAsia="Calibri" w:cs="Times New Roman"/>
                <w:sz w:val="18"/>
                <w:szCs w:val="18"/>
              </w:rPr>
              <w:t>No</w:t>
            </w:r>
          </w:p>
        </w:tc>
      </w:tr>
      <w:tr w:rsidR="003438A2" w:rsidRPr="00410589" w14:paraId="7960675C" w14:textId="77777777" w:rsidTr="00C4199F">
        <w:trPr>
          <w:cantSplit/>
          <w:trHeight w:val="75"/>
          <w:jc w:val="center"/>
        </w:trPr>
        <w:tc>
          <w:tcPr>
            <w:tcW w:w="2553" w:type="dxa"/>
            <w:shd w:val="clear" w:color="auto" w:fill="auto"/>
          </w:tcPr>
          <w:p w14:paraId="4E98643A"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i/>
                <w:sz w:val="18"/>
                <w:szCs w:val="18"/>
              </w:rPr>
              <w:lastRenderedPageBreak/>
              <w:t>Lepesoma tanneri</w:t>
            </w:r>
            <w:r w:rsidRPr="00410589">
              <w:rPr>
                <w:rFonts w:eastAsia="Calibri" w:cs="Times New Roman"/>
                <w:sz w:val="18"/>
                <w:szCs w:val="18"/>
              </w:rPr>
              <w:t xml:space="preserve"> (Van Dyke, 1933)</w:t>
            </w:r>
          </w:p>
          <w:p w14:paraId="4749F384"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 xml:space="preserve">Synonym: </w:t>
            </w:r>
            <w:r w:rsidRPr="00410589">
              <w:rPr>
                <w:rFonts w:eastAsia="Calibri" w:cs="Times New Roman"/>
                <w:i/>
                <w:sz w:val="18"/>
                <w:szCs w:val="18"/>
              </w:rPr>
              <w:t>Dyslobus tanneri</w:t>
            </w:r>
            <w:r w:rsidRPr="00410589">
              <w:rPr>
                <w:rFonts w:eastAsia="Calibri" w:cs="Times New Roman"/>
                <w:sz w:val="18"/>
                <w:szCs w:val="18"/>
              </w:rPr>
              <w:t xml:space="preserve"> Van Dyke, 1933</w:t>
            </w:r>
          </w:p>
          <w:p w14:paraId="7B0FDEC0"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[Curculionidae]</w:t>
            </w:r>
          </w:p>
        </w:tc>
        <w:tc>
          <w:tcPr>
            <w:tcW w:w="1474" w:type="dxa"/>
            <w:shd w:val="clear" w:color="auto" w:fill="auto"/>
          </w:tcPr>
          <w:p w14:paraId="2AE156C0" w14:textId="77777777" w:rsidR="003438A2" w:rsidRPr="00410589" w:rsidRDefault="003438A2" w:rsidP="00881E29">
            <w:pPr>
              <w:spacing w:before="60" w:after="60" w:line="240" w:lineRule="auto"/>
              <w:rPr>
                <w:rFonts w:eastAsia="Calibri" w:cs="Times New Roman"/>
                <w:sz w:val="18"/>
                <w:szCs w:val="18"/>
                <w:lang w:val="pt-BR"/>
              </w:rPr>
            </w:pPr>
            <w:r w:rsidRPr="00410589">
              <w:rPr>
                <w:rFonts w:eastAsia="Calibri" w:cs="Times New Roman"/>
                <w:sz w:val="18"/>
                <w:szCs w:val="18"/>
              </w:rPr>
              <w:t xml:space="preserve">Yes. Present in ID, OR and WA </w:t>
            </w:r>
            <w:r w:rsidRPr="00410589">
              <w:rPr>
                <w:rFonts w:eastAsia="Calibri" w:cs="Times New Roman"/>
                <w:noProof/>
                <w:sz w:val="18"/>
                <w:szCs w:val="18"/>
              </w:rPr>
              <w:t>(Yothers 1916, 1941)</w:t>
            </w:r>
          </w:p>
        </w:tc>
        <w:tc>
          <w:tcPr>
            <w:tcW w:w="1474" w:type="dxa"/>
            <w:shd w:val="clear" w:color="auto" w:fill="auto"/>
          </w:tcPr>
          <w:p w14:paraId="21C9C5EA"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No records found</w:t>
            </w:r>
          </w:p>
        </w:tc>
        <w:tc>
          <w:tcPr>
            <w:tcW w:w="2552" w:type="dxa"/>
            <w:shd w:val="clear" w:color="auto" w:fill="auto"/>
          </w:tcPr>
          <w:p w14:paraId="54BA6465"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 xml:space="preserve">No. Adults reported eating or hollowing out apple buds and feeding on apple leaves </w:t>
            </w:r>
            <w:r w:rsidRPr="00410589">
              <w:rPr>
                <w:rFonts w:eastAsia="Calibri" w:cs="Times New Roman"/>
                <w:noProof/>
                <w:sz w:val="18"/>
                <w:szCs w:val="18"/>
              </w:rPr>
              <w:t>(Yothers 1941)</w:t>
            </w:r>
            <w:r w:rsidRPr="00410589">
              <w:rPr>
                <w:rFonts w:eastAsia="Calibri" w:cs="Times New Roman"/>
                <w:sz w:val="18"/>
                <w:szCs w:val="18"/>
              </w:rPr>
              <w:t xml:space="preserve"> </w:t>
            </w:r>
          </w:p>
        </w:tc>
        <w:tc>
          <w:tcPr>
            <w:tcW w:w="2381" w:type="dxa"/>
            <w:shd w:val="clear" w:color="auto" w:fill="auto"/>
          </w:tcPr>
          <w:p w14:paraId="0DAA4DFC"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Assessment not required</w:t>
            </w:r>
          </w:p>
        </w:tc>
        <w:tc>
          <w:tcPr>
            <w:tcW w:w="2211" w:type="dxa"/>
            <w:shd w:val="clear" w:color="auto" w:fill="auto"/>
          </w:tcPr>
          <w:p w14:paraId="597E8779"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Assessment not required</w:t>
            </w:r>
          </w:p>
        </w:tc>
        <w:tc>
          <w:tcPr>
            <w:tcW w:w="1191" w:type="dxa"/>
            <w:shd w:val="clear" w:color="auto" w:fill="auto"/>
          </w:tcPr>
          <w:p w14:paraId="66201F5F"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No</w:t>
            </w:r>
          </w:p>
        </w:tc>
      </w:tr>
      <w:tr w:rsidR="003438A2" w:rsidRPr="00410589" w14:paraId="5229B81D" w14:textId="77777777" w:rsidTr="00C4199F">
        <w:trPr>
          <w:cantSplit/>
          <w:trHeight w:val="75"/>
          <w:jc w:val="center"/>
        </w:trPr>
        <w:tc>
          <w:tcPr>
            <w:tcW w:w="2553" w:type="dxa"/>
            <w:shd w:val="clear" w:color="auto" w:fill="auto"/>
          </w:tcPr>
          <w:p w14:paraId="026A2B30"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i/>
                <w:sz w:val="18"/>
                <w:szCs w:val="18"/>
              </w:rPr>
              <w:t>Ophryastes cinerascens</w:t>
            </w:r>
            <w:r w:rsidRPr="00410589">
              <w:rPr>
                <w:rFonts w:eastAsia="Calibri" w:cs="Times New Roman"/>
                <w:sz w:val="18"/>
                <w:szCs w:val="18"/>
              </w:rPr>
              <w:t xml:space="preserve"> (Pierce, 1913)</w:t>
            </w:r>
          </w:p>
          <w:p w14:paraId="3E07802B"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 xml:space="preserve">Synonym: </w:t>
            </w:r>
            <w:r w:rsidRPr="00410589">
              <w:rPr>
                <w:rFonts w:eastAsia="Calibri" w:cs="Times New Roman"/>
                <w:i/>
                <w:sz w:val="18"/>
                <w:szCs w:val="18"/>
              </w:rPr>
              <w:t>Tosastes cinerascens</w:t>
            </w:r>
            <w:r w:rsidRPr="00410589">
              <w:rPr>
                <w:rFonts w:eastAsia="Calibri" w:cs="Times New Roman"/>
                <w:sz w:val="18"/>
                <w:szCs w:val="18"/>
              </w:rPr>
              <w:t xml:space="preserve"> Pierce 1913</w:t>
            </w:r>
          </w:p>
          <w:p w14:paraId="40CCC026" w14:textId="77777777" w:rsidR="003438A2" w:rsidRPr="00410589" w:rsidRDefault="003438A2" w:rsidP="00881E29">
            <w:pPr>
              <w:spacing w:before="60" w:after="60" w:line="240" w:lineRule="auto"/>
              <w:rPr>
                <w:rFonts w:eastAsia="Calibri" w:cs="Times New Roman"/>
                <w:i/>
                <w:sz w:val="18"/>
                <w:szCs w:val="18"/>
                <w:lang w:val="pt-BR"/>
              </w:rPr>
            </w:pPr>
            <w:r w:rsidRPr="00410589">
              <w:rPr>
                <w:rFonts w:eastAsia="Calibri" w:cs="Times New Roman"/>
                <w:sz w:val="18"/>
                <w:szCs w:val="18"/>
              </w:rPr>
              <w:t>[Curculionidae]</w:t>
            </w:r>
          </w:p>
        </w:tc>
        <w:tc>
          <w:tcPr>
            <w:tcW w:w="1474" w:type="dxa"/>
            <w:shd w:val="clear" w:color="auto" w:fill="auto"/>
          </w:tcPr>
          <w:p w14:paraId="09F44A13" w14:textId="77777777" w:rsidR="003438A2" w:rsidRPr="00410589" w:rsidRDefault="003438A2" w:rsidP="00480223">
            <w:pPr>
              <w:rPr>
                <w:rFonts w:eastAsia="Calibri" w:cs="Times New Roman"/>
                <w:sz w:val="18"/>
                <w:szCs w:val="18"/>
              </w:rPr>
            </w:pPr>
            <w:r w:rsidRPr="00410589">
              <w:rPr>
                <w:rFonts w:eastAsia="Calibri" w:cs="Times New Roman"/>
                <w:sz w:val="18"/>
                <w:szCs w:val="18"/>
              </w:rPr>
              <w:t xml:space="preserve">Yes. Present in OR and WA </w:t>
            </w:r>
            <w:r w:rsidRPr="00410589">
              <w:rPr>
                <w:noProof/>
                <w:sz w:val="18"/>
                <w:szCs w:val="18"/>
              </w:rPr>
              <w:t>(Beers 2007b; O'Brien &amp; Wibmer 1982; Yothers 1916)</w:t>
            </w:r>
          </w:p>
        </w:tc>
        <w:tc>
          <w:tcPr>
            <w:tcW w:w="1474" w:type="dxa"/>
            <w:shd w:val="clear" w:color="auto" w:fill="auto"/>
          </w:tcPr>
          <w:p w14:paraId="7BCA6D53"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No records found</w:t>
            </w:r>
          </w:p>
        </w:tc>
        <w:tc>
          <w:tcPr>
            <w:tcW w:w="2552" w:type="dxa"/>
            <w:shd w:val="clear" w:color="auto" w:fill="auto"/>
          </w:tcPr>
          <w:p w14:paraId="1FD112B9" w14:textId="77777777" w:rsidR="003438A2" w:rsidRPr="00410589" w:rsidRDefault="003438A2" w:rsidP="00480223">
            <w:pPr>
              <w:rPr>
                <w:rFonts w:eastAsia="Calibri" w:cs="Times New Roman"/>
                <w:sz w:val="18"/>
                <w:szCs w:val="18"/>
              </w:rPr>
            </w:pPr>
            <w:r w:rsidRPr="00410589">
              <w:rPr>
                <w:rFonts w:eastAsia="Calibri" w:cs="Times New Roman"/>
                <w:sz w:val="18"/>
                <w:szCs w:val="18"/>
              </w:rPr>
              <w:t>No. Adults feed on the buds of 1–2 year old fruit trees (apple listed as a host)</w:t>
            </w:r>
            <w:bookmarkStart w:id="541" w:name="_Hlk112269168"/>
            <w:r w:rsidRPr="00410589">
              <w:rPr>
                <w:rFonts w:eastAsia="Calibri" w:cs="Times New Roman"/>
                <w:sz w:val="18"/>
                <w:szCs w:val="18"/>
              </w:rPr>
              <w:t xml:space="preserve"> </w:t>
            </w:r>
            <w:r w:rsidRPr="00410589">
              <w:rPr>
                <w:noProof/>
                <w:sz w:val="18"/>
                <w:szCs w:val="18"/>
              </w:rPr>
              <w:t>(Beers 2007b; Yothers 1916)</w:t>
            </w:r>
            <w:bookmarkEnd w:id="541"/>
            <w:r w:rsidRPr="00410589">
              <w:rPr>
                <w:rFonts w:eastAsia="Calibri" w:cs="Times New Roman"/>
                <w:sz w:val="18"/>
                <w:szCs w:val="18"/>
              </w:rPr>
              <w:t xml:space="preserve"> </w:t>
            </w:r>
          </w:p>
        </w:tc>
        <w:tc>
          <w:tcPr>
            <w:tcW w:w="2381" w:type="dxa"/>
            <w:shd w:val="clear" w:color="auto" w:fill="auto"/>
          </w:tcPr>
          <w:p w14:paraId="32C80991"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Assessment not required</w:t>
            </w:r>
          </w:p>
        </w:tc>
        <w:tc>
          <w:tcPr>
            <w:tcW w:w="2211" w:type="dxa"/>
            <w:shd w:val="clear" w:color="auto" w:fill="auto"/>
          </w:tcPr>
          <w:p w14:paraId="3F23C8A8"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Assessment not required</w:t>
            </w:r>
          </w:p>
        </w:tc>
        <w:tc>
          <w:tcPr>
            <w:tcW w:w="1191" w:type="dxa"/>
            <w:shd w:val="clear" w:color="auto" w:fill="auto"/>
          </w:tcPr>
          <w:p w14:paraId="5AD5ABB9"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No</w:t>
            </w:r>
          </w:p>
        </w:tc>
      </w:tr>
      <w:tr w:rsidR="003438A2" w:rsidRPr="00410589" w14:paraId="56CE849A" w14:textId="77777777" w:rsidTr="00C4199F">
        <w:trPr>
          <w:cantSplit/>
          <w:trHeight w:val="75"/>
          <w:jc w:val="center"/>
        </w:trPr>
        <w:tc>
          <w:tcPr>
            <w:tcW w:w="2553" w:type="dxa"/>
            <w:shd w:val="clear" w:color="auto" w:fill="auto"/>
          </w:tcPr>
          <w:p w14:paraId="25891D8F"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i/>
                <w:sz w:val="18"/>
                <w:szCs w:val="18"/>
              </w:rPr>
              <w:t>Ophryastes geminatus</w:t>
            </w:r>
            <w:r w:rsidRPr="00410589">
              <w:rPr>
                <w:rFonts w:eastAsia="Calibri" w:cs="Times New Roman"/>
                <w:sz w:val="18"/>
                <w:szCs w:val="18"/>
              </w:rPr>
              <w:t xml:space="preserve"> (Horn, 1876)</w:t>
            </w:r>
          </w:p>
          <w:p w14:paraId="183FB571"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 xml:space="preserve">Synonym: </w:t>
            </w:r>
            <w:r w:rsidRPr="00410589">
              <w:rPr>
                <w:rFonts w:eastAsia="Calibri" w:cs="Times New Roman"/>
                <w:i/>
                <w:sz w:val="18"/>
                <w:szCs w:val="18"/>
              </w:rPr>
              <w:t xml:space="preserve">Eupagoderes geminatus </w:t>
            </w:r>
            <w:r w:rsidRPr="00410589">
              <w:rPr>
                <w:rFonts w:eastAsia="Calibri" w:cs="Times New Roman"/>
                <w:sz w:val="18"/>
                <w:szCs w:val="18"/>
              </w:rPr>
              <w:t>Horn, 1876</w:t>
            </w:r>
          </w:p>
          <w:p w14:paraId="5F207642"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[Curculionidae]</w:t>
            </w:r>
          </w:p>
          <w:p w14:paraId="7B65A361" w14:textId="77777777" w:rsidR="003438A2" w:rsidRPr="00410589" w:rsidRDefault="003438A2" w:rsidP="00881E29">
            <w:pPr>
              <w:spacing w:before="60" w:after="60" w:line="240" w:lineRule="auto"/>
              <w:rPr>
                <w:rFonts w:eastAsia="Calibri" w:cs="Times New Roman"/>
                <w:i/>
                <w:sz w:val="18"/>
                <w:szCs w:val="18"/>
                <w:lang w:val="pt-BR"/>
              </w:rPr>
            </w:pPr>
            <w:r w:rsidRPr="00410589">
              <w:rPr>
                <w:rFonts w:eastAsia="Calibri" w:cs="Times New Roman"/>
                <w:sz w:val="18"/>
                <w:szCs w:val="18"/>
              </w:rPr>
              <w:t>White bud weevil</w:t>
            </w:r>
          </w:p>
        </w:tc>
        <w:tc>
          <w:tcPr>
            <w:tcW w:w="1474" w:type="dxa"/>
            <w:shd w:val="clear" w:color="auto" w:fill="auto"/>
          </w:tcPr>
          <w:p w14:paraId="0539C58A" w14:textId="77777777" w:rsidR="003438A2" w:rsidRPr="00410589" w:rsidRDefault="003438A2" w:rsidP="00881E29">
            <w:pPr>
              <w:spacing w:before="60" w:after="60" w:line="240" w:lineRule="auto"/>
              <w:rPr>
                <w:rFonts w:eastAsia="Calibri" w:cs="Times New Roman"/>
                <w:sz w:val="18"/>
                <w:szCs w:val="18"/>
                <w:lang w:val="pt-BR"/>
              </w:rPr>
            </w:pPr>
            <w:r w:rsidRPr="00410589">
              <w:rPr>
                <w:rFonts w:eastAsia="Calibri" w:cs="Times New Roman"/>
                <w:sz w:val="18"/>
                <w:szCs w:val="18"/>
              </w:rPr>
              <w:t xml:space="preserve">Yes. Present in ID and OR </w:t>
            </w:r>
            <w:r w:rsidRPr="00410589">
              <w:rPr>
                <w:rFonts w:eastAsia="Calibri" w:cs="Times New Roman"/>
                <w:noProof/>
                <w:sz w:val="18"/>
                <w:szCs w:val="18"/>
              </w:rPr>
              <w:t>(O'Brien &amp; Wibmer 1982)</w:t>
            </w:r>
          </w:p>
        </w:tc>
        <w:tc>
          <w:tcPr>
            <w:tcW w:w="1474" w:type="dxa"/>
            <w:shd w:val="clear" w:color="auto" w:fill="auto"/>
          </w:tcPr>
          <w:p w14:paraId="145BF802"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No records found</w:t>
            </w:r>
          </w:p>
        </w:tc>
        <w:tc>
          <w:tcPr>
            <w:tcW w:w="2552" w:type="dxa"/>
            <w:shd w:val="clear" w:color="auto" w:fill="auto"/>
          </w:tcPr>
          <w:p w14:paraId="27461309" w14:textId="77777777" w:rsidR="003438A2" w:rsidRPr="00410589" w:rsidRDefault="003438A2" w:rsidP="00CD23F7">
            <w:pPr>
              <w:rPr>
                <w:rFonts w:eastAsia="Calibri" w:cs="Times New Roman"/>
                <w:sz w:val="18"/>
                <w:szCs w:val="18"/>
              </w:rPr>
            </w:pPr>
            <w:r w:rsidRPr="00410589">
              <w:rPr>
                <w:rFonts w:eastAsia="Calibri" w:cs="Times New Roman"/>
                <w:sz w:val="18"/>
                <w:szCs w:val="18"/>
              </w:rPr>
              <w:t xml:space="preserve">No. Recorded attacking buds of fruit trees in early spring </w:t>
            </w:r>
            <w:r w:rsidRPr="00410589">
              <w:rPr>
                <w:noProof/>
                <w:sz w:val="18"/>
                <w:szCs w:val="18"/>
              </w:rPr>
              <w:t>(Beers 2007b; Essig 1926)</w:t>
            </w:r>
          </w:p>
          <w:p w14:paraId="4654FD7C" w14:textId="77777777" w:rsidR="003438A2" w:rsidRPr="00410589" w:rsidRDefault="003438A2" w:rsidP="00881E29">
            <w:pPr>
              <w:spacing w:before="60" w:after="60" w:line="240" w:lineRule="auto"/>
              <w:rPr>
                <w:rFonts w:eastAsia="Calibri" w:cs="Times New Roman"/>
                <w:sz w:val="18"/>
                <w:szCs w:val="18"/>
              </w:rPr>
            </w:pPr>
          </w:p>
        </w:tc>
        <w:tc>
          <w:tcPr>
            <w:tcW w:w="2381" w:type="dxa"/>
            <w:shd w:val="clear" w:color="auto" w:fill="auto"/>
          </w:tcPr>
          <w:p w14:paraId="458D673F"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Assessment not required</w:t>
            </w:r>
          </w:p>
        </w:tc>
        <w:tc>
          <w:tcPr>
            <w:tcW w:w="2211" w:type="dxa"/>
            <w:shd w:val="clear" w:color="auto" w:fill="auto"/>
          </w:tcPr>
          <w:p w14:paraId="5CBEB6A0"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Assessment not required</w:t>
            </w:r>
          </w:p>
        </w:tc>
        <w:tc>
          <w:tcPr>
            <w:tcW w:w="1191" w:type="dxa"/>
            <w:shd w:val="clear" w:color="auto" w:fill="auto"/>
          </w:tcPr>
          <w:p w14:paraId="1B70F0B1"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No</w:t>
            </w:r>
          </w:p>
        </w:tc>
      </w:tr>
      <w:tr w:rsidR="003438A2" w:rsidRPr="0069490B" w14:paraId="4D69D328" w14:textId="77777777" w:rsidTr="00C4199F">
        <w:trPr>
          <w:cantSplit/>
          <w:trHeight w:val="75"/>
          <w:jc w:val="center"/>
        </w:trPr>
        <w:tc>
          <w:tcPr>
            <w:tcW w:w="2553" w:type="dxa"/>
            <w:shd w:val="clear" w:color="auto" w:fill="FFFFFF" w:themeFill="background1"/>
          </w:tcPr>
          <w:p w14:paraId="4BC1DAAA"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i/>
                <w:sz w:val="18"/>
                <w:szCs w:val="18"/>
              </w:rPr>
              <w:t>Otiorhynchus meridionalis</w:t>
            </w:r>
            <w:r w:rsidRPr="00410589">
              <w:rPr>
                <w:rFonts w:eastAsia="Calibri" w:cs="Times New Roman"/>
                <w:sz w:val="18"/>
                <w:szCs w:val="18"/>
              </w:rPr>
              <w:t xml:space="preserve"> Gyllenhal, 1834</w:t>
            </w:r>
          </w:p>
          <w:p w14:paraId="66EE99FA"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[Curculionidae]</w:t>
            </w:r>
          </w:p>
          <w:p w14:paraId="6A95ED13" w14:textId="77777777" w:rsidR="003438A2" w:rsidRPr="00410589" w:rsidRDefault="003438A2" w:rsidP="00881E29">
            <w:pPr>
              <w:spacing w:before="60" w:after="60" w:line="240" w:lineRule="auto"/>
              <w:rPr>
                <w:rFonts w:eastAsia="Calibri" w:cs="Times New Roman"/>
                <w:i/>
                <w:sz w:val="18"/>
                <w:szCs w:val="18"/>
                <w:lang w:val="pt-BR"/>
              </w:rPr>
            </w:pPr>
            <w:r w:rsidRPr="00410589">
              <w:rPr>
                <w:rFonts w:eastAsia="Calibri" w:cs="Times New Roman"/>
                <w:sz w:val="18"/>
                <w:szCs w:val="18"/>
              </w:rPr>
              <w:t>Lilac root weevil</w:t>
            </w:r>
          </w:p>
        </w:tc>
        <w:tc>
          <w:tcPr>
            <w:tcW w:w="1474" w:type="dxa"/>
            <w:shd w:val="clear" w:color="auto" w:fill="FFFFFF" w:themeFill="background1"/>
          </w:tcPr>
          <w:p w14:paraId="14B4E944" w14:textId="77777777" w:rsidR="003438A2" w:rsidRPr="00410589" w:rsidRDefault="003438A2" w:rsidP="00881E29">
            <w:pPr>
              <w:spacing w:before="60" w:after="60" w:line="240" w:lineRule="auto"/>
              <w:rPr>
                <w:rFonts w:eastAsia="Calibri" w:cs="Times New Roman"/>
                <w:sz w:val="18"/>
                <w:szCs w:val="18"/>
                <w:lang w:val="pt-BR"/>
              </w:rPr>
            </w:pPr>
            <w:r w:rsidRPr="00410589">
              <w:rPr>
                <w:rFonts w:eastAsia="Calibri" w:cs="Times New Roman"/>
                <w:sz w:val="18"/>
                <w:szCs w:val="18"/>
              </w:rPr>
              <w:t xml:space="preserve">Yes. Present in ID, OR and WA </w:t>
            </w:r>
            <w:r w:rsidRPr="00410589">
              <w:rPr>
                <w:rFonts w:eastAsia="Calibri" w:cs="Times New Roman"/>
                <w:noProof/>
                <w:sz w:val="18"/>
                <w:szCs w:val="18"/>
              </w:rPr>
              <w:t>(O'Brien &amp; Wibmer 1982; Warner &amp; Negley 1976)</w:t>
            </w:r>
          </w:p>
        </w:tc>
        <w:tc>
          <w:tcPr>
            <w:tcW w:w="1474" w:type="dxa"/>
            <w:shd w:val="clear" w:color="auto" w:fill="FFFFFF" w:themeFill="background1"/>
          </w:tcPr>
          <w:p w14:paraId="7B6596BD"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No records found</w:t>
            </w:r>
          </w:p>
        </w:tc>
        <w:tc>
          <w:tcPr>
            <w:tcW w:w="2552" w:type="dxa"/>
            <w:shd w:val="clear" w:color="auto" w:fill="FFFFFF" w:themeFill="background1"/>
          </w:tcPr>
          <w:p w14:paraId="0354C3FB"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 xml:space="preserve">No. Adults recorded feeding on apple leaves in eastern Washington </w:t>
            </w:r>
            <w:r w:rsidRPr="00410589">
              <w:rPr>
                <w:noProof/>
                <w:sz w:val="18"/>
                <w:szCs w:val="18"/>
              </w:rPr>
              <w:t>(Beers 2007b)</w:t>
            </w:r>
            <w:r w:rsidRPr="00410589">
              <w:rPr>
                <w:sz w:val="18"/>
                <w:szCs w:val="18"/>
              </w:rPr>
              <w:t xml:space="preserve"> </w:t>
            </w:r>
          </w:p>
        </w:tc>
        <w:tc>
          <w:tcPr>
            <w:tcW w:w="2381" w:type="dxa"/>
            <w:shd w:val="clear" w:color="auto" w:fill="FFFFFF" w:themeFill="background1"/>
          </w:tcPr>
          <w:p w14:paraId="65EF1646"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Assessment not required</w:t>
            </w:r>
          </w:p>
        </w:tc>
        <w:tc>
          <w:tcPr>
            <w:tcW w:w="2211" w:type="dxa"/>
            <w:shd w:val="clear" w:color="auto" w:fill="FFFFFF" w:themeFill="background1"/>
          </w:tcPr>
          <w:p w14:paraId="20366E13"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Assessment not required</w:t>
            </w:r>
          </w:p>
        </w:tc>
        <w:tc>
          <w:tcPr>
            <w:tcW w:w="1191" w:type="dxa"/>
            <w:shd w:val="clear" w:color="auto" w:fill="FFFFFF" w:themeFill="background1"/>
          </w:tcPr>
          <w:p w14:paraId="632995EF" w14:textId="77777777" w:rsidR="003438A2" w:rsidRPr="0069490B" w:rsidRDefault="003438A2" w:rsidP="00881E29">
            <w:pPr>
              <w:spacing w:before="60" w:after="60" w:line="240" w:lineRule="auto"/>
              <w:rPr>
                <w:rFonts w:eastAsia="Calibri" w:cs="Times New Roman"/>
                <w:sz w:val="18"/>
                <w:szCs w:val="18"/>
              </w:rPr>
            </w:pPr>
            <w:r w:rsidRPr="00410589">
              <w:rPr>
                <w:rFonts w:eastAsia="Calibri" w:cs="Times New Roman"/>
                <w:sz w:val="18"/>
                <w:szCs w:val="18"/>
              </w:rPr>
              <w:t>No</w:t>
            </w:r>
          </w:p>
        </w:tc>
      </w:tr>
      <w:tr w:rsidR="003438A2" w:rsidRPr="00410589" w14:paraId="2445EA73" w14:textId="77777777" w:rsidTr="00C4199F">
        <w:trPr>
          <w:cantSplit/>
          <w:trHeight w:val="75"/>
          <w:jc w:val="center"/>
        </w:trPr>
        <w:tc>
          <w:tcPr>
            <w:tcW w:w="2553" w:type="dxa"/>
            <w:shd w:val="clear" w:color="auto" w:fill="FFFFFF" w:themeFill="background1"/>
          </w:tcPr>
          <w:p w14:paraId="6FD67D7F"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i/>
                <w:sz w:val="18"/>
                <w:szCs w:val="18"/>
              </w:rPr>
              <w:t>Panscopus aequalis</w:t>
            </w:r>
            <w:r w:rsidRPr="00410589">
              <w:rPr>
                <w:rFonts w:eastAsia="Calibri" w:cs="Times New Roman"/>
                <w:sz w:val="18"/>
                <w:szCs w:val="18"/>
              </w:rPr>
              <w:t xml:space="preserve"> (Horn, 1876)</w:t>
            </w:r>
          </w:p>
          <w:p w14:paraId="1299546B"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[Curculionidae]</w:t>
            </w:r>
          </w:p>
          <w:p w14:paraId="1F485A46" w14:textId="77777777" w:rsidR="003438A2" w:rsidRPr="00410589" w:rsidRDefault="003438A2" w:rsidP="00881E29">
            <w:pPr>
              <w:spacing w:before="60" w:after="60" w:line="240" w:lineRule="auto"/>
              <w:rPr>
                <w:rFonts w:eastAsia="Calibri" w:cs="Times New Roman"/>
                <w:i/>
                <w:sz w:val="18"/>
                <w:szCs w:val="18"/>
                <w:lang w:val="pt-BR"/>
              </w:rPr>
            </w:pPr>
            <w:r w:rsidRPr="00410589">
              <w:rPr>
                <w:rFonts w:eastAsia="Calibri" w:cs="Times New Roman"/>
                <w:sz w:val="18"/>
                <w:szCs w:val="18"/>
              </w:rPr>
              <w:t>Weevil</w:t>
            </w:r>
          </w:p>
        </w:tc>
        <w:tc>
          <w:tcPr>
            <w:tcW w:w="1474" w:type="dxa"/>
            <w:shd w:val="clear" w:color="auto" w:fill="FFFFFF" w:themeFill="background1"/>
          </w:tcPr>
          <w:p w14:paraId="35BBFB42" w14:textId="77777777" w:rsidR="003438A2" w:rsidRPr="00410589" w:rsidRDefault="003438A2" w:rsidP="00881E29">
            <w:pPr>
              <w:spacing w:before="60" w:after="60" w:line="240" w:lineRule="auto"/>
              <w:rPr>
                <w:rFonts w:eastAsia="Calibri" w:cs="Times New Roman"/>
                <w:sz w:val="18"/>
                <w:szCs w:val="18"/>
                <w:lang w:val="pt-BR"/>
              </w:rPr>
            </w:pPr>
            <w:r w:rsidRPr="00410589">
              <w:rPr>
                <w:rFonts w:eastAsia="Calibri" w:cs="Times New Roman"/>
                <w:sz w:val="18"/>
                <w:szCs w:val="18"/>
              </w:rPr>
              <w:t xml:space="preserve">Yes. Present in OR and WA </w:t>
            </w:r>
            <w:r w:rsidRPr="00410589">
              <w:rPr>
                <w:rFonts w:eastAsia="Calibri" w:cs="Times New Roman"/>
                <w:noProof/>
                <w:sz w:val="18"/>
                <w:szCs w:val="18"/>
              </w:rPr>
              <w:t>(Beers 2004; O'Brien &amp; Wibmer 1982; Yothers 1914, 1916)</w:t>
            </w:r>
          </w:p>
        </w:tc>
        <w:tc>
          <w:tcPr>
            <w:tcW w:w="1474" w:type="dxa"/>
            <w:shd w:val="clear" w:color="auto" w:fill="FFFFFF" w:themeFill="background1"/>
          </w:tcPr>
          <w:p w14:paraId="07A2E5ED"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No records found</w:t>
            </w:r>
          </w:p>
        </w:tc>
        <w:tc>
          <w:tcPr>
            <w:tcW w:w="2552" w:type="dxa"/>
            <w:shd w:val="clear" w:color="auto" w:fill="FFFFFF" w:themeFill="background1"/>
          </w:tcPr>
          <w:p w14:paraId="0F5B6B80" w14:textId="77777777" w:rsidR="003438A2" w:rsidRPr="00410589" w:rsidRDefault="003438A2" w:rsidP="00CD23F7">
            <w:pPr>
              <w:rPr>
                <w:rFonts w:eastAsia="Calibri" w:cs="Times New Roman"/>
                <w:sz w:val="18"/>
                <w:szCs w:val="18"/>
              </w:rPr>
            </w:pPr>
            <w:r w:rsidRPr="00410589">
              <w:rPr>
                <w:rFonts w:eastAsia="Calibri" w:cs="Times New Roman"/>
                <w:sz w:val="18"/>
                <w:szCs w:val="18"/>
              </w:rPr>
              <w:t xml:space="preserve">No. Adults feed upon unfolded terminal or centre buds of 1-year-old apple trees; they also feed on sap oozing from freshly cut twigs </w:t>
            </w:r>
            <w:r w:rsidRPr="00410589">
              <w:rPr>
                <w:noProof/>
                <w:sz w:val="18"/>
                <w:szCs w:val="18"/>
              </w:rPr>
              <w:t>(Beers 2007b; Yothers 1914, 1916)</w:t>
            </w:r>
          </w:p>
          <w:p w14:paraId="4137BC08" w14:textId="77777777" w:rsidR="003438A2" w:rsidRPr="00410589" w:rsidRDefault="003438A2" w:rsidP="00881E29">
            <w:pPr>
              <w:spacing w:before="60" w:after="60" w:line="240" w:lineRule="auto"/>
              <w:rPr>
                <w:rFonts w:eastAsia="Calibri" w:cs="Times New Roman"/>
                <w:sz w:val="18"/>
                <w:szCs w:val="18"/>
              </w:rPr>
            </w:pPr>
          </w:p>
        </w:tc>
        <w:tc>
          <w:tcPr>
            <w:tcW w:w="2381" w:type="dxa"/>
            <w:shd w:val="clear" w:color="auto" w:fill="FFFFFF" w:themeFill="background1"/>
          </w:tcPr>
          <w:p w14:paraId="12355108"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Assessment not required</w:t>
            </w:r>
          </w:p>
        </w:tc>
        <w:tc>
          <w:tcPr>
            <w:tcW w:w="2211" w:type="dxa"/>
            <w:shd w:val="clear" w:color="auto" w:fill="FFFFFF" w:themeFill="background1"/>
          </w:tcPr>
          <w:p w14:paraId="22725662"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Assessment not required</w:t>
            </w:r>
          </w:p>
        </w:tc>
        <w:tc>
          <w:tcPr>
            <w:tcW w:w="1191" w:type="dxa"/>
            <w:shd w:val="clear" w:color="auto" w:fill="FFFFFF" w:themeFill="background1"/>
          </w:tcPr>
          <w:p w14:paraId="1768A31A"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No</w:t>
            </w:r>
          </w:p>
        </w:tc>
      </w:tr>
      <w:tr w:rsidR="003438A2" w:rsidRPr="0069490B" w14:paraId="5EC68AAD" w14:textId="77777777" w:rsidTr="00C4199F">
        <w:trPr>
          <w:cantSplit/>
          <w:trHeight w:val="75"/>
          <w:jc w:val="center"/>
        </w:trPr>
        <w:tc>
          <w:tcPr>
            <w:tcW w:w="2553" w:type="dxa"/>
            <w:shd w:val="clear" w:color="auto" w:fill="FFFFFF" w:themeFill="background1"/>
          </w:tcPr>
          <w:p w14:paraId="293FF4A0"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i/>
                <w:sz w:val="18"/>
                <w:szCs w:val="18"/>
              </w:rPr>
              <w:lastRenderedPageBreak/>
              <w:t>Paraptochus sellatus</w:t>
            </w:r>
            <w:r w:rsidRPr="00410589">
              <w:rPr>
                <w:rFonts w:eastAsia="Calibri" w:cs="Times New Roman"/>
                <w:sz w:val="18"/>
                <w:szCs w:val="18"/>
              </w:rPr>
              <w:t xml:space="preserve"> (Boheman, 1859)</w:t>
            </w:r>
          </w:p>
          <w:p w14:paraId="15987678"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[Curculionidae]</w:t>
            </w:r>
          </w:p>
          <w:p w14:paraId="150592FE" w14:textId="77777777" w:rsidR="003438A2" w:rsidRPr="00410589" w:rsidRDefault="003438A2" w:rsidP="00881E29">
            <w:pPr>
              <w:spacing w:before="60" w:after="60" w:line="240" w:lineRule="auto"/>
              <w:rPr>
                <w:rFonts w:eastAsia="Calibri" w:cs="Times New Roman"/>
                <w:i/>
                <w:sz w:val="18"/>
                <w:szCs w:val="18"/>
                <w:lang w:val="pt-BR"/>
              </w:rPr>
            </w:pPr>
            <w:r w:rsidRPr="00410589">
              <w:rPr>
                <w:rFonts w:eastAsia="Calibri" w:cs="Times New Roman"/>
                <w:sz w:val="18"/>
                <w:szCs w:val="18"/>
              </w:rPr>
              <w:t>Apricot leaf weevil</w:t>
            </w:r>
          </w:p>
        </w:tc>
        <w:tc>
          <w:tcPr>
            <w:tcW w:w="1474" w:type="dxa"/>
            <w:shd w:val="clear" w:color="auto" w:fill="FFFFFF" w:themeFill="background1"/>
          </w:tcPr>
          <w:p w14:paraId="11E4D2FF" w14:textId="77777777" w:rsidR="003438A2" w:rsidRPr="00410589" w:rsidRDefault="003438A2" w:rsidP="00CD23F7">
            <w:pPr>
              <w:rPr>
                <w:rFonts w:eastAsia="Calibri" w:cs="Times New Roman"/>
                <w:sz w:val="18"/>
                <w:szCs w:val="18"/>
              </w:rPr>
            </w:pPr>
            <w:r w:rsidRPr="00410589">
              <w:rPr>
                <w:rFonts w:eastAsia="Calibri" w:cs="Times New Roman"/>
                <w:sz w:val="18"/>
                <w:szCs w:val="18"/>
              </w:rPr>
              <w:t xml:space="preserve">Yes. Present in OR and WA </w:t>
            </w:r>
            <w:r w:rsidRPr="00410589">
              <w:rPr>
                <w:noProof/>
                <w:sz w:val="18"/>
                <w:szCs w:val="18"/>
              </w:rPr>
              <w:t>(Beers 2007b; Essig 1926)</w:t>
            </w:r>
          </w:p>
        </w:tc>
        <w:tc>
          <w:tcPr>
            <w:tcW w:w="1474" w:type="dxa"/>
            <w:shd w:val="clear" w:color="auto" w:fill="FFFFFF" w:themeFill="background1"/>
          </w:tcPr>
          <w:p w14:paraId="127F475F"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No records found</w:t>
            </w:r>
          </w:p>
        </w:tc>
        <w:tc>
          <w:tcPr>
            <w:tcW w:w="2552" w:type="dxa"/>
            <w:shd w:val="clear" w:color="auto" w:fill="FFFFFF" w:themeFill="background1"/>
          </w:tcPr>
          <w:p w14:paraId="37E1CCF9" w14:textId="77777777" w:rsidR="003438A2" w:rsidRPr="00410589" w:rsidRDefault="003438A2" w:rsidP="00CD23F7">
            <w:pPr>
              <w:rPr>
                <w:rFonts w:eastAsia="Calibri" w:cs="Times New Roman"/>
                <w:sz w:val="18"/>
                <w:szCs w:val="18"/>
              </w:rPr>
            </w:pPr>
            <w:r w:rsidRPr="00410589">
              <w:rPr>
                <w:rFonts w:eastAsia="Calibri" w:cs="Times New Roman"/>
                <w:sz w:val="18"/>
                <w:szCs w:val="18"/>
              </w:rPr>
              <w:t xml:space="preserve">No. Feeds on buds and leaves of apple </w:t>
            </w:r>
            <w:r w:rsidRPr="00410589">
              <w:rPr>
                <w:noProof/>
                <w:sz w:val="18"/>
                <w:szCs w:val="18"/>
              </w:rPr>
              <w:t>(Beers 2007b; Essig 1926)</w:t>
            </w:r>
          </w:p>
        </w:tc>
        <w:tc>
          <w:tcPr>
            <w:tcW w:w="2381" w:type="dxa"/>
            <w:shd w:val="clear" w:color="auto" w:fill="FFFFFF" w:themeFill="background1"/>
          </w:tcPr>
          <w:p w14:paraId="6C812E8B"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Assessment not required</w:t>
            </w:r>
          </w:p>
        </w:tc>
        <w:tc>
          <w:tcPr>
            <w:tcW w:w="2211" w:type="dxa"/>
            <w:shd w:val="clear" w:color="auto" w:fill="FFFFFF" w:themeFill="background1"/>
          </w:tcPr>
          <w:p w14:paraId="32E36C47"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Assessment not required</w:t>
            </w:r>
          </w:p>
        </w:tc>
        <w:tc>
          <w:tcPr>
            <w:tcW w:w="1191" w:type="dxa"/>
            <w:shd w:val="clear" w:color="auto" w:fill="FFFFFF" w:themeFill="background1"/>
          </w:tcPr>
          <w:p w14:paraId="59BDBB47" w14:textId="77777777" w:rsidR="003438A2" w:rsidRPr="0069490B" w:rsidRDefault="003438A2" w:rsidP="00881E29">
            <w:pPr>
              <w:spacing w:before="60" w:after="60" w:line="240" w:lineRule="auto"/>
              <w:rPr>
                <w:rFonts w:eastAsia="Calibri" w:cs="Times New Roman"/>
                <w:sz w:val="18"/>
                <w:szCs w:val="18"/>
              </w:rPr>
            </w:pPr>
            <w:r w:rsidRPr="00410589">
              <w:rPr>
                <w:rFonts w:eastAsia="Calibri" w:cs="Times New Roman"/>
                <w:sz w:val="18"/>
                <w:szCs w:val="18"/>
              </w:rPr>
              <w:t>No</w:t>
            </w:r>
          </w:p>
        </w:tc>
      </w:tr>
      <w:tr w:rsidR="003438A2" w:rsidRPr="0069490B" w14:paraId="5AC5319E" w14:textId="77777777" w:rsidTr="00C4199F">
        <w:trPr>
          <w:cantSplit/>
          <w:trHeight w:val="75"/>
          <w:jc w:val="center"/>
        </w:trPr>
        <w:tc>
          <w:tcPr>
            <w:tcW w:w="2553" w:type="dxa"/>
            <w:shd w:val="clear" w:color="auto" w:fill="FFFFFF" w:themeFill="background1"/>
          </w:tcPr>
          <w:p w14:paraId="01C300AB" w14:textId="77777777" w:rsidR="003438A2" w:rsidRPr="0069490B" w:rsidRDefault="003438A2" w:rsidP="00881E29">
            <w:pPr>
              <w:spacing w:before="60" w:after="60" w:line="240" w:lineRule="auto"/>
              <w:rPr>
                <w:rFonts w:eastAsia="Calibri" w:cs="Times New Roman"/>
                <w:sz w:val="18"/>
                <w:szCs w:val="18"/>
              </w:rPr>
            </w:pPr>
            <w:r w:rsidRPr="0069490B">
              <w:rPr>
                <w:rFonts w:eastAsia="Calibri" w:cs="Times New Roman"/>
                <w:i/>
                <w:sz w:val="18"/>
                <w:szCs w:val="18"/>
              </w:rPr>
              <w:t>Polydrusus impressifrons</w:t>
            </w:r>
            <w:r w:rsidRPr="0069490B">
              <w:rPr>
                <w:rFonts w:eastAsia="Calibri" w:cs="Times New Roman"/>
                <w:sz w:val="18"/>
                <w:szCs w:val="18"/>
              </w:rPr>
              <w:t xml:space="preserve"> (Gyllenhal, 1834)</w:t>
            </w:r>
          </w:p>
          <w:p w14:paraId="30FD503A" w14:textId="77777777" w:rsidR="003438A2" w:rsidRPr="0069490B" w:rsidRDefault="003438A2" w:rsidP="00881E29">
            <w:pPr>
              <w:spacing w:before="60" w:after="60" w:line="240" w:lineRule="auto"/>
              <w:rPr>
                <w:rFonts w:eastAsia="Calibri" w:cs="Times New Roman"/>
                <w:sz w:val="18"/>
                <w:szCs w:val="18"/>
              </w:rPr>
            </w:pPr>
            <w:r w:rsidRPr="0069490B">
              <w:rPr>
                <w:rFonts w:eastAsia="Calibri" w:cs="Times New Roman"/>
                <w:sz w:val="18"/>
                <w:szCs w:val="18"/>
              </w:rPr>
              <w:t>[Curculionidae]</w:t>
            </w:r>
          </w:p>
          <w:p w14:paraId="00FB8C14" w14:textId="77777777" w:rsidR="003438A2" w:rsidRPr="0069490B" w:rsidRDefault="003438A2" w:rsidP="00881E29">
            <w:pPr>
              <w:spacing w:before="60" w:after="60" w:line="240" w:lineRule="auto"/>
              <w:rPr>
                <w:rFonts w:eastAsia="Calibri" w:cs="Times New Roman"/>
                <w:i/>
                <w:sz w:val="18"/>
                <w:szCs w:val="18"/>
                <w:lang w:val="pt-BR"/>
              </w:rPr>
            </w:pPr>
            <w:r w:rsidRPr="0069490B">
              <w:rPr>
                <w:rFonts w:eastAsia="Calibri" w:cs="Times New Roman"/>
                <w:sz w:val="18"/>
                <w:szCs w:val="18"/>
              </w:rPr>
              <w:t>Leaf weevil</w:t>
            </w:r>
          </w:p>
        </w:tc>
        <w:tc>
          <w:tcPr>
            <w:tcW w:w="1474" w:type="dxa"/>
            <w:shd w:val="clear" w:color="auto" w:fill="FFFFFF" w:themeFill="background1"/>
          </w:tcPr>
          <w:p w14:paraId="4D399EED" w14:textId="77777777" w:rsidR="003438A2" w:rsidRPr="0069490B" w:rsidRDefault="003438A2" w:rsidP="00881E29">
            <w:pPr>
              <w:spacing w:before="60" w:after="60" w:line="240" w:lineRule="auto"/>
              <w:rPr>
                <w:rFonts w:eastAsia="Calibri" w:cs="Times New Roman"/>
                <w:sz w:val="18"/>
                <w:szCs w:val="18"/>
                <w:lang w:val="pt-BR"/>
              </w:rPr>
            </w:pPr>
            <w:r w:rsidRPr="0069490B">
              <w:rPr>
                <w:rFonts w:eastAsia="Calibri" w:cs="Times New Roman"/>
                <w:sz w:val="18"/>
                <w:szCs w:val="18"/>
              </w:rPr>
              <w:t xml:space="preserve">Yes. </w:t>
            </w:r>
            <w:r>
              <w:rPr>
                <w:rFonts w:eastAsia="Calibri" w:cs="Times New Roman"/>
                <w:sz w:val="18"/>
                <w:szCs w:val="18"/>
              </w:rPr>
              <w:t>Present in</w:t>
            </w:r>
            <w:r w:rsidRPr="0069490B">
              <w:rPr>
                <w:rFonts w:eastAsia="Calibri" w:cs="Times New Roman"/>
                <w:sz w:val="18"/>
                <w:szCs w:val="18"/>
              </w:rPr>
              <w:t xml:space="preserve"> OR</w:t>
            </w:r>
            <w:r>
              <w:rPr>
                <w:rFonts w:eastAsia="Calibri" w:cs="Times New Roman"/>
                <w:sz w:val="18"/>
                <w:szCs w:val="18"/>
              </w:rPr>
              <w:t xml:space="preserve"> and</w:t>
            </w:r>
            <w:r w:rsidRPr="0069490B">
              <w:rPr>
                <w:rFonts w:eastAsia="Calibri" w:cs="Times New Roman"/>
                <w:sz w:val="18"/>
                <w:szCs w:val="18"/>
              </w:rPr>
              <w:t xml:space="preserve"> WA </w:t>
            </w:r>
            <w:r>
              <w:rPr>
                <w:rFonts w:eastAsia="Calibri" w:cs="Times New Roman"/>
                <w:noProof/>
                <w:sz w:val="18"/>
                <w:szCs w:val="18"/>
              </w:rPr>
              <w:t>(O'Brien &amp; Wibmer 1982; Parrott &amp; Glassgow 1916; Rodstrom 2013; Sleeper 1957)</w:t>
            </w:r>
          </w:p>
        </w:tc>
        <w:tc>
          <w:tcPr>
            <w:tcW w:w="1474" w:type="dxa"/>
            <w:shd w:val="clear" w:color="auto" w:fill="FFFFFF" w:themeFill="background1"/>
          </w:tcPr>
          <w:p w14:paraId="3692C4C3" w14:textId="77777777" w:rsidR="003438A2" w:rsidRPr="0069490B" w:rsidRDefault="003438A2" w:rsidP="00881E29">
            <w:pPr>
              <w:spacing w:before="60" w:after="60" w:line="240" w:lineRule="auto"/>
              <w:rPr>
                <w:rFonts w:eastAsia="Calibri" w:cs="Times New Roman"/>
                <w:sz w:val="18"/>
                <w:szCs w:val="18"/>
              </w:rPr>
            </w:pPr>
            <w:r w:rsidRPr="0069490B">
              <w:rPr>
                <w:rFonts w:eastAsia="Calibri" w:cs="Times New Roman"/>
                <w:sz w:val="18"/>
                <w:szCs w:val="18"/>
              </w:rPr>
              <w:t>No records found</w:t>
            </w:r>
          </w:p>
        </w:tc>
        <w:tc>
          <w:tcPr>
            <w:tcW w:w="2552" w:type="dxa"/>
            <w:shd w:val="clear" w:color="auto" w:fill="FFFFFF" w:themeFill="background1"/>
          </w:tcPr>
          <w:p w14:paraId="379349E7" w14:textId="77777777" w:rsidR="003438A2" w:rsidRPr="0069490B" w:rsidRDefault="003438A2" w:rsidP="00881E29">
            <w:pPr>
              <w:spacing w:before="60" w:after="60" w:line="240" w:lineRule="auto"/>
              <w:rPr>
                <w:rFonts w:eastAsia="Calibri" w:cs="Times New Roman"/>
                <w:sz w:val="18"/>
                <w:szCs w:val="18"/>
              </w:rPr>
            </w:pPr>
            <w:r w:rsidRPr="0069490B">
              <w:rPr>
                <w:rFonts w:eastAsia="Calibri" w:cs="Times New Roman"/>
                <w:sz w:val="18"/>
                <w:szCs w:val="18"/>
              </w:rPr>
              <w:t xml:space="preserve">No. Adults eat foliage, especially leaf margins while some bud feeding occurs on other non-tree fruit hosts; larvae feed on tree roots </w:t>
            </w:r>
            <w:r>
              <w:rPr>
                <w:rFonts w:eastAsia="Calibri" w:cs="Times New Roman"/>
                <w:noProof/>
                <w:sz w:val="18"/>
                <w:szCs w:val="18"/>
              </w:rPr>
              <w:t>(Parrott &amp; Glassgow 1916)</w:t>
            </w:r>
            <w:r>
              <w:rPr>
                <w:rFonts w:eastAsia="Calibri" w:cs="Times New Roman"/>
                <w:sz w:val="18"/>
                <w:szCs w:val="18"/>
              </w:rPr>
              <w:t xml:space="preserve">. </w:t>
            </w:r>
          </w:p>
        </w:tc>
        <w:tc>
          <w:tcPr>
            <w:tcW w:w="2381" w:type="dxa"/>
            <w:shd w:val="clear" w:color="auto" w:fill="FFFFFF" w:themeFill="background1"/>
          </w:tcPr>
          <w:p w14:paraId="2886ED53" w14:textId="77777777" w:rsidR="003438A2" w:rsidRPr="0069490B" w:rsidRDefault="003438A2" w:rsidP="00881E29">
            <w:pPr>
              <w:spacing w:before="60" w:after="60" w:line="240" w:lineRule="auto"/>
              <w:rPr>
                <w:rFonts w:eastAsia="Calibri" w:cs="Times New Roman"/>
                <w:sz w:val="18"/>
                <w:szCs w:val="18"/>
              </w:rPr>
            </w:pPr>
            <w:r w:rsidRPr="0069490B">
              <w:rPr>
                <w:rFonts w:eastAsia="Calibri" w:cs="Times New Roman"/>
                <w:sz w:val="18"/>
                <w:szCs w:val="18"/>
              </w:rPr>
              <w:t>Assessment not required</w:t>
            </w:r>
          </w:p>
        </w:tc>
        <w:tc>
          <w:tcPr>
            <w:tcW w:w="2211" w:type="dxa"/>
            <w:shd w:val="clear" w:color="auto" w:fill="FFFFFF" w:themeFill="background1"/>
          </w:tcPr>
          <w:p w14:paraId="5B4B4ACA" w14:textId="77777777" w:rsidR="003438A2" w:rsidRPr="0069490B" w:rsidRDefault="003438A2" w:rsidP="00881E29">
            <w:pPr>
              <w:spacing w:before="60" w:after="60" w:line="240" w:lineRule="auto"/>
              <w:rPr>
                <w:rFonts w:eastAsia="Calibri" w:cs="Times New Roman"/>
                <w:sz w:val="18"/>
                <w:szCs w:val="18"/>
              </w:rPr>
            </w:pPr>
            <w:r w:rsidRPr="0069490B">
              <w:rPr>
                <w:rFonts w:eastAsia="Calibri" w:cs="Times New Roman"/>
                <w:sz w:val="18"/>
                <w:szCs w:val="18"/>
              </w:rPr>
              <w:t>Assessment not required</w:t>
            </w:r>
          </w:p>
        </w:tc>
        <w:tc>
          <w:tcPr>
            <w:tcW w:w="1191" w:type="dxa"/>
            <w:shd w:val="clear" w:color="auto" w:fill="FFFFFF" w:themeFill="background1"/>
          </w:tcPr>
          <w:p w14:paraId="728105B7" w14:textId="77777777" w:rsidR="003438A2" w:rsidRPr="0069490B" w:rsidRDefault="003438A2" w:rsidP="00881E29">
            <w:pPr>
              <w:spacing w:before="60" w:after="60" w:line="240" w:lineRule="auto"/>
              <w:rPr>
                <w:rFonts w:eastAsia="Calibri" w:cs="Times New Roman"/>
                <w:sz w:val="18"/>
                <w:szCs w:val="18"/>
              </w:rPr>
            </w:pPr>
            <w:r w:rsidRPr="0069490B">
              <w:rPr>
                <w:rFonts w:eastAsia="Calibri" w:cs="Times New Roman"/>
                <w:sz w:val="18"/>
                <w:szCs w:val="18"/>
              </w:rPr>
              <w:t>No</w:t>
            </w:r>
          </w:p>
        </w:tc>
      </w:tr>
      <w:tr w:rsidR="003438A2" w:rsidRPr="0069490B" w14:paraId="75BE68C7" w14:textId="77777777" w:rsidTr="00C4199F">
        <w:trPr>
          <w:cantSplit/>
          <w:trHeight w:val="75"/>
          <w:jc w:val="center"/>
        </w:trPr>
        <w:tc>
          <w:tcPr>
            <w:tcW w:w="2553" w:type="dxa"/>
            <w:shd w:val="clear" w:color="auto" w:fill="FFFFFF" w:themeFill="background1"/>
          </w:tcPr>
          <w:p w14:paraId="5A0D6937" w14:textId="77777777" w:rsidR="003438A2" w:rsidRPr="0069490B" w:rsidRDefault="003438A2" w:rsidP="00881E29">
            <w:pPr>
              <w:spacing w:before="60" w:after="60" w:line="240" w:lineRule="auto"/>
              <w:rPr>
                <w:rFonts w:eastAsia="Calibri" w:cs="Times New Roman"/>
                <w:sz w:val="18"/>
                <w:szCs w:val="18"/>
              </w:rPr>
            </w:pPr>
            <w:r w:rsidRPr="0069490B">
              <w:rPr>
                <w:rFonts w:eastAsia="Calibri" w:cs="Times New Roman"/>
                <w:i/>
                <w:sz w:val="18"/>
                <w:szCs w:val="18"/>
              </w:rPr>
              <w:t>Rynchaenus pallicornis</w:t>
            </w:r>
            <w:r w:rsidRPr="0069490B">
              <w:rPr>
                <w:rFonts w:eastAsia="Calibri" w:cs="Times New Roman"/>
                <w:sz w:val="18"/>
                <w:szCs w:val="18"/>
              </w:rPr>
              <w:t xml:space="preserve"> (Say, 1831)</w:t>
            </w:r>
          </w:p>
          <w:p w14:paraId="4F8A559F" w14:textId="77777777" w:rsidR="003438A2" w:rsidRPr="0069490B" w:rsidRDefault="003438A2" w:rsidP="00881E29">
            <w:pPr>
              <w:spacing w:before="60" w:after="60" w:line="240" w:lineRule="auto"/>
              <w:rPr>
                <w:rFonts w:eastAsia="Calibri" w:cs="Times New Roman"/>
                <w:sz w:val="18"/>
                <w:szCs w:val="18"/>
              </w:rPr>
            </w:pPr>
            <w:r w:rsidRPr="0069490B">
              <w:rPr>
                <w:rFonts w:eastAsia="Calibri" w:cs="Times New Roman"/>
                <w:sz w:val="18"/>
                <w:szCs w:val="18"/>
              </w:rPr>
              <w:t xml:space="preserve">Synonym: </w:t>
            </w:r>
            <w:r w:rsidRPr="0069490B">
              <w:rPr>
                <w:rFonts w:eastAsia="Calibri" w:cs="Times New Roman"/>
                <w:i/>
                <w:sz w:val="18"/>
                <w:szCs w:val="18"/>
              </w:rPr>
              <w:t>Rhynchaenus pallicornis</w:t>
            </w:r>
            <w:r w:rsidRPr="0069490B">
              <w:rPr>
                <w:rFonts w:eastAsia="Calibri" w:cs="Times New Roman"/>
                <w:sz w:val="18"/>
                <w:szCs w:val="18"/>
              </w:rPr>
              <w:t xml:space="preserve"> (Say, 1831)</w:t>
            </w:r>
          </w:p>
          <w:p w14:paraId="09038B28" w14:textId="77777777" w:rsidR="003438A2" w:rsidRPr="0069490B" w:rsidRDefault="003438A2" w:rsidP="00881E29">
            <w:pPr>
              <w:spacing w:before="60" w:after="60" w:line="240" w:lineRule="auto"/>
              <w:rPr>
                <w:rFonts w:eastAsia="Calibri" w:cs="Times New Roman"/>
                <w:sz w:val="18"/>
                <w:szCs w:val="18"/>
              </w:rPr>
            </w:pPr>
            <w:r w:rsidRPr="0069490B">
              <w:rPr>
                <w:rFonts w:eastAsia="Calibri" w:cs="Times New Roman"/>
                <w:sz w:val="18"/>
                <w:szCs w:val="18"/>
              </w:rPr>
              <w:t>[Curculionidae]</w:t>
            </w:r>
          </w:p>
          <w:p w14:paraId="67FE4190" w14:textId="77777777" w:rsidR="003438A2" w:rsidRPr="0069490B" w:rsidRDefault="003438A2" w:rsidP="00881E29">
            <w:pPr>
              <w:spacing w:before="60" w:after="60" w:line="240" w:lineRule="auto"/>
              <w:rPr>
                <w:rFonts w:eastAsia="Calibri" w:cs="Times New Roman"/>
                <w:i/>
                <w:sz w:val="18"/>
                <w:szCs w:val="18"/>
                <w:lang w:val="pt-BR"/>
              </w:rPr>
            </w:pPr>
            <w:r w:rsidRPr="0069490B">
              <w:rPr>
                <w:rFonts w:eastAsia="Calibri" w:cs="Times New Roman"/>
                <w:sz w:val="18"/>
                <w:szCs w:val="18"/>
              </w:rPr>
              <w:t>Apple flea weevil</w:t>
            </w:r>
          </w:p>
        </w:tc>
        <w:tc>
          <w:tcPr>
            <w:tcW w:w="1474" w:type="dxa"/>
            <w:shd w:val="clear" w:color="auto" w:fill="FFFFFF" w:themeFill="background1"/>
          </w:tcPr>
          <w:p w14:paraId="20262ED2" w14:textId="77777777" w:rsidR="003438A2" w:rsidRPr="0069490B" w:rsidRDefault="003438A2" w:rsidP="00881E29">
            <w:pPr>
              <w:spacing w:before="60" w:after="60" w:line="240" w:lineRule="auto"/>
              <w:rPr>
                <w:rFonts w:eastAsia="Calibri" w:cs="Times New Roman"/>
                <w:sz w:val="18"/>
                <w:szCs w:val="18"/>
                <w:lang w:val="pt-BR"/>
              </w:rPr>
            </w:pPr>
            <w:r w:rsidRPr="0069490B">
              <w:rPr>
                <w:rFonts w:eastAsia="Calibri" w:cs="Times New Roman"/>
                <w:sz w:val="18"/>
                <w:szCs w:val="18"/>
              </w:rPr>
              <w:t xml:space="preserve">Yes. </w:t>
            </w:r>
            <w:r>
              <w:rPr>
                <w:rFonts w:eastAsia="Calibri" w:cs="Times New Roman"/>
                <w:sz w:val="18"/>
                <w:szCs w:val="18"/>
              </w:rPr>
              <w:t xml:space="preserve">Present in </w:t>
            </w:r>
            <w:r w:rsidRPr="0069490B">
              <w:rPr>
                <w:rFonts w:eastAsia="Calibri" w:cs="Times New Roman"/>
                <w:sz w:val="18"/>
                <w:szCs w:val="18"/>
              </w:rPr>
              <w:t>OR</w:t>
            </w:r>
            <w:r>
              <w:rPr>
                <w:rFonts w:eastAsia="Calibri" w:cs="Times New Roman"/>
                <w:sz w:val="18"/>
                <w:szCs w:val="18"/>
              </w:rPr>
              <w:t xml:space="preserve"> and</w:t>
            </w:r>
            <w:r w:rsidRPr="0069490B">
              <w:rPr>
                <w:rFonts w:eastAsia="Calibri" w:cs="Times New Roman"/>
                <w:sz w:val="18"/>
                <w:szCs w:val="18"/>
              </w:rPr>
              <w:t xml:space="preserve"> WA</w:t>
            </w:r>
            <w:r>
              <w:rPr>
                <w:rFonts w:eastAsia="Calibri" w:cs="Times New Roman"/>
                <w:sz w:val="18"/>
                <w:szCs w:val="18"/>
              </w:rPr>
              <w:t>. Also present in CO, CT, MI, NY and</w:t>
            </w:r>
            <w:r w:rsidRPr="0069490B">
              <w:rPr>
                <w:rFonts w:eastAsia="Calibri" w:cs="Times New Roman"/>
                <w:sz w:val="18"/>
                <w:szCs w:val="18"/>
              </w:rPr>
              <w:t xml:space="preserve"> </w:t>
            </w:r>
            <w:r>
              <w:rPr>
                <w:rFonts w:eastAsia="Calibri" w:cs="Times New Roman"/>
                <w:sz w:val="18"/>
                <w:szCs w:val="18"/>
              </w:rPr>
              <w:t>PH</w:t>
            </w:r>
            <w:r w:rsidRPr="0069490B">
              <w:rPr>
                <w:rFonts w:eastAsia="Calibri" w:cs="Times New Roman"/>
                <w:sz w:val="18"/>
                <w:szCs w:val="18"/>
              </w:rPr>
              <w:t xml:space="preserve"> </w:t>
            </w:r>
            <w:r>
              <w:rPr>
                <w:rFonts w:eastAsia="Calibri" w:cs="Times New Roman"/>
                <w:noProof/>
                <w:sz w:val="18"/>
                <w:szCs w:val="18"/>
              </w:rPr>
              <w:t>(O'Brien &amp; Wibmer 1982)</w:t>
            </w:r>
          </w:p>
        </w:tc>
        <w:tc>
          <w:tcPr>
            <w:tcW w:w="1474" w:type="dxa"/>
            <w:shd w:val="clear" w:color="auto" w:fill="FFFFFF" w:themeFill="background1"/>
          </w:tcPr>
          <w:p w14:paraId="73DEEB47" w14:textId="77777777" w:rsidR="003438A2" w:rsidRPr="0069490B" w:rsidRDefault="003438A2" w:rsidP="00881E29">
            <w:pPr>
              <w:spacing w:before="60" w:after="60" w:line="240" w:lineRule="auto"/>
              <w:rPr>
                <w:rFonts w:eastAsia="Calibri" w:cs="Times New Roman"/>
                <w:sz w:val="18"/>
                <w:szCs w:val="18"/>
              </w:rPr>
            </w:pPr>
            <w:r w:rsidRPr="0069490B">
              <w:rPr>
                <w:rFonts w:eastAsia="Calibri" w:cs="Times New Roman"/>
                <w:sz w:val="18"/>
                <w:szCs w:val="18"/>
              </w:rPr>
              <w:t>No records found</w:t>
            </w:r>
          </w:p>
        </w:tc>
        <w:tc>
          <w:tcPr>
            <w:tcW w:w="2552" w:type="dxa"/>
            <w:shd w:val="clear" w:color="auto" w:fill="FFFFFF" w:themeFill="background1"/>
          </w:tcPr>
          <w:p w14:paraId="49F4FD73" w14:textId="77777777" w:rsidR="003438A2" w:rsidRPr="0069490B" w:rsidRDefault="003438A2" w:rsidP="00881E29">
            <w:pPr>
              <w:spacing w:before="60" w:after="60" w:line="240" w:lineRule="auto"/>
              <w:rPr>
                <w:rFonts w:eastAsia="Calibri" w:cs="Times New Roman"/>
                <w:sz w:val="18"/>
                <w:szCs w:val="18"/>
              </w:rPr>
            </w:pPr>
            <w:r w:rsidRPr="0069490B">
              <w:rPr>
                <w:rFonts w:eastAsia="Calibri" w:cs="Times New Roman"/>
                <w:sz w:val="18"/>
                <w:szCs w:val="18"/>
              </w:rPr>
              <w:t xml:space="preserve">No. Adults eat </w:t>
            </w:r>
            <w:r>
              <w:rPr>
                <w:rFonts w:eastAsia="Calibri" w:cs="Times New Roman"/>
                <w:sz w:val="18"/>
                <w:szCs w:val="18"/>
              </w:rPr>
              <w:t xml:space="preserve">and produce </w:t>
            </w:r>
            <w:r w:rsidRPr="0069490B">
              <w:rPr>
                <w:rFonts w:eastAsia="Calibri" w:cs="Times New Roman"/>
                <w:sz w:val="18"/>
                <w:szCs w:val="18"/>
              </w:rPr>
              <w:t>holes in newly open</w:t>
            </w:r>
            <w:r>
              <w:rPr>
                <w:rFonts w:eastAsia="Calibri" w:cs="Times New Roman"/>
                <w:sz w:val="18"/>
                <w:szCs w:val="18"/>
              </w:rPr>
              <w:t>ed</w:t>
            </w:r>
            <w:r w:rsidRPr="0069490B">
              <w:rPr>
                <w:rFonts w:eastAsia="Calibri" w:cs="Times New Roman"/>
                <w:sz w:val="18"/>
                <w:szCs w:val="18"/>
              </w:rPr>
              <w:t xml:space="preserve"> leaves and buds of apple trees</w:t>
            </w:r>
            <w:r>
              <w:rPr>
                <w:rFonts w:eastAsia="Calibri" w:cs="Times New Roman"/>
                <w:sz w:val="18"/>
                <w:szCs w:val="18"/>
              </w:rPr>
              <w:t>. I</w:t>
            </w:r>
            <w:r w:rsidRPr="0069490B">
              <w:rPr>
                <w:rFonts w:eastAsia="Calibri" w:cs="Times New Roman"/>
                <w:sz w:val="18"/>
                <w:szCs w:val="18"/>
              </w:rPr>
              <w:t xml:space="preserve">n spring, eggs are laid along leaf midribs, while larvae mine apple leaves resulting in a mine starting near centre of </w:t>
            </w:r>
            <w:r>
              <w:rPr>
                <w:rFonts w:eastAsia="Calibri" w:cs="Times New Roman"/>
                <w:sz w:val="18"/>
                <w:szCs w:val="18"/>
              </w:rPr>
              <w:t xml:space="preserve">the </w:t>
            </w:r>
            <w:r w:rsidRPr="0069490B">
              <w:rPr>
                <w:rFonts w:eastAsia="Calibri" w:cs="Times New Roman"/>
                <w:sz w:val="18"/>
                <w:szCs w:val="18"/>
              </w:rPr>
              <w:t xml:space="preserve">leaf and extending to small blister-like cells at the leaf margin </w:t>
            </w:r>
            <w:r>
              <w:rPr>
                <w:rFonts w:eastAsia="Calibri" w:cs="Times New Roman"/>
                <w:noProof/>
                <w:sz w:val="18"/>
                <w:szCs w:val="18"/>
              </w:rPr>
              <w:t>(Metcalf, Flint &amp; Metcalf 1962)</w:t>
            </w:r>
            <w:r>
              <w:rPr>
                <w:rFonts w:eastAsia="Calibri" w:cs="Times New Roman"/>
                <w:sz w:val="18"/>
                <w:szCs w:val="18"/>
              </w:rPr>
              <w:t>.</w:t>
            </w:r>
          </w:p>
        </w:tc>
        <w:tc>
          <w:tcPr>
            <w:tcW w:w="2381" w:type="dxa"/>
            <w:shd w:val="clear" w:color="auto" w:fill="FFFFFF" w:themeFill="background1"/>
          </w:tcPr>
          <w:p w14:paraId="56AC0BF4" w14:textId="77777777" w:rsidR="003438A2" w:rsidRPr="0069490B" w:rsidRDefault="003438A2" w:rsidP="00881E29">
            <w:pPr>
              <w:spacing w:before="60" w:after="60" w:line="240" w:lineRule="auto"/>
              <w:rPr>
                <w:rFonts w:eastAsia="Calibri" w:cs="Times New Roman"/>
                <w:sz w:val="18"/>
                <w:szCs w:val="18"/>
              </w:rPr>
            </w:pPr>
            <w:r w:rsidRPr="0069490B">
              <w:rPr>
                <w:rFonts w:eastAsia="Calibri" w:cs="Times New Roman"/>
                <w:sz w:val="18"/>
                <w:szCs w:val="18"/>
              </w:rPr>
              <w:t>Assessment not required</w:t>
            </w:r>
          </w:p>
        </w:tc>
        <w:tc>
          <w:tcPr>
            <w:tcW w:w="2211" w:type="dxa"/>
            <w:shd w:val="clear" w:color="auto" w:fill="FFFFFF" w:themeFill="background1"/>
          </w:tcPr>
          <w:p w14:paraId="21536E0D" w14:textId="77777777" w:rsidR="003438A2" w:rsidRPr="0069490B" w:rsidRDefault="003438A2" w:rsidP="00881E29">
            <w:pPr>
              <w:spacing w:before="60" w:after="60" w:line="240" w:lineRule="auto"/>
              <w:rPr>
                <w:rFonts w:eastAsia="Calibri" w:cs="Times New Roman"/>
                <w:sz w:val="18"/>
                <w:szCs w:val="18"/>
              </w:rPr>
            </w:pPr>
            <w:r w:rsidRPr="0069490B">
              <w:rPr>
                <w:rFonts w:eastAsia="Calibri" w:cs="Times New Roman"/>
                <w:sz w:val="18"/>
                <w:szCs w:val="18"/>
              </w:rPr>
              <w:t>Assessment not required</w:t>
            </w:r>
          </w:p>
        </w:tc>
        <w:tc>
          <w:tcPr>
            <w:tcW w:w="1191" w:type="dxa"/>
            <w:shd w:val="clear" w:color="auto" w:fill="FFFFFF" w:themeFill="background1"/>
          </w:tcPr>
          <w:p w14:paraId="18B1BD78" w14:textId="77777777" w:rsidR="003438A2" w:rsidRPr="0069490B" w:rsidRDefault="003438A2" w:rsidP="00881E29">
            <w:pPr>
              <w:spacing w:before="60" w:after="60" w:line="240" w:lineRule="auto"/>
              <w:rPr>
                <w:rFonts w:eastAsia="Calibri" w:cs="Times New Roman"/>
                <w:sz w:val="18"/>
                <w:szCs w:val="18"/>
              </w:rPr>
            </w:pPr>
            <w:r w:rsidRPr="0069490B">
              <w:rPr>
                <w:rFonts w:eastAsia="Calibri" w:cs="Times New Roman"/>
                <w:sz w:val="18"/>
                <w:szCs w:val="18"/>
              </w:rPr>
              <w:t>No</w:t>
            </w:r>
          </w:p>
        </w:tc>
      </w:tr>
      <w:tr w:rsidR="003438A2" w:rsidRPr="00AD723E" w14:paraId="6E113AB2" w14:textId="77777777" w:rsidTr="00C4199F">
        <w:trPr>
          <w:cantSplit/>
          <w:trHeight w:val="75"/>
          <w:jc w:val="center"/>
        </w:trPr>
        <w:tc>
          <w:tcPr>
            <w:tcW w:w="13836" w:type="dxa"/>
            <w:gridSpan w:val="7"/>
            <w:shd w:val="clear" w:color="auto" w:fill="auto"/>
          </w:tcPr>
          <w:p w14:paraId="24C67F60" w14:textId="77777777" w:rsidR="003438A2" w:rsidRPr="00AD723E" w:rsidRDefault="003438A2" w:rsidP="00881E29">
            <w:pPr>
              <w:keepNext/>
              <w:spacing w:before="60" w:after="60" w:line="240" w:lineRule="auto"/>
              <w:rPr>
                <w:rFonts w:eastAsia="Calibri" w:cs="Times New Roman"/>
                <w:b/>
                <w:sz w:val="18"/>
                <w:szCs w:val="18"/>
              </w:rPr>
            </w:pPr>
            <w:r w:rsidRPr="00AD723E">
              <w:rPr>
                <w:rFonts w:eastAsia="Calibri" w:cs="Times New Roman"/>
                <w:b/>
                <w:sz w:val="18"/>
                <w:szCs w:val="18"/>
              </w:rPr>
              <w:lastRenderedPageBreak/>
              <w:t>Diptera</w:t>
            </w:r>
          </w:p>
        </w:tc>
      </w:tr>
      <w:tr w:rsidR="003438A2" w:rsidRPr="00243E34" w14:paraId="003080DE" w14:textId="77777777" w:rsidTr="00C4199F">
        <w:trPr>
          <w:cantSplit/>
          <w:trHeight w:val="75"/>
          <w:jc w:val="center"/>
        </w:trPr>
        <w:tc>
          <w:tcPr>
            <w:tcW w:w="2553" w:type="dxa"/>
            <w:shd w:val="clear" w:color="auto" w:fill="auto"/>
          </w:tcPr>
          <w:p w14:paraId="2605C10B" w14:textId="77777777" w:rsidR="003438A2" w:rsidRPr="0069490B" w:rsidRDefault="003438A2" w:rsidP="00881E29">
            <w:pPr>
              <w:spacing w:before="60" w:after="60" w:line="240" w:lineRule="auto"/>
              <w:rPr>
                <w:rFonts w:eastAsia="Calibri" w:cs="Times New Roman"/>
                <w:sz w:val="18"/>
                <w:szCs w:val="18"/>
              </w:rPr>
            </w:pPr>
            <w:r w:rsidRPr="0069490B">
              <w:rPr>
                <w:rFonts w:eastAsia="Calibri" w:cs="Times New Roman"/>
                <w:i/>
                <w:sz w:val="18"/>
                <w:szCs w:val="18"/>
              </w:rPr>
              <w:t xml:space="preserve">Dasineura mali </w:t>
            </w:r>
            <w:r w:rsidRPr="0069490B">
              <w:rPr>
                <w:rFonts w:eastAsia="Calibri" w:cs="Times New Roman"/>
                <w:sz w:val="18"/>
                <w:szCs w:val="18"/>
              </w:rPr>
              <w:t>Keiffer, 1904</w:t>
            </w:r>
          </w:p>
          <w:p w14:paraId="45CB7892" w14:textId="77777777" w:rsidR="003438A2" w:rsidRPr="0069490B" w:rsidRDefault="003438A2" w:rsidP="00881E29">
            <w:pPr>
              <w:spacing w:before="60" w:after="60" w:line="240" w:lineRule="auto"/>
              <w:rPr>
                <w:rFonts w:eastAsia="Calibri" w:cs="Times New Roman"/>
                <w:sz w:val="18"/>
                <w:szCs w:val="18"/>
              </w:rPr>
            </w:pPr>
            <w:r w:rsidRPr="0069490B">
              <w:rPr>
                <w:rFonts w:eastAsia="Calibri" w:cs="Times New Roman"/>
                <w:sz w:val="18"/>
                <w:szCs w:val="18"/>
              </w:rPr>
              <w:t>[Cecidomyiidae]</w:t>
            </w:r>
          </w:p>
          <w:p w14:paraId="29DD4E02" w14:textId="77777777" w:rsidR="003438A2" w:rsidRPr="0069490B" w:rsidRDefault="003438A2" w:rsidP="00881E29">
            <w:pPr>
              <w:spacing w:before="60" w:after="60" w:line="240" w:lineRule="auto"/>
              <w:rPr>
                <w:rFonts w:eastAsia="Calibri" w:cs="Times New Roman"/>
                <w:i/>
                <w:sz w:val="18"/>
                <w:szCs w:val="18"/>
                <w:lang w:val="pt-BR"/>
              </w:rPr>
            </w:pPr>
            <w:r w:rsidRPr="0069490B">
              <w:rPr>
                <w:rFonts w:eastAsia="Calibri" w:cs="Times New Roman"/>
                <w:sz w:val="18"/>
                <w:szCs w:val="18"/>
              </w:rPr>
              <w:t>Apple leafcurling midge; apple leaf midge</w:t>
            </w:r>
          </w:p>
        </w:tc>
        <w:tc>
          <w:tcPr>
            <w:tcW w:w="1474" w:type="dxa"/>
            <w:shd w:val="clear" w:color="auto" w:fill="auto"/>
          </w:tcPr>
          <w:p w14:paraId="2A067BD1" w14:textId="77777777" w:rsidR="003438A2" w:rsidRPr="0055492A" w:rsidRDefault="003438A2" w:rsidP="0055492A">
            <w:pPr>
              <w:rPr>
                <w:noProof/>
              </w:rPr>
            </w:pPr>
            <w:r w:rsidRPr="007359F7">
              <w:rPr>
                <w:rFonts w:eastAsia="Calibri" w:cs="Times New Roman"/>
                <w:snapToGrid w:val="0"/>
                <w:sz w:val="18"/>
                <w:szCs w:val="18"/>
              </w:rPr>
              <w:t xml:space="preserve">Yes. Present in WA since 1994 </w:t>
            </w:r>
            <w:bookmarkStart w:id="542" w:name="_Hlk111724562"/>
            <w:r>
              <w:rPr>
                <w:rFonts w:eastAsia="Calibri" w:cs="Times New Roman"/>
                <w:noProof/>
                <w:snapToGrid w:val="0"/>
                <w:sz w:val="18"/>
                <w:szCs w:val="18"/>
              </w:rPr>
              <w:t>(Antonelli &amp; Glass 2005; LaGasa 2008)</w:t>
            </w:r>
            <w:bookmarkEnd w:id="542"/>
          </w:p>
        </w:tc>
        <w:tc>
          <w:tcPr>
            <w:tcW w:w="1474" w:type="dxa"/>
            <w:shd w:val="clear" w:color="auto" w:fill="auto"/>
          </w:tcPr>
          <w:p w14:paraId="55C8D9A4" w14:textId="77777777" w:rsidR="003438A2" w:rsidRPr="0069490B" w:rsidRDefault="003438A2" w:rsidP="00881E29">
            <w:pPr>
              <w:spacing w:before="60" w:after="60" w:line="240" w:lineRule="auto"/>
              <w:rPr>
                <w:rFonts w:eastAsia="Calibri" w:cs="Times New Roman"/>
                <w:sz w:val="18"/>
                <w:szCs w:val="18"/>
              </w:rPr>
            </w:pPr>
            <w:r w:rsidRPr="0069490B">
              <w:rPr>
                <w:rFonts w:eastAsia="Calibri" w:cs="Times New Roman"/>
                <w:sz w:val="18"/>
                <w:szCs w:val="18"/>
              </w:rPr>
              <w:t>No records found</w:t>
            </w:r>
          </w:p>
        </w:tc>
        <w:tc>
          <w:tcPr>
            <w:tcW w:w="2552" w:type="dxa"/>
            <w:shd w:val="clear" w:color="auto" w:fill="auto"/>
          </w:tcPr>
          <w:p w14:paraId="155244D1" w14:textId="77777777" w:rsidR="003438A2" w:rsidRPr="00226C35" w:rsidRDefault="003438A2" w:rsidP="00881E29">
            <w:pPr>
              <w:spacing w:before="60" w:after="60" w:line="240" w:lineRule="auto"/>
              <w:rPr>
                <w:rFonts w:eastAsia="Calibri" w:cs="Times New Roman"/>
                <w:sz w:val="18"/>
                <w:szCs w:val="18"/>
              </w:rPr>
            </w:pPr>
            <w:r w:rsidRPr="00226C35">
              <w:rPr>
                <w:rFonts w:eastAsia="Calibri" w:cs="Times New Roman"/>
                <w:sz w:val="18"/>
                <w:szCs w:val="18"/>
              </w:rPr>
              <w:t>Yes.</w:t>
            </w:r>
            <w:r w:rsidRPr="00226C35">
              <w:rPr>
                <w:rFonts w:eastAsia="Calibri" w:cs="Times New Roman"/>
                <w:snapToGrid w:val="0"/>
                <w:sz w:val="18"/>
                <w:szCs w:val="18"/>
              </w:rPr>
              <w:t xml:space="preserve"> Larvae have been recorded pupating in the calyces and stem ends of apple fruit in New Zealand </w:t>
            </w:r>
            <w:r w:rsidRPr="00226C35">
              <w:rPr>
                <w:rFonts w:eastAsia="Calibri" w:cs="Times New Roman"/>
                <w:noProof/>
                <w:snapToGrid w:val="0"/>
                <w:sz w:val="18"/>
                <w:szCs w:val="18"/>
              </w:rPr>
              <w:t>(MAF Biosecurity New Zealand 2000; Smith &amp; Chapman 1995)</w:t>
            </w:r>
            <w:r w:rsidRPr="00226C35">
              <w:rPr>
                <w:rFonts w:eastAsia="Calibri" w:cs="Times New Roman"/>
                <w:snapToGrid w:val="0"/>
                <w:sz w:val="18"/>
                <w:szCs w:val="18"/>
              </w:rPr>
              <w:t xml:space="preserve">. Larvae are known to occasionally attach their pupal cocoons to the fruit skin </w:t>
            </w:r>
            <w:r w:rsidRPr="00226C35">
              <w:rPr>
                <w:rFonts w:eastAsia="Calibri" w:cs="Times New Roman"/>
                <w:noProof/>
                <w:snapToGrid w:val="0"/>
                <w:sz w:val="18"/>
                <w:szCs w:val="18"/>
              </w:rPr>
              <w:t>(Allison et al. 1995)</w:t>
            </w:r>
            <w:r>
              <w:rPr>
                <w:rFonts w:eastAsia="Calibri" w:cs="Times New Roman"/>
                <w:snapToGrid w:val="0"/>
                <w:sz w:val="18"/>
                <w:szCs w:val="18"/>
              </w:rPr>
              <w:t>.</w:t>
            </w:r>
          </w:p>
        </w:tc>
        <w:tc>
          <w:tcPr>
            <w:tcW w:w="2381" w:type="dxa"/>
            <w:shd w:val="clear" w:color="auto" w:fill="auto"/>
          </w:tcPr>
          <w:p w14:paraId="1026D068" w14:textId="77777777" w:rsidR="003438A2" w:rsidRPr="00226C35" w:rsidRDefault="003438A2" w:rsidP="008755BF">
            <w:pPr>
              <w:spacing w:before="60" w:after="60" w:line="240" w:lineRule="auto"/>
              <w:rPr>
                <w:rFonts w:eastAsia="Times New Roman" w:cs="Calibri"/>
                <w:color w:val="000000"/>
                <w:lang w:eastAsia="en-AU"/>
              </w:rPr>
            </w:pPr>
            <w:r w:rsidRPr="00226C35">
              <w:rPr>
                <w:rFonts w:eastAsia="Calibri" w:cs="Times New Roman"/>
                <w:sz w:val="18"/>
                <w:szCs w:val="18"/>
              </w:rPr>
              <w:t>Yes. Host range restricted to cultivated apples</w:t>
            </w:r>
            <w:r>
              <w:rPr>
                <w:rFonts w:eastAsia="Calibri" w:cs="Times New Roman"/>
                <w:sz w:val="18"/>
                <w:szCs w:val="18"/>
              </w:rPr>
              <w:t xml:space="preserve"> </w:t>
            </w:r>
            <w:r>
              <w:rPr>
                <w:rFonts w:eastAsia="Calibri" w:cs="Times New Roman"/>
                <w:noProof/>
                <w:sz w:val="18"/>
                <w:szCs w:val="18"/>
              </w:rPr>
              <w:t>(CABI 2022)</w:t>
            </w:r>
            <w:r>
              <w:rPr>
                <w:rFonts w:eastAsia="Calibri" w:cs="Times New Roman"/>
                <w:sz w:val="18"/>
                <w:szCs w:val="18"/>
              </w:rPr>
              <w:t xml:space="preserve"> a</w:t>
            </w:r>
            <w:r w:rsidRPr="00226C35">
              <w:rPr>
                <w:rFonts w:eastAsia="Calibri" w:cs="Times New Roman"/>
                <w:sz w:val="18"/>
                <w:szCs w:val="18"/>
              </w:rPr>
              <w:t>nd crabapples (</w:t>
            </w:r>
            <w:r w:rsidRPr="00226C35">
              <w:rPr>
                <w:rFonts w:eastAsia="Calibri" w:cs="Times New Roman"/>
                <w:i/>
                <w:sz w:val="18"/>
                <w:szCs w:val="18"/>
              </w:rPr>
              <w:t>Malus</w:t>
            </w:r>
            <w:r w:rsidRPr="00226C35">
              <w:rPr>
                <w:rFonts w:eastAsia="Calibri" w:cs="Times New Roman"/>
                <w:sz w:val="18"/>
                <w:szCs w:val="18"/>
              </w:rPr>
              <w:t xml:space="preserve"> spp.), which are widespread in southern Australia. Distributed across a range of environments in North America, New Zealand and Europe with similar climatic and environmental conditions to Australia </w:t>
            </w:r>
          </w:p>
        </w:tc>
        <w:tc>
          <w:tcPr>
            <w:tcW w:w="2211" w:type="dxa"/>
            <w:shd w:val="clear" w:color="auto" w:fill="auto"/>
          </w:tcPr>
          <w:p w14:paraId="3C15EE63" w14:textId="77777777" w:rsidR="003438A2" w:rsidRPr="00226C35" w:rsidRDefault="003438A2" w:rsidP="00881E29">
            <w:pPr>
              <w:spacing w:before="60" w:after="60" w:line="240" w:lineRule="auto"/>
              <w:rPr>
                <w:rFonts w:eastAsia="Calibri" w:cs="Times New Roman"/>
                <w:sz w:val="18"/>
                <w:szCs w:val="18"/>
              </w:rPr>
            </w:pPr>
            <w:r w:rsidRPr="00226C35">
              <w:rPr>
                <w:rFonts w:eastAsia="Calibri" w:cs="Times New Roman"/>
                <w:sz w:val="18"/>
                <w:szCs w:val="18"/>
              </w:rPr>
              <w:t xml:space="preserve">Yes. Apple tree shoots are damaged and tree growth is retarded resulting in decreased fruit yield in Europe and New Zealand </w:t>
            </w:r>
            <w:r w:rsidRPr="00226C35">
              <w:rPr>
                <w:rFonts w:eastAsia="Calibri" w:cs="Times New Roman"/>
                <w:noProof/>
                <w:sz w:val="18"/>
                <w:szCs w:val="18"/>
              </w:rPr>
              <w:t>(Smith &amp; Chapman 1995; Tomkins et al. 1994)</w:t>
            </w:r>
            <w:r>
              <w:rPr>
                <w:rFonts w:eastAsia="Calibri" w:cs="Times New Roman"/>
                <w:sz w:val="18"/>
                <w:szCs w:val="18"/>
              </w:rPr>
              <w:t>.</w:t>
            </w:r>
          </w:p>
        </w:tc>
        <w:tc>
          <w:tcPr>
            <w:tcW w:w="1191" w:type="dxa"/>
            <w:shd w:val="clear" w:color="auto" w:fill="auto"/>
          </w:tcPr>
          <w:p w14:paraId="3067262E" w14:textId="77777777" w:rsidR="003438A2" w:rsidRPr="0069490B" w:rsidRDefault="003438A2" w:rsidP="00881E29">
            <w:pPr>
              <w:spacing w:before="60" w:after="60" w:line="240" w:lineRule="auto"/>
              <w:rPr>
                <w:rFonts w:eastAsia="Calibri" w:cs="Times New Roman"/>
                <w:sz w:val="18"/>
                <w:szCs w:val="18"/>
              </w:rPr>
            </w:pPr>
            <w:r w:rsidRPr="0069490B">
              <w:rPr>
                <w:rFonts w:eastAsia="Calibri" w:cs="Times New Roman"/>
                <w:sz w:val="18"/>
                <w:szCs w:val="18"/>
              </w:rPr>
              <w:t>Yes</w:t>
            </w:r>
            <w:r>
              <w:rPr>
                <w:rFonts w:eastAsia="Calibri" w:cs="Times New Roman"/>
                <w:sz w:val="18"/>
                <w:szCs w:val="18"/>
              </w:rPr>
              <w:t xml:space="preserve"> (EP)</w:t>
            </w:r>
          </w:p>
        </w:tc>
      </w:tr>
      <w:tr w:rsidR="003438A2" w:rsidRPr="00C9060A" w14:paraId="2D291BD2" w14:textId="77777777" w:rsidTr="00C4199F">
        <w:tblPrEx>
          <w:tblBorders>
            <w:insideH w:val="single" w:sz="4" w:space="0" w:color="BFBFBF" w:themeColor="background1" w:themeShade="BF"/>
          </w:tblBorders>
        </w:tblPrEx>
        <w:trPr>
          <w:cantSplit/>
          <w:trHeight w:val="75"/>
          <w:jc w:val="center"/>
        </w:trPr>
        <w:tc>
          <w:tcPr>
            <w:tcW w:w="2553" w:type="dxa"/>
            <w:shd w:val="clear" w:color="auto" w:fill="auto"/>
          </w:tcPr>
          <w:p w14:paraId="5FCC6311" w14:textId="77777777" w:rsidR="003438A2" w:rsidRPr="00145057" w:rsidRDefault="003438A2" w:rsidP="00881E29">
            <w:pPr>
              <w:pStyle w:val="TableText0"/>
              <w:keepNext w:val="0"/>
              <w:rPr>
                <w:rFonts w:ascii="Cambria" w:eastAsia="Calibri" w:hAnsi="Cambria"/>
                <w:color w:val="auto"/>
                <w:sz w:val="18"/>
                <w:szCs w:val="18"/>
              </w:rPr>
            </w:pPr>
            <w:r w:rsidRPr="00145057">
              <w:rPr>
                <w:rFonts w:ascii="Cambria" w:eastAsia="Calibri" w:hAnsi="Cambria"/>
                <w:i/>
                <w:color w:val="auto"/>
                <w:sz w:val="18"/>
                <w:szCs w:val="18"/>
              </w:rPr>
              <w:t xml:space="preserve">Drosophila suzukii </w:t>
            </w:r>
            <w:r w:rsidRPr="00145057">
              <w:rPr>
                <w:rFonts w:ascii="Cambria" w:eastAsia="Calibri" w:hAnsi="Cambria"/>
                <w:color w:val="auto"/>
                <w:sz w:val="18"/>
                <w:szCs w:val="18"/>
              </w:rPr>
              <w:t>(Matsumura) Kamizawa, 1931</w:t>
            </w:r>
          </w:p>
          <w:p w14:paraId="3F0179A4" w14:textId="77777777" w:rsidR="003438A2" w:rsidRPr="00145057" w:rsidRDefault="003438A2" w:rsidP="00881E29">
            <w:pPr>
              <w:pStyle w:val="TableText0"/>
              <w:keepNext w:val="0"/>
              <w:rPr>
                <w:rFonts w:ascii="Cambria" w:eastAsia="Calibri" w:hAnsi="Cambria"/>
                <w:color w:val="auto"/>
                <w:sz w:val="18"/>
                <w:szCs w:val="18"/>
              </w:rPr>
            </w:pPr>
            <w:r w:rsidRPr="00145057">
              <w:rPr>
                <w:rFonts w:ascii="Cambria" w:eastAsia="Calibri" w:hAnsi="Cambria"/>
                <w:color w:val="auto"/>
                <w:sz w:val="18"/>
                <w:szCs w:val="18"/>
              </w:rPr>
              <w:t>[Drosophilidae]</w:t>
            </w:r>
          </w:p>
          <w:p w14:paraId="36A4511C" w14:textId="77777777" w:rsidR="003438A2" w:rsidRPr="00145057" w:rsidRDefault="003438A2" w:rsidP="00881E29">
            <w:pPr>
              <w:spacing w:before="60" w:after="60" w:line="240" w:lineRule="auto"/>
              <w:rPr>
                <w:rFonts w:eastAsia="Calibri" w:cs="Times New Roman"/>
                <w:i/>
                <w:sz w:val="18"/>
                <w:szCs w:val="18"/>
              </w:rPr>
            </w:pPr>
            <w:r w:rsidRPr="00145057">
              <w:rPr>
                <w:rFonts w:eastAsia="Calibri" w:cs="Times New Roman"/>
                <w:sz w:val="18"/>
                <w:szCs w:val="18"/>
              </w:rPr>
              <w:t>Spotted wing drosophila (SWD), cherry drosophila, cherry fruit fly, cherry vinegar fly (CVF)</w:t>
            </w:r>
          </w:p>
        </w:tc>
        <w:tc>
          <w:tcPr>
            <w:tcW w:w="1474" w:type="dxa"/>
            <w:shd w:val="clear" w:color="auto" w:fill="auto"/>
          </w:tcPr>
          <w:p w14:paraId="58C8726B" w14:textId="77777777" w:rsidR="003438A2" w:rsidRPr="00145057" w:rsidRDefault="003438A2" w:rsidP="00881E29">
            <w:pPr>
              <w:pStyle w:val="TableText"/>
              <w:rPr>
                <w:rFonts w:eastAsia="Calibri" w:cs="Times New Roman"/>
                <w:szCs w:val="18"/>
              </w:rPr>
            </w:pPr>
            <w:r w:rsidRPr="00145057">
              <w:rPr>
                <w:rFonts w:eastAsia="Calibri" w:cs="Times New Roman"/>
                <w:szCs w:val="18"/>
              </w:rPr>
              <w:t xml:space="preserve">Yes. </w:t>
            </w:r>
            <w:r>
              <w:rPr>
                <w:rFonts w:eastAsia="Calibri" w:cs="Times New Roman"/>
                <w:szCs w:val="18"/>
              </w:rPr>
              <w:t xml:space="preserve">Present in </w:t>
            </w:r>
            <w:r w:rsidRPr="00145057">
              <w:rPr>
                <w:rFonts w:eastAsia="Calibri" w:cs="Times New Roman"/>
                <w:szCs w:val="18"/>
              </w:rPr>
              <w:t>OR</w:t>
            </w:r>
            <w:r>
              <w:rPr>
                <w:rFonts w:eastAsia="Calibri" w:cs="Times New Roman"/>
                <w:szCs w:val="18"/>
              </w:rPr>
              <w:t xml:space="preserve"> and </w:t>
            </w:r>
            <w:r w:rsidRPr="00145057">
              <w:rPr>
                <w:rFonts w:eastAsia="Calibri" w:cs="Times New Roman"/>
                <w:szCs w:val="18"/>
              </w:rPr>
              <w:t>WA</w:t>
            </w:r>
            <w:r>
              <w:rPr>
                <w:rFonts w:eastAsia="Calibri" w:cs="Times New Roman"/>
                <w:szCs w:val="18"/>
              </w:rPr>
              <w:t>. Also present in</w:t>
            </w:r>
            <w:r w:rsidRPr="00145057">
              <w:rPr>
                <w:rFonts w:eastAsia="Calibri" w:cs="Times New Roman"/>
                <w:szCs w:val="18"/>
              </w:rPr>
              <w:t xml:space="preserve"> CA, </w:t>
            </w:r>
            <w:r>
              <w:rPr>
                <w:rFonts w:eastAsia="Calibri" w:cs="Times New Roman"/>
                <w:szCs w:val="18"/>
              </w:rPr>
              <w:t xml:space="preserve">HI, </w:t>
            </w:r>
            <w:r w:rsidRPr="00145057">
              <w:rPr>
                <w:rFonts w:eastAsia="Calibri" w:cs="Times New Roman"/>
                <w:szCs w:val="18"/>
              </w:rPr>
              <w:t>UT, MI, WI, LA, NC,</w:t>
            </w:r>
            <w:r>
              <w:rPr>
                <w:rFonts w:eastAsia="Calibri" w:cs="Times New Roman"/>
                <w:szCs w:val="18"/>
              </w:rPr>
              <w:t xml:space="preserve"> </w:t>
            </w:r>
            <w:r w:rsidRPr="00145057">
              <w:rPr>
                <w:rFonts w:eastAsia="Calibri" w:cs="Times New Roman"/>
                <w:szCs w:val="18"/>
              </w:rPr>
              <w:t>SC</w:t>
            </w:r>
            <w:r>
              <w:rPr>
                <w:rFonts w:eastAsia="Calibri" w:cs="Times New Roman"/>
                <w:szCs w:val="18"/>
              </w:rPr>
              <w:t xml:space="preserve"> and</w:t>
            </w:r>
            <w:r w:rsidRPr="00145057">
              <w:rPr>
                <w:rFonts w:eastAsia="Calibri" w:cs="Times New Roman"/>
                <w:szCs w:val="18"/>
              </w:rPr>
              <w:t xml:space="preserve"> FL </w:t>
            </w:r>
            <w:r>
              <w:rPr>
                <w:rFonts w:eastAsia="Calibri" w:cs="Times New Roman"/>
                <w:noProof/>
                <w:szCs w:val="18"/>
              </w:rPr>
              <w:t>(CABI 2019; Hauser 2011; USDA 2010)</w:t>
            </w:r>
          </w:p>
        </w:tc>
        <w:tc>
          <w:tcPr>
            <w:tcW w:w="1474" w:type="dxa"/>
            <w:shd w:val="clear" w:color="auto" w:fill="auto"/>
          </w:tcPr>
          <w:p w14:paraId="1CDA4525" w14:textId="77777777" w:rsidR="003438A2" w:rsidRPr="00145057" w:rsidRDefault="003438A2" w:rsidP="00881E29">
            <w:pPr>
              <w:spacing w:before="60" w:after="60" w:line="240" w:lineRule="auto"/>
              <w:rPr>
                <w:rFonts w:eastAsia="Calibri" w:cs="Times New Roman"/>
                <w:sz w:val="18"/>
                <w:szCs w:val="18"/>
              </w:rPr>
            </w:pPr>
            <w:r>
              <w:rPr>
                <w:rFonts w:eastAsia="Calibri" w:cs="Times New Roman"/>
                <w:sz w:val="18"/>
                <w:szCs w:val="18"/>
              </w:rPr>
              <w:t xml:space="preserve">No </w:t>
            </w:r>
            <w:bookmarkStart w:id="543" w:name="_Hlk108698075"/>
            <w:r>
              <w:rPr>
                <w:rFonts w:eastAsia="Calibri" w:cs="Times New Roman"/>
                <w:noProof/>
                <w:sz w:val="18"/>
                <w:szCs w:val="18"/>
              </w:rPr>
              <w:t>(DAFF 2013b)</w:t>
            </w:r>
            <w:bookmarkEnd w:id="543"/>
          </w:p>
        </w:tc>
        <w:tc>
          <w:tcPr>
            <w:tcW w:w="2552" w:type="dxa"/>
            <w:shd w:val="clear" w:color="auto" w:fill="auto"/>
          </w:tcPr>
          <w:p w14:paraId="7C9B60D9" w14:textId="77777777" w:rsidR="003438A2" w:rsidRPr="00145057" w:rsidRDefault="003438A2" w:rsidP="00881E29">
            <w:pPr>
              <w:spacing w:before="60" w:after="60" w:line="240" w:lineRule="auto"/>
              <w:rPr>
                <w:rFonts w:eastAsia="Calibri" w:cs="Times New Roman"/>
                <w:sz w:val="18"/>
                <w:szCs w:val="18"/>
              </w:rPr>
            </w:pPr>
            <w:r w:rsidRPr="00145057">
              <w:rPr>
                <w:rFonts w:eastAsia="Calibri" w:cs="Times New Roman"/>
                <w:sz w:val="18"/>
                <w:szCs w:val="18"/>
              </w:rPr>
              <w:t>No.</w:t>
            </w:r>
            <w:r>
              <w:rPr>
                <w:rFonts w:eastAsia="Calibri" w:cs="Times New Roman"/>
                <w:sz w:val="18"/>
                <w:szCs w:val="18"/>
              </w:rPr>
              <w:t xml:space="preserve"> The report by the DAFF </w:t>
            </w:r>
            <w:r>
              <w:rPr>
                <w:rFonts w:eastAsia="Calibri" w:cs="Times New Roman"/>
                <w:noProof/>
                <w:sz w:val="18"/>
                <w:szCs w:val="18"/>
              </w:rPr>
              <w:t>(2013b)</w:t>
            </w:r>
            <w:r w:rsidRPr="00145057">
              <w:rPr>
                <w:rFonts w:eastAsia="Calibri" w:cs="Times New Roman"/>
                <w:sz w:val="18"/>
                <w:szCs w:val="18"/>
              </w:rPr>
              <w:t xml:space="preserve"> lists apples as non-host. There are no records of any infestation or damage on commercial apples in any area where </w:t>
            </w:r>
            <w:r w:rsidRPr="00A95AB7">
              <w:rPr>
                <w:rFonts w:eastAsia="Calibri" w:cs="Times New Roman"/>
                <w:i/>
                <w:sz w:val="18"/>
                <w:szCs w:val="18"/>
              </w:rPr>
              <w:t>Drosophila suzukii</w:t>
            </w:r>
            <w:r w:rsidRPr="00145057">
              <w:rPr>
                <w:rFonts w:eastAsia="Calibri" w:cs="Times New Roman"/>
                <w:sz w:val="18"/>
                <w:szCs w:val="18"/>
              </w:rPr>
              <w:t xml:space="preserve"> occurs. Only damaged or dropped fruit are attacked </w:t>
            </w:r>
            <w:r>
              <w:rPr>
                <w:rFonts w:eastAsia="Calibri" w:cs="Times New Roman"/>
                <w:noProof/>
                <w:sz w:val="18"/>
                <w:szCs w:val="18"/>
              </w:rPr>
              <w:t>(Kanzawa 1939)</w:t>
            </w:r>
          </w:p>
        </w:tc>
        <w:tc>
          <w:tcPr>
            <w:tcW w:w="2381" w:type="dxa"/>
            <w:shd w:val="clear" w:color="auto" w:fill="auto"/>
          </w:tcPr>
          <w:p w14:paraId="6FDF5ED0" w14:textId="77777777" w:rsidR="003438A2" w:rsidRPr="00145057" w:rsidRDefault="003438A2" w:rsidP="00881E29">
            <w:pPr>
              <w:spacing w:before="60" w:after="60" w:line="240" w:lineRule="auto"/>
              <w:rPr>
                <w:rFonts w:eastAsia="Calibri" w:cs="Times New Roman"/>
                <w:sz w:val="18"/>
                <w:szCs w:val="18"/>
              </w:rPr>
            </w:pPr>
            <w:r w:rsidRPr="00145057">
              <w:rPr>
                <w:rFonts w:eastAsia="Calibri" w:cs="Times New Roman"/>
                <w:sz w:val="18"/>
                <w:szCs w:val="18"/>
              </w:rPr>
              <w:t>Assessment not required</w:t>
            </w:r>
          </w:p>
        </w:tc>
        <w:tc>
          <w:tcPr>
            <w:tcW w:w="2211" w:type="dxa"/>
            <w:shd w:val="clear" w:color="auto" w:fill="auto"/>
          </w:tcPr>
          <w:p w14:paraId="674546AC" w14:textId="77777777" w:rsidR="003438A2" w:rsidRPr="00145057" w:rsidRDefault="003438A2" w:rsidP="00881E29">
            <w:pPr>
              <w:spacing w:before="60" w:after="60" w:line="240" w:lineRule="auto"/>
              <w:rPr>
                <w:rFonts w:eastAsia="Calibri" w:cs="Times New Roman"/>
                <w:sz w:val="18"/>
                <w:szCs w:val="18"/>
              </w:rPr>
            </w:pPr>
            <w:r w:rsidRPr="00145057">
              <w:rPr>
                <w:rFonts w:eastAsia="Calibri" w:cs="Times New Roman"/>
                <w:sz w:val="18"/>
                <w:szCs w:val="18"/>
              </w:rPr>
              <w:t>Assessment not required</w:t>
            </w:r>
          </w:p>
        </w:tc>
        <w:tc>
          <w:tcPr>
            <w:tcW w:w="1191" w:type="dxa"/>
            <w:shd w:val="clear" w:color="auto" w:fill="auto"/>
          </w:tcPr>
          <w:p w14:paraId="67B53117" w14:textId="77777777" w:rsidR="003438A2" w:rsidRPr="00C9060A" w:rsidRDefault="003438A2" w:rsidP="00881E29">
            <w:pPr>
              <w:spacing w:before="60" w:after="60" w:line="240" w:lineRule="auto"/>
              <w:rPr>
                <w:rFonts w:eastAsia="Calibri" w:cs="Times New Roman"/>
                <w:sz w:val="18"/>
                <w:szCs w:val="18"/>
              </w:rPr>
            </w:pPr>
            <w:r w:rsidRPr="00145057">
              <w:rPr>
                <w:rFonts w:eastAsia="Calibri" w:cs="Times New Roman"/>
                <w:sz w:val="18"/>
                <w:szCs w:val="18"/>
              </w:rPr>
              <w:t>No</w:t>
            </w:r>
          </w:p>
        </w:tc>
      </w:tr>
      <w:tr w:rsidR="003438A2" w:rsidRPr="00095A7D" w14:paraId="703301B6" w14:textId="77777777" w:rsidTr="00C4199F">
        <w:trPr>
          <w:cantSplit/>
          <w:trHeight w:val="75"/>
          <w:jc w:val="center"/>
        </w:trPr>
        <w:tc>
          <w:tcPr>
            <w:tcW w:w="2553" w:type="dxa"/>
            <w:shd w:val="clear" w:color="auto" w:fill="auto"/>
          </w:tcPr>
          <w:p w14:paraId="1D1D0050"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i/>
                <w:sz w:val="18"/>
                <w:szCs w:val="18"/>
              </w:rPr>
              <w:lastRenderedPageBreak/>
              <w:t>Rhagoletis pomonella</w:t>
            </w:r>
            <w:r>
              <w:rPr>
                <w:rFonts w:eastAsia="Calibri" w:cs="Times New Roman"/>
                <w:sz w:val="18"/>
                <w:szCs w:val="18"/>
              </w:rPr>
              <w:t xml:space="preserve"> </w:t>
            </w:r>
            <w:r w:rsidRPr="00095A7D">
              <w:rPr>
                <w:rFonts w:eastAsia="Calibri" w:cs="Times New Roman"/>
                <w:sz w:val="18"/>
                <w:szCs w:val="18"/>
              </w:rPr>
              <w:t>(Walsh, 1867)</w:t>
            </w:r>
          </w:p>
          <w:p w14:paraId="7CA1B94D"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[Tephritidae]</w:t>
            </w:r>
          </w:p>
          <w:p w14:paraId="634EC0AC" w14:textId="77777777" w:rsidR="003438A2" w:rsidRPr="00095A7D" w:rsidRDefault="003438A2" w:rsidP="00881E29">
            <w:pPr>
              <w:spacing w:before="60" w:after="60" w:line="240" w:lineRule="auto"/>
              <w:rPr>
                <w:rFonts w:eastAsia="Calibri" w:cs="Times New Roman"/>
                <w:i/>
                <w:sz w:val="18"/>
                <w:szCs w:val="18"/>
                <w:lang w:val="pt-BR"/>
              </w:rPr>
            </w:pPr>
            <w:r w:rsidRPr="00095A7D">
              <w:rPr>
                <w:rFonts w:eastAsia="Calibri" w:cs="Times New Roman"/>
                <w:sz w:val="18"/>
                <w:szCs w:val="18"/>
              </w:rPr>
              <w:t>Apple maggot</w:t>
            </w:r>
          </w:p>
        </w:tc>
        <w:tc>
          <w:tcPr>
            <w:tcW w:w="1474" w:type="dxa"/>
            <w:shd w:val="clear" w:color="auto" w:fill="auto"/>
          </w:tcPr>
          <w:p w14:paraId="5F427082" w14:textId="77777777" w:rsidR="003438A2" w:rsidRPr="00095A7D" w:rsidRDefault="003438A2" w:rsidP="008755BF">
            <w:pPr>
              <w:spacing w:before="60" w:after="60" w:line="240" w:lineRule="auto"/>
              <w:rPr>
                <w:rFonts w:eastAsia="Calibri" w:cs="Times New Roman"/>
                <w:sz w:val="18"/>
                <w:szCs w:val="18"/>
                <w:lang w:val="pt-BR"/>
              </w:rPr>
            </w:pPr>
            <w:r w:rsidRPr="00095A7D">
              <w:rPr>
                <w:rFonts w:eastAsia="Calibri" w:cs="Times New Roman"/>
                <w:sz w:val="18"/>
                <w:szCs w:val="18"/>
              </w:rPr>
              <w:t xml:space="preserve">Yes. </w:t>
            </w:r>
            <w:r>
              <w:rPr>
                <w:rFonts w:eastAsia="Calibri" w:cs="Times New Roman"/>
                <w:sz w:val="18"/>
                <w:szCs w:val="18"/>
              </w:rPr>
              <w:t>Present in</w:t>
            </w:r>
            <w:r w:rsidRPr="00095A7D">
              <w:rPr>
                <w:rFonts w:eastAsia="Calibri" w:cs="Times New Roman"/>
                <w:sz w:val="18"/>
                <w:szCs w:val="18"/>
              </w:rPr>
              <w:t xml:space="preserve"> ID, OR</w:t>
            </w:r>
            <w:r>
              <w:rPr>
                <w:rFonts w:eastAsia="Calibri" w:cs="Times New Roman"/>
                <w:sz w:val="18"/>
                <w:szCs w:val="18"/>
              </w:rPr>
              <w:t xml:space="preserve"> and</w:t>
            </w:r>
            <w:r w:rsidRPr="00095A7D">
              <w:rPr>
                <w:rFonts w:eastAsia="Calibri" w:cs="Times New Roman"/>
                <w:sz w:val="18"/>
                <w:szCs w:val="18"/>
              </w:rPr>
              <w:t xml:space="preserve"> WA</w:t>
            </w:r>
            <w:r>
              <w:rPr>
                <w:rFonts w:eastAsia="Calibri" w:cs="Times New Roman"/>
                <w:sz w:val="18"/>
                <w:szCs w:val="18"/>
              </w:rPr>
              <w:t xml:space="preserve">. Also present in CA </w:t>
            </w:r>
            <w:r>
              <w:rPr>
                <w:rFonts w:eastAsia="Calibri" w:cs="Times New Roman"/>
                <w:noProof/>
                <w:sz w:val="18"/>
                <w:szCs w:val="18"/>
              </w:rPr>
              <w:t>(APHIS 2007; Beers, Antonelli &amp; LaGasa 1996; Brunner &amp; Klaus 1993; CABI 2022; EPPO 2018)</w:t>
            </w:r>
            <w:r w:rsidRPr="00095A7D">
              <w:rPr>
                <w:rFonts w:eastAsia="Calibri" w:cs="Times New Roman"/>
                <w:sz w:val="18"/>
                <w:szCs w:val="18"/>
                <w:lang w:val="pt-BR"/>
              </w:rPr>
              <w:t xml:space="preserve"> </w:t>
            </w:r>
          </w:p>
        </w:tc>
        <w:tc>
          <w:tcPr>
            <w:tcW w:w="1474" w:type="dxa"/>
            <w:shd w:val="clear" w:color="auto" w:fill="auto"/>
          </w:tcPr>
          <w:p w14:paraId="12E305E5"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No records found</w:t>
            </w:r>
          </w:p>
        </w:tc>
        <w:tc>
          <w:tcPr>
            <w:tcW w:w="2552" w:type="dxa"/>
            <w:shd w:val="clear" w:color="auto" w:fill="auto"/>
          </w:tcPr>
          <w:p w14:paraId="2A65CD6D" w14:textId="77777777" w:rsidR="003438A2" w:rsidRPr="0094234F" w:rsidRDefault="003438A2" w:rsidP="00881E29">
            <w:pPr>
              <w:spacing w:before="60" w:after="60" w:line="240" w:lineRule="auto"/>
              <w:rPr>
                <w:rFonts w:eastAsia="Calibri" w:cs="Times New Roman"/>
                <w:sz w:val="18"/>
                <w:szCs w:val="18"/>
              </w:rPr>
            </w:pPr>
            <w:r w:rsidRPr="0094234F">
              <w:rPr>
                <w:rFonts w:eastAsia="Calibri" w:cs="Times New Roman"/>
                <w:snapToGrid w:val="0"/>
                <w:sz w:val="18"/>
                <w:szCs w:val="18"/>
              </w:rPr>
              <w:t xml:space="preserve">Yes. Native to North America where apple and hawthorn </w:t>
            </w:r>
            <w:r>
              <w:rPr>
                <w:rFonts w:eastAsia="Calibri" w:cs="Times New Roman"/>
                <w:snapToGrid w:val="0"/>
                <w:sz w:val="18"/>
                <w:szCs w:val="18"/>
              </w:rPr>
              <w:t>fruit</w:t>
            </w:r>
            <w:r w:rsidRPr="0094234F">
              <w:rPr>
                <w:rFonts w:eastAsia="Calibri" w:cs="Times New Roman"/>
                <w:snapToGrid w:val="0"/>
                <w:sz w:val="18"/>
                <w:szCs w:val="18"/>
              </w:rPr>
              <w:t xml:space="preserve"> are preferred hosts </w:t>
            </w:r>
            <w:r>
              <w:rPr>
                <w:rFonts w:eastAsia="Calibri" w:cs="Times New Roman"/>
                <w:noProof/>
                <w:snapToGrid w:val="0"/>
                <w:sz w:val="18"/>
                <w:szCs w:val="18"/>
              </w:rPr>
              <w:t>(Caprile et al. 2006b)</w:t>
            </w:r>
            <w:r w:rsidRPr="0094234F">
              <w:rPr>
                <w:rFonts w:eastAsia="Calibri" w:cs="Times New Roman"/>
                <w:snapToGrid w:val="0"/>
                <w:sz w:val="18"/>
                <w:szCs w:val="18"/>
              </w:rPr>
              <w:t>. Eggs are oviposited just below the outer skin of apple fruit</w:t>
            </w:r>
            <w:r>
              <w:rPr>
                <w:rFonts w:eastAsia="Calibri" w:cs="Times New Roman"/>
                <w:snapToGrid w:val="0"/>
                <w:sz w:val="18"/>
                <w:szCs w:val="18"/>
              </w:rPr>
              <w:t>.</w:t>
            </w:r>
            <w:r w:rsidRPr="0094234F">
              <w:rPr>
                <w:rFonts w:eastAsia="Calibri" w:cs="Times New Roman"/>
                <w:snapToGrid w:val="0"/>
                <w:sz w:val="18"/>
                <w:szCs w:val="18"/>
              </w:rPr>
              <w:t xml:space="preserve"> </w:t>
            </w:r>
            <w:r>
              <w:rPr>
                <w:rFonts w:eastAsia="Calibri" w:cs="Times New Roman"/>
                <w:snapToGrid w:val="0"/>
                <w:sz w:val="18"/>
                <w:szCs w:val="18"/>
              </w:rPr>
              <w:t>A</w:t>
            </w:r>
            <w:r w:rsidRPr="0094234F">
              <w:rPr>
                <w:rFonts w:eastAsia="Calibri" w:cs="Times New Roman"/>
                <w:snapToGrid w:val="0"/>
                <w:sz w:val="18"/>
                <w:szCs w:val="18"/>
              </w:rPr>
              <w:t>fter eggs hatch</w:t>
            </w:r>
            <w:r>
              <w:rPr>
                <w:rFonts w:eastAsia="Calibri" w:cs="Times New Roman"/>
                <w:snapToGrid w:val="0"/>
                <w:sz w:val="18"/>
                <w:szCs w:val="18"/>
              </w:rPr>
              <w:t>,</w:t>
            </w:r>
            <w:r w:rsidRPr="0094234F">
              <w:rPr>
                <w:rFonts w:eastAsia="Calibri" w:cs="Times New Roman"/>
                <w:snapToGrid w:val="0"/>
                <w:sz w:val="18"/>
                <w:szCs w:val="18"/>
              </w:rPr>
              <w:t xml:space="preserve"> the larvae burrow in all directions within the apple flesh and emerge from the fruit once the fruit abscise </w:t>
            </w:r>
            <w:r>
              <w:rPr>
                <w:rFonts w:eastAsia="Calibri" w:cs="Times New Roman"/>
                <w:noProof/>
                <w:snapToGrid w:val="0"/>
                <w:sz w:val="18"/>
                <w:szCs w:val="18"/>
              </w:rPr>
              <w:t>(CABI 2019; Mattsson et al. 2015)</w:t>
            </w:r>
            <w:r>
              <w:rPr>
                <w:rFonts w:eastAsia="Calibri" w:cs="Times New Roman"/>
                <w:snapToGrid w:val="0"/>
                <w:sz w:val="18"/>
                <w:szCs w:val="18"/>
              </w:rPr>
              <w:t>.</w:t>
            </w:r>
          </w:p>
        </w:tc>
        <w:tc>
          <w:tcPr>
            <w:tcW w:w="2381" w:type="dxa"/>
            <w:shd w:val="clear" w:color="auto" w:fill="auto"/>
          </w:tcPr>
          <w:p w14:paraId="1E86A105" w14:textId="77777777" w:rsidR="003438A2" w:rsidRPr="00095A7D" w:rsidRDefault="003438A2" w:rsidP="00C967CB">
            <w:pPr>
              <w:spacing w:after="0" w:line="240" w:lineRule="auto"/>
              <w:rPr>
                <w:rFonts w:eastAsia="Calibri" w:cs="Times New Roman"/>
                <w:sz w:val="18"/>
                <w:szCs w:val="18"/>
              </w:rPr>
            </w:pPr>
            <w:r w:rsidRPr="00095A7D">
              <w:rPr>
                <w:rFonts w:eastAsia="Calibri" w:cs="Times New Roman"/>
                <w:snapToGrid w:val="0"/>
                <w:sz w:val="18"/>
                <w:szCs w:val="18"/>
              </w:rPr>
              <w:t>Yes. Since a</w:t>
            </w:r>
            <w:r w:rsidRPr="00095A7D">
              <w:rPr>
                <w:rFonts w:eastAsia="Calibri" w:cs="Times New Roman"/>
                <w:sz w:val="18"/>
                <w:szCs w:val="18"/>
              </w:rPr>
              <w:t xml:space="preserve">pple maggot has a </w:t>
            </w:r>
            <w:r w:rsidRPr="00095A7D">
              <w:rPr>
                <w:rFonts w:eastAsia="Calibri" w:cs="Times New Roman"/>
                <w:snapToGrid w:val="0"/>
                <w:sz w:val="18"/>
                <w:szCs w:val="18"/>
              </w:rPr>
              <w:t>wide host range including apricot, cherry, plum, (</w:t>
            </w:r>
            <w:r w:rsidRPr="00095A7D">
              <w:rPr>
                <w:rFonts w:eastAsia="Calibri" w:cs="Times New Roman"/>
                <w:i/>
                <w:snapToGrid w:val="0"/>
                <w:sz w:val="18"/>
                <w:szCs w:val="18"/>
              </w:rPr>
              <w:t>Prunus</w:t>
            </w:r>
            <w:r w:rsidRPr="00095A7D">
              <w:rPr>
                <w:rFonts w:eastAsia="Calibri" w:cs="Times New Roman"/>
                <w:snapToGrid w:val="0"/>
                <w:sz w:val="18"/>
                <w:szCs w:val="18"/>
              </w:rPr>
              <w:t xml:space="preserve"> spp.), pear (</w:t>
            </w:r>
            <w:r w:rsidRPr="00095A7D">
              <w:rPr>
                <w:rFonts w:eastAsia="Calibri" w:cs="Times New Roman"/>
                <w:i/>
                <w:snapToGrid w:val="0"/>
                <w:sz w:val="18"/>
                <w:szCs w:val="18"/>
              </w:rPr>
              <w:t>Pyrus</w:t>
            </w:r>
            <w:r w:rsidRPr="00095A7D">
              <w:rPr>
                <w:rFonts w:eastAsia="Calibri" w:cs="Times New Roman"/>
                <w:snapToGrid w:val="0"/>
                <w:sz w:val="18"/>
                <w:szCs w:val="18"/>
              </w:rPr>
              <w:t>), wild rose (</w:t>
            </w:r>
            <w:r w:rsidRPr="00095A7D">
              <w:rPr>
                <w:rFonts w:eastAsia="Calibri" w:cs="Times New Roman"/>
                <w:i/>
                <w:snapToGrid w:val="0"/>
                <w:sz w:val="18"/>
                <w:szCs w:val="18"/>
              </w:rPr>
              <w:t xml:space="preserve">Rosa </w:t>
            </w:r>
            <w:r w:rsidRPr="00095A7D">
              <w:rPr>
                <w:rFonts w:eastAsia="Calibri" w:cs="Times New Roman"/>
                <w:snapToGrid w:val="0"/>
                <w:sz w:val="18"/>
                <w:szCs w:val="18"/>
              </w:rPr>
              <w:t>spp</w:t>
            </w:r>
            <w:r w:rsidRPr="00095A7D">
              <w:rPr>
                <w:rFonts w:eastAsia="Calibri" w:cs="Times New Roman"/>
                <w:i/>
                <w:snapToGrid w:val="0"/>
                <w:sz w:val="18"/>
                <w:szCs w:val="18"/>
              </w:rPr>
              <w:t>.</w:t>
            </w:r>
            <w:r w:rsidRPr="00095A7D">
              <w:rPr>
                <w:rFonts w:eastAsia="Calibri" w:cs="Times New Roman"/>
                <w:snapToGrid w:val="0"/>
                <w:sz w:val="18"/>
                <w:szCs w:val="18"/>
              </w:rPr>
              <w:t xml:space="preserve">), </w:t>
            </w:r>
            <w:r w:rsidRPr="00095A7D">
              <w:rPr>
                <w:rFonts w:eastAsia="Calibri" w:cs="Times New Roman"/>
                <w:i/>
                <w:snapToGrid w:val="0"/>
                <w:sz w:val="18"/>
                <w:szCs w:val="18"/>
              </w:rPr>
              <w:t>Pyracantha</w:t>
            </w:r>
            <w:r w:rsidRPr="00095A7D">
              <w:rPr>
                <w:rFonts w:eastAsia="Calibri" w:cs="Times New Roman"/>
                <w:snapToGrid w:val="0"/>
                <w:sz w:val="18"/>
                <w:szCs w:val="18"/>
              </w:rPr>
              <w:t xml:space="preserve"> and </w:t>
            </w:r>
            <w:r w:rsidRPr="00095A7D">
              <w:rPr>
                <w:rFonts w:eastAsia="Calibri" w:cs="Times New Roman"/>
                <w:i/>
                <w:snapToGrid w:val="0"/>
                <w:sz w:val="18"/>
                <w:szCs w:val="18"/>
              </w:rPr>
              <w:t>Cotoneaster</w:t>
            </w:r>
            <w:r w:rsidRPr="00095A7D">
              <w:rPr>
                <w:rFonts w:eastAsia="Calibri" w:cs="Times New Roman"/>
                <w:snapToGrid w:val="0"/>
                <w:sz w:val="18"/>
                <w:szCs w:val="18"/>
              </w:rPr>
              <w:t>, and it originally fed on the fruit of wild hawthorn (</w:t>
            </w:r>
            <w:r w:rsidRPr="00095A7D">
              <w:rPr>
                <w:rFonts w:eastAsia="Calibri" w:cs="Times New Roman"/>
                <w:i/>
                <w:snapToGrid w:val="0"/>
                <w:sz w:val="18"/>
                <w:szCs w:val="18"/>
              </w:rPr>
              <w:t>Crataegus</w:t>
            </w:r>
            <w:r w:rsidRPr="00095A7D">
              <w:rPr>
                <w:rFonts w:eastAsia="Calibri" w:cs="Times New Roman"/>
                <w:snapToGrid w:val="0"/>
                <w:sz w:val="18"/>
                <w:szCs w:val="18"/>
              </w:rPr>
              <w:t xml:space="preserve"> sp.) but has since switched to cultivated apples (</w:t>
            </w:r>
            <w:r w:rsidRPr="00095A7D">
              <w:rPr>
                <w:rFonts w:eastAsia="Calibri" w:cs="Times New Roman"/>
                <w:i/>
                <w:snapToGrid w:val="0"/>
                <w:sz w:val="18"/>
                <w:szCs w:val="18"/>
              </w:rPr>
              <w:t>Malus</w:t>
            </w:r>
            <w:r w:rsidRPr="00095A7D">
              <w:rPr>
                <w:rFonts w:eastAsia="Calibri" w:cs="Times New Roman"/>
                <w:snapToGrid w:val="0"/>
                <w:sz w:val="18"/>
                <w:szCs w:val="18"/>
              </w:rPr>
              <w:t>)</w:t>
            </w:r>
            <w:r>
              <w:rPr>
                <w:rFonts w:eastAsia="Calibri" w:cs="Times New Roman"/>
                <w:snapToGrid w:val="0"/>
                <w:sz w:val="18"/>
                <w:szCs w:val="18"/>
              </w:rPr>
              <w:t xml:space="preserve"> </w:t>
            </w:r>
            <w:r>
              <w:rPr>
                <w:rFonts w:eastAsia="Calibri" w:cs="Times New Roman"/>
                <w:noProof/>
                <w:snapToGrid w:val="0"/>
                <w:sz w:val="18"/>
                <w:szCs w:val="18"/>
              </w:rPr>
              <w:t>(Weems &amp; Fasulo 2021; Yee et al. 2015)</w:t>
            </w:r>
            <w:r>
              <w:rPr>
                <w:rFonts w:eastAsia="Calibri" w:cs="Times New Roman"/>
                <w:snapToGrid w:val="0"/>
                <w:sz w:val="18"/>
                <w:szCs w:val="18"/>
              </w:rPr>
              <w:t>,</w:t>
            </w:r>
            <w:r w:rsidRPr="00095A7D">
              <w:rPr>
                <w:rFonts w:eastAsia="Calibri" w:cs="Times New Roman"/>
                <w:snapToGrid w:val="0"/>
                <w:sz w:val="18"/>
                <w:szCs w:val="18"/>
              </w:rPr>
              <w:t xml:space="preserve"> it is likely that apple maggot may be able to adapt to other host plants in the future </w:t>
            </w:r>
            <w:r>
              <w:rPr>
                <w:rFonts w:eastAsia="Calibri" w:cs="Times New Roman"/>
                <w:noProof/>
                <w:snapToGrid w:val="0"/>
                <w:sz w:val="18"/>
                <w:szCs w:val="18"/>
              </w:rPr>
              <w:t>(Beers, Antonelli &amp; LaGasa 1996)</w:t>
            </w:r>
            <w:r w:rsidRPr="00095A7D">
              <w:rPr>
                <w:rFonts w:eastAsia="Calibri" w:cs="Times New Roman"/>
                <w:snapToGrid w:val="0"/>
                <w:sz w:val="18"/>
                <w:szCs w:val="18"/>
              </w:rPr>
              <w:t xml:space="preserve">. Distributed in a variety of environments across North America with similarities to Australia </w:t>
            </w:r>
            <w:r>
              <w:rPr>
                <w:rFonts w:eastAsia="Calibri" w:cs="Times New Roman"/>
                <w:noProof/>
                <w:snapToGrid w:val="0"/>
                <w:sz w:val="18"/>
                <w:szCs w:val="18"/>
              </w:rPr>
              <w:t>(CABI 2019)</w:t>
            </w:r>
            <w:r w:rsidRPr="00095A7D">
              <w:rPr>
                <w:rFonts w:eastAsia="Calibri" w:cs="Times New Roman"/>
                <w:snapToGrid w:val="0"/>
                <w:sz w:val="18"/>
                <w:szCs w:val="18"/>
              </w:rPr>
              <w:t xml:space="preserve"> and adults are capable of flight </w:t>
            </w:r>
            <w:r>
              <w:rPr>
                <w:rFonts w:cs="Segoe UI"/>
                <w:noProof/>
                <w:color w:val="242424"/>
                <w:sz w:val="18"/>
                <w:szCs w:val="18"/>
                <w:shd w:val="clear" w:color="auto" w:fill="FFFFFF"/>
              </w:rPr>
              <w:t>(Weems &amp; Fasulo 2021)</w:t>
            </w:r>
            <w:r>
              <w:rPr>
                <w:rFonts w:cs="Segoe UI"/>
                <w:color w:val="242424"/>
                <w:sz w:val="18"/>
                <w:szCs w:val="18"/>
                <w:shd w:val="clear" w:color="auto" w:fill="FFFFFF"/>
              </w:rPr>
              <w:t>.</w:t>
            </w:r>
          </w:p>
        </w:tc>
        <w:tc>
          <w:tcPr>
            <w:tcW w:w="2211" w:type="dxa"/>
            <w:shd w:val="clear" w:color="auto" w:fill="auto"/>
          </w:tcPr>
          <w:p w14:paraId="2DDC0F2A"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 xml:space="preserve">Yes. Eggs are laid in fruit; maggots feed on pulp ultimately resulting in soft, rotten fruit that is unmarketable and completely unusable for any purpose </w:t>
            </w:r>
            <w:r>
              <w:rPr>
                <w:rFonts w:eastAsia="Calibri" w:cs="Times New Roman"/>
                <w:noProof/>
                <w:sz w:val="18"/>
                <w:szCs w:val="18"/>
              </w:rPr>
              <w:t>(CABI 2019; Cornell Cooperative Extention 2000)</w:t>
            </w:r>
            <w:r w:rsidRPr="00095A7D">
              <w:rPr>
                <w:rFonts w:eastAsia="Calibri" w:cs="Times New Roman"/>
                <w:sz w:val="18"/>
                <w:szCs w:val="18"/>
              </w:rPr>
              <w:t xml:space="preserve">. A quarantine area has been declared in western Washington making it illegal to carry backyard or non-commercial tree fruit out of western Washington or across county lines </w:t>
            </w:r>
            <w:r>
              <w:rPr>
                <w:rFonts w:eastAsia="Calibri" w:cs="Times New Roman"/>
                <w:noProof/>
                <w:sz w:val="18"/>
                <w:szCs w:val="18"/>
              </w:rPr>
              <w:t>(Beers, Antonelli &amp; LaGasa 1996)</w:t>
            </w:r>
            <w:r>
              <w:rPr>
                <w:rFonts w:eastAsia="Calibri" w:cs="Times New Roman"/>
                <w:sz w:val="18"/>
                <w:szCs w:val="18"/>
              </w:rPr>
              <w:t>.</w:t>
            </w:r>
          </w:p>
        </w:tc>
        <w:tc>
          <w:tcPr>
            <w:tcW w:w="1191" w:type="dxa"/>
            <w:shd w:val="clear" w:color="auto" w:fill="auto"/>
          </w:tcPr>
          <w:p w14:paraId="6E3E89A2" w14:textId="77777777" w:rsidR="003438A2" w:rsidRPr="00095A7D" w:rsidRDefault="003438A2" w:rsidP="00881E29">
            <w:pPr>
              <w:spacing w:before="60" w:after="60" w:line="240" w:lineRule="auto"/>
              <w:rPr>
                <w:rFonts w:eastAsia="Calibri" w:cs="Times New Roman"/>
                <w:sz w:val="18"/>
                <w:szCs w:val="18"/>
              </w:rPr>
            </w:pPr>
            <w:r w:rsidRPr="00336623">
              <w:rPr>
                <w:rFonts w:eastAsia="Calibri" w:cs="Times New Roman"/>
                <w:sz w:val="18"/>
                <w:szCs w:val="18"/>
              </w:rPr>
              <w:t>Yes</w:t>
            </w:r>
            <w:r>
              <w:rPr>
                <w:rFonts w:eastAsia="Calibri" w:cs="Times New Roman"/>
                <w:sz w:val="18"/>
                <w:szCs w:val="18"/>
              </w:rPr>
              <w:t xml:space="preserve"> (EP)</w:t>
            </w:r>
          </w:p>
        </w:tc>
      </w:tr>
      <w:tr w:rsidR="003438A2" w:rsidRPr="007F281D" w14:paraId="704F24E6" w14:textId="77777777" w:rsidTr="00C4199F">
        <w:trPr>
          <w:cantSplit/>
          <w:trHeight w:val="75"/>
          <w:jc w:val="center"/>
        </w:trPr>
        <w:tc>
          <w:tcPr>
            <w:tcW w:w="13836" w:type="dxa"/>
            <w:gridSpan w:val="7"/>
            <w:shd w:val="clear" w:color="auto" w:fill="auto"/>
          </w:tcPr>
          <w:p w14:paraId="6FD598AD" w14:textId="77777777" w:rsidR="003438A2" w:rsidRPr="007F281D" w:rsidRDefault="003438A2" w:rsidP="00881E29">
            <w:pPr>
              <w:keepNext/>
              <w:spacing w:before="60" w:after="60" w:line="240" w:lineRule="auto"/>
              <w:rPr>
                <w:rFonts w:eastAsia="Calibri" w:cs="Times New Roman"/>
                <w:b/>
                <w:sz w:val="18"/>
                <w:szCs w:val="18"/>
              </w:rPr>
            </w:pPr>
            <w:r w:rsidRPr="007F281D">
              <w:rPr>
                <w:rFonts w:eastAsia="Calibri" w:cs="Times New Roman"/>
                <w:b/>
                <w:sz w:val="18"/>
                <w:szCs w:val="18"/>
              </w:rPr>
              <w:lastRenderedPageBreak/>
              <w:t>Hemiptera</w:t>
            </w:r>
          </w:p>
        </w:tc>
      </w:tr>
      <w:tr w:rsidR="003438A2" w:rsidRPr="00095A7D" w14:paraId="4225B542" w14:textId="77777777" w:rsidTr="00C4199F">
        <w:trPr>
          <w:cantSplit/>
          <w:trHeight w:val="75"/>
          <w:jc w:val="center"/>
        </w:trPr>
        <w:tc>
          <w:tcPr>
            <w:tcW w:w="2553" w:type="dxa"/>
            <w:shd w:val="clear" w:color="auto" w:fill="auto"/>
          </w:tcPr>
          <w:p w14:paraId="274775BB"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i/>
                <w:sz w:val="18"/>
                <w:szCs w:val="18"/>
              </w:rPr>
              <w:t xml:space="preserve">Acrosternum hilare </w:t>
            </w:r>
            <w:r w:rsidRPr="00095A7D">
              <w:rPr>
                <w:rFonts w:eastAsia="Calibri" w:cs="Times New Roman"/>
                <w:sz w:val="18"/>
                <w:szCs w:val="18"/>
              </w:rPr>
              <w:t>(Say, 1832)</w:t>
            </w:r>
          </w:p>
          <w:p w14:paraId="7B7C493E"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 xml:space="preserve">Synonym: </w:t>
            </w:r>
            <w:r w:rsidRPr="00095A7D">
              <w:rPr>
                <w:rFonts w:eastAsia="Calibri" w:cs="Times New Roman"/>
                <w:i/>
                <w:sz w:val="18"/>
                <w:szCs w:val="18"/>
              </w:rPr>
              <w:t xml:space="preserve">Chinavia hilaris </w:t>
            </w:r>
            <w:r w:rsidRPr="00095A7D">
              <w:rPr>
                <w:rFonts w:eastAsia="Calibri" w:cs="Times New Roman"/>
                <w:sz w:val="18"/>
                <w:szCs w:val="18"/>
              </w:rPr>
              <w:t>(Say, 1832)</w:t>
            </w:r>
          </w:p>
          <w:p w14:paraId="6A12C635"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[Pentatomidae]</w:t>
            </w:r>
          </w:p>
          <w:p w14:paraId="6D4AD4AA" w14:textId="77777777" w:rsidR="003438A2" w:rsidRPr="00095A7D" w:rsidRDefault="003438A2" w:rsidP="00881E29">
            <w:pPr>
              <w:spacing w:before="60" w:after="60" w:line="240" w:lineRule="auto"/>
              <w:rPr>
                <w:rFonts w:eastAsia="Calibri" w:cs="Times New Roman"/>
                <w:i/>
                <w:sz w:val="18"/>
                <w:szCs w:val="18"/>
                <w:lang w:val="pt-BR"/>
              </w:rPr>
            </w:pPr>
            <w:r w:rsidRPr="00095A7D">
              <w:rPr>
                <w:rFonts w:eastAsia="Calibri" w:cs="Times New Roman"/>
                <w:sz w:val="18"/>
                <w:szCs w:val="18"/>
              </w:rPr>
              <w:t>Green stink bug</w:t>
            </w:r>
          </w:p>
        </w:tc>
        <w:tc>
          <w:tcPr>
            <w:tcW w:w="1474" w:type="dxa"/>
            <w:shd w:val="clear" w:color="auto" w:fill="auto"/>
          </w:tcPr>
          <w:p w14:paraId="6ACD6FCC" w14:textId="77777777" w:rsidR="003438A2" w:rsidRPr="00095A7D" w:rsidRDefault="003438A2" w:rsidP="008755BF">
            <w:pPr>
              <w:spacing w:before="60" w:after="60" w:line="240" w:lineRule="auto"/>
              <w:rPr>
                <w:rFonts w:eastAsia="Calibri" w:cs="Times New Roman"/>
                <w:sz w:val="18"/>
                <w:szCs w:val="18"/>
                <w:lang w:val="pt-BR"/>
              </w:rPr>
            </w:pPr>
            <w:r w:rsidRPr="00095A7D">
              <w:rPr>
                <w:rFonts w:eastAsia="Calibri" w:cs="Times New Roman"/>
                <w:sz w:val="18"/>
                <w:szCs w:val="18"/>
              </w:rPr>
              <w:t xml:space="preserve">Yes. </w:t>
            </w:r>
            <w:r>
              <w:rPr>
                <w:rFonts w:eastAsia="Calibri" w:cs="Times New Roman"/>
                <w:sz w:val="18"/>
                <w:szCs w:val="18"/>
              </w:rPr>
              <w:t>Present in</w:t>
            </w:r>
            <w:r w:rsidRPr="00095A7D">
              <w:rPr>
                <w:rFonts w:eastAsia="Calibri" w:cs="Times New Roman"/>
                <w:sz w:val="18"/>
                <w:szCs w:val="18"/>
              </w:rPr>
              <w:t xml:space="preserve"> WA</w:t>
            </w:r>
            <w:r>
              <w:rPr>
                <w:rFonts w:eastAsia="Calibri" w:cs="Times New Roman"/>
                <w:sz w:val="18"/>
                <w:szCs w:val="18"/>
              </w:rPr>
              <w:t xml:space="preserve"> </w:t>
            </w:r>
            <w:r>
              <w:rPr>
                <w:rFonts w:eastAsia="Calibri" w:cs="Times New Roman"/>
                <w:noProof/>
                <w:sz w:val="18"/>
                <w:szCs w:val="18"/>
              </w:rPr>
              <w:t>(CABI 2022; McPherson &amp; McPherson 2000)</w:t>
            </w:r>
            <w:r>
              <w:rPr>
                <w:rFonts w:eastAsia="Calibri" w:cs="Times New Roman"/>
                <w:sz w:val="18"/>
                <w:szCs w:val="18"/>
              </w:rPr>
              <w:t xml:space="preserve">. </w:t>
            </w:r>
            <w:r w:rsidRPr="00095A7D">
              <w:rPr>
                <w:rFonts w:eastAsia="Calibri" w:cs="Times New Roman"/>
                <w:sz w:val="18"/>
                <w:szCs w:val="18"/>
              </w:rPr>
              <w:t xml:space="preserve">Only reported as present in North America </w:t>
            </w:r>
            <w:r>
              <w:rPr>
                <w:rFonts w:eastAsia="Calibri" w:cs="Times New Roman"/>
                <w:iCs/>
                <w:noProof/>
                <w:sz w:val="18"/>
                <w:szCs w:val="18"/>
              </w:rPr>
              <w:t>(Plant Health Australia 2018)</w:t>
            </w:r>
          </w:p>
        </w:tc>
        <w:tc>
          <w:tcPr>
            <w:tcW w:w="1474" w:type="dxa"/>
            <w:shd w:val="clear" w:color="auto" w:fill="auto"/>
          </w:tcPr>
          <w:p w14:paraId="6646D0A1" w14:textId="77777777" w:rsidR="003438A2" w:rsidRPr="00095A7D" w:rsidRDefault="003438A2" w:rsidP="00881E29">
            <w:pPr>
              <w:spacing w:before="60" w:after="60" w:line="240" w:lineRule="auto"/>
              <w:rPr>
                <w:rFonts w:eastAsia="Calibri" w:cs="Times New Roman"/>
                <w:sz w:val="18"/>
                <w:szCs w:val="18"/>
              </w:rPr>
            </w:pPr>
            <w:r w:rsidRPr="00F64CF2">
              <w:rPr>
                <w:rFonts w:eastAsia="Calibri" w:cs="Times New Roman"/>
                <w:sz w:val="18"/>
                <w:szCs w:val="18"/>
              </w:rPr>
              <w:t>No. Listed</w:t>
            </w:r>
            <w:r w:rsidRPr="00BC49E1">
              <w:rPr>
                <w:rFonts w:eastAsia="Calibri" w:cs="Times New Roman"/>
                <w:sz w:val="18"/>
                <w:szCs w:val="18"/>
              </w:rPr>
              <w:t xml:space="preserve"> as a Declared Pest, Prohibited (section 12) (C1 Prohibited) for WA </w:t>
            </w:r>
            <w:r>
              <w:rPr>
                <w:rFonts w:eastAsia="Calibri" w:cs="Times New Roman"/>
                <w:noProof/>
                <w:sz w:val="18"/>
                <w:szCs w:val="18"/>
              </w:rPr>
              <w:t>(Government of Western Australia 2020)</w:t>
            </w:r>
          </w:p>
        </w:tc>
        <w:tc>
          <w:tcPr>
            <w:tcW w:w="2552" w:type="dxa"/>
            <w:shd w:val="clear" w:color="auto" w:fill="auto"/>
          </w:tcPr>
          <w:p w14:paraId="45BEA381"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 xml:space="preserve">No. Although reported as occasionally feeding on apple fruit </w:t>
            </w:r>
            <w:r>
              <w:rPr>
                <w:rFonts w:eastAsia="Calibri" w:cs="Times New Roman"/>
                <w:noProof/>
                <w:sz w:val="18"/>
                <w:szCs w:val="18"/>
              </w:rPr>
              <w:t>(Mundinger &amp; Chapman 1932)</w:t>
            </w:r>
            <w:r w:rsidRPr="00095A7D">
              <w:rPr>
                <w:rFonts w:eastAsia="Calibri" w:cs="Times New Roman"/>
                <w:sz w:val="18"/>
                <w:szCs w:val="18"/>
              </w:rPr>
              <w:t xml:space="preserve"> they are highly active insects that are considered to be present on the fruit for short feeding periods only. They are also easily disturbed</w:t>
            </w:r>
            <w:r>
              <w:rPr>
                <w:rFonts w:eastAsia="Calibri" w:cs="Times New Roman"/>
                <w:sz w:val="18"/>
                <w:szCs w:val="18"/>
              </w:rPr>
              <w:t>.</w:t>
            </w:r>
            <w:r w:rsidRPr="00095A7D">
              <w:rPr>
                <w:rFonts w:eastAsia="Calibri" w:cs="Times New Roman"/>
                <w:sz w:val="18"/>
                <w:szCs w:val="18"/>
              </w:rPr>
              <w:t xml:space="preserve"> </w:t>
            </w:r>
            <w:r w:rsidRPr="00E648AA">
              <w:rPr>
                <w:rFonts w:eastAsia="Calibri" w:cs="Times New Roman"/>
                <w:sz w:val="18"/>
                <w:szCs w:val="18"/>
              </w:rPr>
              <w:t>This pest is highly unlikely to be found on commerciall</w:t>
            </w:r>
            <w:r>
              <w:rPr>
                <w:rFonts w:eastAsia="Calibri" w:cs="Times New Roman"/>
                <w:sz w:val="18"/>
                <w:szCs w:val="18"/>
              </w:rPr>
              <w:t>y produced and processed apples and the pest will not remain on fruit</w:t>
            </w:r>
            <w:r w:rsidRPr="00E648AA">
              <w:rPr>
                <w:rFonts w:eastAsia="Calibri" w:cs="Times New Roman"/>
                <w:sz w:val="18"/>
                <w:szCs w:val="18"/>
              </w:rPr>
              <w:t xml:space="preserve"> during the harve</w:t>
            </w:r>
            <w:r>
              <w:rPr>
                <w:rFonts w:eastAsia="Calibri" w:cs="Times New Roman"/>
                <w:sz w:val="18"/>
                <w:szCs w:val="18"/>
              </w:rPr>
              <w:t>st, sorting and packing processes.</w:t>
            </w:r>
          </w:p>
        </w:tc>
        <w:tc>
          <w:tcPr>
            <w:tcW w:w="2381" w:type="dxa"/>
            <w:shd w:val="clear" w:color="auto" w:fill="auto"/>
          </w:tcPr>
          <w:p w14:paraId="3D935EBC"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2211" w:type="dxa"/>
            <w:shd w:val="clear" w:color="auto" w:fill="auto"/>
          </w:tcPr>
          <w:p w14:paraId="59A62817"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1191" w:type="dxa"/>
            <w:shd w:val="clear" w:color="auto" w:fill="auto"/>
          </w:tcPr>
          <w:p w14:paraId="565CD35F"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No</w:t>
            </w:r>
          </w:p>
        </w:tc>
      </w:tr>
      <w:tr w:rsidR="003438A2" w:rsidRPr="00095A7D" w14:paraId="384E43F3" w14:textId="77777777" w:rsidTr="00C4199F">
        <w:trPr>
          <w:cantSplit/>
          <w:trHeight w:val="75"/>
          <w:jc w:val="center"/>
        </w:trPr>
        <w:tc>
          <w:tcPr>
            <w:tcW w:w="2553" w:type="dxa"/>
            <w:shd w:val="clear" w:color="auto" w:fill="auto"/>
          </w:tcPr>
          <w:p w14:paraId="3BA78556" w14:textId="77777777" w:rsidR="003438A2" w:rsidRPr="00095A7D" w:rsidRDefault="003438A2" w:rsidP="00881E29">
            <w:pPr>
              <w:spacing w:before="60" w:after="60" w:line="240" w:lineRule="auto"/>
              <w:rPr>
                <w:rFonts w:eastAsia="Calibri" w:cs="Times New Roman"/>
                <w:iCs/>
                <w:sz w:val="18"/>
                <w:szCs w:val="18"/>
              </w:rPr>
            </w:pPr>
            <w:r w:rsidRPr="00095A7D">
              <w:rPr>
                <w:rFonts w:eastAsia="Calibri" w:cs="Times New Roman"/>
                <w:i/>
                <w:iCs/>
                <w:sz w:val="18"/>
                <w:szCs w:val="18"/>
              </w:rPr>
              <w:t>Aphis gossypii</w:t>
            </w:r>
            <w:r w:rsidRPr="00095A7D">
              <w:rPr>
                <w:rFonts w:eastAsia="Calibri" w:cs="Times New Roman"/>
                <w:iCs/>
                <w:sz w:val="18"/>
                <w:szCs w:val="18"/>
              </w:rPr>
              <w:t xml:space="preserve"> Glover, 1877</w:t>
            </w:r>
          </w:p>
          <w:p w14:paraId="24B2FE59" w14:textId="77777777" w:rsidR="003438A2" w:rsidRPr="00095A7D" w:rsidRDefault="003438A2" w:rsidP="00881E29">
            <w:pPr>
              <w:spacing w:before="60" w:after="60" w:line="240" w:lineRule="auto"/>
              <w:rPr>
                <w:rFonts w:eastAsia="Calibri" w:cs="Times New Roman"/>
                <w:iCs/>
                <w:sz w:val="18"/>
                <w:szCs w:val="18"/>
              </w:rPr>
            </w:pPr>
            <w:r w:rsidRPr="00095A7D">
              <w:rPr>
                <w:rFonts w:eastAsia="Calibri" w:cs="Times New Roman"/>
                <w:iCs/>
                <w:sz w:val="18"/>
                <w:szCs w:val="18"/>
              </w:rPr>
              <w:t>[Aphididae]</w:t>
            </w:r>
          </w:p>
          <w:p w14:paraId="01D46877" w14:textId="77777777" w:rsidR="003438A2" w:rsidRPr="00095A7D" w:rsidRDefault="003438A2" w:rsidP="00881E29">
            <w:pPr>
              <w:spacing w:before="60" w:after="60" w:line="240" w:lineRule="auto"/>
              <w:rPr>
                <w:rFonts w:eastAsia="Calibri" w:cs="Times New Roman"/>
                <w:i/>
                <w:sz w:val="18"/>
                <w:szCs w:val="18"/>
                <w:lang w:val="pt-BR"/>
              </w:rPr>
            </w:pPr>
            <w:r w:rsidRPr="00095A7D">
              <w:rPr>
                <w:rFonts w:eastAsia="Calibri" w:cs="Times New Roman"/>
                <w:iCs/>
                <w:sz w:val="18"/>
                <w:szCs w:val="18"/>
              </w:rPr>
              <w:t xml:space="preserve">Cotton aphid, Melon aphid </w:t>
            </w:r>
          </w:p>
        </w:tc>
        <w:tc>
          <w:tcPr>
            <w:tcW w:w="1474" w:type="dxa"/>
            <w:shd w:val="clear" w:color="auto" w:fill="auto"/>
          </w:tcPr>
          <w:p w14:paraId="4CB83F53" w14:textId="77777777" w:rsidR="003438A2" w:rsidRDefault="003438A2" w:rsidP="008755BF">
            <w:pPr>
              <w:spacing w:before="60" w:after="60" w:line="240" w:lineRule="auto"/>
              <w:rPr>
                <w:sz w:val="18"/>
                <w:szCs w:val="18"/>
              </w:rPr>
            </w:pPr>
            <w:r w:rsidRPr="00095A7D">
              <w:rPr>
                <w:rFonts w:eastAsia="Calibri" w:cs="Times New Roman"/>
                <w:iCs/>
                <w:sz w:val="18"/>
                <w:szCs w:val="18"/>
              </w:rPr>
              <w:t xml:space="preserve">Yes. </w:t>
            </w:r>
            <w:r>
              <w:rPr>
                <w:rFonts w:eastAsia="Calibri" w:cs="Times New Roman"/>
                <w:iCs/>
                <w:sz w:val="18"/>
                <w:szCs w:val="18"/>
              </w:rPr>
              <w:t>Present in</w:t>
            </w:r>
            <w:r w:rsidRPr="00095A7D">
              <w:rPr>
                <w:rFonts w:eastAsia="Calibri" w:cs="Times New Roman"/>
                <w:iCs/>
                <w:sz w:val="18"/>
                <w:szCs w:val="18"/>
              </w:rPr>
              <w:t xml:space="preserve"> ID, OR</w:t>
            </w:r>
            <w:r>
              <w:rPr>
                <w:rFonts w:eastAsia="Calibri" w:cs="Times New Roman"/>
                <w:iCs/>
                <w:sz w:val="18"/>
                <w:szCs w:val="18"/>
              </w:rPr>
              <w:t xml:space="preserve"> and</w:t>
            </w:r>
            <w:r w:rsidRPr="00095A7D">
              <w:rPr>
                <w:rFonts w:eastAsia="Calibri" w:cs="Times New Roman"/>
                <w:iCs/>
                <w:sz w:val="18"/>
                <w:szCs w:val="18"/>
              </w:rPr>
              <w:t xml:space="preserve"> WA</w:t>
            </w:r>
            <w:r>
              <w:rPr>
                <w:rFonts w:eastAsia="Calibri" w:cs="Times New Roman"/>
                <w:iCs/>
                <w:sz w:val="18"/>
                <w:szCs w:val="18"/>
              </w:rPr>
              <w:t xml:space="preserve"> </w:t>
            </w:r>
            <w:r>
              <w:rPr>
                <w:rFonts w:eastAsia="Calibri" w:cs="Times New Roman"/>
                <w:noProof/>
                <w:sz w:val="18"/>
                <w:szCs w:val="18"/>
              </w:rPr>
              <w:t>(CABI 2022)</w:t>
            </w:r>
          </w:p>
          <w:p w14:paraId="53621F6E" w14:textId="77777777" w:rsidR="003438A2" w:rsidRPr="00E90CD0" w:rsidRDefault="003438A2" w:rsidP="008755BF">
            <w:pPr>
              <w:spacing w:before="60" w:after="60" w:line="240" w:lineRule="auto"/>
              <w:rPr>
                <w:rFonts w:eastAsia="Calibri" w:cs="Times New Roman"/>
                <w:iCs/>
                <w:sz w:val="18"/>
                <w:szCs w:val="18"/>
              </w:rPr>
            </w:pPr>
          </w:p>
          <w:p w14:paraId="765CAC5A" w14:textId="77777777" w:rsidR="003438A2" w:rsidRPr="00E90CD0" w:rsidRDefault="003438A2" w:rsidP="00881E29">
            <w:pPr>
              <w:spacing w:before="60" w:after="60" w:line="240" w:lineRule="auto"/>
              <w:rPr>
                <w:rFonts w:eastAsia="Calibri" w:cs="Times New Roman"/>
                <w:iCs/>
                <w:sz w:val="18"/>
                <w:szCs w:val="18"/>
              </w:rPr>
            </w:pPr>
          </w:p>
        </w:tc>
        <w:tc>
          <w:tcPr>
            <w:tcW w:w="1474" w:type="dxa"/>
            <w:shd w:val="clear" w:color="auto" w:fill="auto"/>
          </w:tcPr>
          <w:p w14:paraId="5C4D0064"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iCs/>
                <w:sz w:val="18"/>
                <w:szCs w:val="18"/>
              </w:rPr>
              <w:t>Yes. NSW, Qld, SA,</w:t>
            </w:r>
            <w:r>
              <w:rPr>
                <w:rFonts w:eastAsia="Calibri" w:cs="Times New Roman"/>
                <w:iCs/>
                <w:sz w:val="18"/>
                <w:szCs w:val="18"/>
              </w:rPr>
              <w:t xml:space="preserve"> NT,</w:t>
            </w:r>
            <w:r w:rsidRPr="00095A7D">
              <w:rPr>
                <w:rFonts w:eastAsia="Calibri" w:cs="Times New Roman"/>
                <w:iCs/>
                <w:sz w:val="18"/>
                <w:szCs w:val="18"/>
              </w:rPr>
              <w:t xml:space="preserve"> Tas., Vic. </w:t>
            </w:r>
            <w:r>
              <w:rPr>
                <w:rFonts w:eastAsia="Calibri" w:cs="Times New Roman"/>
                <w:iCs/>
                <w:noProof/>
                <w:sz w:val="18"/>
                <w:szCs w:val="18"/>
              </w:rPr>
              <w:t>(Hollis &amp; Eastop 2005)</w:t>
            </w:r>
            <w:r>
              <w:rPr>
                <w:rFonts w:eastAsia="Calibri" w:cs="Times New Roman"/>
                <w:iCs/>
                <w:sz w:val="18"/>
                <w:szCs w:val="18"/>
              </w:rPr>
              <w:t xml:space="preserve">. </w:t>
            </w:r>
            <w:r w:rsidRPr="00BC49E1">
              <w:rPr>
                <w:rFonts w:eastAsia="Calibri" w:cs="Times New Roman"/>
                <w:sz w:val="18"/>
                <w:szCs w:val="18"/>
              </w:rPr>
              <w:t xml:space="preserve">Listed as a permitted organism </w:t>
            </w:r>
            <w:r>
              <w:rPr>
                <w:rFonts w:eastAsia="Calibri" w:cs="Times New Roman"/>
                <w:sz w:val="18"/>
                <w:szCs w:val="18"/>
              </w:rPr>
              <w:t xml:space="preserve">for WA </w:t>
            </w:r>
            <w:r>
              <w:rPr>
                <w:rFonts w:eastAsia="Calibri" w:cs="Times New Roman"/>
                <w:noProof/>
                <w:sz w:val="18"/>
                <w:szCs w:val="18"/>
              </w:rPr>
              <w:t>(Government of Western Australia 2020; Plant Health Australia 2018)</w:t>
            </w:r>
          </w:p>
        </w:tc>
        <w:tc>
          <w:tcPr>
            <w:tcW w:w="2552" w:type="dxa"/>
            <w:shd w:val="clear" w:color="auto" w:fill="auto"/>
          </w:tcPr>
          <w:p w14:paraId="1114D45F"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2381" w:type="dxa"/>
            <w:shd w:val="clear" w:color="auto" w:fill="auto"/>
          </w:tcPr>
          <w:p w14:paraId="67240465"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2211" w:type="dxa"/>
            <w:shd w:val="clear" w:color="auto" w:fill="auto"/>
          </w:tcPr>
          <w:p w14:paraId="6BC98642"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1191" w:type="dxa"/>
            <w:shd w:val="clear" w:color="auto" w:fill="auto"/>
          </w:tcPr>
          <w:p w14:paraId="2D307D93"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No</w:t>
            </w:r>
          </w:p>
        </w:tc>
      </w:tr>
      <w:tr w:rsidR="003438A2" w:rsidRPr="00095A7D" w14:paraId="6EB3712D" w14:textId="77777777" w:rsidTr="00C4199F">
        <w:trPr>
          <w:cantSplit/>
          <w:trHeight w:val="75"/>
          <w:jc w:val="center"/>
        </w:trPr>
        <w:tc>
          <w:tcPr>
            <w:tcW w:w="2553" w:type="dxa"/>
            <w:shd w:val="clear" w:color="auto" w:fill="auto"/>
          </w:tcPr>
          <w:p w14:paraId="2D91890F"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i/>
                <w:sz w:val="18"/>
                <w:szCs w:val="18"/>
              </w:rPr>
              <w:lastRenderedPageBreak/>
              <w:t xml:space="preserve">Aphis pomi </w:t>
            </w:r>
            <w:r w:rsidRPr="00095A7D">
              <w:rPr>
                <w:rFonts w:eastAsia="Calibri" w:cs="Times New Roman"/>
                <w:sz w:val="18"/>
                <w:szCs w:val="18"/>
              </w:rPr>
              <w:t>DeGeer, 1773</w:t>
            </w:r>
          </w:p>
          <w:p w14:paraId="4343DEBD"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[Aphididae]</w:t>
            </w:r>
          </w:p>
          <w:p w14:paraId="1DC4CDC8" w14:textId="77777777" w:rsidR="003438A2" w:rsidRPr="00095A7D" w:rsidRDefault="003438A2" w:rsidP="00881E29">
            <w:pPr>
              <w:spacing w:before="60" w:after="60" w:line="240" w:lineRule="auto"/>
              <w:rPr>
                <w:rFonts w:eastAsia="Calibri" w:cs="Times New Roman"/>
                <w:sz w:val="18"/>
                <w:szCs w:val="18"/>
                <w:lang w:val="pt-BR"/>
              </w:rPr>
            </w:pPr>
            <w:r w:rsidRPr="00095A7D">
              <w:rPr>
                <w:rFonts w:eastAsia="Calibri" w:cs="Times New Roman"/>
                <w:sz w:val="18"/>
                <w:szCs w:val="18"/>
              </w:rPr>
              <w:t>Green apple aphid</w:t>
            </w:r>
          </w:p>
        </w:tc>
        <w:tc>
          <w:tcPr>
            <w:tcW w:w="1474" w:type="dxa"/>
            <w:shd w:val="clear" w:color="auto" w:fill="auto"/>
          </w:tcPr>
          <w:p w14:paraId="22173252" w14:textId="77777777" w:rsidR="003438A2" w:rsidRDefault="003438A2" w:rsidP="00546320">
            <w:r w:rsidRPr="00095A7D">
              <w:rPr>
                <w:rFonts w:eastAsia="Calibri" w:cs="Times New Roman"/>
                <w:sz w:val="18"/>
                <w:szCs w:val="18"/>
              </w:rPr>
              <w:t xml:space="preserve">Yes. </w:t>
            </w:r>
            <w:r>
              <w:rPr>
                <w:rFonts w:eastAsia="Calibri" w:cs="Times New Roman"/>
                <w:sz w:val="18"/>
                <w:szCs w:val="18"/>
              </w:rPr>
              <w:t>Present in</w:t>
            </w:r>
            <w:r w:rsidRPr="00095A7D">
              <w:rPr>
                <w:rFonts w:eastAsia="Calibri" w:cs="Times New Roman"/>
                <w:sz w:val="18"/>
                <w:szCs w:val="18"/>
              </w:rPr>
              <w:t xml:space="preserve"> ID, OR</w:t>
            </w:r>
            <w:r>
              <w:rPr>
                <w:rFonts w:eastAsia="Calibri" w:cs="Times New Roman"/>
                <w:sz w:val="18"/>
                <w:szCs w:val="18"/>
              </w:rPr>
              <w:t xml:space="preserve"> and</w:t>
            </w:r>
            <w:r w:rsidRPr="00095A7D">
              <w:rPr>
                <w:rFonts w:eastAsia="Calibri" w:cs="Times New Roman"/>
                <w:sz w:val="18"/>
                <w:szCs w:val="18"/>
              </w:rPr>
              <w:t xml:space="preserve"> WA</w:t>
            </w:r>
            <w:r>
              <w:rPr>
                <w:rFonts w:eastAsia="Calibri" w:cs="Times New Roman"/>
                <w:sz w:val="18"/>
                <w:szCs w:val="18"/>
              </w:rPr>
              <w:t xml:space="preserve"> </w:t>
            </w:r>
            <w:r>
              <w:rPr>
                <w:rFonts w:eastAsia="Calibri" w:cs="Times New Roman"/>
                <w:noProof/>
                <w:sz w:val="18"/>
                <w:szCs w:val="18"/>
              </w:rPr>
              <w:t>(APHIS 2007; CABI 2019; Smirle et al. 2010; Wiman &amp; Stoven 2021b)</w:t>
            </w:r>
          </w:p>
          <w:p w14:paraId="6EF24442" w14:textId="77777777" w:rsidR="003438A2" w:rsidRPr="00095A7D" w:rsidRDefault="003438A2" w:rsidP="00881E29">
            <w:pPr>
              <w:spacing w:before="60" w:after="60" w:line="240" w:lineRule="auto"/>
              <w:rPr>
                <w:rFonts w:eastAsia="Calibri" w:cs="Times New Roman"/>
                <w:sz w:val="18"/>
                <w:szCs w:val="18"/>
                <w:lang w:val="pt-BR"/>
              </w:rPr>
            </w:pPr>
          </w:p>
        </w:tc>
        <w:tc>
          <w:tcPr>
            <w:tcW w:w="1474" w:type="dxa"/>
            <w:shd w:val="clear" w:color="auto" w:fill="auto"/>
          </w:tcPr>
          <w:p w14:paraId="5F319B53"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No records found</w:t>
            </w:r>
          </w:p>
        </w:tc>
        <w:tc>
          <w:tcPr>
            <w:tcW w:w="2552" w:type="dxa"/>
            <w:shd w:val="clear" w:color="auto" w:fill="auto"/>
          </w:tcPr>
          <w:p w14:paraId="0D20A908" w14:textId="77777777" w:rsidR="003438A2" w:rsidRPr="00095A7D" w:rsidRDefault="003438A2" w:rsidP="00292B4E">
            <w:pPr>
              <w:pStyle w:val="TableText"/>
            </w:pPr>
            <w:r w:rsidRPr="001D0E68">
              <w:t>No. Species mainly feeds on young shoots and leaves, which can result in damage to newly-formed fruit and bud clusters, leaves and stems (APHIS 2007; CABI 2022). There is no evidence that this species feeds or shelters within the calyx. Species may occasionally feed on fruit later in the season</w:t>
            </w:r>
            <w:r>
              <w:t xml:space="preserve"> </w:t>
            </w:r>
            <w:r>
              <w:rPr>
                <w:noProof/>
              </w:rPr>
              <w:t>(Reding, Alston &amp; Zimmerman 1997)</w:t>
            </w:r>
            <w:r>
              <w:t xml:space="preserve">, </w:t>
            </w:r>
            <w:r w:rsidRPr="001D0E68">
              <w:t>but any aphids on fruit at the time of harvest would be likely to be removed during packing house processes.</w:t>
            </w:r>
            <w:r>
              <w:t xml:space="preserve"> </w:t>
            </w:r>
          </w:p>
        </w:tc>
        <w:tc>
          <w:tcPr>
            <w:tcW w:w="2381" w:type="dxa"/>
            <w:shd w:val="clear" w:color="auto" w:fill="auto"/>
          </w:tcPr>
          <w:p w14:paraId="39013E45"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2211" w:type="dxa"/>
            <w:shd w:val="clear" w:color="auto" w:fill="auto"/>
          </w:tcPr>
          <w:p w14:paraId="7FBEB6E7"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1191" w:type="dxa"/>
            <w:shd w:val="clear" w:color="auto" w:fill="auto"/>
          </w:tcPr>
          <w:p w14:paraId="527BB3F4"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No</w:t>
            </w:r>
          </w:p>
        </w:tc>
      </w:tr>
      <w:tr w:rsidR="003438A2" w:rsidRPr="00095A7D" w14:paraId="660C64EA" w14:textId="77777777" w:rsidTr="00C4199F">
        <w:trPr>
          <w:cantSplit/>
          <w:trHeight w:val="75"/>
          <w:jc w:val="center"/>
        </w:trPr>
        <w:tc>
          <w:tcPr>
            <w:tcW w:w="2553" w:type="dxa"/>
            <w:shd w:val="clear" w:color="auto" w:fill="auto"/>
          </w:tcPr>
          <w:p w14:paraId="7509CDDF"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i/>
                <w:sz w:val="18"/>
                <w:szCs w:val="18"/>
              </w:rPr>
              <w:t xml:space="preserve">Aphis spiraecola </w:t>
            </w:r>
            <w:r w:rsidRPr="00095A7D">
              <w:rPr>
                <w:rFonts w:eastAsia="Calibri" w:cs="Times New Roman"/>
                <w:sz w:val="18"/>
                <w:szCs w:val="18"/>
              </w:rPr>
              <w:t>Patch, 1914</w:t>
            </w:r>
          </w:p>
          <w:p w14:paraId="142BCE0A"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[Aphididae]</w:t>
            </w:r>
          </w:p>
          <w:p w14:paraId="6F8C0A01" w14:textId="77777777" w:rsidR="003438A2" w:rsidRPr="00095A7D" w:rsidRDefault="003438A2" w:rsidP="00881E29">
            <w:pPr>
              <w:spacing w:before="60" w:after="60" w:line="240" w:lineRule="auto"/>
              <w:rPr>
                <w:rFonts w:eastAsia="Calibri" w:cs="Times New Roman"/>
                <w:i/>
                <w:sz w:val="18"/>
                <w:szCs w:val="18"/>
                <w:lang w:val="pt-BR"/>
              </w:rPr>
            </w:pPr>
            <w:r w:rsidRPr="00095A7D">
              <w:rPr>
                <w:rFonts w:eastAsia="Calibri" w:cs="Times New Roman"/>
                <w:sz w:val="18"/>
                <w:szCs w:val="18"/>
              </w:rPr>
              <w:t>Apple aphid, Spirea aphid</w:t>
            </w:r>
          </w:p>
        </w:tc>
        <w:tc>
          <w:tcPr>
            <w:tcW w:w="1474" w:type="dxa"/>
            <w:shd w:val="clear" w:color="auto" w:fill="auto"/>
          </w:tcPr>
          <w:p w14:paraId="6A68C74A" w14:textId="77777777" w:rsidR="003438A2" w:rsidRDefault="003438A2" w:rsidP="008755BF">
            <w:pPr>
              <w:spacing w:before="60" w:after="60" w:line="240" w:lineRule="auto"/>
              <w:rPr>
                <w:noProof/>
                <w:sz w:val="18"/>
                <w:szCs w:val="18"/>
              </w:rPr>
            </w:pPr>
            <w:r w:rsidRPr="00095A7D">
              <w:rPr>
                <w:rFonts w:eastAsia="Calibri" w:cs="Times New Roman"/>
                <w:sz w:val="18"/>
                <w:szCs w:val="18"/>
              </w:rPr>
              <w:t xml:space="preserve">Yes. </w:t>
            </w:r>
            <w:r>
              <w:rPr>
                <w:rFonts w:eastAsia="Calibri" w:cs="Times New Roman"/>
                <w:sz w:val="18"/>
                <w:szCs w:val="18"/>
              </w:rPr>
              <w:t>Present in</w:t>
            </w:r>
            <w:r w:rsidRPr="00095A7D">
              <w:rPr>
                <w:rFonts w:eastAsia="Calibri" w:cs="Times New Roman"/>
                <w:sz w:val="18"/>
                <w:szCs w:val="18"/>
              </w:rPr>
              <w:t xml:space="preserve"> ID, OR</w:t>
            </w:r>
            <w:r>
              <w:rPr>
                <w:rFonts w:eastAsia="Calibri" w:cs="Times New Roman"/>
                <w:sz w:val="18"/>
                <w:szCs w:val="18"/>
              </w:rPr>
              <w:t xml:space="preserve"> and</w:t>
            </w:r>
            <w:r w:rsidRPr="00095A7D">
              <w:rPr>
                <w:rFonts w:eastAsia="Calibri" w:cs="Times New Roman"/>
                <w:sz w:val="18"/>
                <w:szCs w:val="18"/>
              </w:rPr>
              <w:t xml:space="preserve"> WA</w:t>
            </w:r>
            <w:r>
              <w:rPr>
                <w:rFonts w:eastAsia="Calibri" w:cs="Times New Roman"/>
                <w:sz w:val="18"/>
                <w:szCs w:val="18"/>
              </w:rPr>
              <w:t xml:space="preserve"> </w:t>
            </w:r>
            <w:r>
              <w:rPr>
                <w:noProof/>
                <w:sz w:val="18"/>
                <w:szCs w:val="18"/>
              </w:rPr>
              <w:t>(Beers, Hoyt &amp; Willett 1993; CABI 2022; Lowery et al. 2006; Smirle et al. 2010; Wiman &amp; Stoven 2021b)</w:t>
            </w:r>
          </w:p>
          <w:p w14:paraId="50B256B2" w14:textId="77777777" w:rsidR="003438A2" w:rsidRPr="00095A7D" w:rsidRDefault="003438A2" w:rsidP="008755BF">
            <w:pPr>
              <w:spacing w:before="60" w:after="60" w:line="240" w:lineRule="auto"/>
              <w:rPr>
                <w:rFonts w:eastAsia="Calibri" w:cs="Times New Roman"/>
                <w:sz w:val="18"/>
                <w:szCs w:val="18"/>
                <w:lang w:val="pt-BR"/>
              </w:rPr>
            </w:pPr>
          </w:p>
        </w:tc>
        <w:tc>
          <w:tcPr>
            <w:tcW w:w="1474" w:type="dxa"/>
            <w:shd w:val="clear" w:color="auto" w:fill="auto"/>
          </w:tcPr>
          <w:p w14:paraId="64B4CB52"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 xml:space="preserve">Yes. Records found throughout Australia except NT </w:t>
            </w:r>
            <w:r>
              <w:rPr>
                <w:rFonts w:eastAsia="Calibri" w:cs="Times New Roman"/>
                <w:noProof/>
                <w:sz w:val="18"/>
                <w:szCs w:val="18"/>
              </w:rPr>
              <w:t>(ALA 2018; Plant Health Australia 2018)</w:t>
            </w:r>
            <w:r>
              <w:rPr>
                <w:rFonts w:eastAsia="Calibri" w:cs="Times New Roman"/>
                <w:sz w:val="18"/>
                <w:szCs w:val="18"/>
              </w:rPr>
              <w:t xml:space="preserve">. </w:t>
            </w:r>
            <w:r w:rsidRPr="00BC49E1">
              <w:rPr>
                <w:rFonts w:eastAsia="Calibri" w:cs="Times New Roman"/>
                <w:sz w:val="18"/>
                <w:szCs w:val="18"/>
              </w:rPr>
              <w:t xml:space="preserve">Listed as a permitted organism </w:t>
            </w:r>
            <w:r>
              <w:rPr>
                <w:rFonts w:eastAsia="Calibri" w:cs="Times New Roman"/>
                <w:sz w:val="18"/>
                <w:szCs w:val="18"/>
              </w:rPr>
              <w:t xml:space="preserve">for WA </w:t>
            </w:r>
            <w:r>
              <w:rPr>
                <w:rFonts w:eastAsia="Calibri" w:cs="Times New Roman"/>
                <w:noProof/>
                <w:sz w:val="18"/>
                <w:szCs w:val="18"/>
              </w:rPr>
              <w:t>(Government of Western Australia 2020)</w:t>
            </w:r>
          </w:p>
        </w:tc>
        <w:tc>
          <w:tcPr>
            <w:tcW w:w="2552" w:type="dxa"/>
            <w:shd w:val="clear" w:color="auto" w:fill="auto"/>
          </w:tcPr>
          <w:p w14:paraId="06E8EEC5"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2381" w:type="dxa"/>
            <w:shd w:val="clear" w:color="auto" w:fill="auto"/>
          </w:tcPr>
          <w:p w14:paraId="311CB736"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2211" w:type="dxa"/>
            <w:shd w:val="clear" w:color="auto" w:fill="auto"/>
          </w:tcPr>
          <w:p w14:paraId="35AD5C93"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1191" w:type="dxa"/>
            <w:shd w:val="clear" w:color="auto" w:fill="auto"/>
          </w:tcPr>
          <w:p w14:paraId="56C53197"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No</w:t>
            </w:r>
          </w:p>
        </w:tc>
      </w:tr>
      <w:tr w:rsidR="003438A2" w:rsidRPr="00095A7D" w14:paraId="4A538779" w14:textId="77777777" w:rsidTr="00C4199F">
        <w:trPr>
          <w:cantSplit/>
          <w:trHeight w:val="75"/>
          <w:jc w:val="center"/>
        </w:trPr>
        <w:tc>
          <w:tcPr>
            <w:tcW w:w="2553" w:type="dxa"/>
            <w:shd w:val="clear" w:color="auto" w:fill="auto"/>
          </w:tcPr>
          <w:p w14:paraId="048856E7"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i/>
                <w:sz w:val="18"/>
                <w:szCs w:val="18"/>
              </w:rPr>
              <w:lastRenderedPageBreak/>
              <w:t>Boisea rubrolineata</w:t>
            </w:r>
            <w:r w:rsidRPr="00095A7D">
              <w:rPr>
                <w:rFonts w:eastAsia="Calibri" w:cs="Times New Roman"/>
                <w:sz w:val="18"/>
                <w:szCs w:val="18"/>
              </w:rPr>
              <w:t xml:space="preserve"> (Barber, 1956)</w:t>
            </w:r>
          </w:p>
          <w:p w14:paraId="7D7A92FD"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 xml:space="preserve">Synonym: </w:t>
            </w:r>
            <w:r w:rsidRPr="00095A7D">
              <w:rPr>
                <w:rFonts w:eastAsia="Calibri" w:cs="Times New Roman"/>
                <w:i/>
                <w:sz w:val="18"/>
                <w:szCs w:val="18"/>
              </w:rPr>
              <w:t>Leptocoris rubrolineatus</w:t>
            </w:r>
            <w:r w:rsidRPr="00095A7D">
              <w:rPr>
                <w:rFonts w:eastAsia="Calibri" w:cs="Times New Roman"/>
                <w:sz w:val="18"/>
                <w:szCs w:val="18"/>
              </w:rPr>
              <w:t xml:space="preserve"> Barber, 1956</w:t>
            </w:r>
          </w:p>
          <w:p w14:paraId="6265E127"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[Rhopalidae]</w:t>
            </w:r>
          </w:p>
          <w:p w14:paraId="797B8F13" w14:textId="77777777" w:rsidR="003438A2" w:rsidRPr="00095A7D" w:rsidRDefault="003438A2" w:rsidP="00881E29">
            <w:pPr>
              <w:spacing w:before="60" w:after="60" w:line="240" w:lineRule="auto"/>
              <w:rPr>
                <w:rFonts w:eastAsia="Calibri" w:cs="Times New Roman"/>
                <w:i/>
                <w:sz w:val="18"/>
                <w:szCs w:val="18"/>
                <w:lang w:val="pt-BR"/>
              </w:rPr>
            </w:pPr>
            <w:r w:rsidRPr="00095A7D">
              <w:rPr>
                <w:rFonts w:eastAsia="Calibri" w:cs="Times New Roman"/>
                <w:sz w:val="18"/>
                <w:szCs w:val="18"/>
              </w:rPr>
              <w:t>Western boxelder bug</w:t>
            </w:r>
          </w:p>
        </w:tc>
        <w:tc>
          <w:tcPr>
            <w:tcW w:w="1474" w:type="dxa"/>
            <w:shd w:val="clear" w:color="auto" w:fill="auto"/>
          </w:tcPr>
          <w:p w14:paraId="142CBA0D" w14:textId="77777777" w:rsidR="003438A2" w:rsidRPr="00095A7D" w:rsidRDefault="003438A2" w:rsidP="00881E29">
            <w:pPr>
              <w:spacing w:before="60" w:after="60" w:line="240" w:lineRule="auto"/>
              <w:rPr>
                <w:rFonts w:eastAsia="Calibri" w:cs="Times New Roman"/>
                <w:sz w:val="18"/>
                <w:szCs w:val="18"/>
                <w:lang w:val="pt-BR"/>
              </w:rPr>
            </w:pPr>
            <w:r w:rsidRPr="00095A7D">
              <w:rPr>
                <w:rFonts w:eastAsia="Calibri" w:cs="Times New Roman"/>
                <w:sz w:val="18"/>
                <w:szCs w:val="18"/>
              </w:rPr>
              <w:t xml:space="preserve">Yes. </w:t>
            </w:r>
            <w:r>
              <w:rPr>
                <w:rFonts w:eastAsia="Calibri" w:cs="Times New Roman"/>
                <w:sz w:val="18"/>
                <w:szCs w:val="18"/>
              </w:rPr>
              <w:t>Present in</w:t>
            </w:r>
            <w:r w:rsidRPr="00095A7D">
              <w:rPr>
                <w:rFonts w:eastAsia="Calibri" w:cs="Times New Roman"/>
                <w:sz w:val="18"/>
                <w:szCs w:val="18"/>
              </w:rPr>
              <w:t xml:space="preserve"> OR</w:t>
            </w:r>
            <w:r>
              <w:rPr>
                <w:rFonts w:eastAsia="Calibri" w:cs="Times New Roman"/>
                <w:sz w:val="18"/>
                <w:szCs w:val="18"/>
              </w:rPr>
              <w:t xml:space="preserve"> and</w:t>
            </w:r>
            <w:r w:rsidRPr="00095A7D">
              <w:rPr>
                <w:rFonts w:eastAsia="Calibri" w:cs="Times New Roman"/>
                <w:sz w:val="18"/>
                <w:szCs w:val="18"/>
              </w:rPr>
              <w:t xml:space="preserve"> WA </w:t>
            </w:r>
            <w:r>
              <w:rPr>
                <w:rFonts w:eastAsia="Calibri" w:cs="Times New Roman"/>
                <w:noProof/>
                <w:sz w:val="18"/>
                <w:szCs w:val="18"/>
              </w:rPr>
              <w:t>(Anthon 1993b; Cox 2004)</w:t>
            </w:r>
          </w:p>
        </w:tc>
        <w:tc>
          <w:tcPr>
            <w:tcW w:w="1474" w:type="dxa"/>
            <w:shd w:val="clear" w:color="auto" w:fill="auto"/>
          </w:tcPr>
          <w:p w14:paraId="12EA38CD"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No records found</w:t>
            </w:r>
          </w:p>
        </w:tc>
        <w:tc>
          <w:tcPr>
            <w:tcW w:w="2552" w:type="dxa"/>
            <w:shd w:val="clear" w:color="auto" w:fill="auto"/>
          </w:tcPr>
          <w:p w14:paraId="3E91CD2A"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 xml:space="preserve">No. Primary host is boxelder, but also </w:t>
            </w:r>
            <w:r>
              <w:rPr>
                <w:rFonts w:eastAsia="Calibri" w:cs="Times New Roman"/>
                <w:sz w:val="18"/>
                <w:szCs w:val="18"/>
              </w:rPr>
              <w:t xml:space="preserve">can </w:t>
            </w:r>
            <w:r w:rsidRPr="00095A7D">
              <w:rPr>
                <w:rFonts w:eastAsia="Calibri" w:cs="Times New Roman"/>
                <w:sz w:val="18"/>
                <w:szCs w:val="18"/>
              </w:rPr>
              <w:t>attack apple fruit</w:t>
            </w:r>
            <w:r>
              <w:rPr>
                <w:rFonts w:eastAsia="Calibri" w:cs="Times New Roman"/>
                <w:sz w:val="18"/>
                <w:szCs w:val="18"/>
              </w:rPr>
              <w:t>,</w:t>
            </w:r>
            <w:r w:rsidRPr="00095A7D">
              <w:rPr>
                <w:rFonts w:eastAsia="Calibri" w:cs="Times New Roman"/>
                <w:sz w:val="18"/>
                <w:szCs w:val="18"/>
              </w:rPr>
              <w:t xml:space="preserve"> causing dimples and deformations on fruit </w:t>
            </w:r>
            <w:r>
              <w:rPr>
                <w:rFonts w:eastAsia="Calibri" w:cs="Times New Roman"/>
                <w:noProof/>
                <w:sz w:val="18"/>
                <w:szCs w:val="18"/>
              </w:rPr>
              <w:t>(Anthon 1993b)</w:t>
            </w:r>
            <w:r w:rsidRPr="00095A7D">
              <w:rPr>
                <w:rFonts w:eastAsia="Calibri" w:cs="Times New Roman"/>
                <w:sz w:val="18"/>
                <w:szCs w:val="18"/>
              </w:rPr>
              <w:t>. Considered to be present on the fruit for short feeding periods only and would be disturbed</w:t>
            </w:r>
            <w:r>
              <w:rPr>
                <w:rFonts w:eastAsia="Calibri" w:cs="Times New Roman"/>
                <w:sz w:val="18"/>
                <w:szCs w:val="18"/>
              </w:rPr>
              <w:t xml:space="preserve">. Therefore, this </w:t>
            </w:r>
            <w:r w:rsidRPr="00576591">
              <w:rPr>
                <w:rFonts w:eastAsia="Calibri" w:cs="Times New Roman"/>
                <w:sz w:val="18"/>
                <w:szCs w:val="18"/>
              </w:rPr>
              <w:t>pest</w:t>
            </w:r>
            <w:r>
              <w:rPr>
                <w:rFonts w:eastAsia="Calibri" w:cs="Times New Roman"/>
                <w:sz w:val="18"/>
                <w:szCs w:val="18"/>
              </w:rPr>
              <w:t xml:space="preserve"> is</w:t>
            </w:r>
            <w:r w:rsidRPr="00576591">
              <w:rPr>
                <w:rFonts w:eastAsia="Calibri" w:cs="Times New Roman"/>
                <w:sz w:val="18"/>
                <w:szCs w:val="18"/>
              </w:rPr>
              <w:t xml:space="preserve"> highly unlikely </w:t>
            </w:r>
            <w:r>
              <w:rPr>
                <w:rFonts w:eastAsia="Calibri" w:cs="Times New Roman"/>
                <w:sz w:val="18"/>
                <w:szCs w:val="18"/>
              </w:rPr>
              <w:t xml:space="preserve">to be found on </w:t>
            </w:r>
            <w:r w:rsidRPr="00576591">
              <w:rPr>
                <w:rFonts w:eastAsia="Calibri" w:cs="Times New Roman"/>
                <w:sz w:val="18"/>
                <w:szCs w:val="18"/>
              </w:rPr>
              <w:t xml:space="preserve">commercially produced and processed apples, as </w:t>
            </w:r>
            <w:r>
              <w:rPr>
                <w:rFonts w:eastAsia="Calibri" w:cs="Times New Roman"/>
                <w:sz w:val="18"/>
                <w:szCs w:val="18"/>
              </w:rPr>
              <w:t>the pest will not remain on fruit</w:t>
            </w:r>
            <w:r w:rsidRPr="00E648AA">
              <w:rPr>
                <w:rFonts w:eastAsia="Calibri" w:cs="Times New Roman"/>
                <w:sz w:val="18"/>
                <w:szCs w:val="18"/>
              </w:rPr>
              <w:t xml:space="preserve"> </w:t>
            </w:r>
            <w:r w:rsidRPr="00576591">
              <w:rPr>
                <w:rFonts w:eastAsia="Calibri" w:cs="Times New Roman"/>
                <w:sz w:val="18"/>
                <w:szCs w:val="18"/>
              </w:rPr>
              <w:t>during the</w:t>
            </w:r>
            <w:r>
              <w:rPr>
                <w:rFonts w:eastAsia="Calibri" w:cs="Times New Roman"/>
                <w:sz w:val="18"/>
                <w:szCs w:val="18"/>
              </w:rPr>
              <w:t xml:space="preserve"> commercial</w:t>
            </w:r>
            <w:r w:rsidRPr="00576591">
              <w:rPr>
                <w:rFonts w:eastAsia="Calibri" w:cs="Times New Roman"/>
                <w:sz w:val="18"/>
                <w:szCs w:val="18"/>
              </w:rPr>
              <w:t xml:space="preserve"> harvest, sorting and packing process</w:t>
            </w:r>
            <w:r>
              <w:rPr>
                <w:rFonts w:eastAsia="Calibri" w:cs="Times New Roman"/>
                <w:sz w:val="18"/>
                <w:szCs w:val="18"/>
              </w:rPr>
              <w:t xml:space="preserve">es. </w:t>
            </w:r>
          </w:p>
        </w:tc>
        <w:tc>
          <w:tcPr>
            <w:tcW w:w="2381" w:type="dxa"/>
            <w:shd w:val="clear" w:color="auto" w:fill="auto"/>
          </w:tcPr>
          <w:p w14:paraId="7A78A30A"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2211" w:type="dxa"/>
            <w:shd w:val="clear" w:color="auto" w:fill="auto"/>
          </w:tcPr>
          <w:p w14:paraId="0113AE39"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1191" w:type="dxa"/>
            <w:shd w:val="clear" w:color="auto" w:fill="auto"/>
          </w:tcPr>
          <w:p w14:paraId="6B0F7049"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No</w:t>
            </w:r>
          </w:p>
        </w:tc>
      </w:tr>
      <w:tr w:rsidR="003438A2" w:rsidRPr="00095A7D" w14:paraId="66D071DF" w14:textId="77777777" w:rsidTr="00C4199F">
        <w:trPr>
          <w:cantSplit/>
          <w:trHeight w:val="75"/>
          <w:jc w:val="center"/>
        </w:trPr>
        <w:tc>
          <w:tcPr>
            <w:tcW w:w="2553" w:type="dxa"/>
            <w:shd w:val="clear" w:color="auto" w:fill="auto"/>
          </w:tcPr>
          <w:p w14:paraId="01810201"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i/>
                <w:sz w:val="18"/>
                <w:szCs w:val="18"/>
              </w:rPr>
              <w:t>Diaspidiotus perniciosus</w:t>
            </w:r>
            <w:r w:rsidRPr="00095A7D">
              <w:rPr>
                <w:rFonts w:eastAsia="Calibri" w:cs="Times New Roman"/>
                <w:sz w:val="18"/>
                <w:szCs w:val="18"/>
              </w:rPr>
              <w:t xml:space="preserve"> (Comstock, 1881)</w:t>
            </w:r>
          </w:p>
          <w:p w14:paraId="4D369A0F"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 xml:space="preserve">Synonym: </w:t>
            </w:r>
            <w:r w:rsidRPr="00095A7D">
              <w:rPr>
                <w:rFonts w:eastAsia="Calibri" w:cs="Times New Roman"/>
                <w:i/>
                <w:sz w:val="18"/>
                <w:szCs w:val="18"/>
              </w:rPr>
              <w:t>Quadraspidiotus</w:t>
            </w:r>
            <w:r w:rsidRPr="00095A7D">
              <w:rPr>
                <w:rFonts w:eastAsia="Calibri" w:cs="Times New Roman"/>
                <w:sz w:val="18"/>
                <w:szCs w:val="18"/>
              </w:rPr>
              <w:t xml:space="preserve"> </w:t>
            </w:r>
            <w:r w:rsidRPr="00095A7D">
              <w:rPr>
                <w:rFonts w:eastAsia="Calibri" w:cs="Times New Roman"/>
                <w:i/>
                <w:sz w:val="18"/>
                <w:szCs w:val="18"/>
              </w:rPr>
              <w:t>perniciosus</w:t>
            </w:r>
            <w:r w:rsidRPr="00095A7D">
              <w:rPr>
                <w:rFonts w:eastAsia="Calibri" w:cs="Times New Roman"/>
                <w:sz w:val="18"/>
                <w:szCs w:val="18"/>
              </w:rPr>
              <w:t xml:space="preserve"> (Comstock, 1881)</w:t>
            </w:r>
          </w:p>
          <w:p w14:paraId="42C1060B"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[Diaspididae]</w:t>
            </w:r>
          </w:p>
          <w:p w14:paraId="0211BC13" w14:textId="77777777" w:rsidR="003438A2" w:rsidRPr="00095A7D" w:rsidRDefault="003438A2" w:rsidP="00881E29">
            <w:pPr>
              <w:spacing w:before="60" w:after="60" w:line="240" w:lineRule="auto"/>
              <w:rPr>
                <w:rFonts w:eastAsia="Calibri" w:cs="Times New Roman"/>
                <w:i/>
                <w:sz w:val="18"/>
                <w:szCs w:val="18"/>
                <w:lang w:val="pt-BR"/>
              </w:rPr>
            </w:pPr>
            <w:r w:rsidRPr="00095A7D">
              <w:rPr>
                <w:rFonts w:eastAsia="Calibri" w:cs="Times New Roman"/>
                <w:sz w:val="18"/>
                <w:szCs w:val="18"/>
              </w:rPr>
              <w:t>San Jose scale; Californian scale</w:t>
            </w:r>
          </w:p>
        </w:tc>
        <w:tc>
          <w:tcPr>
            <w:tcW w:w="1474" w:type="dxa"/>
            <w:shd w:val="clear" w:color="auto" w:fill="auto"/>
          </w:tcPr>
          <w:p w14:paraId="7D68E3D7" w14:textId="77777777" w:rsidR="003438A2" w:rsidRDefault="003438A2" w:rsidP="00AE3F6F">
            <w:pPr>
              <w:spacing w:before="60" w:after="60" w:line="240" w:lineRule="auto"/>
              <w:rPr>
                <w:sz w:val="18"/>
                <w:szCs w:val="18"/>
              </w:rPr>
            </w:pPr>
            <w:r w:rsidRPr="00095A7D">
              <w:rPr>
                <w:rFonts w:eastAsia="Calibri" w:cs="Times New Roman"/>
                <w:sz w:val="18"/>
                <w:szCs w:val="18"/>
              </w:rPr>
              <w:t xml:space="preserve">Yes. </w:t>
            </w:r>
            <w:r>
              <w:rPr>
                <w:rFonts w:eastAsia="Calibri" w:cs="Times New Roman"/>
                <w:sz w:val="18"/>
                <w:szCs w:val="18"/>
              </w:rPr>
              <w:t xml:space="preserve">Present in </w:t>
            </w:r>
            <w:r w:rsidRPr="00095A7D">
              <w:rPr>
                <w:rFonts w:eastAsia="Calibri" w:cs="Times New Roman"/>
                <w:sz w:val="18"/>
                <w:szCs w:val="18"/>
              </w:rPr>
              <w:t>OR</w:t>
            </w:r>
            <w:r>
              <w:rPr>
                <w:rFonts w:eastAsia="Calibri" w:cs="Times New Roman"/>
                <w:sz w:val="18"/>
                <w:szCs w:val="18"/>
              </w:rPr>
              <w:t xml:space="preserve"> and</w:t>
            </w:r>
            <w:r w:rsidRPr="00095A7D">
              <w:rPr>
                <w:rFonts w:eastAsia="Calibri" w:cs="Times New Roman"/>
                <w:sz w:val="18"/>
                <w:szCs w:val="18"/>
              </w:rPr>
              <w:t xml:space="preserve"> WA</w:t>
            </w:r>
            <w:r>
              <w:rPr>
                <w:rFonts w:eastAsia="Calibri" w:cs="Times New Roman"/>
                <w:sz w:val="18"/>
                <w:szCs w:val="18"/>
              </w:rPr>
              <w:t xml:space="preserve"> </w:t>
            </w:r>
            <w:r>
              <w:rPr>
                <w:rFonts w:eastAsia="Calibri" w:cs="Times New Roman"/>
                <w:noProof/>
                <w:sz w:val="18"/>
                <w:szCs w:val="18"/>
              </w:rPr>
              <w:t>(CABI 2022)</w:t>
            </w:r>
          </w:p>
          <w:p w14:paraId="3BF99F20" w14:textId="77777777" w:rsidR="003438A2" w:rsidRPr="00095A7D" w:rsidRDefault="003438A2" w:rsidP="00881E29">
            <w:pPr>
              <w:spacing w:before="60" w:after="60" w:line="240" w:lineRule="auto"/>
              <w:rPr>
                <w:rFonts w:eastAsia="Calibri" w:cs="Times New Roman"/>
                <w:sz w:val="18"/>
                <w:szCs w:val="18"/>
                <w:lang w:val="pt-BR"/>
              </w:rPr>
            </w:pPr>
          </w:p>
        </w:tc>
        <w:tc>
          <w:tcPr>
            <w:tcW w:w="1474" w:type="dxa"/>
            <w:shd w:val="clear" w:color="auto" w:fill="auto"/>
          </w:tcPr>
          <w:p w14:paraId="725A6E4E"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Yes</w:t>
            </w:r>
            <w:r>
              <w:rPr>
                <w:rFonts w:eastAsia="Calibri" w:cs="Times New Roman"/>
                <w:sz w:val="18"/>
                <w:szCs w:val="18"/>
              </w:rPr>
              <w:t>.</w:t>
            </w:r>
            <w:r w:rsidRPr="00095A7D">
              <w:rPr>
                <w:rFonts w:eastAsia="Calibri" w:cs="Times New Roman"/>
                <w:sz w:val="18"/>
                <w:szCs w:val="18"/>
              </w:rPr>
              <w:t xml:space="preserve"> Present in WA, SA, NSW, Qld, Tas., Vic. </w:t>
            </w:r>
            <w:r>
              <w:rPr>
                <w:rFonts w:eastAsia="Calibri" w:cs="Times New Roman"/>
                <w:noProof/>
                <w:sz w:val="18"/>
                <w:szCs w:val="18"/>
              </w:rPr>
              <w:t>(Plant Health Australia 2018)</w:t>
            </w:r>
            <w:r w:rsidRPr="00095A7D">
              <w:rPr>
                <w:rFonts w:eastAsia="Calibri" w:cs="Times New Roman"/>
                <w:sz w:val="18"/>
                <w:szCs w:val="18"/>
              </w:rPr>
              <w:t>. Previously a quarantine pest for Tasmania</w:t>
            </w:r>
          </w:p>
        </w:tc>
        <w:tc>
          <w:tcPr>
            <w:tcW w:w="2552" w:type="dxa"/>
            <w:shd w:val="clear" w:color="auto" w:fill="auto"/>
          </w:tcPr>
          <w:p w14:paraId="1246A4D1"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2381" w:type="dxa"/>
            <w:shd w:val="clear" w:color="auto" w:fill="auto"/>
          </w:tcPr>
          <w:p w14:paraId="3B2DB0C8"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2211" w:type="dxa"/>
            <w:shd w:val="clear" w:color="auto" w:fill="auto"/>
          </w:tcPr>
          <w:p w14:paraId="62E3ADBD"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1191" w:type="dxa"/>
            <w:shd w:val="clear" w:color="auto" w:fill="auto"/>
          </w:tcPr>
          <w:p w14:paraId="538D17A2" w14:textId="77777777" w:rsidR="003438A2" w:rsidRPr="00694B96" w:rsidRDefault="003438A2" w:rsidP="00881E29">
            <w:pPr>
              <w:spacing w:before="60" w:after="60" w:line="240" w:lineRule="auto"/>
              <w:rPr>
                <w:rFonts w:eastAsia="Calibri" w:cs="Times New Roman"/>
                <w:sz w:val="18"/>
                <w:szCs w:val="18"/>
              </w:rPr>
            </w:pPr>
            <w:r w:rsidRPr="00694B96">
              <w:rPr>
                <w:rFonts w:eastAsia="Calibri" w:cs="Times New Roman"/>
                <w:sz w:val="18"/>
                <w:szCs w:val="18"/>
              </w:rPr>
              <w:t>No</w:t>
            </w:r>
          </w:p>
        </w:tc>
      </w:tr>
      <w:tr w:rsidR="003438A2" w:rsidRPr="00095A7D" w14:paraId="1DBF4DAF" w14:textId="77777777" w:rsidTr="00C4199F">
        <w:trPr>
          <w:cantSplit/>
          <w:trHeight w:val="75"/>
          <w:jc w:val="center"/>
        </w:trPr>
        <w:tc>
          <w:tcPr>
            <w:tcW w:w="2553" w:type="dxa"/>
            <w:shd w:val="clear" w:color="auto" w:fill="FFFFFF" w:themeFill="background1"/>
          </w:tcPr>
          <w:p w14:paraId="65AD77EA"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i/>
                <w:sz w:val="18"/>
                <w:szCs w:val="18"/>
              </w:rPr>
              <w:lastRenderedPageBreak/>
              <w:t xml:space="preserve">Dysaphis plantaginea </w:t>
            </w:r>
            <w:r w:rsidRPr="00095A7D">
              <w:rPr>
                <w:rFonts w:eastAsia="Calibri" w:cs="Times New Roman"/>
                <w:sz w:val="18"/>
                <w:szCs w:val="18"/>
              </w:rPr>
              <w:t>Passerini, 1860</w:t>
            </w:r>
          </w:p>
          <w:p w14:paraId="4ADE282B"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[Aphididae]</w:t>
            </w:r>
          </w:p>
          <w:p w14:paraId="47B7E37F" w14:textId="77777777" w:rsidR="003438A2" w:rsidRPr="00095A7D" w:rsidRDefault="003438A2" w:rsidP="00881E29">
            <w:pPr>
              <w:spacing w:before="60" w:after="60" w:line="240" w:lineRule="auto"/>
              <w:rPr>
                <w:rFonts w:eastAsia="Calibri" w:cs="Times New Roman"/>
                <w:i/>
                <w:sz w:val="18"/>
                <w:szCs w:val="18"/>
                <w:lang w:val="pt-BR"/>
              </w:rPr>
            </w:pPr>
            <w:r w:rsidRPr="00095A7D">
              <w:rPr>
                <w:rFonts w:eastAsia="Calibri" w:cs="Times New Roman"/>
                <w:sz w:val="18"/>
                <w:szCs w:val="18"/>
              </w:rPr>
              <w:t>Rosy apple aphid</w:t>
            </w:r>
          </w:p>
        </w:tc>
        <w:tc>
          <w:tcPr>
            <w:tcW w:w="1474" w:type="dxa"/>
            <w:shd w:val="clear" w:color="auto" w:fill="FFFFFF" w:themeFill="background1"/>
          </w:tcPr>
          <w:p w14:paraId="749F4BDC" w14:textId="77777777" w:rsidR="003438A2" w:rsidRDefault="003438A2" w:rsidP="00AE3F6F">
            <w:pPr>
              <w:spacing w:before="60" w:after="60" w:line="240" w:lineRule="auto"/>
              <w:rPr>
                <w:rFonts w:eastAsia="Calibri" w:cs="Times New Roman"/>
                <w:noProof/>
                <w:sz w:val="18"/>
                <w:szCs w:val="18"/>
              </w:rPr>
            </w:pPr>
            <w:r w:rsidRPr="002A3838">
              <w:rPr>
                <w:rFonts w:eastAsia="Calibri" w:cs="Times New Roman"/>
                <w:sz w:val="18"/>
                <w:szCs w:val="18"/>
              </w:rPr>
              <w:t>Yes. Present in ID, OR and WA</w:t>
            </w:r>
            <w:r>
              <w:rPr>
                <w:rFonts w:eastAsia="Calibri" w:cs="Times New Roman"/>
                <w:sz w:val="18"/>
                <w:szCs w:val="18"/>
              </w:rPr>
              <w:t xml:space="preserve"> </w:t>
            </w:r>
            <w:r>
              <w:rPr>
                <w:rFonts w:eastAsia="Calibri" w:cs="Times New Roman"/>
                <w:noProof/>
                <w:sz w:val="18"/>
                <w:szCs w:val="18"/>
              </w:rPr>
              <w:t>(APHIS 2007; CABI 2022; Wiman &amp; Stoven 2021b)</w:t>
            </w:r>
          </w:p>
          <w:p w14:paraId="1E2E3720" w14:textId="77777777" w:rsidR="003438A2" w:rsidRPr="002A3838" w:rsidRDefault="003438A2" w:rsidP="00AE3F6F">
            <w:pPr>
              <w:spacing w:before="60" w:after="60" w:line="240" w:lineRule="auto"/>
              <w:rPr>
                <w:rFonts w:eastAsia="Calibri" w:cs="Times New Roman"/>
                <w:sz w:val="18"/>
                <w:szCs w:val="18"/>
                <w:lang w:val="pt-BR"/>
              </w:rPr>
            </w:pPr>
          </w:p>
        </w:tc>
        <w:tc>
          <w:tcPr>
            <w:tcW w:w="1474" w:type="dxa"/>
            <w:shd w:val="clear" w:color="auto" w:fill="FFFFFF" w:themeFill="background1"/>
          </w:tcPr>
          <w:p w14:paraId="6E05985F" w14:textId="77777777" w:rsidR="003438A2" w:rsidRPr="002A3838" w:rsidRDefault="003438A2" w:rsidP="00881E29">
            <w:pPr>
              <w:spacing w:before="60" w:after="60" w:line="240" w:lineRule="auto"/>
              <w:rPr>
                <w:rFonts w:eastAsia="Calibri" w:cs="Times New Roman"/>
                <w:sz w:val="18"/>
                <w:szCs w:val="18"/>
              </w:rPr>
            </w:pPr>
            <w:r w:rsidRPr="002A3838">
              <w:rPr>
                <w:rFonts w:eastAsia="Calibri" w:cs="Times New Roman"/>
                <w:sz w:val="18"/>
                <w:szCs w:val="18"/>
              </w:rPr>
              <w:t>No records found</w:t>
            </w:r>
          </w:p>
        </w:tc>
        <w:tc>
          <w:tcPr>
            <w:tcW w:w="2552" w:type="dxa"/>
            <w:shd w:val="clear" w:color="auto" w:fill="FFFFFF" w:themeFill="background1"/>
          </w:tcPr>
          <w:p w14:paraId="67B354DE" w14:textId="77777777" w:rsidR="003438A2" w:rsidRPr="002A3838" w:rsidRDefault="003438A2" w:rsidP="005C1DB3">
            <w:pPr>
              <w:pStyle w:val="TableText"/>
            </w:pPr>
            <w:r w:rsidRPr="008D5A42">
              <w:t>No. Species feeds on apple leaves and young fruit in spring before migrating in summer as winged adults to alternate herbaceous hosts, such as broadleaf and narrowleaf plantain</w:t>
            </w:r>
            <w:r>
              <w:t xml:space="preserve"> </w:t>
            </w:r>
            <w:r>
              <w:rPr>
                <w:noProof/>
              </w:rPr>
              <w:t>(Beers &amp; Willett 2007)</w:t>
            </w:r>
            <w:r>
              <w:t xml:space="preserve">. </w:t>
            </w:r>
            <w:r w:rsidRPr="008D5A42">
              <w:t>Winged adults return to apple hosts in late autumn to mate and lay overwintering eggs on the bark of twigs and branches of apple trees. Although winged adults may return to apple hosts prior to fruit harvest, there is no evidence that this species feeds on apple fruit around harvest.</w:t>
            </w:r>
            <w:r>
              <w:t xml:space="preserve"> </w:t>
            </w:r>
          </w:p>
        </w:tc>
        <w:tc>
          <w:tcPr>
            <w:tcW w:w="2381" w:type="dxa"/>
            <w:shd w:val="clear" w:color="auto" w:fill="FFFFFF" w:themeFill="background1"/>
          </w:tcPr>
          <w:p w14:paraId="65CBB944"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2211" w:type="dxa"/>
            <w:shd w:val="clear" w:color="auto" w:fill="FFFFFF" w:themeFill="background1"/>
          </w:tcPr>
          <w:p w14:paraId="538F3FC4"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1191" w:type="dxa"/>
            <w:shd w:val="clear" w:color="auto" w:fill="FFFFFF" w:themeFill="background1"/>
          </w:tcPr>
          <w:p w14:paraId="398E28C8"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No</w:t>
            </w:r>
          </w:p>
        </w:tc>
      </w:tr>
      <w:tr w:rsidR="003438A2" w:rsidRPr="00095A7D" w14:paraId="0EC25940" w14:textId="77777777" w:rsidTr="00C4199F">
        <w:trPr>
          <w:cantSplit/>
          <w:trHeight w:val="75"/>
          <w:jc w:val="center"/>
        </w:trPr>
        <w:tc>
          <w:tcPr>
            <w:tcW w:w="2553" w:type="dxa"/>
            <w:shd w:val="clear" w:color="auto" w:fill="FFFFFF" w:themeFill="background1"/>
          </w:tcPr>
          <w:p w14:paraId="4F1401EC"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i/>
                <w:sz w:val="18"/>
                <w:szCs w:val="18"/>
              </w:rPr>
              <w:t>Edwardsiana rosae</w:t>
            </w:r>
            <w:r w:rsidRPr="00095A7D">
              <w:rPr>
                <w:rFonts w:eastAsia="Calibri" w:cs="Times New Roman"/>
                <w:sz w:val="18"/>
                <w:szCs w:val="18"/>
              </w:rPr>
              <w:t xml:space="preserve"> (Linnaeus, 1758)</w:t>
            </w:r>
          </w:p>
          <w:p w14:paraId="4D9AA249"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[Cicadellidae]</w:t>
            </w:r>
          </w:p>
          <w:p w14:paraId="4050A568" w14:textId="77777777" w:rsidR="003438A2" w:rsidRPr="00095A7D" w:rsidRDefault="003438A2" w:rsidP="00881E29">
            <w:pPr>
              <w:spacing w:before="60" w:after="60" w:line="240" w:lineRule="auto"/>
              <w:rPr>
                <w:rFonts w:eastAsia="Calibri" w:cs="Times New Roman"/>
                <w:i/>
                <w:sz w:val="18"/>
                <w:szCs w:val="18"/>
              </w:rPr>
            </w:pPr>
            <w:r w:rsidRPr="00095A7D">
              <w:rPr>
                <w:rFonts w:eastAsia="Calibri" w:cs="Times New Roman"/>
                <w:sz w:val="18"/>
                <w:szCs w:val="18"/>
              </w:rPr>
              <w:t>Rose leafhopper</w:t>
            </w:r>
          </w:p>
        </w:tc>
        <w:tc>
          <w:tcPr>
            <w:tcW w:w="1474" w:type="dxa"/>
            <w:shd w:val="clear" w:color="auto" w:fill="FFFFFF" w:themeFill="background1"/>
          </w:tcPr>
          <w:p w14:paraId="70E66D48"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 xml:space="preserve">Yes. </w:t>
            </w:r>
            <w:r>
              <w:rPr>
                <w:rFonts w:eastAsia="Calibri" w:cs="Times New Roman"/>
                <w:sz w:val="18"/>
                <w:szCs w:val="18"/>
              </w:rPr>
              <w:t>Present in</w:t>
            </w:r>
            <w:r w:rsidRPr="00095A7D">
              <w:rPr>
                <w:rFonts w:eastAsia="Calibri" w:cs="Times New Roman"/>
                <w:sz w:val="18"/>
                <w:szCs w:val="18"/>
              </w:rPr>
              <w:t xml:space="preserve"> OR</w:t>
            </w:r>
            <w:r>
              <w:rPr>
                <w:rFonts w:eastAsia="Calibri" w:cs="Times New Roman"/>
                <w:sz w:val="18"/>
                <w:szCs w:val="18"/>
              </w:rPr>
              <w:t xml:space="preserve"> and</w:t>
            </w:r>
            <w:r w:rsidRPr="00095A7D">
              <w:rPr>
                <w:rFonts w:eastAsia="Calibri" w:cs="Times New Roman"/>
                <w:sz w:val="18"/>
                <w:szCs w:val="18"/>
              </w:rPr>
              <w:t xml:space="preserve"> WA </w:t>
            </w:r>
            <w:r>
              <w:rPr>
                <w:rFonts w:eastAsia="Calibri" w:cs="Times New Roman"/>
                <w:noProof/>
                <w:sz w:val="18"/>
                <w:szCs w:val="18"/>
              </w:rPr>
              <w:t>(APHIS 2007)</w:t>
            </w:r>
          </w:p>
        </w:tc>
        <w:tc>
          <w:tcPr>
            <w:tcW w:w="1474" w:type="dxa"/>
            <w:shd w:val="clear" w:color="auto" w:fill="FFFFFF" w:themeFill="background1"/>
          </w:tcPr>
          <w:p w14:paraId="52FB4F94"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No records found</w:t>
            </w:r>
          </w:p>
        </w:tc>
        <w:tc>
          <w:tcPr>
            <w:tcW w:w="2552" w:type="dxa"/>
            <w:shd w:val="clear" w:color="auto" w:fill="FFFFFF" w:themeFill="background1"/>
          </w:tcPr>
          <w:p w14:paraId="0E28B450" w14:textId="77777777" w:rsidR="003438A2" w:rsidRPr="00833530" w:rsidRDefault="003438A2" w:rsidP="00881E29">
            <w:pPr>
              <w:spacing w:before="60" w:after="60" w:line="240" w:lineRule="auto"/>
              <w:rPr>
                <w:rFonts w:eastAsia="Calibri" w:cs="Times New Roman"/>
                <w:sz w:val="18"/>
                <w:szCs w:val="18"/>
              </w:rPr>
            </w:pPr>
            <w:r w:rsidRPr="00095A7D">
              <w:rPr>
                <w:rFonts w:eastAsia="Calibri" w:cs="Times New Roman"/>
                <w:sz w:val="18"/>
                <w:szCs w:val="18"/>
              </w:rPr>
              <w:t xml:space="preserve">No. Does not occur on fruit; leafhoppers are highly active insects that take evasive action when disturbed </w:t>
            </w:r>
            <w:r>
              <w:rPr>
                <w:rFonts w:eastAsia="Calibri" w:cs="Times New Roman"/>
                <w:noProof/>
                <w:sz w:val="18"/>
                <w:szCs w:val="18"/>
              </w:rPr>
              <w:t>(APHIS 2007)</w:t>
            </w:r>
            <w:r w:rsidRPr="00095A7D">
              <w:rPr>
                <w:rFonts w:eastAsia="Calibri" w:cs="Times New Roman"/>
                <w:sz w:val="18"/>
                <w:szCs w:val="18"/>
              </w:rPr>
              <w:t xml:space="preserve"> and therefore would not be associated with harvested apples. This species overwinters as eggs on the stem of roses</w:t>
            </w:r>
            <w:r>
              <w:rPr>
                <w:rFonts w:eastAsia="Calibri" w:cs="Times New Roman"/>
                <w:sz w:val="18"/>
                <w:szCs w:val="18"/>
              </w:rPr>
              <w:t>,</w:t>
            </w:r>
            <w:r w:rsidRPr="00095A7D">
              <w:rPr>
                <w:rFonts w:eastAsia="Calibri" w:cs="Times New Roman"/>
                <w:sz w:val="18"/>
                <w:szCs w:val="18"/>
              </w:rPr>
              <w:t xml:space="preserve"> moving in the second and third generations to the tree fruit host to feed on leaves </w:t>
            </w:r>
            <w:r>
              <w:rPr>
                <w:rFonts w:eastAsia="Calibri" w:cs="Times New Roman"/>
                <w:noProof/>
                <w:sz w:val="18"/>
                <w:szCs w:val="18"/>
              </w:rPr>
              <w:t>(Beers &amp; Elsner 1993)</w:t>
            </w:r>
            <w:r w:rsidRPr="00095A7D">
              <w:rPr>
                <w:rFonts w:eastAsia="Calibri" w:cs="Times New Roman"/>
                <w:sz w:val="18"/>
                <w:szCs w:val="18"/>
              </w:rPr>
              <w:t>.</w:t>
            </w:r>
            <w:r>
              <w:rPr>
                <w:rFonts w:eastAsia="Calibri" w:cs="Times New Roman"/>
                <w:sz w:val="18"/>
                <w:szCs w:val="18"/>
              </w:rPr>
              <w:t xml:space="preserve"> This </w:t>
            </w:r>
            <w:r w:rsidRPr="00576591">
              <w:rPr>
                <w:rFonts w:eastAsia="Calibri" w:cs="Times New Roman"/>
                <w:sz w:val="18"/>
                <w:szCs w:val="18"/>
              </w:rPr>
              <w:t>pest</w:t>
            </w:r>
            <w:r>
              <w:rPr>
                <w:rFonts w:eastAsia="Calibri" w:cs="Times New Roman"/>
                <w:sz w:val="18"/>
                <w:szCs w:val="18"/>
              </w:rPr>
              <w:t xml:space="preserve"> is</w:t>
            </w:r>
            <w:r w:rsidRPr="00576591">
              <w:rPr>
                <w:rFonts w:eastAsia="Calibri" w:cs="Times New Roman"/>
                <w:sz w:val="18"/>
                <w:szCs w:val="18"/>
              </w:rPr>
              <w:t xml:space="preserve"> highly unlikely </w:t>
            </w:r>
            <w:r>
              <w:rPr>
                <w:rFonts w:eastAsia="Calibri" w:cs="Times New Roman"/>
                <w:sz w:val="18"/>
                <w:szCs w:val="18"/>
              </w:rPr>
              <w:t xml:space="preserve">to be found on </w:t>
            </w:r>
            <w:r w:rsidRPr="00576591">
              <w:rPr>
                <w:rFonts w:eastAsia="Calibri" w:cs="Times New Roman"/>
                <w:sz w:val="18"/>
                <w:szCs w:val="18"/>
              </w:rPr>
              <w:t xml:space="preserve">commercially produced and processed apples, as </w:t>
            </w:r>
            <w:r>
              <w:rPr>
                <w:rFonts w:eastAsia="Calibri" w:cs="Times New Roman"/>
                <w:sz w:val="18"/>
                <w:szCs w:val="18"/>
              </w:rPr>
              <w:t>the pest will not remain on fruit</w:t>
            </w:r>
            <w:r w:rsidRPr="00E648AA">
              <w:rPr>
                <w:rFonts w:eastAsia="Calibri" w:cs="Times New Roman"/>
                <w:sz w:val="18"/>
                <w:szCs w:val="18"/>
              </w:rPr>
              <w:t xml:space="preserve"> </w:t>
            </w:r>
            <w:r w:rsidRPr="00576591">
              <w:rPr>
                <w:rFonts w:eastAsia="Calibri" w:cs="Times New Roman"/>
                <w:sz w:val="18"/>
                <w:szCs w:val="18"/>
              </w:rPr>
              <w:t>during the harvest, sorting and packing process</w:t>
            </w:r>
            <w:r>
              <w:rPr>
                <w:rFonts w:eastAsia="Calibri" w:cs="Times New Roman"/>
                <w:sz w:val="18"/>
                <w:szCs w:val="18"/>
              </w:rPr>
              <w:t>es.</w:t>
            </w:r>
          </w:p>
        </w:tc>
        <w:tc>
          <w:tcPr>
            <w:tcW w:w="2381" w:type="dxa"/>
            <w:shd w:val="clear" w:color="auto" w:fill="FFFFFF" w:themeFill="background1"/>
          </w:tcPr>
          <w:p w14:paraId="4A9A28D8"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2211" w:type="dxa"/>
            <w:shd w:val="clear" w:color="auto" w:fill="FFFFFF" w:themeFill="background1"/>
          </w:tcPr>
          <w:p w14:paraId="171DC0C3"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1191" w:type="dxa"/>
            <w:shd w:val="clear" w:color="auto" w:fill="FFFFFF" w:themeFill="background1"/>
          </w:tcPr>
          <w:p w14:paraId="6B78A798"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No</w:t>
            </w:r>
          </w:p>
        </w:tc>
      </w:tr>
      <w:tr w:rsidR="003438A2" w:rsidRPr="00095A7D" w14:paraId="4479FDD4" w14:textId="77777777" w:rsidTr="00AE3F6F">
        <w:trPr>
          <w:cantSplit/>
          <w:trHeight w:val="1174"/>
          <w:jc w:val="center"/>
        </w:trPr>
        <w:tc>
          <w:tcPr>
            <w:tcW w:w="2553" w:type="dxa"/>
            <w:shd w:val="clear" w:color="auto" w:fill="FFFFFF" w:themeFill="background1"/>
          </w:tcPr>
          <w:p w14:paraId="50E6966F"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i/>
                <w:sz w:val="18"/>
                <w:szCs w:val="18"/>
              </w:rPr>
              <w:lastRenderedPageBreak/>
              <w:t xml:space="preserve">Empoasca fabae </w:t>
            </w:r>
            <w:r w:rsidRPr="00095A7D">
              <w:rPr>
                <w:rFonts w:eastAsia="Calibri" w:cs="Times New Roman"/>
                <w:sz w:val="18"/>
                <w:szCs w:val="18"/>
              </w:rPr>
              <w:t>(Harris, 1841)</w:t>
            </w:r>
          </w:p>
          <w:p w14:paraId="39260448"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[Cicadellidae]</w:t>
            </w:r>
          </w:p>
          <w:p w14:paraId="027EFD7A" w14:textId="77777777" w:rsidR="003438A2" w:rsidRPr="00095A7D" w:rsidRDefault="003438A2" w:rsidP="00881E29">
            <w:pPr>
              <w:spacing w:before="60" w:after="60" w:line="240" w:lineRule="auto"/>
              <w:rPr>
                <w:rFonts w:eastAsia="Calibri" w:cs="Times New Roman"/>
                <w:i/>
                <w:sz w:val="18"/>
                <w:szCs w:val="18"/>
                <w:lang w:val="pt-BR"/>
              </w:rPr>
            </w:pPr>
            <w:r w:rsidRPr="00095A7D">
              <w:rPr>
                <w:rFonts w:eastAsia="Calibri" w:cs="Times New Roman"/>
                <w:sz w:val="18"/>
                <w:szCs w:val="18"/>
              </w:rPr>
              <w:t>Potato leafhopper</w:t>
            </w:r>
          </w:p>
        </w:tc>
        <w:tc>
          <w:tcPr>
            <w:tcW w:w="1474" w:type="dxa"/>
            <w:shd w:val="clear" w:color="auto" w:fill="FFFFFF" w:themeFill="background1"/>
          </w:tcPr>
          <w:p w14:paraId="5CCED117" w14:textId="77777777" w:rsidR="003438A2" w:rsidRPr="00095A7D" w:rsidRDefault="003438A2" w:rsidP="00881E29">
            <w:pPr>
              <w:spacing w:before="60" w:after="60" w:line="240" w:lineRule="auto"/>
              <w:rPr>
                <w:rFonts w:eastAsia="Calibri" w:cs="Times New Roman"/>
                <w:sz w:val="18"/>
                <w:szCs w:val="18"/>
                <w:lang w:val="pt-BR"/>
              </w:rPr>
            </w:pPr>
            <w:r w:rsidRPr="00095A7D">
              <w:rPr>
                <w:rFonts w:eastAsia="Calibri" w:cs="Times New Roman"/>
                <w:sz w:val="18"/>
                <w:szCs w:val="18"/>
              </w:rPr>
              <w:t xml:space="preserve">Yes. </w:t>
            </w:r>
            <w:r>
              <w:rPr>
                <w:rFonts w:eastAsia="Calibri" w:cs="Times New Roman"/>
                <w:sz w:val="18"/>
                <w:szCs w:val="18"/>
              </w:rPr>
              <w:t>Present in</w:t>
            </w:r>
            <w:r w:rsidRPr="00095A7D">
              <w:rPr>
                <w:rFonts w:eastAsia="Calibri" w:cs="Times New Roman"/>
                <w:sz w:val="18"/>
                <w:szCs w:val="18"/>
              </w:rPr>
              <w:t xml:space="preserve"> ID</w:t>
            </w:r>
            <w:r>
              <w:rPr>
                <w:rFonts w:eastAsia="Calibri" w:cs="Times New Roman"/>
                <w:sz w:val="18"/>
                <w:szCs w:val="18"/>
              </w:rPr>
              <w:t xml:space="preserve"> </w:t>
            </w:r>
            <w:r>
              <w:rPr>
                <w:rFonts w:eastAsia="Calibri" w:cs="Times New Roman"/>
                <w:noProof/>
                <w:sz w:val="18"/>
                <w:szCs w:val="18"/>
              </w:rPr>
              <w:t>(CABI 2022)</w:t>
            </w:r>
          </w:p>
        </w:tc>
        <w:tc>
          <w:tcPr>
            <w:tcW w:w="1474" w:type="dxa"/>
            <w:shd w:val="clear" w:color="auto" w:fill="FFFFFF" w:themeFill="background1"/>
          </w:tcPr>
          <w:p w14:paraId="053839CD"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No records found</w:t>
            </w:r>
          </w:p>
        </w:tc>
        <w:tc>
          <w:tcPr>
            <w:tcW w:w="2552" w:type="dxa"/>
            <w:shd w:val="clear" w:color="auto" w:fill="FFFFFF" w:themeFill="background1"/>
          </w:tcPr>
          <w:p w14:paraId="590E1ACE"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Arial"/>
                <w:sz w:val="18"/>
                <w:szCs w:val="18"/>
              </w:rPr>
              <w:t xml:space="preserve">No. Feeds on vascular tissue of growing shoot tips such as </w:t>
            </w:r>
            <w:r w:rsidRPr="00095A7D">
              <w:rPr>
                <w:rFonts w:eastAsia="Calibri" w:cs="Times New Roman"/>
                <w:sz w:val="18"/>
                <w:szCs w:val="18"/>
              </w:rPr>
              <w:t xml:space="preserve">young apple tree leaves </w:t>
            </w:r>
            <w:r>
              <w:rPr>
                <w:rFonts w:eastAsia="Calibri" w:cs="Times New Roman"/>
                <w:noProof/>
                <w:sz w:val="18"/>
                <w:szCs w:val="18"/>
              </w:rPr>
              <w:t>(Pfeiffer, Killian &amp; Yoder 1999)</w:t>
            </w:r>
            <w:r>
              <w:rPr>
                <w:rFonts w:eastAsia="Calibri" w:cs="Arial"/>
                <w:sz w:val="18"/>
                <w:szCs w:val="18"/>
              </w:rPr>
              <w:t xml:space="preserve"> </w:t>
            </w:r>
          </w:p>
        </w:tc>
        <w:tc>
          <w:tcPr>
            <w:tcW w:w="2381" w:type="dxa"/>
            <w:shd w:val="clear" w:color="auto" w:fill="FFFFFF" w:themeFill="background1"/>
          </w:tcPr>
          <w:p w14:paraId="0D27268F"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2211" w:type="dxa"/>
            <w:shd w:val="clear" w:color="auto" w:fill="FFFFFF" w:themeFill="background1"/>
          </w:tcPr>
          <w:p w14:paraId="31FEE7A2"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1191" w:type="dxa"/>
            <w:shd w:val="clear" w:color="auto" w:fill="FFFFFF" w:themeFill="background1"/>
          </w:tcPr>
          <w:p w14:paraId="1B0907B9"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No</w:t>
            </w:r>
          </w:p>
        </w:tc>
      </w:tr>
      <w:tr w:rsidR="003438A2" w:rsidRPr="00095A7D" w14:paraId="03A94FAB" w14:textId="77777777" w:rsidTr="00C4199F">
        <w:trPr>
          <w:cantSplit/>
          <w:trHeight w:val="75"/>
          <w:jc w:val="center"/>
        </w:trPr>
        <w:tc>
          <w:tcPr>
            <w:tcW w:w="2553" w:type="dxa"/>
            <w:shd w:val="clear" w:color="auto" w:fill="auto"/>
          </w:tcPr>
          <w:p w14:paraId="170B7BA5"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i/>
                <w:sz w:val="18"/>
                <w:szCs w:val="18"/>
              </w:rPr>
              <w:t xml:space="preserve">Eriosoma lanigerum </w:t>
            </w:r>
            <w:r w:rsidRPr="00095A7D">
              <w:rPr>
                <w:rFonts w:eastAsia="Calibri" w:cs="Times New Roman"/>
                <w:sz w:val="18"/>
                <w:szCs w:val="18"/>
              </w:rPr>
              <w:t>(Hausmann, 1802)</w:t>
            </w:r>
          </w:p>
          <w:p w14:paraId="2E932350"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[Aphididae]</w:t>
            </w:r>
          </w:p>
          <w:p w14:paraId="5DBE7AA5" w14:textId="77777777" w:rsidR="003438A2" w:rsidRPr="00095A7D" w:rsidRDefault="003438A2" w:rsidP="00881E29">
            <w:pPr>
              <w:spacing w:before="60" w:after="60" w:line="240" w:lineRule="auto"/>
              <w:rPr>
                <w:rFonts w:eastAsia="Calibri" w:cs="Times New Roman"/>
                <w:i/>
                <w:sz w:val="18"/>
                <w:szCs w:val="18"/>
                <w:lang w:val="pt-BR"/>
              </w:rPr>
            </w:pPr>
            <w:r w:rsidRPr="00095A7D">
              <w:rPr>
                <w:rFonts w:eastAsia="Calibri" w:cs="Times New Roman"/>
                <w:sz w:val="18"/>
                <w:szCs w:val="18"/>
              </w:rPr>
              <w:t>Woolly apple aphid</w:t>
            </w:r>
          </w:p>
        </w:tc>
        <w:tc>
          <w:tcPr>
            <w:tcW w:w="1474" w:type="dxa"/>
            <w:shd w:val="clear" w:color="auto" w:fill="auto"/>
          </w:tcPr>
          <w:p w14:paraId="6F73E9D3" w14:textId="77777777" w:rsidR="003438A2" w:rsidRDefault="003438A2" w:rsidP="00AE3F6F">
            <w:pPr>
              <w:spacing w:before="60" w:after="60" w:line="240" w:lineRule="auto"/>
              <w:rPr>
                <w:rFonts w:eastAsia="Calibri" w:cs="Times New Roman"/>
                <w:noProof/>
                <w:sz w:val="18"/>
                <w:szCs w:val="18"/>
              </w:rPr>
            </w:pPr>
            <w:r w:rsidRPr="00095A7D">
              <w:rPr>
                <w:rFonts w:eastAsia="Calibri" w:cs="Times New Roman"/>
                <w:sz w:val="18"/>
                <w:szCs w:val="18"/>
              </w:rPr>
              <w:t xml:space="preserve">Yes. </w:t>
            </w:r>
            <w:r>
              <w:rPr>
                <w:rFonts w:eastAsia="Calibri" w:cs="Times New Roman"/>
                <w:sz w:val="18"/>
                <w:szCs w:val="18"/>
              </w:rPr>
              <w:t>Present in</w:t>
            </w:r>
            <w:r w:rsidRPr="00095A7D">
              <w:rPr>
                <w:rFonts w:eastAsia="Calibri" w:cs="Times New Roman"/>
                <w:sz w:val="18"/>
                <w:szCs w:val="18"/>
              </w:rPr>
              <w:t xml:space="preserve"> ID, OR</w:t>
            </w:r>
            <w:r>
              <w:rPr>
                <w:rFonts w:eastAsia="Calibri" w:cs="Times New Roman"/>
                <w:sz w:val="18"/>
                <w:szCs w:val="18"/>
              </w:rPr>
              <w:t xml:space="preserve"> and</w:t>
            </w:r>
            <w:r w:rsidRPr="00095A7D">
              <w:rPr>
                <w:rFonts w:eastAsia="Calibri" w:cs="Times New Roman"/>
                <w:sz w:val="18"/>
                <w:szCs w:val="18"/>
              </w:rPr>
              <w:t xml:space="preserve"> WA</w:t>
            </w:r>
            <w:r>
              <w:rPr>
                <w:rFonts w:eastAsia="Calibri" w:cs="Times New Roman"/>
                <w:sz w:val="18"/>
                <w:szCs w:val="18"/>
              </w:rPr>
              <w:t xml:space="preserve"> </w:t>
            </w:r>
            <w:r>
              <w:rPr>
                <w:rFonts w:eastAsia="Calibri" w:cs="Times New Roman"/>
                <w:noProof/>
                <w:sz w:val="18"/>
                <w:szCs w:val="18"/>
              </w:rPr>
              <w:t>(APHIS 2007; CABI 2022)</w:t>
            </w:r>
          </w:p>
          <w:p w14:paraId="4CDE3458" w14:textId="77777777" w:rsidR="003438A2" w:rsidRPr="00095A7D" w:rsidRDefault="003438A2" w:rsidP="00881E29">
            <w:pPr>
              <w:spacing w:before="60" w:after="60" w:line="240" w:lineRule="auto"/>
              <w:rPr>
                <w:rFonts w:eastAsia="Calibri" w:cs="Times New Roman"/>
                <w:sz w:val="18"/>
                <w:szCs w:val="18"/>
                <w:lang w:val="pt-BR"/>
              </w:rPr>
            </w:pPr>
          </w:p>
        </w:tc>
        <w:tc>
          <w:tcPr>
            <w:tcW w:w="1474" w:type="dxa"/>
            <w:shd w:val="clear" w:color="auto" w:fill="auto"/>
          </w:tcPr>
          <w:p w14:paraId="038AF501" w14:textId="77777777" w:rsidR="003438A2" w:rsidRPr="00095A7D" w:rsidRDefault="003438A2" w:rsidP="00881E29">
            <w:pPr>
              <w:spacing w:before="60" w:after="60" w:line="240" w:lineRule="auto"/>
              <w:rPr>
                <w:rFonts w:eastAsia="Calibri" w:cs="Times New Roman"/>
                <w:sz w:val="18"/>
                <w:szCs w:val="18"/>
              </w:rPr>
            </w:pPr>
            <w:r w:rsidRPr="00833530">
              <w:rPr>
                <w:rFonts w:eastAsia="Calibri" w:cs="Times New Roman"/>
                <w:sz w:val="18"/>
                <w:szCs w:val="18"/>
              </w:rPr>
              <w:t xml:space="preserve">Yes. </w:t>
            </w:r>
            <w:r>
              <w:rPr>
                <w:rFonts w:eastAsia="Calibri" w:cs="Times New Roman"/>
                <w:sz w:val="18"/>
                <w:szCs w:val="18"/>
              </w:rPr>
              <w:t xml:space="preserve">Present in </w:t>
            </w:r>
            <w:r w:rsidRPr="00833530">
              <w:rPr>
                <w:rFonts w:eastAsia="Calibri" w:cs="Times New Roman"/>
                <w:sz w:val="18"/>
                <w:szCs w:val="18"/>
              </w:rPr>
              <w:t>ACT, NSW, Tas., Vic.</w:t>
            </w:r>
            <w:r>
              <w:rPr>
                <w:rFonts w:eastAsia="Calibri" w:cs="Times New Roman"/>
                <w:sz w:val="18"/>
                <w:szCs w:val="18"/>
              </w:rPr>
              <w:t>,</w:t>
            </w:r>
            <w:r w:rsidRPr="00833530">
              <w:rPr>
                <w:rFonts w:eastAsia="Calibri" w:cs="Times New Roman"/>
                <w:sz w:val="18"/>
                <w:szCs w:val="18"/>
              </w:rPr>
              <w:t xml:space="preserve"> WA</w:t>
            </w:r>
            <w:r>
              <w:rPr>
                <w:rFonts w:eastAsia="Calibri" w:cs="Times New Roman"/>
                <w:sz w:val="18"/>
                <w:szCs w:val="18"/>
              </w:rPr>
              <w:t xml:space="preserve"> </w:t>
            </w:r>
            <w:r>
              <w:rPr>
                <w:rFonts w:eastAsia="Calibri" w:cs="Times New Roman"/>
                <w:noProof/>
                <w:sz w:val="18"/>
                <w:szCs w:val="18"/>
              </w:rPr>
              <w:t>(Government of Western Australia 2020; Hollis &amp; Eastop 2005; Plant Health Australia 2018)</w:t>
            </w:r>
            <w:r w:rsidRPr="00833530">
              <w:rPr>
                <w:rFonts w:eastAsia="Calibri" w:cs="Times New Roman"/>
                <w:sz w:val="18"/>
                <w:szCs w:val="18"/>
              </w:rPr>
              <w:t xml:space="preserve"> </w:t>
            </w:r>
          </w:p>
        </w:tc>
        <w:tc>
          <w:tcPr>
            <w:tcW w:w="2552" w:type="dxa"/>
            <w:shd w:val="clear" w:color="auto" w:fill="auto"/>
          </w:tcPr>
          <w:p w14:paraId="04E5E376"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2381" w:type="dxa"/>
            <w:shd w:val="clear" w:color="auto" w:fill="auto"/>
          </w:tcPr>
          <w:p w14:paraId="0253CCE9"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2211" w:type="dxa"/>
            <w:shd w:val="clear" w:color="auto" w:fill="auto"/>
          </w:tcPr>
          <w:p w14:paraId="63E8AC1B"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1191" w:type="dxa"/>
            <w:shd w:val="clear" w:color="auto" w:fill="auto"/>
          </w:tcPr>
          <w:p w14:paraId="701F811E"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No</w:t>
            </w:r>
          </w:p>
        </w:tc>
      </w:tr>
      <w:tr w:rsidR="003438A2" w:rsidRPr="00095A7D" w14:paraId="25E023B9" w14:textId="77777777" w:rsidTr="00C4199F">
        <w:trPr>
          <w:cantSplit/>
          <w:trHeight w:val="75"/>
          <w:jc w:val="center"/>
        </w:trPr>
        <w:tc>
          <w:tcPr>
            <w:tcW w:w="2553" w:type="dxa"/>
            <w:shd w:val="clear" w:color="auto" w:fill="auto"/>
          </w:tcPr>
          <w:p w14:paraId="1161F8AA" w14:textId="77777777" w:rsidR="003438A2" w:rsidRPr="00095A7D" w:rsidRDefault="003438A2" w:rsidP="00881E29">
            <w:pPr>
              <w:spacing w:before="60" w:after="60" w:line="240" w:lineRule="auto"/>
              <w:rPr>
                <w:rFonts w:eastAsia="Calibri" w:cs="Times New Roman"/>
                <w:iCs/>
                <w:sz w:val="18"/>
                <w:szCs w:val="18"/>
              </w:rPr>
            </w:pPr>
            <w:r w:rsidRPr="00095A7D">
              <w:rPr>
                <w:rFonts w:eastAsia="Calibri" w:cs="Times New Roman"/>
                <w:i/>
                <w:iCs/>
                <w:sz w:val="18"/>
                <w:szCs w:val="18"/>
              </w:rPr>
              <w:t xml:space="preserve">Eulecanium tiliae </w:t>
            </w:r>
            <w:r w:rsidRPr="00095A7D">
              <w:rPr>
                <w:rFonts w:eastAsia="Calibri" w:cs="Times New Roman"/>
                <w:iCs/>
                <w:sz w:val="18"/>
                <w:szCs w:val="18"/>
              </w:rPr>
              <w:t>(Linnaeus, 1758)</w:t>
            </w:r>
          </w:p>
          <w:p w14:paraId="768D454E" w14:textId="77777777" w:rsidR="003438A2" w:rsidRPr="00095A7D" w:rsidRDefault="003438A2" w:rsidP="00881E29">
            <w:pPr>
              <w:spacing w:before="60" w:after="60" w:line="240" w:lineRule="auto"/>
              <w:rPr>
                <w:rFonts w:eastAsia="Calibri" w:cs="Times New Roman"/>
                <w:iCs/>
                <w:sz w:val="18"/>
                <w:szCs w:val="18"/>
              </w:rPr>
            </w:pPr>
            <w:r w:rsidRPr="00095A7D">
              <w:rPr>
                <w:rFonts w:eastAsia="Calibri" w:cs="Times New Roman"/>
                <w:iCs/>
                <w:sz w:val="18"/>
                <w:szCs w:val="18"/>
              </w:rPr>
              <w:t>[Coccidae]</w:t>
            </w:r>
          </w:p>
          <w:p w14:paraId="24A8C057" w14:textId="77777777" w:rsidR="003438A2" w:rsidRPr="00095A7D" w:rsidRDefault="003438A2" w:rsidP="00881E29">
            <w:pPr>
              <w:spacing w:before="60" w:after="60" w:line="240" w:lineRule="auto"/>
              <w:rPr>
                <w:rFonts w:eastAsia="Calibri" w:cs="Times New Roman"/>
                <w:i/>
                <w:sz w:val="18"/>
                <w:szCs w:val="18"/>
                <w:lang w:val="pt-BR"/>
              </w:rPr>
            </w:pPr>
            <w:r w:rsidRPr="00095A7D">
              <w:rPr>
                <w:rFonts w:eastAsia="Calibri" w:cs="Times New Roman"/>
                <w:iCs/>
                <w:sz w:val="18"/>
                <w:szCs w:val="18"/>
              </w:rPr>
              <w:t>Nut scale, Brown gooseberry scale</w:t>
            </w:r>
          </w:p>
        </w:tc>
        <w:tc>
          <w:tcPr>
            <w:tcW w:w="1474" w:type="dxa"/>
            <w:shd w:val="clear" w:color="auto" w:fill="auto"/>
          </w:tcPr>
          <w:p w14:paraId="78E79EF2" w14:textId="77777777" w:rsidR="003438A2" w:rsidRPr="00620658" w:rsidRDefault="003438A2" w:rsidP="00881E29">
            <w:pPr>
              <w:spacing w:before="60" w:after="60" w:line="240" w:lineRule="auto"/>
              <w:rPr>
                <w:rFonts w:eastAsia="Calibri" w:cs="Times New Roman"/>
                <w:iCs/>
                <w:noProof/>
                <w:sz w:val="18"/>
                <w:szCs w:val="18"/>
              </w:rPr>
            </w:pPr>
            <w:r w:rsidRPr="00095A7D">
              <w:rPr>
                <w:rFonts w:eastAsia="Calibri" w:cs="Times New Roman"/>
                <w:iCs/>
                <w:noProof/>
                <w:sz w:val="18"/>
                <w:szCs w:val="18"/>
              </w:rPr>
              <w:t xml:space="preserve">Yes. </w:t>
            </w:r>
            <w:r>
              <w:rPr>
                <w:rFonts w:eastAsia="Calibri" w:cs="Times New Roman"/>
                <w:iCs/>
                <w:noProof/>
                <w:sz w:val="18"/>
                <w:szCs w:val="18"/>
              </w:rPr>
              <w:t>Present in</w:t>
            </w:r>
            <w:r w:rsidRPr="00095A7D">
              <w:rPr>
                <w:rFonts w:eastAsia="Calibri" w:cs="Times New Roman"/>
                <w:iCs/>
                <w:noProof/>
                <w:sz w:val="18"/>
                <w:szCs w:val="18"/>
              </w:rPr>
              <w:t xml:space="preserve"> OR</w:t>
            </w:r>
            <w:r>
              <w:rPr>
                <w:rFonts w:eastAsia="Calibri" w:cs="Times New Roman"/>
                <w:iCs/>
                <w:noProof/>
                <w:sz w:val="18"/>
                <w:szCs w:val="18"/>
              </w:rPr>
              <w:t xml:space="preserve"> and</w:t>
            </w:r>
            <w:r w:rsidRPr="00095A7D">
              <w:rPr>
                <w:rFonts w:eastAsia="Calibri" w:cs="Times New Roman"/>
                <w:iCs/>
                <w:noProof/>
                <w:sz w:val="18"/>
                <w:szCs w:val="18"/>
              </w:rPr>
              <w:t xml:space="preserve"> WA</w:t>
            </w:r>
            <w:r>
              <w:rPr>
                <w:rFonts w:eastAsia="Calibri" w:cs="Times New Roman"/>
                <w:iCs/>
                <w:noProof/>
                <w:sz w:val="18"/>
                <w:szCs w:val="18"/>
              </w:rPr>
              <w:t xml:space="preserve"> (Gill 1988b) </w:t>
            </w:r>
          </w:p>
        </w:tc>
        <w:tc>
          <w:tcPr>
            <w:tcW w:w="1474" w:type="dxa"/>
            <w:shd w:val="clear" w:color="auto" w:fill="auto"/>
          </w:tcPr>
          <w:p w14:paraId="68C9A5D8" w14:textId="77777777" w:rsidR="003438A2" w:rsidRPr="00D46291" w:rsidRDefault="003438A2" w:rsidP="004D7A38">
            <w:pPr>
              <w:pStyle w:val="TableText"/>
            </w:pPr>
            <w:r w:rsidRPr="001B491B">
              <w:t>Yes. Present in all states and territories except NT</w:t>
            </w:r>
            <w:r>
              <w:t xml:space="preserve"> </w:t>
            </w:r>
            <w:r>
              <w:rPr>
                <w:noProof/>
              </w:rPr>
              <w:t>(CSIRO 2022; DPIW Tasmania 2008a; PaDIL 2018; Plant Health Australia 2018)</w:t>
            </w:r>
          </w:p>
        </w:tc>
        <w:tc>
          <w:tcPr>
            <w:tcW w:w="2552" w:type="dxa"/>
            <w:shd w:val="clear" w:color="auto" w:fill="auto"/>
          </w:tcPr>
          <w:p w14:paraId="1AEC3A18"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2381" w:type="dxa"/>
            <w:shd w:val="clear" w:color="auto" w:fill="auto"/>
          </w:tcPr>
          <w:p w14:paraId="737D7066"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2211" w:type="dxa"/>
            <w:shd w:val="clear" w:color="auto" w:fill="auto"/>
          </w:tcPr>
          <w:p w14:paraId="2E4DF669"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1191" w:type="dxa"/>
            <w:shd w:val="clear" w:color="auto" w:fill="auto"/>
          </w:tcPr>
          <w:p w14:paraId="7FF2EFA2"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No</w:t>
            </w:r>
          </w:p>
        </w:tc>
      </w:tr>
      <w:tr w:rsidR="003438A2" w:rsidRPr="00095A7D" w14:paraId="59791E5F" w14:textId="77777777" w:rsidTr="00C4199F">
        <w:trPr>
          <w:cantSplit/>
          <w:trHeight w:val="75"/>
          <w:jc w:val="center"/>
        </w:trPr>
        <w:tc>
          <w:tcPr>
            <w:tcW w:w="2553" w:type="dxa"/>
            <w:shd w:val="clear" w:color="auto" w:fill="auto"/>
          </w:tcPr>
          <w:p w14:paraId="22C72C14"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i/>
                <w:sz w:val="18"/>
                <w:szCs w:val="18"/>
              </w:rPr>
              <w:lastRenderedPageBreak/>
              <w:t>Euschistus conspersus</w:t>
            </w:r>
            <w:r w:rsidRPr="00095A7D">
              <w:rPr>
                <w:rFonts w:eastAsia="Calibri" w:cs="Times New Roman"/>
                <w:sz w:val="18"/>
                <w:szCs w:val="18"/>
              </w:rPr>
              <w:t xml:space="preserve"> Uhler, 1897</w:t>
            </w:r>
          </w:p>
          <w:p w14:paraId="4DF2B3C3"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[Pentatomidae]</w:t>
            </w:r>
          </w:p>
          <w:p w14:paraId="72E71807" w14:textId="77777777" w:rsidR="003438A2" w:rsidRPr="00095A7D" w:rsidRDefault="003438A2" w:rsidP="00881E29">
            <w:pPr>
              <w:spacing w:before="60" w:after="60" w:line="240" w:lineRule="auto"/>
              <w:rPr>
                <w:rFonts w:eastAsia="Calibri" w:cs="Times New Roman"/>
                <w:i/>
                <w:sz w:val="18"/>
                <w:szCs w:val="18"/>
                <w:lang w:val="pt-BR"/>
              </w:rPr>
            </w:pPr>
            <w:r w:rsidRPr="00095A7D">
              <w:rPr>
                <w:rFonts w:eastAsia="Calibri" w:cs="Times New Roman"/>
                <w:sz w:val="18"/>
                <w:szCs w:val="18"/>
              </w:rPr>
              <w:t>Stink bug</w:t>
            </w:r>
          </w:p>
        </w:tc>
        <w:tc>
          <w:tcPr>
            <w:tcW w:w="1474" w:type="dxa"/>
            <w:shd w:val="clear" w:color="auto" w:fill="auto"/>
          </w:tcPr>
          <w:p w14:paraId="2691BCBB" w14:textId="77777777" w:rsidR="003438A2" w:rsidRPr="00095A7D" w:rsidRDefault="003438A2" w:rsidP="00881E29">
            <w:pPr>
              <w:spacing w:before="60" w:after="60" w:line="240" w:lineRule="auto"/>
              <w:rPr>
                <w:rFonts w:eastAsia="Calibri" w:cs="Times New Roman"/>
                <w:sz w:val="18"/>
                <w:szCs w:val="18"/>
                <w:lang w:val="pt-BR"/>
              </w:rPr>
            </w:pPr>
            <w:r w:rsidRPr="00095A7D">
              <w:rPr>
                <w:rFonts w:eastAsia="Calibri" w:cs="Times New Roman"/>
                <w:sz w:val="18"/>
                <w:szCs w:val="18"/>
              </w:rPr>
              <w:t xml:space="preserve">Yes. </w:t>
            </w:r>
            <w:r>
              <w:rPr>
                <w:rFonts w:eastAsia="Calibri" w:cs="Times New Roman"/>
                <w:sz w:val="18"/>
                <w:szCs w:val="18"/>
              </w:rPr>
              <w:t>Present in</w:t>
            </w:r>
            <w:r w:rsidRPr="00095A7D">
              <w:rPr>
                <w:rFonts w:eastAsia="Calibri" w:cs="Times New Roman"/>
                <w:sz w:val="18"/>
                <w:szCs w:val="18"/>
              </w:rPr>
              <w:t xml:space="preserve"> WA </w:t>
            </w:r>
            <w:r>
              <w:rPr>
                <w:rFonts w:eastAsia="Calibri" w:cs="Times New Roman"/>
                <w:noProof/>
                <w:sz w:val="18"/>
                <w:szCs w:val="18"/>
              </w:rPr>
              <w:t>(APHIS 2007)</w:t>
            </w:r>
          </w:p>
        </w:tc>
        <w:tc>
          <w:tcPr>
            <w:tcW w:w="1474" w:type="dxa"/>
            <w:shd w:val="clear" w:color="auto" w:fill="auto"/>
          </w:tcPr>
          <w:p w14:paraId="400212E6"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No records found</w:t>
            </w:r>
          </w:p>
        </w:tc>
        <w:tc>
          <w:tcPr>
            <w:tcW w:w="2552" w:type="dxa"/>
            <w:shd w:val="clear" w:color="auto" w:fill="auto"/>
          </w:tcPr>
          <w:p w14:paraId="2A9BC78A"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 xml:space="preserve">No. Eggs laid in clusters on the undersides of leaves of various weed hosts. Adults migrate from herbaceous hosts to feed on tree </w:t>
            </w:r>
            <w:r>
              <w:rPr>
                <w:rFonts w:eastAsia="Calibri" w:cs="Times New Roman"/>
                <w:sz w:val="18"/>
                <w:szCs w:val="18"/>
              </w:rPr>
              <w:t>fruit</w:t>
            </w:r>
            <w:r w:rsidRPr="00095A7D">
              <w:rPr>
                <w:rFonts w:eastAsia="Calibri" w:cs="Times New Roman"/>
                <w:sz w:val="18"/>
                <w:szCs w:val="18"/>
              </w:rPr>
              <w:t xml:space="preserve"> either late spring or close to harvest when hosts in uncultivated areas dry up. Adults overwinter beneath weeds or honeysuckle on the orchard floor or in brush piles or bin stacks. Adults are easily disturbed and feed on fruit for short periods only; nymphs feeding on pome fruit do not survive for any length of time </w:t>
            </w:r>
            <w:r>
              <w:rPr>
                <w:rFonts w:eastAsia="Calibri" w:cs="Times New Roman"/>
                <w:noProof/>
                <w:sz w:val="18"/>
                <w:szCs w:val="18"/>
              </w:rPr>
              <w:t>(Krupke 2007; Krupke &amp; Brunner 2008)</w:t>
            </w:r>
            <w:r w:rsidRPr="00095A7D">
              <w:rPr>
                <w:rFonts w:eastAsia="Calibri" w:cs="Times New Roman"/>
                <w:sz w:val="18"/>
                <w:szCs w:val="18"/>
              </w:rPr>
              <w:t xml:space="preserve">. </w:t>
            </w:r>
            <w:r>
              <w:rPr>
                <w:rFonts w:eastAsia="Calibri" w:cs="Times New Roman"/>
                <w:sz w:val="18"/>
                <w:szCs w:val="18"/>
              </w:rPr>
              <w:t xml:space="preserve">This </w:t>
            </w:r>
            <w:r w:rsidRPr="00576591">
              <w:rPr>
                <w:rFonts w:eastAsia="Calibri" w:cs="Times New Roman"/>
                <w:sz w:val="18"/>
                <w:szCs w:val="18"/>
              </w:rPr>
              <w:t>pest</w:t>
            </w:r>
            <w:r>
              <w:rPr>
                <w:rFonts w:eastAsia="Calibri" w:cs="Times New Roman"/>
                <w:sz w:val="18"/>
                <w:szCs w:val="18"/>
              </w:rPr>
              <w:t xml:space="preserve"> is</w:t>
            </w:r>
            <w:r w:rsidRPr="00576591">
              <w:rPr>
                <w:rFonts w:eastAsia="Calibri" w:cs="Times New Roman"/>
                <w:sz w:val="18"/>
                <w:szCs w:val="18"/>
              </w:rPr>
              <w:t xml:space="preserve"> highly unlikely </w:t>
            </w:r>
            <w:r>
              <w:rPr>
                <w:rFonts w:eastAsia="Calibri" w:cs="Times New Roman"/>
                <w:sz w:val="18"/>
                <w:szCs w:val="18"/>
              </w:rPr>
              <w:t>to be found on c</w:t>
            </w:r>
            <w:r w:rsidRPr="00576591">
              <w:rPr>
                <w:rFonts w:eastAsia="Calibri" w:cs="Times New Roman"/>
                <w:sz w:val="18"/>
                <w:szCs w:val="18"/>
              </w:rPr>
              <w:t>ommercially produced and processed apples, as damaged fruit will be discarded during the harvest, sorting and packing process</w:t>
            </w:r>
            <w:r>
              <w:rPr>
                <w:rFonts w:eastAsia="Calibri" w:cs="Times New Roman"/>
                <w:sz w:val="18"/>
                <w:szCs w:val="18"/>
              </w:rPr>
              <w:t>.</w:t>
            </w:r>
          </w:p>
        </w:tc>
        <w:tc>
          <w:tcPr>
            <w:tcW w:w="2381" w:type="dxa"/>
            <w:shd w:val="clear" w:color="auto" w:fill="auto"/>
          </w:tcPr>
          <w:p w14:paraId="3542C5A3"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2211" w:type="dxa"/>
            <w:shd w:val="clear" w:color="auto" w:fill="auto"/>
          </w:tcPr>
          <w:p w14:paraId="5DA4C326"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1191" w:type="dxa"/>
            <w:shd w:val="clear" w:color="auto" w:fill="auto"/>
          </w:tcPr>
          <w:p w14:paraId="14DF66D8"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No</w:t>
            </w:r>
          </w:p>
        </w:tc>
      </w:tr>
      <w:tr w:rsidR="003438A2" w:rsidRPr="00026AEE" w14:paraId="471DCDF7" w14:textId="77777777" w:rsidTr="00C4199F">
        <w:trPr>
          <w:cantSplit/>
          <w:trHeight w:val="75"/>
          <w:jc w:val="center"/>
        </w:trPr>
        <w:tc>
          <w:tcPr>
            <w:tcW w:w="2553" w:type="dxa"/>
            <w:shd w:val="clear" w:color="auto" w:fill="auto"/>
          </w:tcPr>
          <w:p w14:paraId="168EFB4E" w14:textId="77777777" w:rsidR="003438A2" w:rsidRPr="00026AEE" w:rsidRDefault="003438A2" w:rsidP="00881E29">
            <w:pPr>
              <w:spacing w:before="60" w:after="60" w:line="240" w:lineRule="auto"/>
              <w:rPr>
                <w:rFonts w:eastAsia="Calibri" w:cs="Times New Roman"/>
                <w:sz w:val="18"/>
                <w:szCs w:val="18"/>
              </w:rPr>
            </w:pPr>
            <w:r w:rsidRPr="00026AEE">
              <w:rPr>
                <w:rFonts w:eastAsia="Calibri" w:cs="Times New Roman"/>
                <w:i/>
                <w:sz w:val="18"/>
                <w:szCs w:val="18"/>
              </w:rPr>
              <w:t xml:space="preserve">Fieberiella florii </w:t>
            </w:r>
            <w:r w:rsidRPr="00026AEE">
              <w:rPr>
                <w:rFonts w:eastAsia="Calibri" w:cs="Times New Roman"/>
                <w:sz w:val="18"/>
                <w:szCs w:val="18"/>
              </w:rPr>
              <w:t>(Stål, 1864)</w:t>
            </w:r>
          </w:p>
          <w:p w14:paraId="064B9C2E" w14:textId="77777777" w:rsidR="003438A2" w:rsidRPr="00026AEE" w:rsidRDefault="003438A2" w:rsidP="00881E29">
            <w:pPr>
              <w:spacing w:before="60" w:after="60" w:line="240" w:lineRule="auto"/>
              <w:rPr>
                <w:rFonts w:eastAsia="Calibri" w:cs="Times New Roman"/>
                <w:sz w:val="18"/>
                <w:szCs w:val="18"/>
              </w:rPr>
            </w:pPr>
            <w:r w:rsidRPr="00026AEE">
              <w:rPr>
                <w:rFonts w:eastAsia="Calibri" w:cs="Times New Roman"/>
                <w:sz w:val="18"/>
                <w:szCs w:val="18"/>
              </w:rPr>
              <w:t>[Cicadellidae]</w:t>
            </w:r>
          </w:p>
          <w:p w14:paraId="1DB35712" w14:textId="77777777" w:rsidR="003438A2" w:rsidRPr="00026AEE" w:rsidRDefault="003438A2" w:rsidP="00881E29">
            <w:pPr>
              <w:spacing w:before="60" w:after="60" w:line="240" w:lineRule="auto"/>
              <w:rPr>
                <w:rFonts w:eastAsia="Calibri" w:cs="Times New Roman"/>
                <w:i/>
                <w:sz w:val="18"/>
                <w:szCs w:val="18"/>
                <w:lang w:val="pt-BR"/>
              </w:rPr>
            </w:pPr>
            <w:r w:rsidRPr="00026AEE">
              <w:rPr>
                <w:rFonts w:eastAsia="Calibri" w:cs="Times New Roman"/>
                <w:sz w:val="18"/>
                <w:szCs w:val="18"/>
              </w:rPr>
              <w:t>North American leafhopper; Privet leafhopper; Cherry leafhopper</w:t>
            </w:r>
          </w:p>
        </w:tc>
        <w:tc>
          <w:tcPr>
            <w:tcW w:w="1474" w:type="dxa"/>
            <w:shd w:val="clear" w:color="auto" w:fill="auto"/>
          </w:tcPr>
          <w:p w14:paraId="04201686" w14:textId="77777777" w:rsidR="003438A2" w:rsidRPr="00026AEE" w:rsidRDefault="003438A2" w:rsidP="00881E29">
            <w:pPr>
              <w:spacing w:before="60" w:after="60" w:line="240" w:lineRule="auto"/>
              <w:rPr>
                <w:rFonts w:eastAsia="Calibri" w:cs="Times New Roman"/>
                <w:sz w:val="18"/>
                <w:szCs w:val="18"/>
                <w:lang w:val="pt-BR"/>
              </w:rPr>
            </w:pPr>
            <w:r w:rsidRPr="00026AEE">
              <w:rPr>
                <w:rFonts w:eastAsia="Calibri" w:cs="Times New Roman"/>
                <w:sz w:val="18"/>
                <w:szCs w:val="18"/>
              </w:rPr>
              <w:t xml:space="preserve">Yes. Present in OR and WA) </w:t>
            </w:r>
            <w:r w:rsidRPr="00026AEE">
              <w:rPr>
                <w:rFonts w:eastAsia="Calibri" w:cs="Times New Roman"/>
                <w:noProof/>
                <w:sz w:val="18"/>
                <w:szCs w:val="18"/>
              </w:rPr>
              <w:t>(Oman 1969; Swenson 1974)</w:t>
            </w:r>
          </w:p>
        </w:tc>
        <w:tc>
          <w:tcPr>
            <w:tcW w:w="1474" w:type="dxa"/>
            <w:shd w:val="clear" w:color="auto" w:fill="auto"/>
          </w:tcPr>
          <w:p w14:paraId="5E0CC302" w14:textId="77777777" w:rsidR="003438A2" w:rsidRPr="00026AEE" w:rsidRDefault="003438A2" w:rsidP="00881E29">
            <w:pPr>
              <w:spacing w:before="60" w:after="60" w:line="240" w:lineRule="auto"/>
              <w:rPr>
                <w:rFonts w:eastAsia="Calibri" w:cs="Times New Roman"/>
                <w:sz w:val="18"/>
                <w:szCs w:val="18"/>
              </w:rPr>
            </w:pPr>
            <w:r w:rsidRPr="00026AEE">
              <w:rPr>
                <w:rFonts w:eastAsia="Calibri" w:cs="Times New Roman"/>
                <w:sz w:val="18"/>
                <w:szCs w:val="18"/>
              </w:rPr>
              <w:t xml:space="preserve">Yes. </w:t>
            </w:r>
            <w:r>
              <w:rPr>
                <w:rFonts w:eastAsia="Calibri" w:cs="Times New Roman"/>
                <w:sz w:val="18"/>
                <w:szCs w:val="18"/>
              </w:rPr>
              <w:t xml:space="preserve">Present in </w:t>
            </w:r>
            <w:r w:rsidRPr="00026AEE">
              <w:rPr>
                <w:rFonts w:eastAsia="Calibri" w:cs="Times New Roman"/>
                <w:sz w:val="18"/>
                <w:szCs w:val="18"/>
              </w:rPr>
              <w:t xml:space="preserve">ACT </w:t>
            </w:r>
            <w:r w:rsidRPr="00026AEE">
              <w:rPr>
                <w:rFonts w:eastAsia="Calibri" w:cs="Times New Roman"/>
                <w:noProof/>
                <w:sz w:val="18"/>
                <w:szCs w:val="18"/>
              </w:rPr>
              <w:t>(Plant Health Australia 2018)</w:t>
            </w:r>
          </w:p>
        </w:tc>
        <w:tc>
          <w:tcPr>
            <w:tcW w:w="2552" w:type="dxa"/>
            <w:shd w:val="clear" w:color="auto" w:fill="auto"/>
          </w:tcPr>
          <w:p w14:paraId="2AA203A3" w14:textId="77777777" w:rsidR="003438A2" w:rsidRPr="00026AEE" w:rsidRDefault="003438A2" w:rsidP="00881E29">
            <w:pPr>
              <w:spacing w:before="60" w:after="60" w:line="240" w:lineRule="auto"/>
              <w:rPr>
                <w:rFonts w:eastAsia="Calibri" w:cs="Times New Roman"/>
                <w:sz w:val="18"/>
                <w:szCs w:val="18"/>
              </w:rPr>
            </w:pPr>
            <w:r w:rsidRPr="00026AEE">
              <w:rPr>
                <w:rFonts w:eastAsia="Calibri" w:cs="Times New Roman"/>
                <w:sz w:val="18"/>
                <w:szCs w:val="18"/>
              </w:rPr>
              <w:t xml:space="preserve">No. Overwinter as nymphs on crabapple and apple or as eggs on deciduous fruit trees </w:t>
            </w:r>
            <w:r w:rsidRPr="00026AEE">
              <w:rPr>
                <w:rFonts w:eastAsia="Calibri" w:cs="Times New Roman"/>
                <w:noProof/>
                <w:sz w:val="18"/>
                <w:szCs w:val="18"/>
              </w:rPr>
              <w:t>(Van Steenwyk, Daane &amp; Grant 2006)</w:t>
            </w:r>
            <w:r w:rsidRPr="00026AEE">
              <w:rPr>
                <w:rFonts w:eastAsia="Calibri" w:cs="Times New Roman"/>
                <w:sz w:val="18"/>
                <w:szCs w:val="18"/>
              </w:rPr>
              <w:t xml:space="preserve">. Not likely to be associated with the mature apple fruit pre-harvest as it prefers to feed on cherry </w:t>
            </w:r>
            <w:r w:rsidRPr="00026AEE">
              <w:rPr>
                <w:rFonts w:eastAsia="Calibri" w:cs="Times New Roman"/>
                <w:noProof/>
                <w:sz w:val="18"/>
                <w:szCs w:val="18"/>
              </w:rPr>
              <w:t>(Van Steenwyk, Daane &amp; Grant 2006)</w:t>
            </w:r>
            <w:r w:rsidRPr="00026AEE">
              <w:rPr>
                <w:rFonts w:eastAsia="Calibri" w:cs="Times New Roman"/>
                <w:sz w:val="18"/>
                <w:szCs w:val="18"/>
              </w:rPr>
              <w:t xml:space="preserve"> </w:t>
            </w:r>
          </w:p>
        </w:tc>
        <w:tc>
          <w:tcPr>
            <w:tcW w:w="2381" w:type="dxa"/>
            <w:shd w:val="clear" w:color="auto" w:fill="auto"/>
          </w:tcPr>
          <w:p w14:paraId="24724AE0" w14:textId="77777777" w:rsidR="003438A2" w:rsidRPr="00026AEE" w:rsidRDefault="003438A2" w:rsidP="00881E29">
            <w:pPr>
              <w:spacing w:before="60" w:after="60" w:line="240" w:lineRule="auto"/>
              <w:rPr>
                <w:rFonts w:eastAsia="Calibri" w:cs="Times New Roman"/>
                <w:sz w:val="18"/>
                <w:szCs w:val="18"/>
              </w:rPr>
            </w:pPr>
            <w:r w:rsidRPr="00026AEE">
              <w:rPr>
                <w:rFonts w:eastAsia="Calibri" w:cs="Times New Roman"/>
                <w:sz w:val="18"/>
                <w:szCs w:val="18"/>
              </w:rPr>
              <w:t>Assessment not required</w:t>
            </w:r>
          </w:p>
        </w:tc>
        <w:tc>
          <w:tcPr>
            <w:tcW w:w="2211" w:type="dxa"/>
            <w:shd w:val="clear" w:color="auto" w:fill="auto"/>
          </w:tcPr>
          <w:p w14:paraId="4FAF31DD" w14:textId="77777777" w:rsidR="003438A2" w:rsidRPr="00026AEE" w:rsidRDefault="003438A2" w:rsidP="00881E29">
            <w:pPr>
              <w:spacing w:before="60" w:after="60" w:line="240" w:lineRule="auto"/>
              <w:rPr>
                <w:rFonts w:eastAsia="Calibri" w:cs="Times New Roman"/>
                <w:sz w:val="18"/>
                <w:szCs w:val="18"/>
              </w:rPr>
            </w:pPr>
            <w:r w:rsidRPr="00026AEE">
              <w:rPr>
                <w:rFonts w:eastAsia="Calibri" w:cs="Times New Roman"/>
                <w:sz w:val="18"/>
                <w:szCs w:val="18"/>
              </w:rPr>
              <w:t>Assessment not required</w:t>
            </w:r>
          </w:p>
        </w:tc>
        <w:tc>
          <w:tcPr>
            <w:tcW w:w="1191" w:type="dxa"/>
            <w:shd w:val="clear" w:color="auto" w:fill="auto"/>
          </w:tcPr>
          <w:p w14:paraId="0F18D7DC" w14:textId="77777777" w:rsidR="003438A2" w:rsidRPr="00026AEE" w:rsidRDefault="003438A2" w:rsidP="00881E29">
            <w:pPr>
              <w:spacing w:before="60" w:after="60" w:line="240" w:lineRule="auto"/>
              <w:rPr>
                <w:rFonts w:eastAsia="Calibri" w:cs="Times New Roman"/>
                <w:sz w:val="18"/>
                <w:szCs w:val="18"/>
              </w:rPr>
            </w:pPr>
            <w:r w:rsidRPr="00026AEE">
              <w:rPr>
                <w:rFonts w:eastAsia="Calibri" w:cs="Times New Roman"/>
                <w:sz w:val="18"/>
                <w:szCs w:val="18"/>
              </w:rPr>
              <w:t>No</w:t>
            </w:r>
          </w:p>
        </w:tc>
      </w:tr>
      <w:tr w:rsidR="003438A2" w:rsidRPr="00095A7D" w14:paraId="5A720723" w14:textId="77777777" w:rsidTr="00C4199F">
        <w:trPr>
          <w:cantSplit/>
          <w:trHeight w:val="75"/>
          <w:jc w:val="center"/>
        </w:trPr>
        <w:tc>
          <w:tcPr>
            <w:tcW w:w="2553" w:type="dxa"/>
            <w:shd w:val="clear" w:color="auto" w:fill="auto"/>
          </w:tcPr>
          <w:p w14:paraId="5D735BAA" w14:textId="77777777" w:rsidR="003438A2" w:rsidRPr="00095A7D" w:rsidRDefault="003438A2" w:rsidP="00881E29">
            <w:pPr>
              <w:spacing w:before="60" w:after="60" w:line="240" w:lineRule="auto"/>
              <w:rPr>
                <w:rFonts w:eastAsia="Calibri" w:cs="Times New Roman"/>
                <w:iCs/>
                <w:sz w:val="18"/>
                <w:szCs w:val="18"/>
              </w:rPr>
            </w:pPr>
            <w:r w:rsidRPr="00095A7D">
              <w:rPr>
                <w:rFonts w:eastAsia="Calibri" w:cs="Times New Roman"/>
                <w:i/>
                <w:iCs/>
                <w:sz w:val="18"/>
                <w:szCs w:val="18"/>
              </w:rPr>
              <w:lastRenderedPageBreak/>
              <w:t xml:space="preserve">Halyomorpha halys </w:t>
            </w:r>
            <w:r w:rsidRPr="00095A7D">
              <w:rPr>
                <w:rFonts w:eastAsia="Calibri" w:cs="Times New Roman"/>
                <w:iCs/>
                <w:sz w:val="18"/>
                <w:szCs w:val="18"/>
              </w:rPr>
              <w:t>(St</w:t>
            </w:r>
            <w:r w:rsidRPr="00095A7D">
              <w:rPr>
                <w:rFonts w:eastAsia="Calibri" w:cs="Arial"/>
                <w:iCs/>
                <w:sz w:val="18"/>
                <w:szCs w:val="18"/>
              </w:rPr>
              <w:t>å</w:t>
            </w:r>
            <w:r w:rsidRPr="00095A7D">
              <w:rPr>
                <w:rFonts w:eastAsia="Calibri" w:cs="Times New Roman"/>
                <w:iCs/>
                <w:sz w:val="18"/>
                <w:szCs w:val="18"/>
              </w:rPr>
              <w:t>l, 1855)</w:t>
            </w:r>
          </w:p>
          <w:p w14:paraId="2D9067EB" w14:textId="77777777" w:rsidR="003438A2" w:rsidRPr="00095A7D" w:rsidRDefault="003438A2" w:rsidP="00881E29">
            <w:pPr>
              <w:spacing w:before="60" w:after="60" w:line="240" w:lineRule="auto"/>
              <w:rPr>
                <w:rFonts w:eastAsia="Calibri" w:cs="Times New Roman"/>
                <w:iCs/>
                <w:sz w:val="18"/>
                <w:szCs w:val="18"/>
              </w:rPr>
            </w:pPr>
            <w:r w:rsidRPr="00095A7D">
              <w:rPr>
                <w:rFonts w:eastAsia="Calibri" w:cs="Times New Roman"/>
                <w:iCs/>
                <w:sz w:val="18"/>
                <w:szCs w:val="18"/>
              </w:rPr>
              <w:t>[Pentatomidae]</w:t>
            </w:r>
          </w:p>
          <w:p w14:paraId="17EF7013" w14:textId="77777777" w:rsidR="003438A2" w:rsidRPr="00095A7D" w:rsidRDefault="003438A2" w:rsidP="00881E29">
            <w:pPr>
              <w:spacing w:before="60" w:after="60" w:line="240" w:lineRule="auto"/>
              <w:rPr>
                <w:rFonts w:eastAsia="Calibri" w:cs="Times New Roman"/>
                <w:i/>
                <w:sz w:val="18"/>
                <w:szCs w:val="18"/>
                <w:lang w:val="pt-BR"/>
              </w:rPr>
            </w:pPr>
            <w:r w:rsidRPr="00095A7D">
              <w:rPr>
                <w:rFonts w:eastAsia="Calibri" w:cs="Times New Roman"/>
                <w:iCs/>
                <w:sz w:val="18"/>
                <w:szCs w:val="18"/>
              </w:rPr>
              <w:t>Brown marmorated stink bug</w:t>
            </w:r>
          </w:p>
        </w:tc>
        <w:tc>
          <w:tcPr>
            <w:tcW w:w="1474" w:type="dxa"/>
            <w:shd w:val="clear" w:color="auto" w:fill="auto"/>
          </w:tcPr>
          <w:p w14:paraId="57AB4A3D" w14:textId="77777777" w:rsidR="003438A2" w:rsidRDefault="003438A2" w:rsidP="00AE3F6F">
            <w:pPr>
              <w:spacing w:before="60" w:after="60" w:line="240" w:lineRule="auto"/>
              <w:rPr>
                <w:rFonts w:eastAsia="Calibri" w:cs="Times New Roman"/>
                <w:sz w:val="18"/>
                <w:szCs w:val="18"/>
              </w:rPr>
            </w:pPr>
            <w:r w:rsidRPr="00095A7D">
              <w:rPr>
                <w:rFonts w:eastAsia="Calibri" w:cs="Times New Roman"/>
                <w:iCs/>
                <w:sz w:val="18"/>
                <w:szCs w:val="18"/>
              </w:rPr>
              <w:t xml:space="preserve">Yes. </w:t>
            </w:r>
            <w:r>
              <w:rPr>
                <w:rFonts w:eastAsia="Calibri" w:cs="Times New Roman"/>
                <w:iCs/>
                <w:sz w:val="18"/>
                <w:szCs w:val="18"/>
              </w:rPr>
              <w:t>Present in</w:t>
            </w:r>
            <w:r w:rsidRPr="00095A7D">
              <w:rPr>
                <w:rFonts w:eastAsia="Calibri" w:cs="Times New Roman"/>
                <w:iCs/>
                <w:sz w:val="18"/>
                <w:szCs w:val="18"/>
              </w:rPr>
              <w:t xml:space="preserve"> ID, OR</w:t>
            </w:r>
            <w:r>
              <w:rPr>
                <w:rFonts w:eastAsia="Calibri" w:cs="Times New Roman"/>
                <w:iCs/>
                <w:sz w:val="18"/>
                <w:szCs w:val="18"/>
              </w:rPr>
              <w:t xml:space="preserve"> and</w:t>
            </w:r>
            <w:r w:rsidRPr="00095A7D">
              <w:rPr>
                <w:rFonts w:eastAsia="Calibri" w:cs="Times New Roman"/>
                <w:iCs/>
                <w:sz w:val="18"/>
                <w:szCs w:val="18"/>
              </w:rPr>
              <w:t xml:space="preserve"> WA</w:t>
            </w:r>
            <w:r>
              <w:rPr>
                <w:rFonts w:eastAsia="Calibri" w:cs="Times New Roman"/>
                <w:iCs/>
                <w:sz w:val="18"/>
                <w:szCs w:val="18"/>
              </w:rPr>
              <w:t xml:space="preserve"> </w:t>
            </w:r>
            <w:r>
              <w:rPr>
                <w:rFonts w:eastAsia="Calibri" w:cs="Times New Roman"/>
                <w:noProof/>
                <w:sz w:val="18"/>
                <w:szCs w:val="18"/>
              </w:rPr>
              <w:t>(CABI 2022; EPPO 2018; LaBonte, Mudge &amp; Johnson 2005; Nielsen &amp; Hamilton 2009)</w:t>
            </w:r>
          </w:p>
          <w:p w14:paraId="614BEEFC" w14:textId="77777777" w:rsidR="003438A2" w:rsidRPr="00095A7D" w:rsidRDefault="003438A2" w:rsidP="00AE3F6F">
            <w:pPr>
              <w:spacing w:before="60" w:after="60" w:line="240" w:lineRule="auto"/>
              <w:rPr>
                <w:rFonts w:eastAsia="Calibri" w:cs="Times New Roman"/>
                <w:sz w:val="18"/>
                <w:szCs w:val="18"/>
                <w:lang w:val="pt-BR"/>
              </w:rPr>
            </w:pPr>
          </w:p>
        </w:tc>
        <w:tc>
          <w:tcPr>
            <w:tcW w:w="1474" w:type="dxa"/>
            <w:shd w:val="clear" w:color="auto" w:fill="auto"/>
          </w:tcPr>
          <w:p w14:paraId="391C17CF"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iCs/>
                <w:sz w:val="18"/>
                <w:szCs w:val="18"/>
              </w:rPr>
              <w:t>No</w:t>
            </w:r>
            <w:r>
              <w:rPr>
                <w:rFonts w:eastAsia="Calibri" w:cs="Times New Roman"/>
                <w:iCs/>
                <w:sz w:val="18"/>
                <w:szCs w:val="18"/>
              </w:rPr>
              <w:t>.</w:t>
            </w:r>
            <w:r w:rsidRPr="00095A7D">
              <w:rPr>
                <w:rFonts w:eastAsia="Calibri" w:cs="Times New Roman"/>
                <w:sz w:val="18"/>
                <w:szCs w:val="18"/>
              </w:rPr>
              <w:t xml:space="preserve"> Intercepted but not established </w:t>
            </w:r>
            <w:r>
              <w:rPr>
                <w:rFonts w:eastAsia="Calibri" w:cs="Times New Roman"/>
                <w:noProof/>
                <w:sz w:val="18"/>
                <w:szCs w:val="18"/>
              </w:rPr>
              <w:t>(Plant Health Australia 2018)</w:t>
            </w:r>
          </w:p>
        </w:tc>
        <w:tc>
          <w:tcPr>
            <w:tcW w:w="2552" w:type="dxa"/>
            <w:shd w:val="clear" w:color="auto" w:fill="auto"/>
          </w:tcPr>
          <w:p w14:paraId="05CA2703" w14:textId="77777777" w:rsidR="003438A2" w:rsidRPr="00095A7D" w:rsidRDefault="003438A2" w:rsidP="00881E29">
            <w:pPr>
              <w:spacing w:before="60" w:after="60" w:line="240" w:lineRule="auto"/>
              <w:rPr>
                <w:rFonts w:eastAsia="Calibri" w:cs="Times New Roman"/>
                <w:iCs/>
                <w:sz w:val="18"/>
                <w:szCs w:val="18"/>
              </w:rPr>
            </w:pPr>
            <w:r w:rsidRPr="00095A7D">
              <w:rPr>
                <w:rFonts w:eastAsia="Calibri" w:cs="Times New Roman"/>
                <w:iCs/>
                <w:sz w:val="18"/>
                <w:szCs w:val="18"/>
              </w:rPr>
              <w:t xml:space="preserve">No. Eggs are laid on the undersides of leaves; adults and nymphs are sap suckers that are known to feed on apple fruit </w:t>
            </w:r>
            <w:r>
              <w:rPr>
                <w:rFonts w:eastAsia="Calibri" w:cs="Times New Roman"/>
                <w:iCs/>
                <w:noProof/>
                <w:sz w:val="18"/>
                <w:szCs w:val="18"/>
              </w:rPr>
              <w:t>(Gyeltshen, Bernon &amp; Hodges 2010)</w:t>
            </w:r>
            <w:r w:rsidRPr="00095A7D">
              <w:rPr>
                <w:rFonts w:eastAsia="Calibri" w:cs="Times New Roman"/>
                <w:iCs/>
                <w:sz w:val="18"/>
                <w:szCs w:val="18"/>
              </w:rPr>
              <w:t xml:space="preserve">. However, nymphs and adults are considered to be present on fruit for short periods only. They are easily disturbed, and are unlikely to remain on the fruit when disturbed during harvesting and packing processes. In addition, fruit damaged by adults and nymphs become distorted </w:t>
            </w:r>
            <w:r>
              <w:rPr>
                <w:rFonts w:eastAsia="Calibri" w:cs="Times New Roman"/>
                <w:iCs/>
                <w:noProof/>
                <w:sz w:val="18"/>
                <w:szCs w:val="18"/>
              </w:rPr>
              <w:t>(Gyeltshen, Bernon &amp; Hodges 2010)</w:t>
            </w:r>
            <w:r w:rsidRPr="00095A7D">
              <w:rPr>
                <w:rFonts w:eastAsia="Calibri" w:cs="Times New Roman"/>
                <w:iCs/>
                <w:sz w:val="18"/>
                <w:szCs w:val="18"/>
              </w:rPr>
              <w:t xml:space="preserve"> and would not be picked during harvest</w:t>
            </w:r>
            <w:r>
              <w:rPr>
                <w:rFonts w:eastAsia="Calibri" w:cs="Times New Roman"/>
                <w:iCs/>
                <w:sz w:val="18"/>
                <w:szCs w:val="18"/>
              </w:rPr>
              <w:t>, minimising the chance of this pest in commercial apple shipment.</w:t>
            </w:r>
          </w:p>
        </w:tc>
        <w:tc>
          <w:tcPr>
            <w:tcW w:w="2381" w:type="dxa"/>
            <w:shd w:val="clear" w:color="auto" w:fill="auto"/>
          </w:tcPr>
          <w:p w14:paraId="37474427"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2211" w:type="dxa"/>
            <w:shd w:val="clear" w:color="auto" w:fill="auto"/>
          </w:tcPr>
          <w:p w14:paraId="440E707F"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1191" w:type="dxa"/>
            <w:shd w:val="clear" w:color="auto" w:fill="auto"/>
          </w:tcPr>
          <w:p w14:paraId="78FE9A4A"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No</w:t>
            </w:r>
          </w:p>
        </w:tc>
      </w:tr>
      <w:tr w:rsidR="003438A2" w:rsidRPr="00095A7D" w14:paraId="025E808C" w14:textId="77777777" w:rsidTr="00C4199F">
        <w:trPr>
          <w:cantSplit/>
          <w:trHeight w:val="75"/>
          <w:jc w:val="center"/>
        </w:trPr>
        <w:tc>
          <w:tcPr>
            <w:tcW w:w="2553" w:type="dxa"/>
            <w:shd w:val="clear" w:color="auto" w:fill="FFFFFF" w:themeFill="background1"/>
          </w:tcPr>
          <w:p w14:paraId="6388A619" w14:textId="77777777" w:rsidR="003438A2" w:rsidRPr="00313449" w:rsidRDefault="003438A2" w:rsidP="00881E29">
            <w:pPr>
              <w:spacing w:before="60" w:after="60" w:line="240" w:lineRule="auto"/>
              <w:rPr>
                <w:rFonts w:eastAsia="Calibri" w:cs="Times New Roman"/>
                <w:iCs/>
                <w:sz w:val="18"/>
                <w:szCs w:val="18"/>
              </w:rPr>
            </w:pPr>
            <w:r w:rsidRPr="00313449">
              <w:rPr>
                <w:rFonts w:eastAsia="Calibri" w:cs="Times New Roman"/>
                <w:i/>
                <w:iCs/>
                <w:sz w:val="18"/>
                <w:szCs w:val="18"/>
              </w:rPr>
              <w:t xml:space="preserve">Hyalopterus pruni </w:t>
            </w:r>
            <w:r w:rsidRPr="00313449">
              <w:rPr>
                <w:rFonts w:eastAsia="Calibri" w:cs="Times New Roman"/>
                <w:iCs/>
                <w:sz w:val="18"/>
                <w:szCs w:val="18"/>
              </w:rPr>
              <w:t>(Geoffroy, 1762)</w:t>
            </w:r>
          </w:p>
          <w:p w14:paraId="0C590BDD" w14:textId="77777777" w:rsidR="003438A2" w:rsidRPr="00313449" w:rsidRDefault="003438A2" w:rsidP="00881E29">
            <w:pPr>
              <w:spacing w:before="60" w:after="60" w:line="240" w:lineRule="auto"/>
              <w:rPr>
                <w:rFonts w:eastAsia="Calibri" w:cs="Times New Roman"/>
                <w:iCs/>
                <w:sz w:val="18"/>
                <w:szCs w:val="18"/>
              </w:rPr>
            </w:pPr>
            <w:r w:rsidRPr="00313449">
              <w:rPr>
                <w:rFonts w:eastAsia="Calibri" w:cs="Times New Roman"/>
                <w:iCs/>
                <w:sz w:val="18"/>
                <w:szCs w:val="18"/>
              </w:rPr>
              <w:t>[Aphididae]</w:t>
            </w:r>
          </w:p>
          <w:p w14:paraId="4F28DDA6" w14:textId="77777777" w:rsidR="003438A2" w:rsidRPr="00313449" w:rsidRDefault="003438A2" w:rsidP="00881E29">
            <w:pPr>
              <w:spacing w:before="60" w:after="60" w:line="240" w:lineRule="auto"/>
              <w:rPr>
                <w:rFonts w:eastAsia="Calibri" w:cs="Times New Roman"/>
                <w:i/>
                <w:sz w:val="18"/>
                <w:szCs w:val="18"/>
                <w:lang w:val="pt-BR"/>
              </w:rPr>
            </w:pPr>
            <w:r w:rsidRPr="00313449">
              <w:rPr>
                <w:rFonts w:eastAsia="Calibri" w:cs="Times New Roman"/>
                <w:iCs/>
                <w:sz w:val="18"/>
                <w:szCs w:val="18"/>
              </w:rPr>
              <w:t>Mealy plum aphid</w:t>
            </w:r>
          </w:p>
        </w:tc>
        <w:tc>
          <w:tcPr>
            <w:tcW w:w="1474" w:type="dxa"/>
            <w:shd w:val="clear" w:color="auto" w:fill="FFFFFF" w:themeFill="background1"/>
          </w:tcPr>
          <w:p w14:paraId="6DCC0444" w14:textId="77777777" w:rsidR="003438A2" w:rsidRPr="00313449" w:rsidRDefault="003438A2" w:rsidP="00881E29">
            <w:pPr>
              <w:spacing w:before="60" w:after="60" w:line="240" w:lineRule="auto"/>
              <w:rPr>
                <w:rFonts w:eastAsia="Calibri" w:cs="Times New Roman"/>
                <w:sz w:val="18"/>
                <w:szCs w:val="18"/>
                <w:lang w:val="pt-BR"/>
              </w:rPr>
            </w:pPr>
            <w:r w:rsidRPr="00313449">
              <w:rPr>
                <w:rFonts w:eastAsia="Calibri" w:cs="Times New Roman"/>
                <w:iCs/>
                <w:sz w:val="18"/>
                <w:szCs w:val="18"/>
              </w:rPr>
              <w:t>Yes</w:t>
            </w:r>
            <w:r w:rsidRPr="005E6DE2">
              <w:rPr>
                <w:rFonts w:eastAsia="Calibri" w:cs="Times New Roman"/>
                <w:iCs/>
                <w:sz w:val="18"/>
                <w:szCs w:val="18"/>
              </w:rPr>
              <w:t xml:space="preserve"> </w:t>
            </w:r>
            <w:r>
              <w:rPr>
                <w:rFonts w:eastAsia="Calibri" w:cs="Times New Roman"/>
                <w:iCs/>
                <w:noProof/>
                <w:sz w:val="18"/>
                <w:szCs w:val="18"/>
              </w:rPr>
              <w:t>(Beers et al. 1993a)</w:t>
            </w:r>
          </w:p>
        </w:tc>
        <w:tc>
          <w:tcPr>
            <w:tcW w:w="1474" w:type="dxa"/>
            <w:shd w:val="clear" w:color="auto" w:fill="FFFFFF" w:themeFill="background1"/>
          </w:tcPr>
          <w:p w14:paraId="46CC922C" w14:textId="77777777" w:rsidR="003438A2" w:rsidRPr="00581C93" w:rsidRDefault="003438A2" w:rsidP="00881E29">
            <w:pPr>
              <w:spacing w:before="60" w:after="60" w:line="240" w:lineRule="auto"/>
              <w:rPr>
                <w:b/>
                <w:sz w:val="18"/>
                <w:szCs w:val="18"/>
              </w:rPr>
            </w:pPr>
            <w:r w:rsidRPr="006F13CC">
              <w:rPr>
                <w:rFonts w:eastAsia="Calibri" w:cs="Times New Roman"/>
                <w:sz w:val="18"/>
                <w:szCs w:val="18"/>
              </w:rPr>
              <w:t xml:space="preserve">Yes. Qld, SA, Vic., Tas. </w:t>
            </w:r>
            <w:r>
              <w:rPr>
                <w:rFonts w:eastAsia="Calibri" w:cs="Times New Roman"/>
                <w:noProof/>
                <w:sz w:val="18"/>
                <w:szCs w:val="18"/>
              </w:rPr>
              <w:t>(Hollis &amp; Eastop 2005; Plant Health Australia 2018)</w:t>
            </w:r>
            <w:r w:rsidRPr="006F13CC">
              <w:rPr>
                <w:rFonts w:eastAsia="Calibri" w:cs="Times New Roman"/>
                <w:sz w:val="18"/>
                <w:szCs w:val="18"/>
              </w:rPr>
              <w:t xml:space="preserve">, Listed as a Declared Pest, Prohibited (section 12) (C1 Prohibited) for WA </w:t>
            </w:r>
            <w:r>
              <w:rPr>
                <w:rFonts w:eastAsia="Calibri" w:cs="Times New Roman"/>
                <w:noProof/>
                <w:sz w:val="18"/>
                <w:szCs w:val="18"/>
              </w:rPr>
              <w:t>(Government of Western Australia 2020)</w:t>
            </w:r>
          </w:p>
        </w:tc>
        <w:tc>
          <w:tcPr>
            <w:tcW w:w="2552" w:type="dxa"/>
            <w:shd w:val="clear" w:color="auto" w:fill="FFFFFF" w:themeFill="background1"/>
          </w:tcPr>
          <w:p w14:paraId="31108A5C" w14:textId="77777777" w:rsidR="003438A2" w:rsidRPr="00313449" w:rsidRDefault="003438A2" w:rsidP="00AE3F6F">
            <w:pPr>
              <w:spacing w:before="60" w:after="60" w:line="240" w:lineRule="auto"/>
              <w:rPr>
                <w:rFonts w:eastAsia="Calibri" w:cs="Times New Roman"/>
                <w:sz w:val="18"/>
                <w:szCs w:val="18"/>
              </w:rPr>
            </w:pPr>
            <w:r w:rsidRPr="00313449">
              <w:rPr>
                <w:rFonts w:eastAsia="Calibri" w:cs="Times New Roman"/>
                <w:iCs/>
                <w:sz w:val="18"/>
                <w:szCs w:val="18"/>
              </w:rPr>
              <w:t xml:space="preserve">No. </w:t>
            </w:r>
            <w:r>
              <w:rPr>
                <w:rFonts w:eastAsia="Calibri" w:cs="Times New Roman"/>
                <w:iCs/>
                <w:sz w:val="18"/>
                <w:szCs w:val="18"/>
              </w:rPr>
              <w:t xml:space="preserve">Not associated with apple </w:t>
            </w:r>
            <w:r w:rsidRPr="00206DB8">
              <w:rPr>
                <w:rFonts w:eastAsia="Calibri" w:cs="Times New Roman"/>
                <w:iCs/>
                <w:sz w:val="18"/>
                <w:szCs w:val="18"/>
              </w:rPr>
              <w:t>(Wiman &amp; Stoven 2022)</w:t>
            </w:r>
            <w:r>
              <w:rPr>
                <w:rFonts w:eastAsia="Calibri" w:cs="Times New Roman"/>
                <w:iCs/>
                <w:sz w:val="18"/>
                <w:szCs w:val="18"/>
              </w:rPr>
              <w:t xml:space="preserve">. </w:t>
            </w:r>
            <w:r w:rsidRPr="00313449">
              <w:rPr>
                <w:rFonts w:eastAsia="Calibri" w:cs="Times New Roman"/>
                <w:iCs/>
                <w:sz w:val="18"/>
                <w:szCs w:val="18"/>
              </w:rPr>
              <w:t>Overwintering eggs are laid in crevices on twigs</w:t>
            </w:r>
            <w:r>
              <w:rPr>
                <w:rFonts w:eastAsia="Calibri" w:cs="Times New Roman"/>
                <w:iCs/>
                <w:sz w:val="18"/>
                <w:szCs w:val="18"/>
              </w:rPr>
              <w:t>.</w:t>
            </w:r>
            <w:r w:rsidRPr="00313449">
              <w:rPr>
                <w:rFonts w:eastAsia="Calibri" w:cs="Times New Roman"/>
                <w:iCs/>
                <w:sz w:val="18"/>
                <w:szCs w:val="18"/>
              </w:rPr>
              <w:t xml:space="preserve"> </w:t>
            </w:r>
            <w:r>
              <w:rPr>
                <w:rFonts w:eastAsia="Calibri" w:cs="Times New Roman"/>
                <w:iCs/>
                <w:sz w:val="18"/>
                <w:szCs w:val="18"/>
              </w:rPr>
              <w:t>Adults and nymphs f</w:t>
            </w:r>
            <w:r w:rsidRPr="00313449">
              <w:rPr>
                <w:rFonts w:eastAsia="Calibri" w:cs="Times New Roman"/>
                <w:iCs/>
                <w:sz w:val="18"/>
                <w:szCs w:val="18"/>
              </w:rPr>
              <w:t>eed on the undersides of leaves</w:t>
            </w:r>
            <w:r>
              <w:rPr>
                <w:rFonts w:eastAsia="Calibri" w:cs="Times New Roman"/>
                <w:iCs/>
                <w:sz w:val="18"/>
                <w:szCs w:val="18"/>
              </w:rPr>
              <w:t>,</w:t>
            </w:r>
            <w:r w:rsidRPr="00313449">
              <w:rPr>
                <w:rFonts w:eastAsia="Calibri" w:cs="Times New Roman"/>
                <w:iCs/>
                <w:sz w:val="18"/>
                <w:szCs w:val="18"/>
              </w:rPr>
              <w:t xml:space="preserve"> causing leaves to curl</w:t>
            </w:r>
            <w:r>
              <w:rPr>
                <w:rFonts w:eastAsia="Calibri" w:cs="Times New Roman"/>
                <w:iCs/>
                <w:sz w:val="18"/>
                <w:szCs w:val="18"/>
              </w:rPr>
              <w:t>.</w:t>
            </w:r>
            <w:r w:rsidRPr="00313449">
              <w:rPr>
                <w:rFonts w:eastAsia="Calibri" w:cs="Times New Roman"/>
                <w:iCs/>
                <w:sz w:val="18"/>
                <w:szCs w:val="18"/>
              </w:rPr>
              <w:t xml:space="preserve"> </w:t>
            </w:r>
            <w:r>
              <w:rPr>
                <w:rFonts w:eastAsia="Calibri" w:cs="Times New Roman"/>
                <w:iCs/>
                <w:sz w:val="18"/>
                <w:szCs w:val="18"/>
              </w:rPr>
              <w:t xml:space="preserve">The species </w:t>
            </w:r>
            <w:r w:rsidRPr="00313449">
              <w:rPr>
                <w:rFonts w:eastAsia="Calibri" w:cs="Times New Roman"/>
                <w:iCs/>
                <w:sz w:val="18"/>
                <w:szCs w:val="18"/>
              </w:rPr>
              <w:t>migrate</w:t>
            </w:r>
            <w:r>
              <w:rPr>
                <w:rFonts w:eastAsia="Calibri" w:cs="Times New Roman"/>
                <w:iCs/>
                <w:sz w:val="18"/>
                <w:szCs w:val="18"/>
              </w:rPr>
              <w:t>s</w:t>
            </w:r>
            <w:r w:rsidRPr="00313449">
              <w:rPr>
                <w:rFonts w:eastAsia="Calibri" w:cs="Times New Roman"/>
                <w:iCs/>
                <w:sz w:val="18"/>
                <w:szCs w:val="18"/>
              </w:rPr>
              <w:t xml:space="preserve"> from tree </w:t>
            </w:r>
            <w:r>
              <w:rPr>
                <w:rFonts w:eastAsia="Calibri" w:cs="Times New Roman"/>
                <w:iCs/>
                <w:sz w:val="18"/>
                <w:szCs w:val="18"/>
              </w:rPr>
              <w:t>fruit</w:t>
            </w:r>
            <w:r w:rsidRPr="00313449">
              <w:rPr>
                <w:rFonts w:eastAsia="Calibri" w:cs="Times New Roman"/>
                <w:iCs/>
                <w:sz w:val="18"/>
                <w:szCs w:val="18"/>
              </w:rPr>
              <w:t xml:space="preserve"> to summer hosts, which include weeds, </w:t>
            </w:r>
            <w:r>
              <w:rPr>
                <w:rFonts w:eastAsia="Calibri" w:cs="Times New Roman"/>
                <w:iCs/>
                <w:sz w:val="18"/>
                <w:szCs w:val="18"/>
              </w:rPr>
              <w:t>o</w:t>
            </w:r>
            <w:r w:rsidRPr="00313449">
              <w:rPr>
                <w:rFonts w:eastAsia="Calibri" w:cs="Times New Roman"/>
                <w:iCs/>
                <w:sz w:val="18"/>
                <w:szCs w:val="18"/>
              </w:rPr>
              <w:t xml:space="preserve">rnamental plants and vegetables before returning to fruit hosts in spring to lay eggs </w:t>
            </w:r>
            <w:r>
              <w:rPr>
                <w:rFonts w:eastAsia="Calibri" w:cs="Times New Roman"/>
                <w:iCs/>
                <w:noProof/>
                <w:sz w:val="18"/>
                <w:szCs w:val="18"/>
              </w:rPr>
              <w:t>(Beers et al. 1993a)</w:t>
            </w:r>
            <w:r w:rsidRPr="00313449">
              <w:rPr>
                <w:rFonts w:eastAsia="Calibri" w:cs="Times New Roman"/>
                <w:iCs/>
                <w:sz w:val="18"/>
                <w:szCs w:val="18"/>
              </w:rPr>
              <w:t>. However, there is no evidence that the aphids are directly associated with the fruit</w:t>
            </w:r>
            <w:r>
              <w:rPr>
                <w:rFonts w:eastAsia="Calibri" w:cs="Times New Roman"/>
                <w:iCs/>
                <w:sz w:val="18"/>
                <w:szCs w:val="18"/>
              </w:rPr>
              <w:t>.</w:t>
            </w:r>
            <w:r w:rsidRPr="00313449">
              <w:rPr>
                <w:rFonts w:eastAsia="Calibri" w:cs="Times New Roman"/>
                <w:iCs/>
                <w:sz w:val="18"/>
                <w:szCs w:val="18"/>
              </w:rPr>
              <w:t xml:space="preserve"> </w:t>
            </w:r>
          </w:p>
        </w:tc>
        <w:tc>
          <w:tcPr>
            <w:tcW w:w="2381" w:type="dxa"/>
            <w:shd w:val="clear" w:color="auto" w:fill="FFFFFF" w:themeFill="background1"/>
          </w:tcPr>
          <w:p w14:paraId="6298C63C" w14:textId="77777777" w:rsidR="003438A2" w:rsidRPr="00313449" w:rsidRDefault="003438A2" w:rsidP="00881E29">
            <w:pPr>
              <w:spacing w:before="60" w:after="60" w:line="240" w:lineRule="auto"/>
              <w:rPr>
                <w:rFonts w:eastAsia="Calibri" w:cs="Times New Roman"/>
                <w:sz w:val="18"/>
                <w:szCs w:val="18"/>
              </w:rPr>
            </w:pPr>
            <w:r w:rsidRPr="00313449">
              <w:rPr>
                <w:rFonts w:eastAsia="Calibri" w:cs="Times New Roman"/>
                <w:sz w:val="18"/>
                <w:szCs w:val="18"/>
              </w:rPr>
              <w:t>Assessment not required</w:t>
            </w:r>
          </w:p>
        </w:tc>
        <w:tc>
          <w:tcPr>
            <w:tcW w:w="2211" w:type="dxa"/>
            <w:shd w:val="clear" w:color="auto" w:fill="FFFFFF" w:themeFill="background1"/>
          </w:tcPr>
          <w:p w14:paraId="19F9CB55" w14:textId="77777777" w:rsidR="003438A2" w:rsidRPr="00313449" w:rsidRDefault="003438A2" w:rsidP="00881E29">
            <w:pPr>
              <w:spacing w:before="60" w:after="60" w:line="240" w:lineRule="auto"/>
              <w:rPr>
                <w:rFonts w:eastAsia="Calibri" w:cs="Times New Roman"/>
                <w:sz w:val="18"/>
                <w:szCs w:val="18"/>
              </w:rPr>
            </w:pPr>
            <w:r w:rsidRPr="00313449">
              <w:rPr>
                <w:rFonts w:eastAsia="Calibri" w:cs="Times New Roman"/>
                <w:sz w:val="18"/>
                <w:szCs w:val="18"/>
              </w:rPr>
              <w:t>Assessment not required</w:t>
            </w:r>
          </w:p>
        </w:tc>
        <w:tc>
          <w:tcPr>
            <w:tcW w:w="1191" w:type="dxa"/>
            <w:shd w:val="clear" w:color="auto" w:fill="FFFFFF" w:themeFill="background1"/>
          </w:tcPr>
          <w:p w14:paraId="1EFA460F" w14:textId="77777777" w:rsidR="003438A2" w:rsidRPr="00095A7D" w:rsidRDefault="003438A2" w:rsidP="00881E29">
            <w:pPr>
              <w:spacing w:before="60" w:after="60" w:line="240" w:lineRule="auto"/>
              <w:rPr>
                <w:rFonts w:eastAsia="Calibri" w:cs="Times New Roman"/>
                <w:sz w:val="18"/>
                <w:szCs w:val="18"/>
              </w:rPr>
            </w:pPr>
            <w:r w:rsidRPr="00313449">
              <w:rPr>
                <w:rFonts w:eastAsia="Calibri" w:cs="Times New Roman"/>
                <w:sz w:val="18"/>
                <w:szCs w:val="18"/>
              </w:rPr>
              <w:t>No</w:t>
            </w:r>
          </w:p>
        </w:tc>
      </w:tr>
      <w:tr w:rsidR="003438A2" w:rsidRPr="00095A7D" w14:paraId="43F4179D" w14:textId="77777777" w:rsidTr="00C4199F">
        <w:trPr>
          <w:cantSplit/>
          <w:trHeight w:val="75"/>
          <w:jc w:val="center"/>
        </w:trPr>
        <w:tc>
          <w:tcPr>
            <w:tcW w:w="2553" w:type="dxa"/>
            <w:shd w:val="clear" w:color="auto" w:fill="auto"/>
          </w:tcPr>
          <w:p w14:paraId="7E763F31" w14:textId="77777777" w:rsidR="003438A2" w:rsidRPr="00FD2629" w:rsidRDefault="003438A2" w:rsidP="00881E29">
            <w:pPr>
              <w:spacing w:before="60" w:after="60" w:line="240" w:lineRule="auto"/>
              <w:rPr>
                <w:rFonts w:eastAsia="Calibri" w:cs="Times New Roman"/>
                <w:sz w:val="18"/>
                <w:szCs w:val="18"/>
              </w:rPr>
            </w:pPr>
            <w:r w:rsidRPr="00FD2629">
              <w:rPr>
                <w:rFonts w:eastAsia="Calibri" w:cs="Times New Roman"/>
                <w:i/>
                <w:sz w:val="18"/>
                <w:szCs w:val="18"/>
              </w:rPr>
              <w:lastRenderedPageBreak/>
              <w:t xml:space="preserve">Lygus elisus </w:t>
            </w:r>
            <w:r w:rsidRPr="00FD2629">
              <w:rPr>
                <w:rFonts w:eastAsia="Calibri" w:cs="Times New Roman"/>
                <w:sz w:val="18"/>
                <w:szCs w:val="18"/>
              </w:rPr>
              <w:t>Van Duzee, 1914</w:t>
            </w:r>
          </w:p>
          <w:p w14:paraId="19632DD2" w14:textId="77777777" w:rsidR="003438A2" w:rsidRPr="00FD2629" w:rsidRDefault="003438A2" w:rsidP="00881E29">
            <w:pPr>
              <w:spacing w:before="60" w:after="60" w:line="240" w:lineRule="auto"/>
              <w:rPr>
                <w:rFonts w:eastAsia="Calibri" w:cs="Times New Roman"/>
                <w:sz w:val="18"/>
                <w:szCs w:val="18"/>
              </w:rPr>
            </w:pPr>
            <w:r w:rsidRPr="00FD2629">
              <w:rPr>
                <w:rFonts w:eastAsia="Calibri" w:cs="Times New Roman"/>
                <w:sz w:val="18"/>
                <w:szCs w:val="18"/>
              </w:rPr>
              <w:t>[Miridae]</w:t>
            </w:r>
          </w:p>
          <w:p w14:paraId="0CE194CE" w14:textId="77777777" w:rsidR="003438A2" w:rsidRPr="00FD2629" w:rsidRDefault="003438A2" w:rsidP="00881E29">
            <w:pPr>
              <w:spacing w:before="60" w:after="60" w:line="240" w:lineRule="auto"/>
              <w:rPr>
                <w:rFonts w:eastAsia="Calibri" w:cs="Times New Roman"/>
                <w:i/>
                <w:sz w:val="18"/>
                <w:szCs w:val="18"/>
                <w:lang w:val="pt-BR"/>
              </w:rPr>
            </w:pPr>
            <w:r w:rsidRPr="00FD2629">
              <w:rPr>
                <w:rFonts w:eastAsia="Calibri" w:cs="Times New Roman"/>
                <w:sz w:val="18"/>
                <w:szCs w:val="18"/>
              </w:rPr>
              <w:t>Lucerne plant bug</w:t>
            </w:r>
          </w:p>
        </w:tc>
        <w:tc>
          <w:tcPr>
            <w:tcW w:w="1474" w:type="dxa"/>
            <w:shd w:val="clear" w:color="auto" w:fill="auto"/>
          </w:tcPr>
          <w:p w14:paraId="45164933" w14:textId="77777777" w:rsidR="003438A2" w:rsidRPr="00FD2629" w:rsidRDefault="003438A2" w:rsidP="00881E29">
            <w:pPr>
              <w:spacing w:before="60" w:after="60" w:line="240" w:lineRule="auto"/>
              <w:rPr>
                <w:rFonts w:eastAsia="Calibri" w:cs="Times New Roman"/>
                <w:sz w:val="18"/>
                <w:szCs w:val="18"/>
                <w:lang w:val="pt-BR"/>
              </w:rPr>
            </w:pPr>
            <w:r w:rsidRPr="00FD2629">
              <w:rPr>
                <w:rFonts w:eastAsia="Calibri" w:cs="Times New Roman"/>
                <w:sz w:val="18"/>
                <w:szCs w:val="18"/>
              </w:rPr>
              <w:t>Yes</w:t>
            </w:r>
            <w:r>
              <w:rPr>
                <w:rFonts w:eastAsia="Calibri" w:cs="Times New Roman"/>
                <w:sz w:val="18"/>
                <w:szCs w:val="18"/>
              </w:rPr>
              <w:t xml:space="preserve"> </w:t>
            </w:r>
            <w:r>
              <w:rPr>
                <w:rFonts w:eastAsia="Calibri" w:cs="Times New Roman"/>
                <w:noProof/>
                <w:sz w:val="18"/>
                <w:szCs w:val="18"/>
              </w:rPr>
              <w:t>(Anthon 1993a; Seymour et al. 2005)</w:t>
            </w:r>
          </w:p>
        </w:tc>
        <w:tc>
          <w:tcPr>
            <w:tcW w:w="1474" w:type="dxa"/>
            <w:shd w:val="clear" w:color="auto" w:fill="auto"/>
          </w:tcPr>
          <w:p w14:paraId="0303035F" w14:textId="77777777" w:rsidR="003438A2" w:rsidRPr="00FD2629" w:rsidRDefault="003438A2" w:rsidP="00881E29">
            <w:pPr>
              <w:spacing w:before="60" w:after="60" w:line="240" w:lineRule="auto"/>
              <w:rPr>
                <w:rFonts w:eastAsia="Calibri" w:cs="Times New Roman"/>
                <w:sz w:val="18"/>
                <w:szCs w:val="18"/>
              </w:rPr>
            </w:pPr>
            <w:r w:rsidRPr="00FD2629">
              <w:rPr>
                <w:rFonts w:eastAsia="Calibri" w:cs="Arial"/>
                <w:sz w:val="18"/>
                <w:szCs w:val="18"/>
              </w:rPr>
              <w:t xml:space="preserve">No </w:t>
            </w:r>
            <w:r w:rsidRPr="00FD2629">
              <w:rPr>
                <w:rFonts w:eastAsia="Calibri" w:cs="Times New Roman"/>
                <w:sz w:val="18"/>
                <w:szCs w:val="18"/>
              </w:rPr>
              <w:t>records found</w:t>
            </w:r>
          </w:p>
        </w:tc>
        <w:tc>
          <w:tcPr>
            <w:tcW w:w="2552" w:type="dxa"/>
            <w:shd w:val="clear" w:color="auto" w:fill="auto"/>
          </w:tcPr>
          <w:p w14:paraId="25A4FED2" w14:textId="77777777" w:rsidR="003438A2" w:rsidRPr="00390B0B" w:rsidRDefault="003438A2" w:rsidP="00881E29">
            <w:pPr>
              <w:spacing w:before="60" w:after="60" w:line="240" w:lineRule="auto"/>
              <w:rPr>
                <w:rFonts w:eastAsia="Calibri" w:cs="Times New Roman"/>
                <w:sz w:val="18"/>
                <w:szCs w:val="18"/>
              </w:rPr>
            </w:pPr>
            <w:r w:rsidRPr="000B7517">
              <w:rPr>
                <w:rFonts w:eastAsia="Calibri" w:cs="Arial"/>
                <w:sz w:val="18"/>
                <w:szCs w:val="18"/>
              </w:rPr>
              <w:t>Yes. Adults feed on developing apple flower buds in spring and then leave the fruit trees soon after petal fall to feed on weed hosts or other crops. The most important damage occurs when</w:t>
            </w:r>
            <w:r>
              <w:rPr>
                <w:rFonts w:eastAsia="Calibri" w:cs="Arial"/>
                <w:sz w:val="18"/>
                <w:szCs w:val="18"/>
              </w:rPr>
              <w:t xml:space="preserve"> </w:t>
            </w:r>
            <w:r w:rsidRPr="000B7517">
              <w:rPr>
                <w:rFonts w:eastAsia="Calibri" w:cs="Arial"/>
                <w:sz w:val="18"/>
                <w:szCs w:val="18"/>
              </w:rPr>
              <w:t>adults feed on flower parts or young fruit. This kills some cells in the fruit, which fail to grow, leaving the fruit deformed with deep pits. Females deposit eggs in young fruit causing shallow pitting and deformity</w:t>
            </w:r>
            <w:r>
              <w:rPr>
                <w:rFonts w:eastAsia="Calibri" w:cs="Arial"/>
                <w:sz w:val="18"/>
                <w:szCs w:val="18"/>
              </w:rPr>
              <w:t>,</w:t>
            </w:r>
            <w:r w:rsidRPr="000B7517">
              <w:rPr>
                <w:rFonts w:eastAsia="Calibri" w:cs="Arial"/>
                <w:sz w:val="18"/>
                <w:szCs w:val="18"/>
              </w:rPr>
              <w:t xml:space="preserve"> but </w:t>
            </w:r>
            <w:r>
              <w:rPr>
                <w:rFonts w:eastAsia="Calibri" w:cs="Arial"/>
                <w:sz w:val="18"/>
                <w:szCs w:val="18"/>
              </w:rPr>
              <w:t xml:space="preserve">the species is </w:t>
            </w:r>
            <w:r w:rsidRPr="000B7517">
              <w:rPr>
                <w:rFonts w:eastAsia="Calibri" w:cs="Arial"/>
                <w:sz w:val="18"/>
                <w:szCs w:val="18"/>
              </w:rPr>
              <w:t xml:space="preserve">not as common as </w:t>
            </w:r>
            <w:r w:rsidRPr="008A5E82">
              <w:rPr>
                <w:rFonts w:eastAsia="Calibri" w:cs="Arial"/>
                <w:i/>
                <w:sz w:val="18"/>
                <w:szCs w:val="18"/>
              </w:rPr>
              <w:t>Lygus</w:t>
            </w:r>
            <w:r>
              <w:rPr>
                <w:rFonts w:eastAsia="Calibri" w:cs="Arial"/>
                <w:i/>
                <w:sz w:val="18"/>
                <w:szCs w:val="18"/>
              </w:rPr>
              <w:t xml:space="preserve"> </w:t>
            </w:r>
            <w:r w:rsidRPr="008A5E82">
              <w:rPr>
                <w:rFonts w:eastAsia="Calibri" w:cs="Arial"/>
                <w:i/>
                <w:sz w:val="18"/>
                <w:szCs w:val="18"/>
              </w:rPr>
              <w:t>lineolaris</w:t>
            </w:r>
            <w:r w:rsidRPr="000B7517">
              <w:rPr>
                <w:rFonts w:eastAsia="Calibri" w:cs="Arial"/>
                <w:sz w:val="18"/>
                <w:szCs w:val="18"/>
              </w:rPr>
              <w:t xml:space="preserve"> in attacking tree</w:t>
            </w:r>
            <w:r>
              <w:rPr>
                <w:rFonts w:eastAsia="Calibri" w:cs="Arial"/>
                <w:sz w:val="18"/>
                <w:szCs w:val="18"/>
              </w:rPr>
              <w:t xml:space="preserve"> fruit</w:t>
            </w:r>
            <w:r w:rsidRPr="000B7517">
              <w:rPr>
                <w:rFonts w:eastAsia="Calibri" w:cs="Arial"/>
                <w:sz w:val="18"/>
                <w:szCs w:val="18"/>
              </w:rPr>
              <w:t xml:space="preserve"> </w:t>
            </w:r>
            <w:r>
              <w:rPr>
                <w:rFonts w:eastAsia="Calibri" w:cs="Arial"/>
                <w:noProof/>
                <w:sz w:val="18"/>
                <w:szCs w:val="18"/>
              </w:rPr>
              <w:t>(Anthon 1993a)</w:t>
            </w:r>
            <w:r>
              <w:rPr>
                <w:rFonts w:eastAsia="Calibri" w:cs="Arial"/>
                <w:sz w:val="18"/>
                <w:szCs w:val="18"/>
              </w:rPr>
              <w:t>.</w:t>
            </w:r>
          </w:p>
        </w:tc>
        <w:tc>
          <w:tcPr>
            <w:tcW w:w="2381" w:type="dxa"/>
            <w:shd w:val="clear" w:color="auto" w:fill="auto"/>
          </w:tcPr>
          <w:p w14:paraId="45D097AE" w14:textId="77777777" w:rsidR="003438A2" w:rsidRPr="00FD2629" w:rsidRDefault="003438A2" w:rsidP="00881E29">
            <w:pPr>
              <w:spacing w:before="60" w:after="60" w:line="240" w:lineRule="auto"/>
              <w:rPr>
                <w:rFonts w:eastAsia="Calibri" w:cs="Times New Roman"/>
                <w:sz w:val="18"/>
                <w:szCs w:val="18"/>
              </w:rPr>
            </w:pPr>
            <w:r w:rsidRPr="00FD2629">
              <w:rPr>
                <w:rFonts w:eastAsia="Calibri" w:cs="Times New Roman"/>
                <w:sz w:val="18"/>
                <w:szCs w:val="18"/>
              </w:rPr>
              <w:t xml:space="preserve">Yes. Polyphagous bug feeding on </w:t>
            </w:r>
            <w:r w:rsidRPr="00FD2629">
              <w:rPr>
                <w:rFonts w:eastAsia="Calibri" w:cs="Times New Roman"/>
                <w:i/>
                <w:sz w:val="18"/>
                <w:szCs w:val="18"/>
              </w:rPr>
              <w:t>Medicago sativa</w:t>
            </w:r>
            <w:r w:rsidRPr="00FD2629">
              <w:rPr>
                <w:rFonts w:eastAsia="Calibri" w:cs="Times New Roman"/>
                <w:sz w:val="18"/>
                <w:szCs w:val="18"/>
              </w:rPr>
              <w:t xml:space="preserve"> (alfalfa), </w:t>
            </w:r>
            <w:r w:rsidRPr="00FD2629">
              <w:rPr>
                <w:rFonts w:eastAsia="Calibri" w:cs="Times New Roman"/>
                <w:i/>
                <w:sz w:val="18"/>
                <w:szCs w:val="18"/>
              </w:rPr>
              <w:t xml:space="preserve">Melilotus officinalis </w:t>
            </w:r>
            <w:r w:rsidRPr="00FD2629">
              <w:rPr>
                <w:rFonts w:eastAsia="Calibri" w:cs="Times New Roman"/>
                <w:sz w:val="18"/>
                <w:szCs w:val="18"/>
              </w:rPr>
              <w:t xml:space="preserve">(sweet clover), </w:t>
            </w:r>
            <w:r w:rsidRPr="00FD2629">
              <w:rPr>
                <w:rFonts w:eastAsia="Calibri" w:cs="Times New Roman"/>
                <w:i/>
                <w:sz w:val="18"/>
                <w:szCs w:val="18"/>
              </w:rPr>
              <w:t>Verbascum</w:t>
            </w:r>
            <w:r w:rsidRPr="00FD2629">
              <w:rPr>
                <w:rFonts w:eastAsia="Calibri" w:cs="Times New Roman"/>
                <w:sz w:val="18"/>
                <w:szCs w:val="18"/>
              </w:rPr>
              <w:t xml:space="preserve"> spp. (mullein), </w:t>
            </w:r>
            <w:r w:rsidRPr="00FD2629">
              <w:rPr>
                <w:rFonts w:eastAsia="Calibri" w:cs="Times New Roman"/>
                <w:i/>
                <w:sz w:val="18"/>
                <w:szCs w:val="18"/>
              </w:rPr>
              <w:t>Salsola</w:t>
            </w:r>
            <w:r w:rsidRPr="00FD2629">
              <w:rPr>
                <w:rFonts w:eastAsia="Calibri" w:cs="Times New Roman"/>
                <w:sz w:val="18"/>
                <w:szCs w:val="18"/>
              </w:rPr>
              <w:t xml:space="preserve"> </w:t>
            </w:r>
            <w:r w:rsidRPr="00FD2629">
              <w:rPr>
                <w:rFonts w:eastAsia="Calibri" w:cs="Times New Roman"/>
                <w:i/>
                <w:sz w:val="18"/>
                <w:szCs w:val="18"/>
              </w:rPr>
              <w:t>tragus</w:t>
            </w:r>
            <w:r w:rsidRPr="00FD2629">
              <w:rPr>
                <w:rFonts w:eastAsia="Calibri" w:cs="Times New Roman"/>
                <w:sz w:val="18"/>
                <w:szCs w:val="18"/>
              </w:rPr>
              <w:t xml:space="preserve"> (Russian thistle), </w:t>
            </w:r>
            <w:r w:rsidRPr="00FD2629">
              <w:rPr>
                <w:rFonts w:eastAsia="Calibri" w:cs="Times New Roman"/>
                <w:i/>
                <w:sz w:val="18"/>
                <w:szCs w:val="18"/>
              </w:rPr>
              <w:t>Bassia</w:t>
            </w:r>
            <w:r w:rsidRPr="00FD2629">
              <w:rPr>
                <w:rFonts w:eastAsia="Calibri" w:cs="Times New Roman"/>
                <w:sz w:val="18"/>
                <w:szCs w:val="18"/>
              </w:rPr>
              <w:t xml:space="preserve"> spp. (smotherweed), </w:t>
            </w:r>
            <w:r w:rsidRPr="00FD2629">
              <w:rPr>
                <w:rFonts w:eastAsia="Calibri" w:cs="Times New Roman"/>
                <w:i/>
                <w:sz w:val="18"/>
                <w:szCs w:val="18"/>
              </w:rPr>
              <w:t>Conyza</w:t>
            </w:r>
            <w:r>
              <w:rPr>
                <w:rFonts w:eastAsia="Calibri" w:cs="Times New Roman"/>
                <w:sz w:val="18"/>
                <w:szCs w:val="18"/>
              </w:rPr>
              <w:t xml:space="preserve"> </w:t>
            </w:r>
            <w:r w:rsidRPr="00FD2629">
              <w:rPr>
                <w:rFonts w:eastAsia="Calibri" w:cs="Times New Roman"/>
                <w:sz w:val="18"/>
                <w:szCs w:val="18"/>
              </w:rPr>
              <w:t xml:space="preserve">spp. (horseweed), </w:t>
            </w:r>
            <w:r w:rsidRPr="00FD2629">
              <w:rPr>
                <w:rFonts w:eastAsia="Calibri" w:cs="Times New Roman"/>
                <w:i/>
                <w:sz w:val="18"/>
                <w:szCs w:val="18"/>
              </w:rPr>
              <w:t xml:space="preserve">Brassica spp. </w:t>
            </w:r>
            <w:r w:rsidRPr="00FD2629">
              <w:rPr>
                <w:rFonts w:eastAsia="Calibri" w:cs="Times New Roman"/>
                <w:sz w:val="18"/>
                <w:szCs w:val="18"/>
              </w:rPr>
              <w:t xml:space="preserve">(wild mustards), </w:t>
            </w:r>
            <w:r w:rsidRPr="00FD2629">
              <w:rPr>
                <w:rFonts w:eastAsia="Calibri" w:cs="Times New Roman"/>
                <w:i/>
                <w:sz w:val="18"/>
                <w:szCs w:val="18"/>
              </w:rPr>
              <w:t>Ambrosia psilostachya</w:t>
            </w:r>
            <w:r>
              <w:rPr>
                <w:rFonts w:eastAsia="Calibri" w:cs="Times New Roman"/>
                <w:sz w:val="18"/>
                <w:szCs w:val="18"/>
              </w:rPr>
              <w:t xml:space="preserve"> </w:t>
            </w:r>
            <w:r w:rsidRPr="00FD2629">
              <w:rPr>
                <w:rFonts w:eastAsia="Calibri" w:cs="Times New Roman"/>
                <w:sz w:val="18"/>
                <w:szCs w:val="18"/>
              </w:rPr>
              <w:t xml:space="preserve">(western ragweed), </w:t>
            </w:r>
            <w:r w:rsidRPr="00FD2629">
              <w:rPr>
                <w:rFonts w:eastAsia="Calibri" w:cs="Times New Roman"/>
                <w:i/>
                <w:sz w:val="18"/>
                <w:szCs w:val="18"/>
              </w:rPr>
              <w:t>Chrysothamnus</w:t>
            </w:r>
            <w:r w:rsidRPr="00FD2629">
              <w:rPr>
                <w:rFonts w:eastAsia="Calibri" w:cs="Times New Roman"/>
                <w:sz w:val="18"/>
                <w:szCs w:val="18"/>
              </w:rPr>
              <w:t xml:space="preserve"> spp. (rabbitbrush) and </w:t>
            </w:r>
            <w:r w:rsidRPr="00FD2629">
              <w:rPr>
                <w:rFonts w:eastAsia="Calibri" w:cs="Times New Roman"/>
                <w:i/>
                <w:sz w:val="18"/>
                <w:szCs w:val="18"/>
              </w:rPr>
              <w:t>Artemisia</w:t>
            </w:r>
            <w:r w:rsidRPr="00FD2629">
              <w:rPr>
                <w:rFonts w:eastAsia="Calibri" w:cs="Times New Roman"/>
                <w:sz w:val="18"/>
                <w:szCs w:val="18"/>
              </w:rPr>
              <w:t xml:space="preserve"> spp. (sagebrush)</w:t>
            </w:r>
            <w:r>
              <w:rPr>
                <w:rFonts w:eastAsia="Calibri" w:cs="Times New Roman"/>
                <w:sz w:val="18"/>
                <w:szCs w:val="18"/>
              </w:rPr>
              <w:t xml:space="preserve">. </w:t>
            </w:r>
            <w:r w:rsidRPr="00FD2629">
              <w:rPr>
                <w:rFonts w:eastAsia="Calibri" w:cs="Times New Roman"/>
                <w:i/>
                <w:sz w:val="18"/>
                <w:szCs w:val="18"/>
              </w:rPr>
              <w:t>Lygus elisus</w:t>
            </w:r>
            <w:r w:rsidRPr="00FD2629">
              <w:rPr>
                <w:rFonts w:eastAsia="Calibri" w:cs="Times New Roman"/>
                <w:sz w:val="18"/>
                <w:szCs w:val="18"/>
              </w:rPr>
              <w:t xml:space="preserve"> will also attack apples, pears, peaches and apricots </w:t>
            </w:r>
            <w:r>
              <w:rPr>
                <w:rFonts w:eastAsia="Calibri" w:cs="Times New Roman"/>
                <w:noProof/>
                <w:sz w:val="18"/>
                <w:szCs w:val="18"/>
              </w:rPr>
              <w:t>(Anthon 1993a)</w:t>
            </w:r>
            <w:r>
              <w:rPr>
                <w:rFonts w:eastAsia="Calibri" w:cs="Times New Roman"/>
                <w:sz w:val="18"/>
                <w:szCs w:val="18"/>
              </w:rPr>
              <w:t xml:space="preserve"> and move from host to host</w:t>
            </w:r>
            <w:r w:rsidRPr="00FD2629">
              <w:rPr>
                <w:rFonts w:eastAsia="Calibri" w:cs="Times New Roman"/>
                <w:sz w:val="18"/>
                <w:szCs w:val="18"/>
              </w:rPr>
              <w:t>. Distributed throughout the</w:t>
            </w:r>
            <w:r>
              <w:rPr>
                <w:rFonts w:eastAsia="Calibri" w:cs="Times New Roman"/>
                <w:sz w:val="18"/>
                <w:szCs w:val="18"/>
              </w:rPr>
              <w:t xml:space="preserve"> USA </w:t>
            </w:r>
            <w:r w:rsidRPr="00FD2629">
              <w:rPr>
                <w:rFonts w:eastAsia="Calibri" w:cs="Times New Roman"/>
                <w:sz w:val="18"/>
                <w:szCs w:val="18"/>
              </w:rPr>
              <w:t xml:space="preserve">and southern Canada </w:t>
            </w:r>
            <w:r>
              <w:rPr>
                <w:rFonts w:eastAsia="Calibri" w:cs="Times New Roman"/>
                <w:noProof/>
                <w:sz w:val="18"/>
                <w:szCs w:val="18"/>
              </w:rPr>
              <w:t>(Anthon 1993a)</w:t>
            </w:r>
            <w:r w:rsidRPr="00FD2629">
              <w:rPr>
                <w:rFonts w:eastAsia="Calibri" w:cs="Times New Roman"/>
                <w:sz w:val="18"/>
                <w:szCs w:val="18"/>
              </w:rPr>
              <w:t xml:space="preserve"> in a variety of environments with similarities to </w:t>
            </w:r>
            <w:r>
              <w:rPr>
                <w:rFonts w:eastAsia="Calibri" w:cs="Times New Roman"/>
                <w:sz w:val="18"/>
                <w:szCs w:val="18"/>
              </w:rPr>
              <w:t xml:space="preserve">parts of </w:t>
            </w:r>
            <w:r w:rsidRPr="00FD2629">
              <w:rPr>
                <w:rFonts w:eastAsia="Calibri" w:cs="Times New Roman"/>
                <w:sz w:val="18"/>
                <w:szCs w:val="18"/>
              </w:rPr>
              <w:t>Australia</w:t>
            </w:r>
            <w:r>
              <w:rPr>
                <w:rFonts w:eastAsia="Calibri" w:cs="Times New Roman"/>
                <w:sz w:val="18"/>
                <w:szCs w:val="18"/>
              </w:rPr>
              <w:t>.</w:t>
            </w:r>
          </w:p>
        </w:tc>
        <w:tc>
          <w:tcPr>
            <w:tcW w:w="2211" w:type="dxa"/>
            <w:shd w:val="clear" w:color="auto" w:fill="auto"/>
          </w:tcPr>
          <w:p w14:paraId="6E57D370" w14:textId="77777777" w:rsidR="003438A2" w:rsidRPr="00FD2629" w:rsidRDefault="003438A2" w:rsidP="00881E29">
            <w:pPr>
              <w:spacing w:before="60" w:after="60" w:line="240" w:lineRule="auto"/>
              <w:rPr>
                <w:rFonts w:eastAsia="Calibri" w:cs="Times New Roman"/>
                <w:sz w:val="18"/>
                <w:szCs w:val="18"/>
              </w:rPr>
            </w:pPr>
            <w:r w:rsidRPr="00FD2629">
              <w:rPr>
                <w:rFonts w:eastAsia="Calibri" w:cs="Times New Roman"/>
                <w:sz w:val="18"/>
                <w:szCs w:val="18"/>
              </w:rPr>
              <w:t xml:space="preserve">Yes. Nymphs and adults suck plant juices from host plants; lygus bugs cause the most serious damage by feeding on fruit causing round pits or irregularly-shaped depressions in apple </w:t>
            </w:r>
            <w:r>
              <w:rPr>
                <w:rFonts w:eastAsia="Calibri" w:cs="Times New Roman"/>
                <w:noProof/>
                <w:sz w:val="18"/>
                <w:szCs w:val="18"/>
              </w:rPr>
              <w:t>(Caprile et al. 2009a)</w:t>
            </w:r>
            <w:r w:rsidRPr="00FD2629">
              <w:rPr>
                <w:rFonts w:eastAsia="Calibri" w:cs="Times New Roman"/>
                <w:sz w:val="18"/>
                <w:szCs w:val="18"/>
              </w:rPr>
              <w:t xml:space="preserve">. Lygus bugs may be present in large numbers but cause no damage, but they can also attack apple fruit at any time from petal fall to harvest </w:t>
            </w:r>
            <w:r>
              <w:rPr>
                <w:rFonts w:eastAsia="Calibri" w:cs="Times New Roman"/>
                <w:noProof/>
                <w:sz w:val="18"/>
                <w:szCs w:val="18"/>
              </w:rPr>
              <w:t>(Caprile et al. 2006c)</w:t>
            </w:r>
            <w:r>
              <w:rPr>
                <w:rFonts w:eastAsia="Calibri" w:cs="Times New Roman"/>
                <w:sz w:val="18"/>
                <w:szCs w:val="18"/>
              </w:rPr>
              <w:t>.</w:t>
            </w:r>
            <w:r w:rsidRPr="00FD2629">
              <w:rPr>
                <w:rFonts w:eastAsia="Calibri" w:cs="Times New Roman"/>
                <w:sz w:val="18"/>
                <w:szCs w:val="18"/>
              </w:rPr>
              <w:t xml:space="preserve"> Preventative treatments are costly and are not always effective, since lygus bugs are quick to develop resistance </w:t>
            </w:r>
            <w:r>
              <w:rPr>
                <w:rFonts w:eastAsia="Calibri" w:cs="Times New Roman"/>
                <w:noProof/>
                <w:sz w:val="18"/>
                <w:szCs w:val="18"/>
              </w:rPr>
              <w:t>(Caprile et al. 2006c)</w:t>
            </w:r>
            <w:r>
              <w:rPr>
                <w:rFonts w:eastAsia="Calibri" w:cs="Times New Roman"/>
                <w:sz w:val="18"/>
                <w:szCs w:val="18"/>
              </w:rPr>
              <w:t>.</w:t>
            </w:r>
          </w:p>
        </w:tc>
        <w:tc>
          <w:tcPr>
            <w:tcW w:w="1191" w:type="dxa"/>
            <w:shd w:val="clear" w:color="auto" w:fill="auto"/>
          </w:tcPr>
          <w:p w14:paraId="3A5758BD" w14:textId="77777777" w:rsidR="003438A2" w:rsidRPr="00095A7D" w:rsidRDefault="003438A2" w:rsidP="00881E29">
            <w:pPr>
              <w:spacing w:before="60" w:after="60" w:line="240" w:lineRule="auto"/>
              <w:rPr>
                <w:rFonts w:eastAsia="Calibri" w:cs="Times New Roman"/>
                <w:sz w:val="18"/>
                <w:szCs w:val="18"/>
              </w:rPr>
            </w:pPr>
            <w:r w:rsidRPr="00FD2629">
              <w:rPr>
                <w:rFonts w:eastAsia="Calibri" w:cs="Times New Roman"/>
                <w:sz w:val="18"/>
                <w:szCs w:val="18"/>
              </w:rPr>
              <w:t>Yes (EP)</w:t>
            </w:r>
          </w:p>
        </w:tc>
      </w:tr>
      <w:tr w:rsidR="003438A2" w:rsidRPr="00095A7D" w14:paraId="2A59B706" w14:textId="77777777" w:rsidTr="00C4199F">
        <w:trPr>
          <w:cantSplit/>
          <w:trHeight w:val="75"/>
          <w:jc w:val="center"/>
        </w:trPr>
        <w:tc>
          <w:tcPr>
            <w:tcW w:w="2553" w:type="dxa"/>
            <w:shd w:val="clear" w:color="auto" w:fill="auto"/>
          </w:tcPr>
          <w:p w14:paraId="063AAA6B" w14:textId="77777777" w:rsidR="003438A2" w:rsidRPr="00FD2629" w:rsidRDefault="003438A2" w:rsidP="00881E29">
            <w:pPr>
              <w:spacing w:before="60" w:after="60" w:line="240" w:lineRule="auto"/>
              <w:rPr>
                <w:rFonts w:eastAsia="Calibri" w:cs="Times New Roman"/>
                <w:sz w:val="18"/>
                <w:szCs w:val="18"/>
              </w:rPr>
            </w:pPr>
            <w:r w:rsidRPr="00FD2629">
              <w:rPr>
                <w:rFonts w:eastAsia="Calibri" w:cs="Times New Roman"/>
                <w:i/>
                <w:sz w:val="18"/>
                <w:szCs w:val="18"/>
              </w:rPr>
              <w:lastRenderedPageBreak/>
              <w:t xml:space="preserve">Lygus hesperus </w:t>
            </w:r>
            <w:r w:rsidRPr="00FD2629">
              <w:rPr>
                <w:rFonts w:eastAsia="Calibri" w:cs="Times New Roman"/>
                <w:sz w:val="18"/>
                <w:szCs w:val="18"/>
              </w:rPr>
              <w:t>Knight, 1917</w:t>
            </w:r>
          </w:p>
          <w:p w14:paraId="13A8902F" w14:textId="77777777" w:rsidR="003438A2" w:rsidRPr="00FD2629" w:rsidRDefault="003438A2" w:rsidP="00881E29">
            <w:pPr>
              <w:spacing w:before="60" w:after="60" w:line="240" w:lineRule="auto"/>
              <w:rPr>
                <w:rFonts w:eastAsia="Calibri" w:cs="Times New Roman"/>
                <w:sz w:val="18"/>
                <w:szCs w:val="18"/>
              </w:rPr>
            </w:pPr>
            <w:r w:rsidRPr="00FD2629">
              <w:rPr>
                <w:rFonts w:eastAsia="Calibri" w:cs="Times New Roman"/>
                <w:sz w:val="18"/>
                <w:szCs w:val="18"/>
              </w:rPr>
              <w:t>[Miridae]</w:t>
            </w:r>
          </w:p>
          <w:p w14:paraId="44B00F39" w14:textId="77777777" w:rsidR="003438A2" w:rsidRPr="00FD2629" w:rsidRDefault="003438A2" w:rsidP="00881E29">
            <w:pPr>
              <w:spacing w:before="60" w:after="60" w:line="240" w:lineRule="auto"/>
              <w:rPr>
                <w:rFonts w:eastAsia="Calibri" w:cs="Times New Roman"/>
                <w:i/>
                <w:sz w:val="18"/>
                <w:szCs w:val="18"/>
              </w:rPr>
            </w:pPr>
            <w:r w:rsidRPr="00FD2629">
              <w:rPr>
                <w:rFonts w:eastAsia="Calibri" w:cs="Times New Roman"/>
                <w:sz w:val="18"/>
                <w:szCs w:val="18"/>
              </w:rPr>
              <w:t>Western tarnished plant bug</w:t>
            </w:r>
          </w:p>
        </w:tc>
        <w:tc>
          <w:tcPr>
            <w:tcW w:w="1474" w:type="dxa"/>
            <w:shd w:val="clear" w:color="auto" w:fill="auto"/>
          </w:tcPr>
          <w:p w14:paraId="3144E7BB" w14:textId="77777777" w:rsidR="003438A2" w:rsidRDefault="003438A2" w:rsidP="00AE3F6F">
            <w:pPr>
              <w:spacing w:before="60" w:after="60" w:line="240" w:lineRule="auto"/>
              <w:rPr>
                <w:rFonts w:eastAsia="Calibri" w:cs="Times New Roman"/>
                <w:iCs/>
                <w:sz w:val="18"/>
                <w:szCs w:val="18"/>
              </w:rPr>
            </w:pPr>
            <w:r w:rsidRPr="00FD2629">
              <w:rPr>
                <w:rFonts w:eastAsia="Calibri" w:cs="Times New Roman"/>
                <w:sz w:val="18"/>
                <w:szCs w:val="18"/>
              </w:rPr>
              <w:t xml:space="preserve">Yes. </w:t>
            </w:r>
            <w:r>
              <w:rPr>
                <w:rFonts w:eastAsia="Calibri" w:cs="Times New Roman"/>
                <w:sz w:val="18"/>
                <w:szCs w:val="18"/>
              </w:rPr>
              <w:t>Present in</w:t>
            </w:r>
            <w:r w:rsidRPr="00FD2629">
              <w:rPr>
                <w:rFonts w:eastAsia="Calibri" w:cs="Times New Roman"/>
                <w:sz w:val="18"/>
                <w:szCs w:val="18"/>
              </w:rPr>
              <w:t xml:space="preserve"> ID, OR</w:t>
            </w:r>
            <w:r>
              <w:rPr>
                <w:rFonts w:eastAsia="Calibri" w:cs="Times New Roman"/>
                <w:sz w:val="18"/>
                <w:szCs w:val="18"/>
              </w:rPr>
              <w:t xml:space="preserve"> and</w:t>
            </w:r>
            <w:r w:rsidRPr="00FD2629">
              <w:rPr>
                <w:rFonts w:eastAsia="Calibri" w:cs="Times New Roman"/>
                <w:sz w:val="18"/>
                <w:szCs w:val="18"/>
              </w:rPr>
              <w:t xml:space="preserve"> WA</w:t>
            </w:r>
            <w:r>
              <w:rPr>
                <w:rFonts w:eastAsia="Calibri" w:cs="Times New Roman"/>
                <w:sz w:val="18"/>
                <w:szCs w:val="18"/>
              </w:rPr>
              <w:t xml:space="preserve"> </w:t>
            </w:r>
            <w:r>
              <w:rPr>
                <w:rFonts w:eastAsia="Calibri" w:cs="Times New Roman"/>
                <w:iCs/>
                <w:noProof/>
                <w:sz w:val="18"/>
                <w:szCs w:val="18"/>
              </w:rPr>
              <w:t>(Anthon 1993a; CABI 2022)</w:t>
            </w:r>
          </w:p>
          <w:p w14:paraId="3B7ACB99" w14:textId="77777777" w:rsidR="003438A2" w:rsidRPr="00FD2629" w:rsidRDefault="003438A2" w:rsidP="00881E29">
            <w:pPr>
              <w:spacing w:before="60" w:after="60" w:line="240" w:lineRule="auto"/>
              <w:rPr>
                <w:rFonts w:eastAsia="Calibri" w:cs="Times New Roman"/>
                <w:sz w:val="18"/>
                <w:szCs w:val="18"/>
              </w:rPr>
            </w:pPr>
          </w:p>
        </w:tc>
        <w:tc>
          <w:tcPr>
            <w:tcW w:w="1474" w:type="dxa"/>
            <w:shd w:val="clear" w:color="auto" w:fill="auto"/>
          </w:tcPr>
          <w:p w14:paraId="70E17E2D" w14:textId="77777777" w:rsidR="003438A2" w:rsidRPr="00FD2629" w:rsidRDefault="003438A2" w:rsidP="00881E29">
            <w:pPr>
              <w:spacing w:before="60" w:after="60" w:line="240" w:lineRule="auto"/>
              <w:rPr>
                <w:rFonts w:eastAsia="Calibri" w:cs="Arial"/>
                <w:sz w:val="18"/>
                <w:szCs w:val="18"/>
              </w:rPr>
            </w:pPr>
            <w:r w:rsidRPr="00FD2629">
              <w:rPr>
                <w:rFonts w:eastAsia="Calibri" w:cs="Arial"/>
                <w:sz w:val="18"/>
                <w:szCs w:val="18"/>
              </w:rPr>
              <w:t xml:space="preserve">No </w:t>
            </w:r>
            <w:r w:rsidRPr="00FD2629">
              <w:rPr>
                <w:rFonts w:eastAsia="Calibri" w:cs="Times New Roman"/>
                <w:sz w:val="18"/>
                <w:szCs w:val="18"/>
              </w:rPr>
              <w:t>records found</w:t>
            </w:r>
          </w:p>
        </w:tc>
        <w:tc>
          <w:tcPr>
            <w:tcW w:w="2552" w:type="dxa"/>
            <w:shd w:val="clear" w:color="auto" w:fill="auto"/>
          </w:tcPr>
          <w:p w14:paraId="15B27D23" w14:textId="77777777" w:rsidR="003438A2" w:rsidRPr="00FD2629" w:rsidRDefault="003438A2" w:rsidP="00881E29">
            <w:pPr>
              <w:spacing w:before="60" w:after="60" w:line="240" w:lineRule="auto"/>
              <w:rPr>
                <w:rFonts w:eastAsia="Calibri" w:cs="Times New Roman"/>
                <w:sz w:val="18"/>
                <w:szCs w:val="18"/>
              </w:rPr>
            </w:pPr>
            <w:r w:rsidRPr="00FD2629">
              <w:rPr>
                <w:rFonts w:eastAsia="Calibri" w:cs="Times New Roman"/>
                <w:sz w:val="18"/>
                <w:szCs w:val="18"/>
              </w:rPr>
              <w:t xml:space="preserve">Yes. Adults feed on developing apple flower buds in spring and then leave the fruit trees soon after petal fall to feed on weed hosts or other crops; females deposit eggs in young fruit causing shallow pitting and deformity </w:t>
            </w:r>
            <w:r>
              <w:rPr>
                <w:rFonts w:eastAsia="Calibri" w:cs="Times New Roman"/>
                <w:noProof/>
                <w:sz w:val="18"/>
                <w:szCs w:val="18"/>
              </w:rPr>
              <w:t>(Anthon 1993a)</w:t>
            </w:r>
            <w:r>
              <w:rPr>
                <w:rFonts w:eastAsia="Calibri" w:cs="Times New Roman"/>
                <w:sz w:val="18"/>
                <w:szCs w:val="18"/>
              </w:rPr>
              <w:t>.</w:t>
            </w:r>
          </w:p>
        </w:tc>
        <w:tc>
          <w:tcPr>
            <w:tcW w:w="2381" w:type="dxa"/>
            <w:shd w:val="clear" w:color="auto" w:fill="auto"/>
          </w:tcPr>
          <w:p w14:paraId="7B7753B2" w14:textId="77777777" w:rsidR="003438A2" w:rsidRPr="00FD2629" w:rsidRDefault="003438A2" w:rsidP="00881E29">
            <w:pPr>
              <w:spacing w:before="60" w:after="60" w:line="240" w:lineRule="auto"/>
              <w:rPr>
                <w:rFonts w:eastAsia="Calibri" w:cs="Times New Roman"/>
                <w:sz w:val="18"/>
                <w:szCs w:val="18"/>
              </w:rPr>
            </w:pPr>
            <w:r w:rsidRPr="00FD2629">
              <w:rPr>
                <w:rFonts w:eastAsia="Calibri" w:cs="Times New Roman"/>
                <w:sz w:val="18"/>
                <w:szCs w:val="18"/>
              </w:rPr>
              <w:t xml:space="preserve">Yes. Polyphagous bug feeding on same hosts as </w:t>
            </w:r>
            <w:r w:rsidRPr="00FD2629">
              <w:rPr>
                <w:rFonts w:eastAsia="Calibri" w:cs="Times New Roman"/>
                <w:i/>
                <w:sz w:val="18"/>
                <w:szCs w:val="18"/>
              </w:rPr>
              <w:t>L. elisus</w:t>
            </w:r>
            <w:r w:rsidRPr="00FD2629">
              <w:rPr>
                <w:rFonts w:eastAsia="Calibri" w:cs="Times New Roman"/>
                <w:sz w:val="18"/>
                <w:szCs w:val="18"/>
              </w:rPr>
              <w:t xml:space="preserve"> but prefers </w:t>
            </w:r>
            <w:r w:rsidRPr="00FD2629">
              <w:rPr>
                <w:rFonts w:eastAsia="Calibri" w:cs="Times New Roman"/>
                <w:i/>
                <w:sz w:val="18"/>
                <w:szCs w:val="18"/>
              </w:rPr>
              <w:t>Kochia scoparia</w:t>
            </w:r>
            <w:r w:rsidRPr="00FD2629">
              <w:rPr>
                <w:rFonts w:eastAsia="Calibri" w:cs="Times New Roman"/>
                <w:sz w:val="18"/>
                <w:szCs w:val="18"/>
              </w:rPr>
              <w:t xml:space="preserve"> (Mexican fireweed) </w:t>
            </w:r>
            <w:r>
              <w:rPr>
                <w:rFonts w:eastAsia="Calibri" w:cs="Times New Roman"/>
                <w:noProof/>
                <w:sz w:val="18"/>
                <w:szCs w:val="18"/>
              </w:rPr>
              <w:t>(Anthon 1993a)</w:t>
            </w:r>
            <w:r w:rsidRPr="00FD2629">
              <w:rPr>
                <w:rFonts w:eastAsia="Calibri" w:cs="Times New Roman"/>
                <w:sz w:val="18"/>
                <w:szCs w:val="18"/>
              </w:rPr>
              <w:t>. Distributed throughout the</w:t>
            </w:r>
            <w:r>
              <w:rPr>
                <w:rFonts w:eastAsia="Calibri" w:cs="Times New Roman"/>
                <w:sz w:val="18"/>
                <w:szCs w:val="18"/>
              </w:rPr>
              <w:t xml:space="preserve"> USA </w:t>
            </w:r>
            <w:r w:rsidRPr="00FD2629">
              <w:rPr>
                <w:rFonts w:eastAsia="Calibri" w:cs="Times New Roman"/>
                <w:sz w:val="18"/>
                <w:szCs w:val="18"/>
              </w:rPr>
              <w:t xml:space="preserve">and southern Canada </w:t>
            </w:r>
            <w:r>
              <w:rPr>
                <w:rFonts w:eastAsia="Calibri" w:cs="Times New Roman"/>
                <w:noProof/>
                <w:sz w:val="18"/>
                <w:szCs w:val="18"/>
              </w:rPr>
              <w:t>(Anthon 1993a)</w:t>
            </w:r>
            <w:r w:rsidRPr="00FD2629">
              <w:rPr>
                <w:rFonts w:eastAsia="Calibri" w:cs="Times New Roman"/>
                <w:sz w:val="18"/>
                <w:szCs w:val="18"/>
              </w:rPr>
              <w:t xml:space="preserve"> in a variety of environments with similarities to </w:t>
            </w:r>
            <w:r>
              <w:rPr>
                <w:rFonts w:eastAsia="Calibri" w:cs="Times New Roman"/>
                <w:sz w:val="18"/>
                <w:szCs w:val="18"/>
              </w:rPr>
              <w:t xml:space="preserve">parts of </w:t>
            </w:r>
            <w:r w:rsidRPr="00FD2629">
              <w:rPr>
                <w:rFonts w:eastAsia="Calibri" w:cs="Times New Roman"/>
                <w:sz w:val="18"/>
                <w:szCs w:val="18"/>
              </w:rPr>
              <w:t>Australia</w:t>
            </w:r>
            <w:r>
              <w:rPr>
                <w:rFonts w:eastAsia="Calibri" w:cs="Times New Roman"/>
                <w:sz w:val="18"/>
                <w:szCs w:val="18"/>
              </w:rPr>
              <w:t>.</w:t>
            </w:r>
          </w:p>
        </w:tc>
        <w:tc>
          <w:tcPr>
            <w:tcW w:w="2211" w:type="dxa"/>
            <w:shd w:val="clear" w:color="auto" w:fill="auto"/>
          </w:tcPr>
          <w:p w14:paraId="2BD2C568" w14:textId="77777777" w:rsidR="003438A2" w:rsidRPr="00FD2629" w:rsidRDefault="003438A2" w:rsidP="00881E29">
            <w:pPr>
              <w:spacing w:before="60" w:after="60" w:line="240" w:lineRule="auto"/>
              <w:rPr>
                <w:rFonts w:eastAsia="Calibri" w:cs="Times New Roman"/>
                <w:sz w:val="18"/>
                <w:szCs w:val="18"/>
              </w:rPr>
            </w:pPr>
            <w:r w:rsidRPr="00FD2629">
              <w:rPr>
                <w:rFonts w:eastAsia="Calibri" w:cs="Times New Roman"/>
                <w:sz w:val="18"/>
                <w:szCs w:val="18"/>
              </w:rPr>
              <w:t xml:space="preserve">Yes. Nymphs and adults suck plant juices from host plants; lygus bugs cause the most serious damage by feeding on fruit causing round pits or irregularly-shaped depressions in apple </w:t>
            </w:r>
            <w:r>
              <w:rPr>
                <w:rFonts w:eastAsia="Calibri" w:cs="Times New Roman"/>
                <w:noProof/>
                <w:sz w:val="18"/>
                <w:szCs w:val="18"/>
              </w:rPr>
              <w:t>(Caprile et al. 2009a)</w:t>
            </w:r>
            <w:r>
              <w:rPr>
                <w:rFonts w:eastAsia="Calibri" w:cs="Times New Roman"/>
                <w:sz w:val="18"/>
                <w:szCs w:val="18"/>
              </w:rPr>
              <w:t xml:space="preserve">. </w:t>
            </w:r>
            <w:r w:rsidRPr="00FD2629">
              <w:rPr>
                <w:rFonts w:eastAsia="Calibri" w:cs="Times New Roman"/>
                <w:sz w:val="18"/>
                <w:szCs w:val="18"/>
              </w:rPr>
              <w:t xml:space="preserve">Lygus bugs may be present in large numbers but cause no damage, but they can also attack apple fruit at any time from petal fall to harvest </w:t>
            </w:r>
            <w:r>
              <w:rPr>
                <w:rFonts w:eastAsia="Calibri" w:cs="Times New Roman"/>
                <w:noProof/>
                <w:sz w:val="18"/>
                <w:szCs w:val="18"/>
              </w:rPr>
              <w:t>(Caprile et al. 2006c)</w:t>
            </w:r>
            <w:r>
              <w:rPr>
                <w:rFonts w:eastAsia="Calibri" w:cs="Times New Roman"/>
                <w:sz w:val="18"/>
                <w:szCs w:val="18"/>
              </w:rPr>
              <w:t>.</w:t>
            </w:r>
            <w:r w:rsidRPr="00FD2629">
              <w:rPr>
                <w:rFonts w:eastAsia="Calibri" w:cs="Times New Roman"/>
                <w:sz w:val="18"/>
                <w:szCs w:val="18"/>
              </w:rPr>
              <w:t xml:space="preserve"> Preventative treatments are costly and are not always effective, sin</w:t>
            </w:r>
            <w:r>
              <w:rPr>
                <w:rFonts w:eastAsia="Calibri" w:cs="Times New Roman"/>
                <w:sz w:val="18"/>
                <w:szCs w:val="18"/>
              </w:rPr>
              <w:t>ce L</w:t>
            </w:r>
            <w:r w:rsidRPr="00FD2629">
              <w:rPr>
                <w:rFonts w:eastAsia="Calibri" w:cs="Times New Roman"/>
                <w:sz w:val="18"/>
                <w:szCs w:val="18"/>
              </w:rPr>
              <w:t xml:space="preserve">ygus bugs are quick to develop resistance </w:t>
            </w:r>
            <w:r>
              <w:rPr>
                <w:rFonts w:eastAsia="Calibri" w:cs="Times New Roman"/>
                <w:noProof/>
                <w:sz w:val="18"/>
                <w:szCs w:val="18"/>
              </w:rPr>
              <w:t>(Caprile et al. 2006c)</w:t>
            </w:r>
            <w:r>
              <w:rPr>
                <w:rFonts w:eastAsia="Calibri" w:cs="Times New Roman"/>
                <w:sz w:val="18"/>
                <w:szCs w:val="18"/>
              </w:rPr>
              <w:t>.</w:t>
            </w:r>
          </w:p>
        </w:tc>
        <w:tc>
          <w:tcPr>
            <w:tcW w:w="1191" w:type="dxa"/>
            <w:shd w:val="clear" w:color="auto" w:fill="auto"/>
          </w:tcPr>
          <w:p w14:paraId="4FEBF66E" w14:textId="77777777" w:rsidR="003438A2" w:rsidRPr="00095A7D" w:rsidRDefault="003438A2" w:rsidP="00881E29">
            <w:pPr>
              <w:spacing w:before="60" w:after="60" w:line="240" w:lineRule="auto"/>
              <w:rPr>
                <w:rFonts w:eastAsia="Calibri" w:cs="Times New Roman"/>
                <w:sz w:val="18"/>
                <w:szCs w:val="18"/>
              </w:rPr>
            </w:pPr>
            <w:r w:rsidRPr="00FD2629">
              <w:rPr>
                <w:rFonts w:eastAsia="Calibri" w:cs="Times New Roman"/>
                <w:sz w:val="18"/>
                <w:szCs w:val="18"/>
              </w:rPr>
              <w:t>Yes (EP)</w:t>
            </w:r>
          </w:p>
        </w:tc>
      </w:tr>
      <w:tr w:rsidR="003438A2" w:rsidRPr="00095A7D" w14:paraId="78B769B3" w14:textId="77777777" w:rsidTr="00C4199F">
        <w:trPr>
          <w:cantSplit/>
          <w:trHeight w:val="75"/>
          <w:jc w:val="center"/>
        </w:trPr>
        <w:tc>
          <w:tcPr>
            <w:tcW w:w="2553" w:type="dxa"/>
            <w:shd w:val="clear" w:color="auto" w:fill="auto"/>
          </w:tcPr>
          <w:p w14:paraId="4ECF2B95"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i/>
                <w:sz w:val="18"/>
                <w:szCs w:val="18"/>
              </w:rPr>
              <w:lastRenderedPageBreak/>
              <w:t xml:space="preserve">Lygus lineolaris </w:t>
            </w:r>
            <w:r w:rsidRPr="00095A7D">
              <w:rPr>
                <w:rFonts w:eastAsia="Calibri" w:cs="Times New Roman"/>
                <w:sz w:val="18"/>
                <w:szCs w:val="18"/>
              </w:rPr>
              <w:t>(Palisot de Beauvois, 1818)</w:t>
            </w:r>
          </w:p>
          <w:p w14:paraId="7CC7DB20"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[Miridae]</w:t>
            </w:r>
          </w:p>
          <w:p w14:paraId="1A2E5F53" w14:textId="77777777" w:rsidR="003438A2" w:rsidRPr="00095A7D" w:rsidRDefault="003438A2" w:rsidP="00881E29">
            <w:pPr>
              <w:spacing w:before="60" w:after="60" w:line="240" w:lineRule="auto"/>
              <w:rPr>
                <w:rFonts w:eastAsia="Calibri" w:cs="Times New Roman"/>
                <w:i/>
                <w:sz w:val="18"/>
                <w:szCs w:val="18"/>
                <w:lang w:val="pt-BR"/>
              </w:rPr>
            </w:pPr>
            <w:r w:rsidRPr="00095A7D">
              <w:rPr>
                <w:rFonts w:eastAsia="Calibri" w:cs="Times New Roman"/>
                <w:sz w:val="18"/>
                <w:szCs w:val="18"/>
              </w:rPr>
              <w:t>Tarnished plant bug</w:t>
            </w:r>
          </w:p>
        </w:tc>
        <w:tc>
          <w:tcPr>
            <w:tcW w:w="1474" w:type="dxa"/>
            <w:shd w:val="clear" w:color="auto" w:fill="auto"/>
          </w:tcPr>
          <w:p w14:paraId="000BC102" w14:textId="77777777" w:rsidR="003438A2" w:rsidRDefault="003438A2" w:rsidP="00AE3F6F">
            <w:pPr>
              <w:spacing w:before="60" w:after="60" w:line="240" w:lineRule="auto"/>
              <w:rPr>
                <w:rFonts w:eastAsia="Calibri" w:cs="Times New Roman"/>
                <w:iCs/>
                <w:sz w:val="18"/>
                <w:szCs w:val="18"/>
              </w:rPr>
            </w:pPr>
            <w:r w:rsidRPr="00095A7D">
              <w:rPr>
                <w:rFonts w:eastAsia="Calibri" w:cs="Times New Roman"/>
                <w:sz w:val="18"/>
                <w:szCs w:val="18"/>
              </w:rPr>
              <w:t xml:space="preserve">Yes. </w:t>
            </w:r>
            <w:r>
              <w:rPr>
                <w:rFonts w:eastAsia="Calibri" w:cs="Times New Roman"/>
                <w:sz w:val="18"/>
                <w:szCs w:val="18"/>
              </w:rPr>
              <w:t>Present in</w:t>
            </w:r>
            <w:r w:rsidRPr="00095A7D">
              <w:rPr>
                <w:rFonts w:eastAsia="Calibri" w:cs="Times New Roman"/>
                <w:sz w:val="18"/>
                <w:szCs w:val="18"/>
              </w:rPr>
              <w:t xml:space="preserve"> ID, OR</w:t>
            </w:r>
            <w:r>
              <w:rPr>
                <w:rFonts w:eastAsia="Calibri" w:cs="Times New Roman"/>
                <w:sz w:val="18"/>
                <w:szCs w:val="18"/>
              </w:rPr>
              <w:t xml:space="preserve"> and</w:t>
            </w:r>
            <w:r w:rsidRPr="00095A7D">
              <w:rPr>
                <w:rFonts w:eastAsia="Calibri" w:cs="Times New Roman"/>
                <w:sz w:val="18"/>
                <w:szCs w:val="18"/>
              </w:rPr>
              <w:t xml:space="preserve"> WA</w:t>
            </w:r>
            <w:r>
              <w:rPr>
                <w:rFonts w:eastAsia="Calibri" w:cs="Times New Roman"/>
                <w:sz w:val="18"/>
                <w:szCs w:val="18"/>
              </w:rPr>
              <w:t xml:space="preserve"> </w:t>
            </w:r>
            <w:r>
              <w:rPr>
                <w:rFonts w:eastAsia="Calibri" w:cs="Times New Roman"/>
                <w:iCs/>
                <w:noProof/>
                <w:sz w:val="18"/>
                <w:szCs w:val="18"/>
              </w:rPr>
              <w:t>(Anthon 1993a; CABI 2022)</w:t>
            </w:r>
          </w:p>
          <w:p w14:paraId="5DF812A3" w14:textId="77777777" w:rsidR="003438A2" w:rsidRPr="00095A7D" w:rsidRDefault="003438A2" w:rsidP="00881E29">
            <w:pPr>
              <w:spacing w:before="60" w:after="60" w:line="240" w:lineRule="auto"/>
              <w:rPr>
                <w:rFonts w:eastAsia="Calibri" w:cs="Times New Roman"/>
                <w:sz w:val="18"/>
                <w:szCs w:val="18"/>
                <w:lang w:val="pt-BR"/>
              </w:rPr>
            </w:pPr>
          </w:p>
        </w:tc>
        <w:tc>
          <w:tcPr>
            <w:tcW w:w="1474" w:type="dxa"/>
            <w:shd w:val="clear" w:color="auto" w:fill="auto"/>
          </w:tcPr>
          <w:p w14:paraId="10EFD7CD"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Arial"/>
                <w:sz w:val="18"/>
                <w:szCs w:val="18"/>
              </w:rPr>
              <w:t xml:space="preserve">No </w:t>
            </w:r>
            <w:r w:rsidRPr="00095A7D">
              <w:rPr>
                <w:rFonts w:eastAsia="Calibri" w:cs="Times New Roman"/>
                <w:sz w:val="18"/>
                <w:szCs w:val="18"/>
              </w:rPr>
              <w:t>records found</w:t>
            </w:r>
          </w:p>
        </w:tc>
        <w:tc>
          <w:tcPr>
            <w:tcW w:w="2552" w:type="dxa"/>
            <w:shd w:val="clear" w:color="auto" w:fill="auto"/>
          </w:tcPr>
          <w:p w14:paraId="5C3699C1" w14:textId="77777777" w:rsidR="003438A2" w:rsidRPr="00095A7D" w:rsidRDefault="003438A2" w:rsidP="00881E29">
            <w:pPr>
              <w:spacing w:before="60" w:after="60" w:line="240" w:lineRule="auto"/>
              <w:rPr>
                <w:rFonts w:eastAsia="Calibri" w:cs="Times New Roman"/>
                <w:sz w:val="18"/>
                <w:szCs w:val="18"/>
              </w:rPr>
            </w:pPr>
            <w:r w:rsidRPr="00936376">
              <w:rPr>
                <w:rFonts w:eastAsia="Calibri" w:cs="Arial"/>
                <w:sz w:val="18"/>
                <w:szCs w:val="18"/>
              </w:rPr>
              <w:t>Yes. Adults feed on developing apple flower buds in spring and then leave the fruit trees soon after petal fall to feed on weed hosts or other crops. The most important damage occurs when</w:t>
            </w:r>
            <w:r>
              <w:rPr>
                <w:rFonts w:eastAsia="Calibri" w:cs="Arial"/>
                <w:sz w:val="18"/>
                <w:szCs w:val="18"/>
              </w:rPr>
              <w:t xml:space="preserve"> </w:t>
            </w:r>
            <w:r w:rsidRPr="00936376">
              <w:rPr>
                <w:rFonts w:eastAsia="Calibri" w:cs="Arial"/>
                <w:sz w:val="18"/>
                <w:szCs w:val="18"/>
              </w:rPr>
              <w:t>adults feed on flower parts or young fruit. This kills some cells in the fruit, which fail to grow, leaving the fruit deformed with deep pits</w:t>
            </w:r>
            <w:r>
              <w:rPr>
                <w:rFonts w:eastAsia="Calibri" w:cs="Arial"/>
                <w:sz w:val="18"/>
                <w:szCs w:val="18"/>
              </w:rPr>
              <w:t>. F</w:t>
            </w:r>
            <w:r w:rsidRPr="00936376">
              <w:rPr>
                <w:rFonts w:eastAsia="Calibri" w:cs="Arial"/>
                <w:sz w:val="18"/>
                <w:szCs w:val="18"/>
              </w:rPr>
              <w:t xml:space="preserve">emales deposit eggs in young fruit causing pitting and deformity </w:t>
            </w:r>
            <w:r>
              <w:rPr>
                <w:rFonts w:eastAsia="Calibri" w:cs="Arial"/>
                <w:noProof/>
                <w:sz w:val="18"/>
                <w:szCs w:val="18"/>
              </w:rPr>
              <w:t>(Anthon 1993a)</w:t>
            </w:r>
            <w:r>
              <w:rPr>
                <w:rFonts w:eastAsia="Calibri" w:cs="Arial"/>
                <w:sz w:val="18"/>
                <w:szCs w:val="18"/>
              </w:rPr>
              <w:t>.</w:t>
            </w:r>
          </w:p>
        </w:tc>
        <w:tc>
          <w:tcPr>
            <w:tcW w:w="2381" w:type="dxa"/>
            <w:shd w:val="clear" w:color="auto" w:fill="auto"/>
          </w:tcPr>
          <w:p w14:paraId="35B5697D" w14:textId="77777777" w:rsidR="003438A2" w:rsidRPr="006A1F8D" w:rsidRDefault="003438A2" w:rsidP="00881E29">
            <w:pPr>
              <w:spacing w:before="60" w:after="60" w:line="240" w:lineRule="auto"/>
              <w:rPr>
                <w:rFonts w:eastAsia="Calibri" w:cs="Times New Roman"/>
                <w:sz w:val="18"/>
                <w:szCs w:val="18"/>
              </w:rPr>
            </w:pPr>
            <w:r w:rsidRPr="006A1F8D">
              <w:rPr>
                <w:rFonts w:eastAsia="Calibri" w:cs="Times New Roman"/>
                <w:sz w:val="18"/>
                <w:szCs w:val="18"/>
              </w:rPr>
              <w:t xml:space="preserve">Yes. A polyphagous bug with three generations a year and a partial fourth </w:t>
            </w:r>
            <w:r>
              <w:rPr>
                <w:rFonts w:eastAsia="Calibri" w:cs="Times New Roman"/>
                <w:sz w:val="18"/>
                <w:szCs w:val="18"/>
              </w:rPr>
              <w:t xml:space="preserve">generation </w:t>
            </w:r>
            <w:r w:rsidRPr="006A1F8D">
              <w:rPr>
                <w:rFonts w:eastAsia="Calibri" w:cs="Times New Roman"/>
                <w:sz w:val="18"/>
                <w:szCs w:val="18"/>
              </w:rPr>
              <w:t xml:space="preserve">in the PNW </w:t>
            </w:r>
            <w:r>
              <w:rPr>
                <w:rFonts w:eastAsia="Calibri" w:cs="Times New Roman"/>
                <w:noProof/>
                <w:sz w:val="18"/>
                <w:szCs w:val="18"/>
              </w:rPr>
              <w:t>(Anthon 1993a)</w:t>
            </w:r>
            <w:r w:rsidRPr="006A1F8D">
              <w:rPr>
                <w:rFonts w:eastAsia="Calibri" w:cs="Times New Roman"/>
                <w:sz w:val="18"/>
                <w:szCs w:val="18"/>
              </w:rPr>
              <w:t xml:space="preserve"> that will also attack apples, pears, peaches and apricots </w:t>
            </w:r>
            <w:r>
              <w:rPr>
                <w:rFonts w:eastAsia="Calibri" w:cs="Times New Roman"/>
                <w:sz w:val="18"/>
                <w:szCs w:val="18"/>
              </w:rPr>
              <w:t>and move from host to host</w:t>
            </w:r>
            <w:r w:rsidRPr="006A1F8D">
              <w:rPr>
                <w:rFonts w:eastAsia="Calibri" w:cs="Times New Roman"/>
                <w:sz w:val="18"/>
                <w:szCs w:val="18"/>
              </w:rPr>
              <w:t xml:space="preserve"> </w:t>
            </w:r>
            <w:r>
              <w:rPr>
                <w:rFonts w:eastAsia="Calibri" w:cs="Times New Roman"/>
                <w:noProof/>
                <w:sz w:val="18"/>
                <w:szCs w:val="18"/>
              </w:rPr>
              <w:t>(Anthon 1993a)</w:t>
            </w:r>
            <w:r w:rsidRPr="006A1F8D">
              <w:rPr>
                <w:rFonts w:eastAsia="Calibri" w:cs="Times New Roman"/>
                <w:sz w:val="18"/>
                <w:szCs w:val="18"/>
              </w:rPr>
              <w:t>. Distributed throughout the</w:t>
            </w:r>
            <w:r>
              <w:rPr>
                <w:rFonts w:eastAsia="Calibri" w:cs="Times New Roman"/>
                <w:sz w:val="18"/>
                <w:szCs w:val="18"/>
              </w:rPr>
              <w:t xml:space="preserve"> USA </w:t>
            </w:r>
            <w:r w:rsidRPr="006A1F8D">
              <w:rPr>
                <w:rFonts w:eastAsia="Calibri" w:cs="Times New Roman"/>
                <w:sz w:val="18"/>
                <w:szCs w:val="18"/>
              </w:rPr>
              <w:t xml:space="preserve">and southern Canada </w:t>
            </w:r>
            <w:r>
              <w:rPr>
                <w:rFonts w:eastAsia="Calibri" w:cs="Times New Roman"/>
                <w:noProof/>
                <w:sz w:val="18"/>
                <w:szCs w:val="18"/>
              </w:rPr>
              <w:t>(Anthon 1993a)</w:t>
            </w:r>
            <w:r w:rsidRPr="006A1F8D">
              <w:rPr>
                <w:rFonts w:eastAsia="Calibri" w:cs="Times New Roman"/>
                <w:sz w:val="18"/>
                <w:szCs w:val="18"/>
              </w:rPr>
              <w:t xml:space="preserve"> in a variety of environments with similarities to</w:t>
            </w:r>
            <w:r>
              <w:rPr>
                <w:rFonts w:eastAsia="Calibri" w:cs="Times New Roman"/>
                <w:sz w:val="18"/>
                <w:szCs w:val="18"/>
              </w:rPr>
              <w:t xml:space="preserve"> parts of</w:t>
            </w:r>
            <w:r w:rsidRPr="006A1F8D">
              <w:rPr>
                <w:rFonts w:eastAsia="Calibri" w:cs="Times New Roman"/>
                <w:sz w:val="18"/>
                <w:szCs w:val="18"/>
              </w:rPr>
              <w:t xml:space="preserve"> Australia</w:t>
            </w:r>
            <w:r>
              <w:rPr>
                <w:rFonts w:eastAsia="Calibri" w:cs="Times New Roman"/>
                <w:sz w:val="18"/>
                <w:szCs w:val="18"/>
              </w:rPr>
              <w:t>.</w:t>
            </w:r>
          </w:p>
        </w:tc>
        <w:tc>
          <w:tcPr>
            <w:tcW w:w="2211" w:type="dxa"/>
            <w:shd w:val="clear" w:color="auto" w:fill="auto"/>
          </w:tcPr>
          <w:p w14:paraId="0B9CBB3A" w14:textId="77777777" w:rsidR="003438A2" w:rsidRPr="006A1F8D" w:rsidRDefault="003438A2" w:rsidP="00881E29">
            <w:pPr>
              <w:spacing w:before="60" w:after="60" w:line="240" w:lineRule="auto"/>
              <w:rPr>
                <w:rFonts w:eastAsia="Calibri" w:cs="Times New Roman"/>
                <w:sz w:val="18"/>
                <w:szCs w:val="18"/>
              </w:rPr>
            </w:pPr>
            <w:r w:rsidRPr="006A1F8D">
              <w:rPr>
                <w:rFonts w:eastAsia="Calibri" w:cs="Times New Roman"/>
                <w:sz w:val="18"/>
                <w:szCs w:val="18"/>
              </w:rPr>
              <w:t xml:space="preserve">Yes. Nymphs and adults suck plant juices from leaves, flower buds, flowers and seeds often leading to premature fruit drop or causing irregularly-shaped depressions, shallow pitting and deformity in apple fruit, peaches and nectarines leading to reduced marketability </w:t>
            </w:r>
            <w:r>
              <w:rPr>
                <w:rFonts w:eastAsia="Calibri" w:cs="Times New Roman"/>
                <w:noProof/>
                <w:sz w:val="18"/>
                <w:szCs w:val="18"/>
              </w:rPr>
              <w:t>(Anthon 1993a; Bentley &amp; Day 2006; Caprile et al. 2009a)</w:t>
            </w:r>
            <w:r w:rsidRPr="006A1F8D">
              <w:rPr>
                <w:rFonts w:eastAsia="Calibri" w:cs="Times New Roman"/>
                <w:sz w:val="18"/>
                <w:szCs w:val="18"/>
              </w:rPr>
              <w:t xml:space="preserve">. Known to cause economic losses in apples in Idaho </w:t>
            </w:r>
            <w:r>
              <w:rPr>
                <w:rFonts w:eastAsia="Calibri" w:cs="Times New Roman"/>
                <w:noProof/>
                <w:sz w:val="18"/>
                <w:szCs w:val="18"/>
              </w:rPr>
              <w:t>(Colt et al. 2001)</w:t>
            </w:r>
          </w:p>
        </w:tc>
        <w:tc>
          <w:tcPr>
            <w:tcW w:w="1191" w:type="dxa"/>
            <w:shd w:val="clear" w:color="auto" w:fill="auto"/>
          </w:tcPr>
          <w:p w14:paraId="16C7593E" w14:textId="77777777" w:rsidR="003438A2" w:rsidRPr="00095A7D" w:rsidRDefault="003438A2" w:rsidP="00881E29">
            <w:pPr>
              <w:spacing w:before="60" w:after="60" w:line="240" w:lineRule="auto"/>
              <w:rPr>
                <w:rFonts w:eastAsia="Calibri" w:cs="Times New Roman"/>
                <w:sz w:val="18"/>
                <w:szCs w:val="18"/>
              </w:rPr>
            </w:pPr>
            <w:r w:rsidRPr="00336623">
              <w:rPr>
                <w:rFonts w:eastAsia="Calibri" w:cs="Times New Roman"/>
                <w:sz w:val="18"/>
                <w:szCs w:val="18"/>
              </w:rPr>
              <w:t>Yes</w:t>
            </w:r>
            <w:r>
              <w:rPr>
                <w:rFonts w:eastAsia="Calibri" w:cs="Times New Roman"/>
                <w:sz w:val="18"/>
                <w:szCs w:val="18"/>
              </w:rPr>
              <w:t xml:space="preserve"> (EP)</w:t>
            </w:r>
          </w:p>
        </w:tc>
      </w:tr>
      <w:tr w:rsidR="003438A2" w:rsidRPr="00095A7D" w14:paraId="4A5407D9" w14:textId="77777777" w:rsidTr="00C4199F">
        <w:trPr>
          <w:cantSplit/>
          <w:trHeight w:val="75"/>
          <w:jc w:val="center"/>
        </w:trPr>
        <w:tc>
          <w:tcPr>
            <w:tcW w:w="2553" w:type="dxa"/>
            <w:shd w:val="clear" w:color="auto" w:fill="auto"/>
          </w:tcPr>
          <w:p w14:paraId="2F5EF17D"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i/>
                <w:sz w:val="18"/>
                <w:szCs w:val="18"/>
              </w:rPr>
              <w:t xml:space="preserve">Myzus </w:t>
            </w:r>
            <w:r w:rsidRPr="00095A7D">
              <w:rPr>
                <w:rFonts w:eastAsia="Calibri" w:cs="Times New Roman"/>
                <w:i/>
                <w:iCs/>
                <w:sz w:val="18"/>
                <w:szCs w:val="18"/>
                <w:lang w:val="en"/>
              </w:rPr>
              <w:t>(Nectarosiphon)</w:t>
            </w:r>
            <w:r w:rsidRPr="00095A7D">
              <w:rPr>
                <w:rFonts w:eastAsia="Calibri" w:cs="Times New Roman"/>
                <w:i/>
                <w:sz w:val="18"/>
                <w:szCs w:val="18"/>
              </w:rPr>
              <w:t xml:space="preserve"> persicae </w:t>
            </w:r>
            <w:r w:rsidRPr="00095A7D">
              <w:rPr>
                <w:rFonts w:eastAsia="Calibri" w:cs="Times New Roman"/>
                <w:sz w:val="18"/>
                <w:szCs w:val="18"/>
              </w:rPr>
              <w:t>(Sulzer, 1776)</w:t>
            </w:r>
          </w:p>
          <w:p w14:paraId="68630CD1"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[Aphididae]</w:t>
            </w:r>
          </w:p>
          <w:p w14:paraId="3AEFA7E9" w14:textId="77777777" w:rsidR="003438A2" w:rsidRPr="00095A7D" w:rsidRDefault="003438A2" w:rsidP="00881E29">
            <w:pPr>
              <w:spacing w:before="60" w:after="60" w:line="240" w:lineRule="auto"/>
              <w:rPr>
                <w:rFonts w:eastAsia="Calibri" w:cs="Times New Roman"/>
                <w:i/>
                <w:sz w:val="18"/>
                <w:szCs w:val="18"/>
                <w:lang w:val="pt-BR"/>
              </w:rPr>
            </w:pPr>
            <w:r w:rsidRPr="00095A7D">
              <w:rPr>
                <w:rFonts w:eastAsia="Calibri" w:cs="Times New Roman"/>
                <w:sz w:val="18"/>
                <w:szCs w:val="18"/>
              </w:rPr>
              <w:t>Peach green aphid</w:t>
            </w:r>
          </w:p>
        </w:tc>
        <w:tc>
          <w:tcPr>
            <w:tcW w:w="1474" w:type="dxa"/>
            <w:shd w:val="clear" w:color="auto" w:fill="auto"/>
          </w:tcPr>
          <w:p w14:paraId="17096466" w14:textId="77777777" w:rsidR="003438A2" w:rsidRDefault="003438A2" w:rsidP="00AE3F6F">
            <w:pPr>
              <w:spacing w:before="60" w:after="60" w:line="240" w:lineRule="auto"/>
              <w:rPr>
                <w:rFonts w:eastAsia="Calibri" w:cs="Times New Roman"/>
                <w:iCs/>
                <w:sz w:val="18"/>
                <w:szCs w:val="18"/>
              </w:rPr>
            </w:pPr>
            <w:r w:rsidRPr="00095A7D">
              <w:rPr>
                <w:rFonts w:eastAsia="Calibri" w:cs="Times New Roman"/>
                <w:sz w:val="18"/>
                <w:szCs w:val="18"/>
              </w:rPr>
              <w:t xml:space="preserve">Yes. </w:t>
            </w:r>
            <w:r>
              <w:rPr>
                <w:rFonts w:eastAsia="Calibri" w:cs="Times New Roman"/>
                <w:sz w:val="18"/>
                <w:szCs w:val="18"/>
              </w:rPr>
              <w:t>Present in</w:t>
            </w:r>
            <w:r w:rsidRPr="00095A7D">
              <w:rPr>
                <w:rFonts w:eastAsia="Calibri" w:cs="Times New Roman"/>
                <w:sz w:val="18"/>
                <w:szCs w:val="18"/>
              </w:rPr>
              <w:t xml:space="preserve"> ID, OR</w:t>
            </w:r>
            <w:r>
              <w:rPr>
                <w:rFonts w:eastAsia="Calibri" w:cs="Times New Roman"/>
                <w:sz w:val="18"/>
                <w:szCs w:val="18"/>
              </w:rPr>
              <w:t xml:space="preserve"> and</w:t>
            </w:r>
            <w:r w:rsidRPr="00095A7D">
              <w:rPr>
                <w:rFonts w:eastAsia="Calibri" w:cs="Times New Roman"/>
                <w:sz w:val="18"/>
                <w:szCs w:val="18"/>
              </w:rPr>
              <w:t xml:space="preserve"> WA</w:t>
            </w:r>
            <w:r>
              <w:rPr>
                <w:rFonts w:eastAsia="Calibri" w:cs="Times New Roman"/>
                <w:sz w:val="18"/>
                <w:szCs w:val="18"/>
              </w:rPr>
              <w:t xml:space="preserve"> </w:t>
            </w:r>
            <w:r>
              <w:rPr>
                <w:rFonts w:eastAsia="Calibri" w:cs="Times New Roman"/>
                <w:noProof/>
                <w:sz w:val="18"/>
                <w:szCs w:val="18"/>
              </w:rPr>
              <w:t>(CABI 2022; Capinera 2008)</w:t>
            </w:r>
          </w:p>
          <w:p w14:paraId="5E5D4CDB" w14:textId="77777777" w:rsidR="003438A2" w:rsidRPr="00095A7D" w:rsidRDefault="003438A2" w:rsidP="00AE3F6F">
            <w:pPr>
              <w:spacing w:before="60" w:after="60" w:line="240" w:lineRule="auto"/>
              <w:rPr>
                <w:rFonts w:eastAsia="Calibri" w:cs="Times New Roman"/>
                <w:sz w:val="18"/>
                <w:szCs w:val="18"/>
                <w:lang w:val="pt-BR"/>
              </w:rPr>
            </w:pPr>
          </w:p>
        </w:tc>
        <w:tc>
          <w:tcPr>
            <w:tcW w:w="1474" w:type="dxa"/>
            <w:shd w:val="clear" w:color="auto" w:fill="auto"/>
          </w:tcPr>
          <w:p w14:paraId="3C5A696A" w14:textId="77777777" w:rsidR="003438A2" w:rsidRPr="00095A7D" w:rsidRDefault="003438A2" w:rsidP="00881E29">
            <w:pPr>
              <w:spacing w:before="60" w:after="60" w:line="240" w:lineRule="auto"/>
              <w:rPr>
                <w:rFonts w:eastAsia="Calibri" w:cs="Times New Roman"/>
                <w:sz w:val="18"/>
                <w:szCs w:val="18"/>
              </w:rPr>
            </w:pPr>
            <w:r w:rsidRPr="00F460BD">
              <w:rPr>
                <w:rFonts w:eastAsia="Calibri" w:cs="Times New Roman"/>
                <w:sz w:val="18"/>
                <w:szCs w:val="18"/>
              </w:rPr>
              <w:t xml:space="preserve">Yes. </w:t>
            </w:r>
            <w:r>
              <w:rPr>
                <w:rFonts w:eastAsia="Calibri" w:cs="Times New Roman"/>
                <w:sz w:val="18"/>
                <w:szCs w:val="18"/>
              </w:rPr>
              <w:t xml:space="preserve">Present in </w:t>
            </w:r>
            <w:r w:rsidRPr="00F460BD">
              <w:rPr>
                <w:rFonts w:eastAsia="Calibri" w:cs="Times New Roman"/>
                <w:sz w:val="18"/>
                <w:szCs w:val="18"/>
              </w:rPr>
              <w:t xml:space="preserve">NSW, NT, Qld, Vic., Tas. </w:t>
            </w:r>
            <w:r>
              <w:rPr>
                <w:rFonts w:eastAsia="Calibri" w:cs="Times New Roman"/>
                <w:noProof/>
                <w:sz w:val="18"/>
                <w:szCs w:val="18"/>
              </w:rPr>
              <w:t>(Plant Health Australia 2018)</w:t>
            </w:r>
            <w:r w:rsidRPr="00F460BD">
              <w:rPr>
                <w:rFonts w:eastAsia="Calibri" w:cs="Times New Roman"/>
                <w:sz w:val="18"/>
                <w:szCs w:val="18"/>
              </w:rPr>
              <w:t>. One record indicat</w:t>
            </w:r>
            <w:r>
              <w:rPr>
                <w:rFonts w:eastAsia="Calibri" w:cs="Times New Roman"/>
                <w:sz w:val="18"/>
                <w:szCs w:val="18"/>
              </w:rPr>
              <w:t>es</w:t>
            </w:r>
            <w:r w:rsidRPr="00F460BD">
              <w:rPr>
                <w:rFonts w:eastAsia="Calibri" w:cs="Times New Roman"/>
                <w:sz w:val="18"/>
                <w:szCs w:val="18"/>
              </w:rPr>
              <w:t xml:space="preserve"> its presence in the ACT </w:t>
            </w:r>
            <w:r>
              <w:rPr>
                <w:rFonts w:eastAsia="Calibri" w:cs="Times New Roman"/>
                <w:noProof/>
                <w:sz w:val="18"/>
                <w:szCs w:val="18"/>
              </w:rPr>
              <w:t>(Plant Health Australia 2018)</w:t>
            </w:r>
            <w:r w:rsidRPr="00F460BD">
              <w:rPr>
                <w:rFonts w:eastAsia="Calibri" w:cs="Times New Roman"/>
                <w:sz w:val="18"/>
                <w:szCs w:val="18"/>
              </w:rPr>
              <w:t>.</w:t>
            </w:r>
            <w:r>
              <w:rPr>
                <w:rFonts w:eastAsia="Calibri" w:cs="Times New Roman"/>
                <w:sz w:val="18"/>
                <w:szCs w:val="18"/>
              </w:rPr>
              <w:t xml:space="preserve"> </w:t>
            </w:r>
            <w:r w:rsidRPr="00BC49E1">
              <w:rPr>
                <w:rFonts w:eastAsia="Calibri" w:cs="Times New Roman"/>
                <w:sz w:val="18"/>
                <w:szCs w:val="18"/>
              </w:rPr>
              <w:t xml:space="preserve">Listed as a permitted organism </w:t>
            </w:r>
            <w:r>
              <w:rPr>
                <w:rFonts w:eastAsia="Calibri" w:cs="Times New Roman"/>
                <w:sz w:val="18"/>
                <w:szCs w:val="18"/>
              </w:rPr>
              <w:t xml:space="preserve">for WA </w:t>
            </w:r>
            <w:r>
              <w:rPr>
                <w:rFonts w:eastAsia="Calibri" w:cs="Times New Roman"/>
                <w:noProof/>
                <w:sz w:val="18"/>
                <w:szCs w:val="18"/>
              </w:rPr>
              <w:t>(Government of Western Australia 2020)</w:t>
            </w:r>
          </w:p>
        </w:tc>
        <w:tc>
          <w:tcPr>
            <w:tcW w:w="2552" w:type="dxa"/>
            <w:shd w:val="clear" w:color="auto" w:fill="auto"/>
          </w:tcPr>
          <w:p w14:paraId="738AEB02"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2381" w:type="dxa"/>
            <w:shd w:val="clear" w:color="auto" w:fill="auto"/>
          </w:tcPr>
          <w:p w14:paraId="3366B452"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color w:val="000000"/>
                <w:sz w:val="18"/>
                <w:szCs w:val="18"/>
              </w:rPr>
              <w:t>Assessment not required</w:t>
            </w:r>
          </w:p>
        </w:tc>
        <w:tc>
          <w:tcPr>
            <w:tcW w:w="2211" w:type="dxa"/>
            <w:shd w:val="clear" w:color="auto" w:fill="auto"/>
          </w:tcPr>
          <w:p w14:paraId="06208CBA"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color w:val="000000"/>
                <w:sz w:val="18"/>
                <w:szCs w:val="18"/>
              </w:rPr>
              <w:t>Assessment not required</w:t>
            </w:r>
          </w:p>
        </w:tc>
        <w:tc>
          <w:tcPr>
            <w:tcW w:w="1191" w:type="dxa"/>
            <w:shd w:val="clear" w:color="auto" w:fill="auto"/>
          </w:tcPr>
          <w:p w14:paraId="29C3745E"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No</w:t>
            </w:r>
          </w:p>
        </w:tc>
      </w:tr>
      <w:tr w:rsidR="003438A2" w:rsidRPr="00095A7D" w14:paraId="161EA1D1" w14:textId="77777777" w:rsidTr="00C4199F">
        <w:trPr>
          <w:cantSplit/>
          <w:trHeight w:val="75"/>
          <w:jc w:val="center"/>
        </w:trPr>
        <w:tc>
          <w:tcPr>
            <w:tcW w:w="2553" w:type="dxa"/>
            <w:shd w:val="clear" w:color="auto" w:fill="auto"/>
          </w:tcPr>
          <w:p w14:paraId="14BDF789"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i/>
                <w:sz w:val="18"/>
                <w:szCs w:val="18"/>
              </w:rPr>
              <w:lastRenderedPageBreak/>
              <w:t xml:space="preserve">Parlatoria pergandii </w:t>
            </w:r>
            <w:r w:rsidRPr="00095A7D">
              <w:rPr>
                <w:rFonts w:eastAsia="Calibri" w:cs="Times New Roman"/>
                <w:sz w:val="18"/>
                <w:szCs w:val="18"/>
              </w:rPr>
              <w:t>Comstock, 1881</w:t>
            </w:r>
          </w:p>
          <w:p w14:paraId="56CE053B"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[Diaspididae]</w:t>
            </w:r>
          </w:p>
          <w:p w14:paraId="38AB86B2" w14:textId="77777777" w:rsidR="003438A2" w:rsidRPr="00095A7D" w:rsidRDefault="003438A2" w:rsidP="00881E29">
            <w:pPr>
              <w:spacing w:before="60" w:after="60" w:line="240" w:lineRule="auto"/>
              <w:rPr>
                <w:rFonts w:eastAsia="Calibri" w:cs="Times New Roman"/>
                <w:i/>
                <w:sz w:val="18"/>
                <w:szCs w:val="18"/>
                <w:lang w:val="pt-BR"/>
              </w:rPr>
            </w:pPr>
            <w:r w:rsidRPr="00095A7D">
              <w:rPr>
                <w:rFonts w:eastAsia="Calibri" w:cs="Times New Roman"/>
                <w:sz w:val="18"/>
                <w:szCs w:val="18"/>
              </w:rPr>
              <w:t>Chaff scale</w:t>
            </w:r>
          </w:p>
        </w:tc>
        <w:tc>
          <w:tcPr>
            <w:tcW w:w="1474" w:type="dxa"/>
            <w:shd w:val="clear" w:color="auto" w:fill="auto"/>
          </w:tcPr>
          <w:p w14:paraId="275B2179" w14:textId="77777777" w:rsidR="003438A2" w:rsidRPr="00095A7D" w:rsidRDefault="003438A2" w:rsidP="00881E29">
            <w:pPr>
              <w:spacing w:before="60" w:after="60" w:line="240" w:lineRule="auto"/>
              <w:rPr>
                <w:rFonts w:eastAsia="Calibri" w:cs="Times New Roman"/>
                <w:sz w:val="18"/>
                <w:szCs w:val="18"/>
                <w:lang w:val="pt-BR"/>
              </w:rPr>
            </w:pPr>
            <w:r w:rsidRPr="00095A7D">
              <w:rPr>
                <w:rFonts w:eastAsia="Calibri" w:cs="Times New Roman"/>
                <w:sz w:val="18"/>
                <w:szCs w:val="18"/>
              </w:rPr>
              <w:t xml:space="preserve">Yes. </w:t>
            </w:r>
            <w:r>
              <w:rPr>
                <w:rFonts w:eastAsia="Calibri" w:cs="Times New Roman"/>
                <w:sz w:val="18"/>
                <w:szCs w:val="18"/>
              </w:rPr>
              <w:t>Present in</w:t>
            </w:r>
            <w:r w:rsidRPr="00095A7D">
              <w:rPr>
                <w:rFonts w:eastAsia="Calibri" w:cs="Times New Roman"/>
                <w:sz w:val="18"/>
                <w:szCs w:val="18"/>
              </w:rPr>
              <w:t xml:space="preserve"> WA </w:t>
            </w:r>
            <w:r>
              <w:rPr>
                <w:rFonts w:eastAsia="Calibri" w:cs="Times New Roman"/>
                <w:noProof/>
                <w:sz w:val="18"/>
                <w:szCs w:val="18"/>
              </w:rPr>
              <w:t>(Davidson &amp; Miller 1990)</w:t>
            </w:r>
            <w:r w:rsidRPr="00095A7D">
              <w:rPr>
                <w:rFonts w:eastAsia="Calibri" w:cs="Times New Roman"/>
                <w:sz w:val="18"/>
                <w:szCs w:val="18"/>
              </w:rPr>
              <w:t xml:space="preserve">. </w:t>
            </w:r>
            <w:r>
              <w:rPr>
                <w:rFonts w:eastAsia="Calibri" w:cs="Times New Roman"/>
                <w:sz w:val="18"/>
                <w:szCs w:val="18"/>
              </w:rPr>
              <w:t>Also p</w:t>
            </w:r>
            <w:r w:rsidRPr="00095A7D">
              <w:rPr>
                <w:rFonts w:eastAsia="Calibri" w:cs="Times New Roman"/>
                <w:sz w:val="18"/>
                <w:szCs w:val="18"/>
              </w:rPr>
              <w:t>resent in AL, CA, CT, DC, FL, GA, HI, IL, IN, KS, LA, MD, MA, MS, MO, NJ, NY, NC, OH, OK, PA, SC, TX</w:t>
            </w:r>
            <w:r>
              <w:rPr>
                <w:rFonts w:eastAsia="Calibri" w:cs="Times New Roman"/>
                <w:sz w:val="18"/>
                <w:szCs w:val="18"/>
              </w:rPr>
              <w:t xml:space="preserve"> and</w:t>
            </w:r>
            <w:r w:rsidRPr="00095A7D">
              <w:rPr>
                <w:rFonts w:eastAsia="Calibri" w:cs="Times New Roman"/>
                <w:sz w:val="18"/>
                <w:szCs w:val="18"/>
              </w:rPr>
              <w:t xml:space="preserve"> VA </w:t>
            </w:r>
            <w:r>
              <w:rPr>
                <w:rFonts w:eastAsia="Calibri" w:cs="Times New Roman"/>
                <w:noProof/>
                <w:sz w:val="18"/>
                <w:szCs w:val="18"/>
              </w:rPr>
              <w:t>(Miller &amp; Gimpel 2009)</w:t>
            </w:r>
          </w:p>
        </w:tc>
        <w:tc>
          <w:tcPr>
            <w:tcW w:w="1474" w:type="dxa"/>
            <w:shd w:val="clear" w:color="auto" w:fill="auto"/>
          </w:tcPr>
          <w:p w14:paraId="6E1FEB62"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 xml:space="preserve">Yes. Qld </w:t>
            </w:r>
            <w:r>
              <w:rPr>
                <w:rFonts w:eastAsia="Calibri" w:cs="Times New Roman"/>
                <w:noProof/>
                <w:sz w:val="18"/>
                <w:szCs w:val="18"/>
              </w:rPr>
              <w:t>(Plant Health Australia 2018)</w:t>
            </w:r>
            <w:r w:rsidRPr="00095A7D">
              <w:rPr>
                <w:rFonts w:eastAsia="Calibri" w:cs="Times New Roman"/>
                <w:sz w:val="18"/>
                <w:szCs w:val="18"/>
              </w:rPr>
              <w:t xml:space="preserve">; </w:t>
            </w:r>
            <w:r w:rsidRPr="00CE4CAC">
              <w:rPr>
                <w:rFonts w:eastAsia="Calibri" w:cs="Times New Roman"/>
                <w:sz w:val="18"/>
                <w:szCs w:val="18"/>
              </w:rPr>
              <w:t xml:space="preserve">Listed as a Declared Pest, Prohibited (section 12) (C1 Prohibited) for WA </w:t>
            </w:r>
            <w:r>
              <w:rPr>
                <w:rFonts w:eastAsia="Calibri" w:cs="Times New Roman"/>
                <w:noProof/>
                <w:sz w:val="18"/>
                <w:szCs w:val="18"/>
              </w:rPr>
              <w:t>(Government of Western Australia 2020)</w:t>
            </w:r>
            <w:r w:rsidRPr="00CE4CAC">
              <w:rPr>
                <w:rFonts w:eastAsia="Calibri" w:cs="Times New Roman"/>
                <w:sz w:val="18"/>
                <w:szCs w:val="18"/>
              </w:rPr>
              <w:t>.</w:t>
            </w:r>
            <w:r>
              <w:rPr>
                <w:rFonts w:eastAsia="Calibri" w:cs="Times New Roman"/>
                <w:sz w:val="18"/>
                <w:szCs w:val="18"/>
              </w:rPr>
              <w:t xml:space="preserve"> </w:t>
            </w:r>
            <w:r w:rsidRPr="00095A7D">
              <w:rPr>
                <w:rFonts w:eastAsia="Calibri" w:cs="Times New Roman"/>
                <w:sz w:val="18"/>
                <w:szCs w:val="18"/>
              </w:rPr>
              <w:t xml:space="preserve">One record each for Vic. and NT </w:t>
            </w:r>
            <w:r>
              <w:rPr>
                <w:rFonts w:eastAsia="Calibri" w:cs="Times New Roman"/>
                <w:noProof/>
                <w:sz w:val="18"/>
                <w:szCs w:val="18"/>
              </w:rPr>
              <w:t>(Plant Health Australia 2018)</w:t>
            </w:r>
          </w:p>
        </w:tc>
        <w:tc>
          <w:tcPr>
            <w:tcW w:w="2552" w:type="dxa"/>
            <w:shd w:val="clear" w:color="auto" w:fill="auto"/>
          </w:tcPr>
          <w:p w14:paraId="5995F2EE" w14:textId="77777777" w:rsidR="003438A2" w:rsidRPr="00095A7D" w:rsidRDefault="003438A2" w:rsidP="00082B67">
            <w:pPr>
              <w:pStyle w:val="TableText"/>
            </w:pPr>
            <w:r w:rsidRPr="00095A7D">
              <w:t>Yes. Apple is listed as a minor host</w:t>
            </w:r>
            <w:r>
              <w:t xml:space="preserve"> </w:t>
            </w:r>
            <w:r>
              <w:rPr>
                <w:noProof/>
              </w:rPr>
              <w:t>(CABI 2022)</w:t>
            </w:r>
            <w:r w:rsidRPr="00095A7D">
              <w:t xml:space="preserve">. Found mainly on leaves, but sometimes also on bark, twigs and </w:t>
            </w:r>
            <w:r w:rsidRPr="00082B67">
              <w:t xml:space="preserve">fruit </w:t>
            </w:r>
            <w:r w:rsidRPr="00082B67">
              <w:rPr>
                <w:rFonts w:eastAsia="Times New Roman" w:cs="Calibri"/>
                <w:noProof/>
                <w:color w:val="000000"/>
                <w:lang w:eastAsia="en-AU"/>
              </w:rPr>
              <w:t>(Watson 2022)</w:t>
            </w:r>
            <w:r>
              <w:rPr>
                <w:rFonts w:eastAsia="Times New Roman" w:cs="Calibri"/>
                <w:color w:val="000000"/>
                <w:lang w:eastAsia="en-AU"/>
              </w:rPr>
              <w:t>.</w:t>
            </w:r>
            <w:r w:rsidRPr="00095A7D">
              <w:t xml:space="preserve"> It is primarily a citrus pest and has a decided shade preference, commonly being found on </w:t>
            </w:r>
            <w:r>
              <w:t>fruit</w:t>
            </w:r>
            <w:r w:rsidRPr="00095A7D">
              <w:t xml:space="preserve"> often in the inner, shady part of the canopy</w:t>
            </w:r>
            <w:r>
              <w:t xml:space="preserve"> </w:t>
            </w:r>
            <w:r w:rsidRPr="00082B67">
              <w:rPr>
                <w:rFonts w:eastAsia="Times New Roman" w:cs="Calibri"/>
                <w:noProof/>
                <w:color w:val="000000"/>
                <w:lang w:eastAsia="en-AU"/>
              </w:rPr>
              <w:t>(Watson 2022)</w:t>
            </w:r>
          </w:p>
        </w:tc>
        <w:tc>
          <w:tcPr>
            <w:tcW w:w="2381" w:type="dxa"/>
            <w:shd w:val="clear" w:color="auto" w:fill="auto"/>
          </w:tcPr>
          <w:p w14:paraId="689576B1"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Yes. Restricted host range</w:t>
            </w:r>
            <w:r>
              <w:rPr>
                <w:rFonts w:eastAsia="Calibri" w:cs="Times New Roman"/>
                <w:sz w:val="18"/>
                <w:szCs w:val="18"/>
              </w:rPr>
              <w:t>,</w:t>
            </w:r>
            <w:r w:rsidRPr="00095A7D">
              <w:rPr>
                <w:rFonts w:eastAsia="Calibri" w:cs="Times New Roman"/>
                <w:sz w:val="18"/>
                <w:szCs w:val="18"/>
              </w:rPr>
              <w:t xml:space="preserve"> most commonly found on </w:t>
            </w:r>
            <w:r w:rsidRPr="00095A7D">
              <w:rPr>
                <w:rFonts w:eastAsia="Calibri" w:cs="Times New Roman"/>
                <w:i/>
                <w:sz w:val="18"/>
                <w:szCs w:val="18"/>
              </w:rPr>
              <w:t>Citrus</w:t>
            </w:r>
            <w:r w:rsidRPr="00095A7D">
              <w:rPr>
                <w:rFonts w:eastAsia="Calibri" w:cs="Times New Roman"/>
                <w:sz w:val="18"/>
                <w:szCs w:val="18"/>
              </w:rPr>
              <w:t xml:space="preserve"> </w:t>
            </w:r>
            <w:r>
              <w:rPr>
                <w:rFonts w:eastAsia="Calibri" w:cs="Times New Roman"/>
                <w:noProof/>
                <w:sz w:val="18"/>
                <w:szCs w:val="18"/>
              </w:rPr>
              <w:t>(Williams &amp; Watson 1988)</w:t>
            </w:r>
            <w:r w:rsidRPr="00095A7D">
              <w:rPr>
                <w:rFonts w:eastAsia="Calibri" w:cs="Times New Roman"/>
                <w:sz w:val="18"/>
                <w:szCs w:val="18"/>
              </w:rPr>
              <w:t xml:space="preserve"> and already established in Queensland </w:t>
            </w:r>
            <w:r>
              <w:rPr>
                <w:rFonts w:eastAsia="Calibri" w:cs="Times New Roman"/>
                <w:noProof/>
                <w:sz w:val="18"/>
                <w:szCs w:val="18"/>
              </w:rPr>
              <w:t>(Smith, Beattie &amp; Broadley 1997)</w:t>
            </w:r>
            <w:r w:rsidRPr="00095A7D">
              <w:rPr>
                <w:rFonts w:eastAsia="Calibri" w:cs="Times New Roman"/>
                <w:sz w:val="18"/>
                <w:szCs w:val="18"/>
              </w:rPr>
              <w:t xml:space="preserve">; easily dispersed by wind and plant material </w:t>
            </w:r>
            <w:r>
              <w:rPr>
                <w:rFonts w:eastAsia="Calibri" w:cs="Times New Roman"/>
                <w:noProof/>
                <w:sz w:val="18"/>
                <w:szCs w:val="18"/>
              </w:rPr>
              <w:t>(Williams &amp; Watson 1988)</w:t>
            </w:r>
          </w:p>
        </w:tc>
        <w:tc>
          <w:tcPr>
            <w:tcW w:w="2211" w:type="dxa"/>
            <w:shd w:val="clear" w:color="auto" w:fill="auto"/>
          </w:tcPr>
          <w:p w14:paraId="48F74329"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Yes. Causes green spots on fruit</w:t>
            </w:r>
            <w:r>
              <w:rPr>
                <w:rFonts w:eastAsia="Calibri" w:cs="Times New Roman"/>
                <w:sz w:val="18"/>
                <w:szCs w:val="18"/>
              </w:rPr>
              <w:t>,</w:t>
            </w:r>
            <w:r w:rsidRPr="00095A7D">
              <w:rPr>
                <w:rFonts w:eastAsia="Calibri" w:cs="Times New Roman"/>
                <w:sz w:val="18"/>
                <w:szCs w:val="18"/>
              </w:rPr>
              <w:t xml:space="preserve"> making them unsuitable for the fresh fruit market </w:t>
            </w:r>
            <w:r>
              <w:rPr>
                <w:rFonts w:eastAsia="Calibri" w:cs="Times New Roman"/>
                <w:noProof/>
                <w:sz w:val="18"/>
                <w:szCs w:val="18"/>
              </w:rPr>
              <w:t>(Cartwright &amp; Browning 2008)</w:t>
            </w:r>
            <w:r w:rsidRPr="00095A7D">
              <w:rPr>
                <w:rFonts w:eastAsia="Calibri" w:cs="Times New Roman"/>
                <w:sz w:val="18"/>
                <w:szCs w:val="18"/>
              </w:rPr>
              <w:t xml:space="preserve">. Listed as a serious and widespread pest </w:t>
            </w:r>
            <w:r>
              <w:rPr>
                <w:rFonts w:eastAsia="Calibri" w:cs="Times New Roman"/>
                <w:noProof/>
                <w:sz w:val="18"/>
                <w:szCs w:val="18"/>
              </w:rPr>
              <w:t>(Miller &amp; Davidson 1990)</w:t>
            </w:r>
            <w:r>
              <w:rPr>
                <w:rFonts w:eastAsia="Calibri" w:cs="Times New Roman"/>
                <w:sz w:val="18"/>
                <w:szCs w:val="18"/>
              </w:rPr>
              <w:t>.</w:t>
            </w:r>
          </w:p>
        </w:tc>
        <w:tc>
          <w:tcPr>
            <w:tcW w:w="1191" w:type="dxa"/>
            <w:shd w:val="clear" w:color="auto" w:fill="auto"/>
          </w:tcPr>
          <w:p w14:paraId="50D85416"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Yes</w:t>
            </w:r>
            <w:r>
              <w:rPr>
                <w:rFonts w:eastAsia="Calibri" w:cs="Times New Roman"/>
                <w:sz w:val="18"/>
                <w:szCs w:val="18"/>
              </w:rPr>
              <w:t xml:space="preserve"> (</w:t>
            </w:r>
            <w:r w:rsidRPr="00171D6F">
              <w:rPr>
                <w:rFonts w:eastAsia="Calibri" w:cs="Times New Roman"/>
                <w:sz w:val="18"/>
                <w:szCs w:val="18"/>
              </w:rPr>
              <w:t>WA)</w:t>
            </w:r>
          </w:p>
        </w:tc>
      </w:tr>
      <w:tr w:rsidR="003438A2" w:rsidRPr="00243E34" w14:paraId="416DEE8B" w14:textId="77777777" w:rsidTr="00C4199F">
        <w:trPr>
          <w:cantSplit/>
          <w:trHeight w:val="75"/>
          <w:jc w:val="center"/>
        </w:trPr>
        <w:tc>
          <w:tcPr>
            <w:tcW w:w="2553" w:type="dxa"/>
            <w:shd w:val="clear" w:color="auto" w:fill="auto"/>
          </w:tcPr>
          <w:p w14:paraId="30328FE4"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i/>
                <w:sz w:val="18"/>
                <w:szCs w:val="18"/>
              </w:rPr>
              <w:t xml:space="preserve">Parthenolecanium corni </w:t>
            </w:r>
            <w:r w:rsidRPr="00095A7D">
              <w:rPr>
                <w:rFonts w:eastAsia="Calibri" w:cs="Times New Roman"/>
                <w:sz w:val="18"/>
                <w:szCs w:val="18"/>
              </w:rPr>
              <w:t>(Bouché, 1844)</w:t>
            </w:r>
          </w:p>
          <w:p w14:paraId="1EC6E3D0"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[Coccidae]</w:t>
            </w:r>
          </w:p>
          <w:p w14:paraId="4F1E6F10" w14:textId="77777777" w:rsidR="003438A2" w:rsidRPr="00095A7D" w:rsidRDefault="003438A2" w:rsidP="00881E29">
            <w:pPr>
              <w:spacing w:before="60" w:after="60" w:line="240" w:lineRule="auto"/>
              <w:rPr>
                <w:rFonts w:eastAsia="Calibri" w:cs="Times New Roman"/>
                <w:i/>
                <w:sz w:val="18"/>
                <w:szCs w:val="18"/>
                <w:lang w:val="pt-BR"/>
              </w:rPr>
            </w:pPr>
            <w:r w:rsidRPr="00095A7D">
              <w:rPr>
                <w:rFonts w:eastAsia="Calibri" w:cs="Times New Roman"/>
                <w:sz w:val="18"/>
                <w:szCs w:val="18"/>
              </w:rPr>
              <w:t>European fruit lecanium scale; brown scale; plum scale</w:t>
            </w:r>
          </w:p>
        </w:tc>
        <w:tc>
          <w:tcPr>
            <w:tcW w:w="1474" w:type="dxa"/>
            <w:shd w:val="clear" w:color="auto" w:fill="auto"/>
          </w:tcPr>
          <w:p w14:paraId="5D97A41C" w14:textId="77777777" w:rsidR="003438A2" w:rsidRPr="00095A7D" w:rsidRDefault="003438A2" w:rsidP="00881E29">
            <w:pPr>
              <w:spacing w:before="60" w:after="60" w:line="240" w:lineRule="auto"/>
              <w:rPr>
                <w:rFonts w:eastAsia="Calibri" w:cs="Times New Roman"/>
                <w:sz w:val="18"/>
                <w:szCs w:val="18"/>
                <w:lang w:val="pt-BR"/>
              </w:rPr>
            </w:pPr>
            <w:r w:rsidRPr="00095A7D">
              <w:rPr>
                <w:rFonts w:eastAsia="Calibri" w:cs="Times New Roman"/>
                <w:sz w:val="18"/>
                <w:szCs w:val="18"/>
              </w:rPr>
              <w:t xml:space="preserve">Yes. </w:t>
            </w:r>
            <w:r>
              <w:rPr>
                <w:rFonts w:eastAsia="Calibri" w:cs="Times New Roman"/>
                <w:sz w:val="18"/>
                <w:szCs w:val="18"/>
              </w:rPr>
              <w:t>Present in</w:t>
            </w:r>
            <w:r w:rsidRPr="00095A7D">
              <w:rPr>
                <w:rFonts w:eastAsia="Calibri" w:cs="Times New Roman"/>
                <w:sz w:val="18"/>
                <w:szCs w:val="18"/>
              </w:rPr>
              <w:t xml:space="preserve"> WA </w:t>
            </w:r>
            <w:r>
              <w:rPr>
                <w:rFonts w:eastAsia="Calibri" w:cs="Times New Roman"/>
                <w:noProof/>
                <w:sz w:val="18"/>
                <w:szCs w:val="18"/>
              </w:rPr>
              <w:t>(Smith 2001)</w:t>
            </w:r>
          </w:p>
        </w:tc>
        <w:tc>
          <w:tcPr>
            <w:tcW w:w="1474" w:type="dxa"/>
            <w:shd w:val="clear" w:color="auto" w:fill="auto"/>
          </w:tcPr>
          <w:p w14:paraId="1D7FA436"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 xml:space="preserve">Yes. Minimal records for Vic. and Tas. </w:t>
            </w:r>
            <w:r>
              <w:rPr>
                <w:rFonts w:eastAsia="Calibri" w:cs="Times New Roman"/>
                <w:noProof/>
                <w:sz w:val="18"/>
                <w:szCs w:val="18"/>
              </w:rPr>
              <w:t>(Plant Health Australia 2018)</w:t>
            </w:r>
            <w:r w:rsidRPr="00095A7D">
              <w:rPr>
                <w:rFonts w:eastAsia="Calibri" w:cs="Times New Roman"/>
                <w:sz w:val="18"/>
                <w:szCs w:val="18"/>
              </w:rPr>
              <w:t>.</w:t>
            </w:r>
            <w:r>
              <w:rPr>
                <w:rFonts w:eastAsia="Calibri" w:cs="Times New Roman"/>
                <w:sz w:val="18"/>
                <w:szCs w:val="18"/>
              </w:rPr>
              <w:t xml:space="preserve"> </w:t>
            </w:r>
            <w:r w:rsidRPr="00BC49E1">
              <w:rPr>
                <w:rFonts w:eastAsia="Calibri" w:cs="Times New Roman"/>
                <w:sz w:val="18"/>
                <w:szCs w:val="18"/>
              </w:rPr>
              <w:t xml:space="preserve">Listed as a Declared Pest, Prohibited (section 12) (C1 Prohibited) for WA </w:t>
            </w:r>
            <w:r>
              <w:rPr>
                <w:rFonts w:eastAsia="Calibri" w:cs="Times New Roman"/>
                <w:noProof/>
                <w:sz w:val="18"/>
                <w:szCs w:val="18"/>
              </w:rPr>
              <w:t>(Government of Western Australia 2020)</w:t>
            </w:r>
          </w:p>
        </w:tc>
        <w:tc>
          <w:tcPr>
            <w:tcW w:w="2552" w:type="dxa"/>
            <w:shd w:val="clear" w:color="auto" w:fill="auto"/>
          </w:tcPr>
          <w:p w14:paraId="44CB5D85"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 xml:space="preserve">No. Crawlers feed on leaves and return to twigs and branches before autumn </w:t>
            </w:r>
            <w:r>
              <w:rPr>
                <w:rFonts w:eastAsia="Calibri" w:cs="Times New Roman"/>
                <w:noProof/>
                <w:sz w:val="18"/>
                <w:szCs w:val="18"/>
              </w:rPr>
              <w:t>(Gill 1988a)</w:t>
            </w:r>
            <w:r w:rsidRPr="00095A7D">
              <w:rPr>
                <w:rFonts w:eastAsia="Calibri" w:cs="Times New Roman"/>
                <w:sz w:val="18"/>
                <w:szCs w:val="18"/>
              </w:rPr>
              <w:t>. Sucks plant juices from leaves and twigs. They settle mostly on the underside of leaves, especially along the veins during spring</w:t>
            </w:r>
            <w:r>
              <w:rPr>
                <w:rFonts w:eastAsia="Calibri" w:cs="Times New Roman"/>
                <w:sz w:val="18"/>
                <w:szCs w:val="18"/>
              </w:rPr>
              <w:t xml:space="preserve">, </w:t>
            </w:r>
            <w:r w:rsidRPr="00095A7D">
              <w:rPr>
                <w:rFonts w:eastAsia="Calibri" w:cs="Times New Roman"/>
                <w:sz w:val="18"/>
                <w:szCs w:val="18"/>
              </w:rPr>
              <w:t xml:space="preserve">moving back to the twigs in autumn </w:t>
            </w:r>
            <w:r>
              <w:rPr>
                <w:rFonts w:eastAsia="Calibri" w:cs="Times New Roman"/>
                <w:noProof/>
                <w:sz w:val="18"/>
                <w:szCs w:val="18"/>
              </w:rPr>
              <w:t>(Henderson 2001)</w:t>
            </w:r>
            <w:r>
              <w:rPr>
                <w:rFonts w:eastAsia="Calibri" w:cs="Times New Roman"/>
                <w:sz w:val="18"/>
                <w:szCs w:val="18"/>
              </w:rPr>
              <w:t>.</w:t>
            </w:r>
          </w:p>
        </w:tc>
        <w:tc>
          <w:tcPr>
            <w:tcW w:w="2381" w:type="dxa"/>
            <w:shd w:val="clear" w:color="auto" w:fill="auto"/>
          </w:tcPr>
          <w:p w14:paraId="48CF901B"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2211" w:type="dxa"/>
            <w:shd w:val="clear" w:color="auto" w:fill="auto"/>
          </w:tcPr>
          <w:p w14:paraId="5DD83F03"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Assessment not required</w:t>
            </w:r>
          </w:p>
        </w:tc>
        <w:tc>
          <w:tcPr>
            <w:tcW w:w="1191" w:type="dxa"/>
            <w:shd w:val="clear" w:color="auto" w:fill="auto"/>
          </w:tcPr>
          <w:p w14:paraId="4BF642CF" w14:textId="77777777" w:rsidR="003438A2" w:rsidRPr="00095A7D" w:rsidRDefault="003438A2" w:rsidP="00881E29">
            <w:pPr>
              <w:spacing w:before="60" w:after="60" w:line="240" w:lineRule="auto"/>
              <w:rPr>
                <w:rFonts w:eastAsia="Calibri" w:cs="Times New Roman"/>
                <w:sz w:val="18"/>
                <w:szCs w:val="18"/>
              </w:rPr>
            </w:pPr>
            <w:r w:rsidRPr="00095A7D">
              <w:rPr>
                <w:rFonts w:eastAsia="Calibri" w:cs="Times New Roman"/>
                <w:sz w:val="18"/>
                <w:szCs w:val="18"/>
              </w:rPr>
              <w:t>No</w:t>
            </w:r>
          </w:p>
        </w:tc>
      </w:tr>
      <w:tr w:rsidR="003438A2" w:rsidRPr="00243E34" w14:paraId="3569BA50" w14:textId="77777777" w:rsidTr="00C4199F">
        <w:trPr>
          <w:cantSplit/>
          <w:trHeight w:val="75"/>
          <w:jc w:val="center"/>
        </w:trPr>
        <w:tc>
          <w:tcPr>
            <w:tcW w:w="2553" w:type="dxa"/>
            <w:shd w:val="clear" w:color="auto" w:fill="auto"/>
          </w:tcPr>
          <w:p w14:paraId="31652130" w14:textId="77777777" w:rsidR="003438A2" w:rsidRPr="004F37BF" w:rsidRDefault="003438A2" w:rsidP="00881E29">
            <w:pPr>
              <w:spacing w:before="60" w:after="60" w:line="240" w:lineRule="auto"/>
              <w:rPr>
                <w:rFonts w:eastAsia="Calibri" w:cs="Times New Roman"/>
                <w:sz w:val="18"/>
                <w:szCs w:val="18"/>
              </w:rPr>
            </w:pPr>
            <w:r w:rsidRPr="004F37BF">
              <w:rPr>
                <w:rFonts w:eastAsia="Calibri" w:cs="Times New Roman"/>
                <w:i/>
                <w:sz w:val="18"/>
                <w:szCs w:val="18"/>
              </w:rPr>
              <w:lastRenderedPageBreak/>
              <w:t>Phenacoccus aceris</w:t>
            </w:r>
            <w:r>
              <w:rPr>
                <w:rFonts w:eastAsia="Calibri" w:cs="Times New Roman"/>
                <w:sz w:val="18"/>
                <w:szCs w:val="18"/>
              </w:rPr>
              <w:t xml:space="preserve"> </w:t>
            </w:r>
            <w:r w:rsidRPr="004F37BF">
              <w:rPr>
                <w:rFonts w:eastAsia="Calibri" w:cs="Times New Roman"/>
                <w:sz w:val="18"/>
                <w:szCs w:val="18"/>
              </w:rPr>
              <w:t>(Signoret, 1875)</w:t>
            </w:r>
          </w:p>
          <w:p w14:paraId="0FB70E59" w14:textId="77777777" w:rsidR="003438A2" w:rsidRPr="004F37BF" w:rsidRDefault="003438A2" w:rsidP="00881E29">
            <w:pPr>
              <w:spacing w:before="60" w:after="60" w:line="240" w:lineRule="auto"/>
              <w:rPr>
                <w:rFonts w:eastAsia="Calibri" w:cs="Times New Roman"/>
                <w:sz w:val="18"/>
                <w:szCs w:val="18"/>
              </w:rPr>
            </w:pPr>
            <w:r w:rsidRPr="004F37BF">
              <w:rPr>
                <w:rFonts w:eastAsia="Calibri" w:cs="Times New Roman"/>
                <w:sz w:val="18"/>
                <w:szCs w:val="18"/>
              </w:rPr>
              <w:t>[Pseudococcidae]</w:t>
            </w:r>
          </w:p>
          <w:p w14:paraId="7CAE32FC" w14:textId="77777777" w:rsidR="003438A2" w:rsidRPr="004F37BF" w:rsidRDefault="003438A2" w:rsidP="00881E29">
            <w:pPr>
              <w:spacing w:before="60" w:after="60" w:line="240" w:lineRule="auto"/>
              <w:rPr>
                <w:rFonts w:eastAsia="Calibri" w:cs="Times New Roman"/>
                <w:i/>
                <w:sz w:val="18"/>
                <w:szCs w:val="18"/>
                <w:lang w:val="pt-BR"/>
              </w:rPr>
            </w:pPr>
            <w:r w:rsidRPr="004F37BF">
              <w:rPr>
                <w:rFonts w:eastAsia="Calibri" w:cs="Times New Roman"/>
                <w:sz w:val="18"/>
                <w:szCs w:val="18"/>
              </w:rPr>
              <w:t>Apple mealybug</w:t>
            </w:r>
          </w:p>
        </w:tc>
        <w:tc>
          <w:tcPr>
            <w:tcW w:w="1474" w:type="dxa"/>
            <w:shd w:val="clear" w:color="auto" w:fill="auto"/>
          </w:tcPr>
          <w:p w14:paraId="41E6F8C4" w14:textId="77777777" w:rsidR="003438A2" w:rsidRDefault="003438A2" w:rsidP="00AE3F6F">
            <w:pPr>
              <w:spacing w:before="60" w:after="60" w:line="240" w:lineRule="auto"/>
              <w:rPr>
                <w:rFonts w:eastAsia="Calibri" w:cs="Times New Roman"/>
                <w:sz w:val="18"/>
                <w:szCs w:val="18"/>
              </w:rPr>
            </w:pPr>
            <w:r w:rsidRPr="004F37BF">
              <w:rPr>
                <w:rFonts w:eastAsia="Calibri" w:cs="Times New Roman"/>
                <w:sz w:val="18"/>
                <w:szCs w:val="18"/>
              </w:rPr>
              <w:t xml:space="preserve">Yes. </w:t>
            </w:r>
            <w:r>
              <w:rPr>
                <w:rFonts w:eastAsia="Calibri" w:cs="Times New Roman"/>
                <w:sz w:val="18"/>
                <w:szCs w:val="18"/>
              </w:rPr>
              <w:t>Present in</w:t>
            </w:r>
            <w:r w:rsidRPr="004F37BF">
              <w:rPr>
                <w:rFonts w:eastAsia="Calibri" w:cs="Times New Roman"/>
                <w:sz w:val="18"/>
                <w:szCs w:val="18"/>
              </w:rPr>
              <w:t xml:space="preserve"> OR</w:t>
            </w:r>
            <w:r>
              <w:rPr>
                <w:rFonts w:eastAsia="Calibri" w:cs="Times New Roman"/>
                <w:sz w:val="18"/>
                <w:szCs w:val="18"/>
              </w:rPr>
              <w:t xml:space="preserve"> and</w:t>
            </w:r>
            <w:r w:rsidRPr="004F37BF">
              <w:rPr>
                <w:rFonts w:eastAsia="Calibri" w:cs="Times New Roman"/>
                <w:sz w:val="18"/>
                <w:szCs w:val="18"/>
              </w:rPr>
              <w:t xml:space="preserve"> WA</w:t>
            </w:r>
            <w:r>
              <w:rPr>
                <w:rFonts w:eastAsia="Calibri" w:cs="Times New Roman"/>
                <w:sz w:val="18"/>
                <w:szCs w:val="18"/>
              </w:rPr>
              <w:t xml:space="preserve"> </w:t>
            </w:r>
            <w:r>
              <w:rPr>
                <w:rFonts w:eastAsia="Times New Roman" w:cs="Calibri"/>
                <w:noProof/>
                <w:color w:val="000000"/>
                <w:sz w:val="18"/>
                <w:szCs w:val="18"/>
                <w:lang w:eastAsia="en-AU"/>
              </w:rPr>
              <w:t>(Beers 2007a, 2008; CABI 2022)</w:t>
            </w:r>
          </w:p>
          <w:p w14:paraId="54E23D8F" w14:textId="77777777" w:rsidR="003438A2" w:rsidRPr="004F37BF" w:rsidRDefault="003438A2" w:rsidP="00AE3F6F">
            <w:pPr>
              <w:spacing w:before="60" w:after="60" w:line="240" w:lineRule="auto"/>
              <w:rPr>
                <w:rFonts w:eastAsia="Calibri" w:cs="Times New Roman"/>
                <w:sz w:val="18"/>
                <w:szCs w:val="18"/>
                <w:lang w:val="pt-BR"/>
              </w:rPr>
            </w:pPr>
          </w:p>
        </w:tc>
        <w:tc>
          <w:tcPr>
            <w:tcW w:w="1474" w:type="dxa"/>
            <w:shd w:val="clear" w:color="auto" w:fill="auto"/>
          </w:tcPr>
          <w:p w14:paraId="0660864C" w14:textId="77777777" w:rsidR="003438A2" w:rsidRPr="004F37BF" w:rsidRDefault="003438A2" w:rsidP="00881E29">
            <w:pPr>
              <w:spacing w:before="60" w:after="60" w:line="240" w:lineRule="auto"/>
              <w:rPr>
                <w:rFonts w:eastAsia="Calibri" w:cs="Times New Roman"/>
                <w:sz w:val="18"/>
                <w:szCs w:val="18"/>
              </w:rPr>
            </w:pPr>
            <w:r w:rsidRPr="004F37BF">
              <w:rPr>
                <w:rFonts w:eastAsia="Calibri" w:cs="Times New Roman"/>
                <w:sz w:val="18"/>
                <w:szCs w:val="18"/>
              </w:rPr>
              <w:t>No records found</w:t>
            </w:r>
          </w:p>
        </w:tc>
        <w:tc>
          <w:tcPr>
            <w:tcW w:w="2552" w:type="dxa"/>
            <w:shd w:val="clear" w:color="auto" w:fill="auto"/>
          </w:tcPr>
          <w:p w14:paraId="400CC1F0" w14:textId="77777777" w:rsidR="003438A2" w:rsidRPr="0065113C" w:rsidRDefault="003438A2" w:rsidP="00881E29">
            <w:pPr>
              <w:spacing w:before="60" w:after="60" w:line="240" w:lineRule="auto"/>
              <w:rPr>
                <w:rFonts w:eastAsia="Calibri" w:cs="Times New Roman"/>
                <w:sz w:val="18"/>
                <w:szCs w:val="18"/>
              </w:rPr>
            </w:pPr>
            <w:r w:rsidRPr="0065113C">
              <w:rPr>
                <w:rFonts w:eastAsia="Calibri" w:cs="Times New Roman"/>
                <w:sz w:val="18"/>
                <w:szCs w:val="18"/>
              </w:rPr>
              <w:t>Yes. Eggs are found on the trunk, twigs or leaves of apple; crawlers disperse to leaves, twigs, leaf axils and fruit to feed</w:t>
            </w:r>
            <w:r>
              <w:rPr>
                <w:rFonts w:eastAsia="Calibri" w:cs="Times New Roman"/>
                <w:sz w:val="18"/>
                <w:szCs w:val="18"/>
              </w:rPr>
              <w:t>,</w:t>
            </w:r>
            <w:r w:rsidRPr="0065113C">
              <w:rPr>
                <w:rFonts w:eastAsia="Calibri" w:cs="Times New Roman"/>
                <w:sz w:val="18"/>
                <w:szCs w:val="18"/>
              </w:rPr>
              <w:t xml:space="preserve"> </w:t>
            </w:r>
            <w:r>
              <w:rPr>
                <w:rFonts w:eastAsia="Calibri" w:cs="Times New Roman"/>
                <w:sz w:val="18"/>
                <w:szCs w:val="18"/>
              </w:rPr>
              <w:t>and</w:t>
            </w:r>
            <w:r w:rsidRPr="0065113C">
              <w:rPr>
                <w:rFonts w:eastAsia="Calibri" w:cs="Times New Roman"/>
                <w:sz w:val="18"/>
                <w:szCs w:val="18"/>
              </w:rPr>
              <w:t xml:space="preserve"> can also feed on fruit often </w:t>
            </w:r>
            <w:r>
              <w:rPr>
                <w:rFonts w:eastAsia="Calibri" w:cs="Times New Roman"/>
                <w:sz w:val="18"/>
                <w:szCs w:val="18"/>
              </w:rPr>
              <w:t>around</w:t>
            </w:r>
            <w:r w:rsidRPr="0065113C">
              <w:rPr>
                <w:rFonts w:eastAsia="Calibri" w:cs="Times New Roman"/>
                <w:sz w:val="18"/>
                <w:szCs w:val="18"/>
              </w:rPr>
              <w:t xml:space="preserve"> the calyx </w:t>
            </w:r>
            <w:r>
              <w:rPr>
                <w:rFonts w:eastAsia="Calibri" w:cs="Times New Roman"/>
                <w:noProof/>
                <w:sz w:val="18"/>
                <w:szCs w:val="18"/>
              </w:rPr>
              <w:t>(Beers 2007a, 2008)</w:t>
            </w:r>
            <w:r>
              <w:rPr>
                <w:rFonts w:eastAsia="Calibri" w:cs="Times New Roman"/>
                <w:sz w:val="18"/>
                <w:szCs w:val="18"/>
              </w:rPr>
              <w:t xml:space="preserve">. </w:t>
            </w:r>
            <w:r w:rsidRPr="0065113C">
              <w:rPr>
                <w:rFonts w:eastAsia="Calibri" w:cs="Times New Roman"/>
                <w:sz w:val="18"/>
                <w:szCs w:val="18"/>
              </w:rPr>
              <w:t xml:space="preserve">Second instar nymphs overwinter in cocoons under bark or in bark cracks in colder northern regions </w:t>
            </w:r>
            <w:r>
              <w:rPr>
                <w:rFonts w:eastAsia="Calibri" w:cs="Times New Roman"/>
                <w:noProof/>
                <w:sz w:val="18"/>
                <w:szCs w:val="18"/>
              </w:rPr>
              <w:t>(Beers 2007a)</w:t>
            </w:r>
            <w:r>
              <w:rPr>
                <w:rFonts w:eastAsia="Calibri" w:cs="Times New Roman"/>
                <w:sz w:val="18"/>
                <w:szCs w:val="18"/>
              </w:rPr>
              <w:t>.</w:t>
            </w:r>
          </w:p>
        </w:tc>
        <w:tc>
          <w:tcPr>
            <w:tcW w:w="2381" w:type="dxa"/>
            <w:shd w:val="clear" w:color="auto" w:fill="auto"/>
          </w:tcPr>
          <w:p w14:paraId="4478F419" w14:textId="77777777" w:rsidR="003438A2" w:rsidRPr="0065113C" w:rsidRDefault="003438A2" w:rsidP="00881E29">
            <w:pPr>
              <w:spacing w:before="60" w:after="60" w:line="240" w:lineRule="auto"/>
              <w:rPr>
                <w:rFonts w:eastAsia="Calibri" w:cs="Times New Roman"/>
                <w:sz w:val="18"/>
                <w:szCs w:val="18"/>
              </w:rPr>
            </w:pPr>
            <w:r w:rsidRPr="0065113C">
              <w:rPr>
                <w:rFonts w:eastAsia="Calibri" w:cs="Times New Roman"/>
                <w:sz w:val="18"/>
                <w:szCs w:val="18"/>
              </w:rPr>
              <w:t xml:space="preserve">Yes. A very broad host range, including </w:t>
            </w:r>
            <w:r>
              <w:rPr>
                <w:rFonts w:eastAsia="Calibri" w:cs="Times New Roman"/>
                <w:sz w:val="18"/>
                <w:szCs w:val="18"/>
              </w:rPr>
              <w:t xml:space="preserve">deciduous fruit and nut trees such as </w:t>
            </w:r>
            <w:r w:rsidRPr="0065113C">
              <w:rPr>
                <w:rFonts w:eastAsia="Calibri" w:cs="Times New Roman"/>
                <w:sz w:val="18"/>
                <w:szCs w:val="18"/>
              </w:rPr>
              <w:t>apple (</w:t>
            </w:r>
            <w:r w:rsidRPr="0065113C">
              <w:rPr>
                <w:rFonts w:eastAsia="Calibri" w:cs="Times New Roman"/>
                <w:i/>
                <w:sz w:val="18"/>
                <w:szCs w:val="18"/>
              </w:rPr>
              <w:t>Malus</w:t>
            </w:r>
            <w:r w:rsidRPr="0065113C">
              <w:rPr>
                <w:rFonts w:eastAsia="Calibri" w:cs="Times New Roman"/>
                <w:sz w:val="18"/>
                <w:szCs w:val="18"/>
              </w:rPr>
              <w:t>), pear (</w:t>
            </w:r>
            <w:r w:rsidRPr="0065113C">
              <w:rPr>
                <w:rFonts w:eastAsia="Calibri" w:cs="Times New Roman"/>
                <w:i/>
                <w:sz w:val="18"/>
                <w:szCs w:val="18"/>
              </w:rPr>
              <w:t>Pyrus</w:t>
            </w:r>
            <w:r w:rsidRPr="0065113C">
              <w:rPr>
                <w:rFonts w:eastAsia="Calibri" w:cs="Times New Roman"/>
                <w:sz w:val="18"/>
                <w:szCs w:val="18"/>
              </w:rPr>
              <w:t>), apricot, cherry, plum (</w:t>
            </w:r>
            <w:r w:rsidRPr="0065113C">
              <w:rPr>
                <w:rFonts w:eastAsia="Calibri" w:cs="Times New Roman"/>
                <w:i/>
                <w:sz w:val="18"/>
                <w:szCs w:val="18"/>
              </w:rPr>
              <w:t>Prunus</w:t>
            </w:r>
            <w:r w:rsidRPr="0065113C">
              <w:rPr>
                <w:rFonts w:eastAsia="Calibri" w:cs="Times New Roman"/>
                <w:sz w:val="18"/>
                <w:szCs w:val="18"/>
              </w:rPr>
              <w:t xml:space="preserve"> spp.), hazelnut (</w:t>
            </w:r>
            <w:r w:rsidRPr="0065113C">
              <w:rPr>
                <w:rFonts w:eastAsia="Calibri" w:cs="Times New Roman"/>
                <w:i/>
                <w:sz w:val="18"/>
                <w:szCs w:val="18"/>
              </w:rPr>
              <w:t>Corylus</w:t>
            </w:r>
            <w:r>
              <w:rPr>
                <w:rFonts w:eastAsia="Calibri" w:cs="Times New Roman"/>
                <w:sz w:val="18"/>
                <w:szCs w:val="18"/>
              </w:rPr>
              <w:t xml:space="preserve">), </w:t>
            </w:r>
            <w:r w:rsidRPr="0065113C">
              <w:rPr>
                <w:rFonts w:eastAsia="Calibri" w:cs="Times New Roman"/>
                <w:sz w:val="18"/>
                <w:szCs w:val="18"/>
              </w:rPr>
              <w:t>grape (</w:t>
            </w:r>
            <w:r w:rsidRPr="0065113C">
              <w:rPr>
                <w:rFonts w:eastAsia="Calibri" w:cs="Times New Roman"/>
                <w:i/>
                <w:sz w:val="18"/>
                <w:szCs w:val="18"/>
              </w:rPr>
              <w:t>Vitis vinifera</w:t>
            </w:r>
            <w:r w:rsidRPr="0065113C">
              <w:rPr>
                <w:rFonts w:eastAsia="Calibri" w:cs="Times New Roman"/>
                <w:sz w:val="18"/>
                <w:szCs w:val="18"/>
              </w:rPr>
              <w:t>), currant, gooseberry (</w:t>
            </w:r>
            <w:r w:rsidRPr="0065113C">
              <w:rPr>
                <w:rFonts w:eastAsia="Calibri" w:cs="Times New Roman"/>
                <w:i/>
                <w:sz w:val="18"/>
                <w:szCs w:val="18"/>
              </w:rPr>
              <w:t xml:space="preserve">Ribes </w:t>
            </w:r>
            <w:r w:rsidRPr="0065113C">
              <w:rPr>
                <w:rFonts w:eastAsia="Calibri" w:cs="Times New Roman"/>
                <w:sz w:val="18"/>
                <w:szCs w:val="18"/>
              </w:rPr>
              <w:t>spp.), blueberry (</w:t>
            </w:r>
            <w:r w:rsidRPr="0065113C">
              <w:rPr>
                <w:rFonts w:eastAsia="Calibri" w:cs="Times New Roman"/>
                <w:i/>
                <w:sz w:val="18"/>
                <w:szCs w:val="18"/>
              </w:rPr>
              <w:t>Vaccinium</w:t>
            </w:r>
            <w:r>
              <w:rPr>
                <w:rFonts w:eastAsia="Calibri" w:cs="Times New Roman"/>
                <w:sz w:val="18"/>
                <w:szCs w:val="18"/>
              </w:rPr>
              <w:t>),</w:t>
            </w:r>
            <w:r w:rsidRPr="0065113C">
              <w:rPr>
                <w:rFonts w:eastAsia="Calibri" w:cs="Times New Roman"/>
                <w:sz w:val="18"/>
                <w:szCs w:val="18"/>
              </w:rPr>
              <w:t xml:space="preserve"> many shade trees</w:t>
            </w:r>
            <w:r>
              <w:rPr>
                <w:rFonts w:eastAsia="Calibri" w:cs="Times New Roman"/>
                <w:sz w:val="18"/>
                <w:szCs w:val="18"/>
              </w:rPr>
              <w:t>, map</w:t>
            </w:r>
            <w:r w:rsidRPr="0065113C">
              <w:rPr>
                <w:rFonts w:eastAsia="Calibri" w:cs="Times New Roman"/>
                <w:sz w:val="18"/>
                <w:szCs w:val="18"/>
              </w:rPr>
              <w:t>le (</w:t>
            </w:r>
            <w:r w:rsidRPr="0065113C">
              <w:rPr>
                <w:rFonts w:eastAsia="Calibri" w:cs="Times New Roman"/>
                <w:i/>
                <w:sz w:val="18"/>
                <w:szCs w:val="18"/>
              </w:rPr>
              <w:t>Acer</w:t>
            </w:r>
            <w:r w:rsidRPr="0065113C">
              <w:rPr>
                <w:rFonts w:eastAsia="Calibri" w:cs="Times New Roman"/>
                <w:sz w:val="18"/>
                <w:szCs w:val="18"/>
              </w:rPr>
              <w:t>), oak (</w:t>
            </w:r>
            <w:r w:rsidRPr="0065113C">
              <w:rPr>
                <w:rFonts w:eastAsia="Calibri" w:cs="Times New Roman"/>
                <w:i/>
                <w:sz w:val="18"/>
                <w:szCs w:val="18"/>
              </w:rPr>
              <w:t>Quercus</w:t>
            </w:r>
            <w:r w:rsidRPr="0065113C">
              <w:rPr>
                <w:rFonts w:eastAsia="Calibri" w:cs="Times New Roman"/>
                <w:sz w:val="18"/>
                <w:szCs w:val="18"/>
              </w:rPr>
              <w:t>), birch (</w:t>
            </w:r>
            <w:r w:rsidRPr="0065113C">
              <w:rPr>
                <w:rFonts w:eastAsia="Calibri" w:cs="Times New Roman"/>
                <w:i/>
                <w:sz w:val="18"/>
                <w:szCs w:val="18"/>
              </w:rPr>
              <w:t>Betula</w:t>
            </w:r>
            <w:r w:rsidRPr="0065113C">
              <w:rPr>
                <w:rFonts w:eastAsia="Calibri" w:cs="Times New Roman"/>
                <w:sz w:val="18"/>
                <w:szCs w:val="18"/>
              </w:rPr>
              <w:t>), willow (</w:t>
            </w:r>
            <w:r w:rsidRPr="0065113C">
              <w:rPr>
                <w:rFonts w:eastAsia="Calibri" w:cs="Times New Roman"/>
                <w:i/>
                <w:sz w:val="18"/>
                <w:szCs w:val="18"/>
              </w:rPr>
              <w:t>Salix</w:t>
            </w:r>
            <w:r w:rsidRPr="0065113C">
              <w:rPr>
                <w:rFonts w:eastAsia="Calibri" w:cs="Times New Roman"/>
                <w:sz w:val="18"/>
                <w:szCs w:val="18"/>
              </w:rPr>
              <w:t>), ash (</w:t>
            </w:r>
            <w:r w:rsidRPr="0065113C">
              <w:rPr>
                <w:rFonts w:eastAsia="Calibri" w:cs="Times New Roman"/>
                <w:i/>
                <w:sz w:val="18"/>
                <w:szCs w:val="18"/>
              </w:rPr>
              <w:t>Fraxinus</w:t>
            </w:r>
            <w:r w:rsidRPr="0065113C">
              <w:rPr>
                <w:rFonts w:eastAsia="Calibri" w:cs="Times New Roman"/>
                <w:sz w:val="18"/>
                <w:szCs w:val="18"/>
              </w:rPr>
              <w:t>), linden (</w:t>
            </w:r>
            <w:r w:rsidRPr="0065113C">
              <w:rPr>
                <w:rFonts w:eastAsia="Calibri" w:cs="Times New Roman"/>
                <w:i/>
                <w:sz w:val="18"/>
                <w:szCs w:val="18"/>
              </w:rPr>
              <w:t>Tilia</w:t>
            </w:r>
            <w:r w:rsidRPr="0065113C">
              <w:rPr>
                <w:rFonts w:eastAsia="Calibri" w:cs="Times New Roman"/>
                <w:sz w:val="18"/>
                <w:szCs w:val="18"/>
              </w:rPr>
              <w:t>), elm (</w:t>
            </w:r>
            <w:r w:rsidRPr="0065113C">
              <w:rPr>
                <w:rFonts w:eastAsia="Calibri" w:cs="Times New Roman"/>
                <w:i/>
                <w:sz w:val="18"/>
                <w:szCs w:val="18"/>
              </w:rPr>
              <w:t>Ulmus</w:t>
            </w:r>
            <w:r w:rsidRPr="0065113C">
              <w:rPr>
                <w:rFonts w:eastAsia="Calibri" w:cs="Times New Roman"/>
                <w:sz w:val="18"/>
                <w:szCs w:val="18"/>
              </w:rPr>
              <w:t>), rowan (</w:t>
            </w:r>
            <w:r w:rsidRPr="0065113C">
              <w:rPr>
                <w:rFonts w:eastAsia="Calibri" w:cs="Times New Roman"/>
                <w:i/>
                <w:sz w:val="18"/>
                <w:szCs w:val="18"/>
              </w:rPr>
              <w:t>Sorbus</w:t>
            </w:r>
            <w:r>
              <w:rPr>
                <w:rFonts w:eastAsia="Calibri" w:cs="Times New Roman"/>
                <w:sz w:val="18"/>
                <w:szCs w:val="18"/>
              </w:rPr>
              <w:t>)</w:t>
            </w:r>
            <w:r w:rsidRPr="0065113C">
              <w:rPr>
                <w:rFonts w:eastAsia="Calibri" w:cs="Times New Roman"/>
                <w:sz w:val="18"/>
                <w:szCs w:val="18"/>
              </w:rPr>
              <w:t xml:space="preserve"> and various ornamentals (</w:t>
            </w:r>
            <w:r w:rsidRPr="0065113C">
              <w:rPr>
                <w:rFonts w:eastAsia="Calibri" w:cs="Times New Roman"/>
                <w:i/>
                <w:sz w:val="18"/>
                <w:szCs w:val="18"/>
              </w:rPr>
              <w:t>Cotoneaster</w:t>
            </w:r>
            <w:r w:rsidRPr="0065113C">
              <w:rPr>
                <w:rFonts w:eastAsia="Calibri" w:cs="Times New Roman"/>
                <w:sz w:val="18"/>
                <w:szCs w:val="18"/>
              </w:rPr>
              <w:t xml:space="preserve">, </w:t>
            </w:r>
            <w:r w:rsidRPr="0065113C">
              <w:rPr>
                <w:rFonts w:eastAsia="Calibri" w:cs="Times New Roman"/>
                <w:i/>
                <w:sz w:val="18"/>
                <w:szCs w:val="18"/>
              </w:rPr>
              <w:t>Pyracantha</w:t>
            </w:r>
            <w:r w:rsidRPr="0065113C">
              <w:rPr>
                <w:rFonts w:eastAsia="Calibri" w:cs="Times New Roman"/>
                <w:sz w:val="18"/>
                <w:szCs w:val="18"/>
              </w:rPr>
              <w:t xml:space="preserve">, </w:t>
            </w:r>
            <w:r w:rsidRPr="0065113C">
              <w:rPr>
                <w:rFonts w:eastAsia="Calibri" w:cs="Times New Roman"/>
                <w:i/>
                <w:sz w:val="18"/>
                <w:szCs w:val="18"/>
              </w:rPr>
              <w:t>Spirea</w:t>
            </w:r>
            <w:r w:rsidRPr="0065113C">
              <w:rPr>
                <w:rFonts w:eastAsia="Calibri" w:cs="Times New Roman"/>
                <w:sz w:val="18"/>
                <w:szCs w:val="18"/>
              </w:rPr>
              <w:t>, hawthorn (</w:t>
            </w:r>
            <w:r w:rsidRPr="0065113C">
              <w:rPr>
                <w:rFonts w:eastAsia="Calibri" w:cs="Times New Roman"/>
                <w:i/>
                <w:sz w:val="18"/>
                <w:szCs w:val="18"/>
              </w:rPr>
              <w:t>Crataegus</w:t>
            </w:r>
            <w:r w:rsidRPr="0065113C">
              <w:rPr>
                <w:rFonts w:eastAsia="Calibri" w:cs="Times New Roman"/>
                <w:sz w:val="18"/>
                <w:szCs w:val="18"/>
              </w:rPr>
              <w:t>) and quince (</w:t>
            </w:r>
            <w:r w:rsidRPr="0065113C">
              <w:rPr>
                <w:rFonts w:eastAsia="Calibri" w:cs="Times New Roman"/>
                <w:i/>
                <w:sz w:val="18"/>
                <w:szCs w:val="18"/>
              </w:rPr>
              <w:t>Cydonia oblonga</w:t>
            </w:r>
            <w:r>
              <w:rPr>
                <w:rFonts w:eastAsia="Calibri" w:cs="Times New Roman"/>
                <w:sz w:val="18"/>
                <w:szCs w:val="18"/>
              </w:rPr>
              <w:t>)</w:t>
            </w:r>
            <w:r w:rsidRPr="0065113C">
              <w:rPr>
                <w:rFonts w:eastAsia="Calibri" w:cs="Times New Roman"/>
                <w:sz w:val="18"/>
                <w:szCs w:val="18"/>
              </w:rPr>
              <w:t xml:space="preserve"> </w:t>
            </w:r>
            <w:r>
              <w:rPr>
                <w:rFonts w:eastAsia="Calibri" w:cs="Times New Roman"/>
                <w:noProof/>
                <w:sz w:val="18"/>
                <w:szCs w:val="18"/>
              </w:rPr>
              <w:t>(Beers 2007a)</w:t>
            </w:r>
            <w:r w:rsidRPr="0065113C">
              <w:rPr>
                <w:rFonts w:eastAsia="Calibri" w:cs="Times New Roman"/>
                <w:sz w:val="18"/>
                <w:szCs w:val="18"/>
              </w:rPr>
              <w:t>. All of these plants are widely distributed in Australia. It is present in</w:t>
            </w:r>
            <w:r>
              <w:rPr>
                <w:rFonts w:eastAsia="Calibri" w:cs="Times New Roman"/>
                <w:sz w:val="18"/>
                <w:szCs w:val="18"/>
              </w:rPr>
              <w:t xml:space="preserve"> USA </w:t>
            </w:r>
            <w:r w:rsidRPr="0065113C">
              <w:rPr>
                <w:rFonts w:eastAsia="Calibri" w:cs="Times New Roman"/>
                <w:sz w:val="18"/>
                <w:szCs w:val="18"/>
              </w:rPr>
              <w:t>states where climatic conditions similar to those in Australia exist. It is likely that this species could establish in Australia</w:t>
            </w:r>
            <w:r>
              <w:rPr>
                <w:rFonts w:eastAsia="Calibri" w:cs="Times New Roman"/>
                <w:sz w:val="18"/>
                <w:szCs w:val="18"/>
              </w:rPr>
              <w:t>.</w:t>
            </w:r>
          </w:p>
        </w:tc>
        <w:tc>
          <w:tcPr>
            <w:tcW w:w="2211" w:type="dxa"/>
            <w:shd w:val="clear" w:color="auto" w:fill="auto"/>
          </w:tcPr>
          <w:p w14:paraId="6F3929BD" w14:textId="77777777" w:rsidR="003438A2" w:rsidRPr="0065113C" w:rsidRDefault="003438A2" w:rsidP="00881E29">
            <w:pPr>
              <w:spacing w:before="60" w:after="60" w:line="240" w:lineRule="auto"/>
              <w:rPr>
                <w:rFonts w:eastAsia="Calibri" w:cs="Times New Roman"/>
                <w:sz w:val="18"/>
                <w:szCs w:val="18"/>
              </w:rPr>
            </w:pPr>
            <w:r w:rsidRPr="0065113C">
              <w:rPr>
                <w:rFonts w:eastAsia="Calibri" w:cs="Times New Roman"/>
                <w:sz w:val="18"/>
                <w:szCs w:val="18"/>
              </w:rPr>
              <w:t>Yes. Apple</w:t>
            </w:r>
            <w:r>
              <w:rPr>
                <w:rFonts w:eastAsia="Calibri" w:cs="Times New Roman"/>
                <w:sz w:val="18"/>
                <w:szCs w:val="18"/>
              </w:rPr>
              <w:t xml:space="preserve"> mealybug is a known vector of </w:t>
            </w:r>
            <w:r w:rsidRPr="00C40560">
              <w:rPr>
                <w:rFonts w:eastAsia="Calibri" w:cs="Times New Roman"/>
                <w:i/>
                <w:sz w:val="18"/>
                <w:szCs w:val="18"/>
              </w:rPr>
              <w:t>Little cherry virus</w:t>
            </w:r>
            <w:r w:rsidRPr="0065113C">
              <w:rPr>
                <w:rFonts w:eastAsia="Calibri" w:cs="Times New Roman"/>
                <w:sz w:val="18"/>
                <w:szCs w:val="18"/>
              </w:rPr>
              <w:t xml:space="preserve"> </w:t>
            </w:r>
            <w:r>
              <w:rPr>
                <w:rFonts w:eastAsia="Calibri" w:cs="Times New Roman"/>
                <w:noProof/>
                <w:sz w:val="18"/>
                <w:szCs w:val="18"/>
              </w:rPr>
              <w:t>(Beers 2008; Raine, McMullen &amp; Forbes 1986)</w:t>
            </w:r>
            <w:r>
              <w:rPr>
                <w:rFonts w:eastAsia="Calibri" w:cs="Times New Roman"/>
                <w:sz w:val="18"/>
                <w:szCs w:val="18"/>
              </w:rPr>
              <w:t>,</w:t>
            </w:r>
            <w:r w:rsidRPr="0065113C">
              <w:rPr>
                <w:rFonts w:eastAsia="Calibri" w:cs="Times New Roman"/>
                <w:sz w:val="18"/>
                <w:szCs w:val="18"/>
              </w:rPr>
              <w:t xml:space="preserve"> which is regulated in British Columbia. The virus has been widespread and devastating in Kootenay (British Columbia) cherry growing region </w:t>
            </w:r>
            <w:r>
              <w:rPr>
                <w:rFonts w:eastAsia="Calibri" w:cs="Times New Roman"/>
                <w:noProof/>
                <w:sz w:val="18"/>
                <w:szCs w:val="18"/>
              </w:rPr>
              <w:t>(Beers 2007a; Rott &amp; Jelkmann 2001)</w:t>
            </w:r>
            <w:r w:rsidRPr="0065113C">
              <w:rPr>
                <w:rFonts w:eastAsia="Calibri" w:cs="Times New Roman"/>
                <w:sz w:val="18"/>
                <w:szCs w:val="18"/>
              </w:rPr>
              <w:t xml:space="preserve">. It is also a known vector of </w:t>
            </w:r>
            <w:r w:rsidRPr="00C40560">
              <w:rPr>
                <w:rFonts w:eastAsia="Calibri" w:cs="Times New Roman"/>
                <w:i/>
                <w:sz w:val="18"/>
                <w:szCs w:val="18"/>
              </w:rPr>
              <w:t>Grapevine leafroll-associated virus-1</w:t>
            </w:r>
            <w:r w:rsidRPr="0065113C">
              <w:rPr>
                <w:rFonts w:eastAsia="Calibri" w:cs="Times New Roman"/>
                <w:sz w:val="18"/>
                <w:szCs w:val="18"/>
              </w:rPr>
              <w:t xml:space="preserve"> and -</w:t>
            </w:r>
            <w:r w:rsidRPr="00C40560">
              <w:rPr>
                <w:rFonts w:eastAsia="Calibri" w:cs="Times New Roman"/>
                <w:i/>
                <w:sz w:val="18"/>
                <w:szCs w:val="18"/>
              </w:rPr>
              <w:t xml:space="preserve">3 </w:t>
            </w:r>
            <w:r w:rsidRPr="0065113C">
              <w:rPr>
                <w:rFonts w:eastAsia="Calibri" w:cs="Times New Roman"/>
                <w:sz w:val="18"/>
                <w:szCs w:val="18"/>
              </w:rPr>
              <w:t xml:space="preserve">(GLRaV-1 and -3) in France and Italy where it is considered as becoming a serious pest </w:t>
            </w:r>
            <w:r>
              <w:rPr>
                <w:rFonts w:eastAsia="Calibri" w:cs="Times New Roman"/>
                <w:noProof/>
                <w:sz w:val="18"/>
                <w:szCs w:val="18"/>
              </w:rPr>
              <w:t>(Sforza, Boudon-Padieu &amp; Greif 2003)</w:t>
            </w:r>
            <w:r>
              <w:rPr>
                <w:rFonts w:eastAsia="Calibri" w:cs="Times New Roman"/>
                <w:sz w:val="18"/>
                <w:szCs w:val="18"/>
              </w:rPr>
              <w:t>.</w:t>
            </w:r>
          </w:p>
        </w:tc>
        <w:tc>
          <w:tcPr>
            <w:tcW w:w="1191" w:type="dxa"/>
            <w:shd w:val="clear" w:color="auto" w:fill="auto"/>
          </w:tcPr>
          <w:p w14:paraId="7F031C83" w14:textId="77777777" w:rsidR="003438A2" w:rsidRPr="0065113C" w:rsidRDefault="003438A2" w:rsidP="00881E29">
            <w:pPr>
              <w:spacing w:before="60" w:after="60" w:line="240" w:lineRule="auto"/>
              <w:rPr>
                <w:rFonts w:eastAsia="Calibri" w:cs="Times New Roman"/>
                <w:sz w:val="18"/>
                <w:szCs w:val="18"/>
              </w:rPr>
            </w:pPr>
            <w:r w:rsidRPr="0065113C">
              <w:rPr>
                <w:rFonts w:eastAsia="Calibri" w:cs="Times New Roman"/>
                <w:sz w:val="18"/>
                <w:szCs w:val="18"/>
              </w:rPr>
              <w:t>Yes</w:t>
            </w:r>
            <w:r>
              <w:rPr>
                <w:rFonts w:eastAsia="Calibri" w:cs="Times New Roman"/>
                <w:sz w:val="18"/>
                <w:szCs w:val="18"/>
              </w:rPr>
              <w:t>. Mealybug</w:t>
            </w:r>
            <w:r w:rsidRPr="00F93DDB">
              <w:rPr>
                <w:sz w:val="18"/>
                <w:szCs w:val="18"/>
              </w:rPr>
              <w:t xml:space="preserve"> group PRA applied</w:t>
            </w:r>
            <w:r>
              <w:rPr>
                <w:rFonts w:eastAsia="Calibri" w:cs="Times New Roman"/>
                <w:sz w:val="18"/>
                <w:szCs w:val="18"/>
              </w:rPr>
              <w:t xml:space="preserve"> </w:t>
            </w:r>
            <w:r>
              <w:rPr>
                <w:rFonts w:eastAsia="Calibri" w:cs="Times New Roman"/>
                <w:noProof/>
                <w:sz w:val="18"/>
                <w:szCs w:val="18"/>
              </w:rPr>
              <w:t>(DAWR 2019)</w:t>
            </w:r>
          </w:p>
        </w:tc>
      </w:tr>
      <w:tr w:rsidR="003438A2" w:rsidRPr="000D4594" w14:paraId="51C543D1" w14:textId="77777777" w:rsidTr="00C4199F">
        <w:trPr>
          <w:cantSplit/>
          <w:trHeight w:val="75"/>
          <w:jc w:val="center"/>
        </w:trPr>
        <w:tc>
          <w:tcPr>
            <w:tcW w:w="2553" w:type="dxa"/>
            <w:shd w:val="clear" w:color="auto" w:fill="auto"/>
          </w:tcPr>
          <w:p w14:paraId="341D581E" w14:textId="77777777" w:rsidR="003438A2" w:rsidRPr="000D4594" w:rsidRDefault="003438A2" w:rsidP="00881E29">
            <w:pPr>
              <w:spacing w:before="60" w:after="60" w:line="240" w:lineRule="auto"/>
              <w:rPr>
                <w:rFonts w:eastAsia="Calibri" w:cs="Times New Roman"/>
                <w:sz w:val="18"/>
                <w:szCs w:val="18"/>
              </w:rPr>
            </w:pPr>
            <w:r w:rsidRPr="000D4594">
              <w:rPr>
                <w:rFonts w:eastAsia="Calibri" w:cs="Times New Roman"/>
                <w:i/>
                <w:sz w:val="18"/>
                <w:szCs w:val="18"/>
              </w:rPr>
              <w:lastRenderedPageBreak/>
              <w:t xml:space="preserve">Pseudococcus calceolariae </w:t>
            </w:r>
            <w:r w:rsidRPr="000D4594">
              <w:rPr>
                <w:rFonts w:eastAsia="Calibri" w:cs="Times New Roman"/>
                <w:sz w:val="18"/>
                <w:szCs w:val="18"/>
              </w:rPr>
              <w:t>(Maskell, 1879)</w:t>
            </w:r>
          </w:p>
          <w:p w14:paraId="64CA548F" w14:textId="77777777" w:rsidR="003438A2" w:rsidRPr="000D4594" w:rsidRDefault="003438A2" w:rsidP="00881E29">
            <w:pPr>
              <w:spacing w:before="60" w:after="60" w:line="240" w:lineRule="auto"/>
              <w:rPr>
                <w:rFonts w:eastAsia="Calibri" w:cs="Times New Roman"/>
                <w:sz w:val="18"/>
                <w:szCs w:val="18"/>
              </w:rPr>
            </w:pPr>
            <w:r w:rsidRPr="000D4594">
              <w:rPr>
                <w:rFonts w:eastAsia="Calibri" w:cs="Times New Roman"/>
                <w:sz w:val="18"/>
                <w:szCs w:val="18"/>
              </w:rPr>
              <w:t>[Pseudococcidae]</w:t>
            </w:r>
          </w:p>
          <w:p w14:paraId="411ACDBD" w14:textId="77777777" w:rsidR="003438A2" w:rsidRPr="000D4594" w:rsidRDefault="003438A2" w:rsidP="00881E29">
            <w:pPr>
              <w:spacing w:before="60" w:after="60" w:line="240" w:lineRule="auto"/>
              <w:rPr>
                <w:rFonts w:eastAsia="Calibri" w:cs="Times New Roman"/>
                <w:i/>
                <w:sz w:val="18"/>
                <w:szCs w:val="18"/>
                <w:lang w:val="pt-BR"/>
              </w:rPr>
            </w:pPr>
            <w:r w:rsidRPr="000D4594">
              <w:rPr>
                <w:rFonts w:eastAsia="Calibri" w:cs="Times New Roman"/>
                <w:sz w:val="18"/>
                <w:szCs w:val="18"/>
              </w:rPr>
              <w:t>Citrophilus mealybug; Scarlet mealybug</w:t>
            </w:r>
          </w:p>
        </w:tc>
        <w:tc>
          <w:tcPr>
            <w:tcW w:w="1474" w:type="dxa"/>
            <w:shd w:val="clear" w:color="auto" w:fill="auto"/>
          </w:tcPr>
          <w:p w14:paraId="3C5392B1" w14:textId="77777777" w:rsidR="003438A2" w:rsidRDefault="003438A2" w:rsidP="00AE3F6F">
            <w:pPr>
              <w:spacing w:before="60" w:after="60" w:line="240" w:lineRule="auto"/>
              <w:rPr>
                <w:rFonts w:eastAsia="Times New Roman" w:cs="Calibri"/>
                <w:color w:val="000000"/>
                <w:sz w:val="18"/>
                <w:szCs w:val="18"/>
                <w:lang w:eastAsia="en-AU"/>
              </w:rPr>
            </w:pPr>
            <w:r>
              <w:rPr>
                <w:rFonts w:eastAsia="Calibri" w:cs="Times New Roman"/>
                <w:sz w:val="18"/>
                <w:szCs w:val="18"/>
              </w:rPr>
              <w:t>No</w:t>
            </w:r>
            <w:r w:rsidRPr="000D4594">
              <w:rPr>
                <w:rFonts w:eastAsia="Calibri" w:cs="Times New Roman"/>
                <w:sz w:val="18"/>
                <w:szCs w:val="18"/>
              </w:rPr>
              <w:t>. Present in CA</w:t>
            </w:r>
            <w:r>
              <w:rPr>
                <w:rFonts w:eastAsia="Calibri" w:cs="Times New Roman"/>
                <w:sz w:val="18"/>
                <w:szCs w:val="18"/>
              </w:rPr>
              <w:t xml:space="preserve"> and</w:t>
            </w:r>
            <w:r w:rsidRPr="000D4594">
              <w:rPr>
                <w:rFonts w:eastAsia="Calibri" w:cs="Times New Roman"/>
                <w:sz w:val="18"/>
                <w:szCs w:val="18"/>
              </w:rPr>
              <w:t xml:space="preserve"> LA</w:t>
            </w:r>
            <w:r>
              <w:rPr>
                <w:rFonts w:eastAsia="Calibri" w:cs="Times New Roman"/>
                <w:sz w:val="18"/>
                <w:szCs w:val="18"/>
              </w:rPr>
              <w:t xml:space="preserve"> </w:t>
            </w:r>
            <w:r>
              <w:rPr>
                <w:rFonts w:eastAsia="Times New Roman" w:cs="Calibri"/>
                <w:noProof/>
                <w:color w:val="000000"/>
                <w:sz w:val="18"/>
                <w:szCs w:val="18"/>
                <w:lang w:eastAsia="en-AU"/>
              </w:rPr>
              <w:t>(CABI 2022; García Morales et al. 2016)</w:t>
            </w:r>
          </w:p>
          <w:p w14:paraId="6D2F71A1" w14:textId="77777777" w:rsidR="003438A2" w:rsidRPr="000D4594" w:rsidRDefault="003438A2" w:rsidP="00AE3F6F">
            <w:pPr>
              <w:spacing w:before="60" w:after="60" w:line="240" w:lineRule="auto"/>
              <w:rPr>
                <w:rFonts w:eastAsia="Calibri" w:cs="Times New Roman"/>
                <w:sz w:val="18"/>
                <w:szCs w:val="18"/>
                <w:lang w:val="pt-BR"/>
              </w:rPr>
            </w:pPr>
          </w:p>
        </w:tc>
        <w:tc>
          <w:tcPr>
            <w:tcW w:w="1474" w:type="dxa"/>
            <w:shd w:val="clear" w:color="auto" w:fill="auto"/>
          </w:tcPr>
          <w:p w14:paraId="50272BD1" w14:textId="77777777" w:rsidR="003438A2" w:rsidRPr="000D4594" w:rsidRDefault="003438A2" w:rsidP="00881E29">
            <w:pPr>
              <w:spacing w:before="60" w:after="60" w:line="240" w:lineRule="auto"/>
              <w:rPr>
                <w:rFonts w:eastAsia="Calibri" w:cs="Times New Roman"/>
                <w:sz w:val="18"/>
                <w:szCs w:val="18"/>
              </w:rPr>
            </w:pPr>
            <w:r w:rsidRPr="000D4594">
              <w:rPr>
                <w:rFonts w:eastAsia="Calibri" w:cs="Times New Roman"/>
                <w:sz w:val="18"/>
                <w:szCs w:val="18"/>
              </w:rPr>
              <w:t xml:space="preserve">Yes. Qld, NSW, SA, Tas, Vic. </w:t>
            </w:r>
            <w:r>
              <w:rPr>
                <w:rFonts w:eastAsia="Calibri" w:cs="Times New Roman"/>
                <w:noProof/>
                <w:sz w:val="18"/>
                <w:szCs w:val="18"/>
              </w:rPr>
              <w:t>(Plant Health Australia 2018)</w:t>
            </w:r>
            <w:r w:rsidRPr="000D4594">
              <w:rPr>
                <w:rFonts w:eastAsia="Calibri" w:cs="Times New Roman"/>
                <w:sz w:val="18"/>
                <w:szCs w:val="18"/>
              </w:rPr>
              <w:t xml:space="preserve">; Listed as a Declared Pest, Prohibited (section 12) (C1 Prohibited) organism for WA </w:t>
            </w:r>
            <w:r>
              <w:rPr>
                <w:rFonts w:eastAsia="Calibri" w:cs="Times New Roman"/>
                <w:noProof/>
                <w:sz w:val="18"/>
                <w:szCs w:val="18"/>
              </w:rPr>
              <w:t>(Government of Western Australia 2018)</w:t>
            </w:r>
          </w:p>
        </w:tc>
        <w:tc>
          <w:tcPr>
            <w:tcW w:w="2552" w:type="dxa"/>
            <w:shd w:val="clear" w:color="auto" w:fill="auto"/>
          </w:tcPr>
          <w:p w14:paraId="09C8D45C" w14:textId="77777777" w:rsidR="003438A2" w:rsidRPr="000D4594" w:rsidRDefault="003438A2" w:rsidP="00881E29">
            <w:pPr>
              <w:spacing w:before="60" w:after="60" w:line="240" w:lineRule="auto"/>
              <w:rPr>
                <w:rFonts w:eastAsia="Calibri" w:cs="Times New Roman"/>
                <w:sz w:val="18"/>
                <w:szCs w:val="18"/>
              </w:rPr>
            </w:pPr>
            <w:r w:rsidRPr="003A187B">
              <w:rPr>
                <w:rFonts w:eastAsia="Calibri" w:cs="Times New Roman"/>
                <w:sz w:val="18"/>
                <w:szCs w:val="18"/>
              </w:rPr>
              <w:t>Assessment not required</w:t>
            </w:r>
          </w:p>
        </w:tc>
        <w:tc>
          <w:tcPr>
            <w:tcW w:w="2381" w:type="dxa"/>
            <w:shd w:val="clear" w:color="auto" w:fill="auto"/>
          </w:tcPr>
          <w:p w14:paraId="78878251" w14:textId="77777777" w:rsidR="003438A2" w:rsidRPr="000D4594" w:rsidRDefault="003438A2" w:rsidP="00881E29">
            <w:pPr>
              <w:spacing w:before="60" w:after="60" w:line="240" w:lineRule="auto"/>
              <w:rPr>
                <w:rFonts w:eastAsia="Calibri" w:cs="Times New Roman"/>
                <w:sz w:val="18"/>
                <w:szCs w:val="18"/>
              </w:rPr>
            </w:pPr>
            <w:r w:rsidRPr="000D4594">
              <w:rPr>
                <w:rFonts w:eastAsia="Calibri" w:cs="Times New Roman"/>
                <w:color w:val="000000"/>
                <w:sz w:val="18"/>
                <w:szCs w:val="18"/>
              </w:rPr>
              <w:t>Assessment not required</w:t>
            </w:r>
          </w:p>
        </w:tc>
        <w:tc>
          <w:tcPr>
            <w:tcW w:w="2211" w:type="dxa"/>
            <w:shd w:val="clear" w:color="auto" w:fill="auto"/>
          </w:tcPr>
          <w:p w14:paraId="019F66C6" w14:textId="77777777" w:rsidR="003438A2" w:rsidRPr="000D4594" w:rsidRDefault="003438A2" w:rsidP="00881E29">
            <w:pPr>
              <w:spacing w:before="60" w:after="60" w:line="240" w:lineRule="auto"/>
              <w:rPr>
                <w:rFonts w:eastAsia="Calibri" w:cs="Times New Roman"/>
                <w:sz w:val="18"/>
                <w:szCs w:val="18"/>
              </w:rPr>
            </w:pPr>
            <w:r w:rsidRPr="000D4594">
              <w:rPr>
                <w:rFonts w:eastAsia="Calibri" w:cs="Times New Roman"/>
                <w:color w:val="000000"/>
                <w:sz w:val="18"/>
                <w:szCs w:val="18"/>
              </w:rPr>
              <w:t>Assessment not required</w:t>
            </w:r>
          </w:p>
        </w:tc>
        <w:tc>
          <w:tcPr>
            <w:tcW w:w="1191" w:type="dxa"/>
            <w:shd w:val="clear" w:color="auto" w:fill="auto"/>
          </w:tcPr>
          <w:p w14:paraId="5B366B75" w14:textId="77777777" w:rsidR="003438A2" w:rsidRPr="000D4594" w:rsidRDefault="003438A2" w:rsidP="00881E29">
            <w:pPr>
              <w:spacing w:before="60" w:after="60" w:line="240" w:lineRule="auto"/>
              <w:rPr>
                <w:rFonts w:eastAsia="Calibri" w:cs="Times New Roman"/>
                <w:sz w:val="18"/>
                <w:szCs w:val="18"/>
              </w:rPr>
            </w:pPr>
            <w:r w:rsidRPr="000D4594">
              <w:rPr>
                <w:rFonts w:eastAsia="Calibri" w:cs="Times New Roman"/>
                <w:color w:val="000000"/>
                <w:sz w:val="18"/>
                <w:szCs w:val="18"/>
              </w:rPr>
              <w:t>No</w:t>
            </w:r>
          </w:p>
        </w:tc>
      </w:tr>
      <w:tr w:rsidR="003438A2" w:rsidRPr="0065113C" w14:paraId="571F5DD0" w14:textId="77777777" w:rsidTr="00C4199F">
        <w:trPr>
          <w:cantSplit/>
          <w:trHeight w:val="75"/>
          <w:jc w:val="center"/>
        </w:trPr>
        <w:tc>
          <w:tcPr>
            <w:tcW w:w="2553" w:type="dxa"/>
            <w:shd w:val="clear" w:color="auto" w:fill="auto"/>
          </w:tcPr>
          <w:p w14:paraId="17C785D7" w14:textId="77777777" w:rsidR="003438A2" w:rsidRPr="000D4594" w:rsidRDefault="003438A2" w:rsidP="00881E29">
            <w:pPr>
              <w:spacing w:before="60" w:after="60" w:line="240" w:lineRule="auto"/>
              <w:rPr>
                <w:rFonts w:eastAsia="Calibri" w:cs="Times New Roman"/>
                <w:i/>
                <w:sz w:val="18"/>
                <w:szCs w:val="18"/>
              </w:rPr>
            </w:pPr>
            <w:r w:rsidRPr="000D4594">
              <w:rPr>
                <w:rFonts w:eastAsia="Calibri" w:cs="Times New Roman"/>
                <w:i/>
                <w:sz w:val="18"/>
                <w:szCs w:val="18"/>
              </w:rPr>
              <w:t xml:space="preserve">Pseudococcus comstocki </w:t>
            </w:r>
            <w:r w:rsidRPr="000D4594">
              <w:rPr>
                <w:rFonts w:eastAsia="Calibri" w:cs="Times New Roman"/>
                <w:sz w:val="18"/>
                <w:szCs w:val="18"/>
              </w:rPr>
              <w:t>(Kuwana, 1902)</w:t>
            </w:r>
          </w:p>
          <w:p w14:paraId="5C664592" w14:textId="77777777" w:rsidR="003438A2" w:rsidRPr="000D4594" w:rsidRDefault="003438A2" w:rsidP="00881E29">
            <w:pPr>
              <w:spacing w:before="60" w:after="60" w:line="240" w:lineRule="auto"/>
              <w:rPr>
                <w:rFonts w:eastAsia="Calibri" w:cs="Times New Roman"/>
                <w:sz w:val="18"/>
                <w:szCs w:val="18"/>
              </w:rPr>
            </w:pPr>
            <w:r w:rsidRPr="000D4594">
              <w:rPr>
                <w:rFonts w:eastAsia="Calibri" w:cs="Times New Roman"/>
                <w:sz w:val="18"/>
                <w:szCs w:val="18"/>
              </w:rPr>
              <w:t>[Pseudococcidae]</w:t>
            </w:r>
          </w:p>
          <w:p w14:paraId="5A87E248" w14:textId="77777777" w:rsidR="003438A2" w:rsidRPr="000D4594" w:rsidRDefault="003438A2" w:rsidP="00881E29">
            <w:pPr>
              <w:spacing w:before="60" w:after="60" w:line="240" w:lineRule="auto"/>
              <w:rPr>
                <w:rFonts w:eastAsia="Calibri" w:cs="Times New Roman"/>
                <w:i/>
                <w:sz w:val="18"/>
                <w:szCs w:val="18"/>
                <w:lang w:val="pt-BR"/>
              </w:rPr>
            </w:pPr>
            <w:r w:rsidRPr="000D4594">
              <w:rPr>
                <w:rFonts w:eastAsia="Calibri" w:cs="Times New Roman"/>
                <w:sz w:val="18"/>
                <w:szCs w:val="18"/>
              </w:rPr>
              <w:t>Comstock’s mealybug</w:t>
            </w:r>
          </w:p>
        </w:tc>
        <w:tc>
          <w:tcPr>
            <w:tcW w:w="1474" w:type="dxa"/>
            <w:shd w:val="clear" w:color="auto" w:fill="auto"/>
          </w:tcPr>
          <w:p w14:paraId="2A00C1BE" w14:textId="77777777" w:rsidR="003438A2" w:rsidRPr="00696405" w:rsidRDefault="003438A2" w:rsidP="00AE3F6F">
            <w:pPr>
              <w:spacing w:before="60" w:after="60" w:line="240" w:lineRule="auto"/>
              <w:rPr>
                <w:rFonts w:eastAsia="Times New Roman" w:cs="Calibri"/>
                <w:color w:val="000000"/>
                <w:sz w:val="18"/>
                <w:szCs w:val="18"/>
                <w:lang w:eastAsia="en-AU"/>
              </w:rPr>
            </w:pPr>
            <w:r>
              <w:rPr>
                <w:rFonts w:eastAsia="Calibri" w:cs="Times New Roman"/>
                <w:sz w:val="18"/>
                <w:szCs w:val="18"/>
              </w:rPr>
              <w:t>No</w:t>
            </w:r>
            <w:r w:rsidRPr="000D4594">
              <w:rPr>
                <w:rFonts w:eastAsia="Calibri" w:cs="Times New Roman"/>
                <w:sz w:val="18"/>
                <w:szCs w:val="18"/>
              </w:rPr>
              <w:t xml:space="preserve">. Present in </w:t>
            </w:r>
            <w:r>
              <w:rPr>
                <w:rFonts w:eastAsia="Calibri" w:cs="Times New Roman"/>
                <w:sz w:val="18"/>
                <w:szCs w:val="18"/>
              </w:rPr>
              <w:t xml:space="preserve">USA in </w:t>
            </w:r>
            <w:r w:rsidRPr="000D4594">
              <w:rPr>
                <w:rFonts w:eastAsia="Calibri" w:cs="Times New Roman"/>
                <w:sz w:val="18"/>
                <w:szCs w:val="18"/>
              </w:rPr>
              <w:t>AL, CA, CT, DE, DC, GA, IL, IN, LA, ME, MD, MA, MI, MO, NH, NJ, NY, OH, PA, SC, TX, VA</w:t>
            </w:r>
            <w:r>
              <w:rPr>
                <w:rFonts w:eastAsia="Calibri" w:cs="Times New Roman"/>
                <w:sz w:val="18"/>
                <w:szCs w:val="18"/>
              </w:rPr>
              <w:t xml:space="preserve"> and</w:t>
            </w:r>
            <w:r w:rsidRPr="000D4594">
              <w:rPr>
                <w:rFonts w:eastAsia="Calibri" w:cs="Times New Roman"/>
                <w:sz w:val="18"/>
                <w:szCs w:val="18"/>
              </w:rPr>
              <w:t xml:space="preserve"> WV</w:t>
            </w:r>
            <w:r>
              <w:rPr>
                <w:rFonts w:eastAsia="Calibri" w:cs="Times New Roman"/>
                <w:sz w:val="18"/>
                <w:szCs w:val="18"/>
              </w:rPr>
              <w:t xml:space="preserve"> </w:t>
            </w:r>
            <w:r>
              <w:rPr>
                <w:rFonts w:eastAsia="Times New Roman" w:cs="Calibri"/>
                <w:noProof/>
                <w:color w:val="000000"/>
                <w:sz w:val="18"/>
                <w:szCs w:val="18"/>
                <w:lang w:eastAsia="en-AU"/>
              </w:rPr>
              <w:t>(CABI 2022; García Morales et al. 2016)</w:t>
            </w:r>
            <w:r>
              <w:rPr>
                <w:rFonts w:eastAsia="Calibri" w:cs="Times New Roman"/>
                <w:sz w:val="18"/>
                <w:szCs w:val="18"/>
              </w:rPr>
              <w:t xml:space="preserve"> </w:t>
            </w:r>
          </w:p>
        </w:tc>
        <w:tc>
          <w:tcPr>
            <w:tcW w:w="1474" w:type="dxa"/>
            <w:shd w:val="clear" w:color="auto" w:fill="auto"/>
          </w:tcPr>
          <w:p w14:paraId="7A156AD7" w14:textId="77777777" w:rsidR="003438A2" w:rsidRPr="000D4594" w:rsidRDefault="003438A2" w:rsidP="00881E29">
            <w:pPr>
              <w:spacing w:before="60" w:after="60" w:line="240" w:lineRule="auto"/>
              <w:rPr>
                <w:rFonts w:eastAsia="Calibri" w:cs="Times New Roman"/>
                <w:sz w:val="18"/>
                <w:szCs w:val="18"/>
              </w:rPr>
            </w:pPr>
            <w:r w:rsidRPr="000D4594">
              <w:rPr>
                <w:rFonts w:eastAsia="Calibri" w:cs="Times New Roman"/>
                <w:sz w:val="18"/>
                <w:szCs w:val="18"/>
              </w:rPr>
              <w:t>No records found</w:t>
            </w:r>
          </w:p>
        </w:tc>
        <w:tc>
          <w:tcPr>
            <w:tcW w:w="2552" w:type="dxa"/>
            <w:shd w:val="clear" w:color="auto" w:fill="auto"/>
          </w:tcPr>
          <w:p w14:paraId="22B0ABA0" w14:textId="77777777" w:rsidR="003438A2" w:rsidRPr="003A187B" w:rsidRDefault="003438A2" w:rsidP="00881E29">
            <w:pPr>
              <w:spacing w:before="60" w:after="60" w:line="240" w:lineRule="auto"/>
              <w:rPr>
                <w:rFonts w:eastAsia="Calibri" w:cs="Times New Roman"/>
                <w:sz w:val="18"/>
                <w:szCs w:val="18"/>
              </w:rPr>
            </w:pPr>
            <w:r w:rsidRPr="003A187B">
              <w:rPr>
                <w:rFonts w:eastAsia="Calibri" w:cs="Times New Roman"/>
                <w:sz w:val="18"/>
                <w:szCs w:val="18"/>
              </w:rPr>
              <w:t>Assessment not required</w:t>
            </w:r>
          </w:p>
        </w:tc>
        <w:tc>
          <w:tcPr>
            <w:tcW w:w="2381" w:type="dxa"/>
            <w:shd w:val="clear" w:color="auto" w:fill="auto"/>
          </w:tcPr>
          <w:p w14:paraId="6EB4D3CB" w14:textId="77777777" w:rsidR="003438A2" w:rsidRPr="000D4594" w:rsidRDefault="003438A2" w:rsidP="00881E29">
            <w:pPr>
              <w:spacing w:before="60" w:after="60" w:line="240" w:lineRule="auto"/>
              <w:rPr>
                <w:rFonts w:eastAsia="Calibri" w:cs="Times New Roman"/>
                <w:sz w:val="18"/>
                <w:szCs w:val="18"/>
              </w:rPr>
            </w:pPr>
            <w:r w:rsidRPr="000D4594">
              <w:rPr>
                <w:rFonts w:eastAsia="Calibri" w:cs="Times New Roman"/>
                <w:color w:val="000000"/>
                <w:sz w:val="18"/>
                <w:szCs w:val="18"/>
              </w:rPr>
              <w:t>Assessment not required</w:t>
            </w:r>
          </w:p>
        </w:tc>
        <w:tc>
          <w:tcPr>
            <w:tcW w:w="2211" w:type="dxa"/>
            <w:shd w:val="clear" w:color="auto" w:fill="auto"/>
          </w:tcPr>
          <w:p w14:paraId="2A2DF534" w14:textId="77777777" w:rsidR="003438A2" w:rsidRPr="000D4594" w:rsidRDefault="003438A2" w:rsidP="00881E29">
            <w:pPr>
              <w:spacing w:before="60" w:after="60" w:line="240" w:lineRule="auto"/>
              <w:rPr>
                <w:rFonts w:eastAsia="Calibri" w:cs="Times New Roman"/>
                <w:sz w:val="18"/>
                <w:szCs w:val="18"/>
              </w:rPr>
            </w:pPr>
            <w:r w:rsidRPr="000D4594">
              <w:rPr>
                <w:rFonts w:eastAsia="Calibri" w:cs="Times New Roman"/>
                <w:color w:val="000000"/>
                <w:sz w:val="18"/>
                <w:szCs w:val="18"/>
              </w:rPr>
              <w:t>Assessment not required</w:t>
            </w:r>
          </w:p>
        </w:tc>
        <w:tc>
          <w:tcPr>
            <w:tcW w:w="1191" w:type="dxa"/>
            <w:shd w:val="clear" w:color="auto" w:fill="auto"/>
          </w:tcPr>
          <w:p w14:paraId="40249971" w14:textId="77777777" w:rsidR="003438A2" w:rsidRPr="0065113C" w:rsidRDefault="003438A2" w:rsidP="00881E29">
            <w:pPr>
              <w:spacing w:before="60" w:after="60" w:line="240" w:lineRule="auto"/>
              <w:rPr>
                <w:rFonts w:eastAsia="Calibri" w:cs="Times New Roman"/>
                <w:sz w:val="18"/>
                <w:szCs w:val="18"/>
              </w:rPr>
            </w:pPr>
            <w:r w:rsidRPr="000D4594">
              <w:rPr>
                <w:rFonts w:eastAsia="Calibri" w:cs="Times New Roman"/>
                <w:color w:val="000000"/>
                <w:sz w:val="18"/>
                <w:szCs w:val="18"/>
              </w:rPr>
              <w:t>No</w:t>
            </w:r>
          </w:p>
        </w:tc>
      </w:tr>
      <w:tr w:rsidR="003438A2" w:rsidRPr="0065113C" w14:paraId="0A780448" w14:textId="77777777" w:rsidTr="00C4199F">
        <w:trPr>
          <w:cantSplit/>
          <w:trHeight w:val="75"/>
          <w:jc w:val="center"/>
        </w:trPr>
        <w:tc>
          <w:tcPr>
            <w:tcW w:w="2553" w:type="dxa"/>
            <w:shd w:val="clear" w:color="auto" w:fill="auto"/>
          </w:tcPr>
          <w:p w14:paraId="695EE5A1" w14:textId="77777777" w:rsidR="003438A2" w:rsidRPr="0065113C" w:rsidRDefault="003438A2" w:rsidP="00881E29">
            <w:pPr>
              <w:spacing w:before="60" w:after="60" w:line="240" w:lineRule="auto"/>
              <w:rPr>
                <w:rFonts w:eastAsia="Calibri" w:cs="Times New Roman"/>
                <w:sz w:val="18"/>
                <w:szCs w:val="18"/>
              </w:rPr>
            </w:pPr>
            <w:r w:rsidRPr="0065113C">
              <w:rPr>
                <w:rFonts w:eastAsia="Calibri" w:cs="Times New Roman"/>
                <w:i/>
                <w:sz w:val="18"/>
                <w:szCs w:val="18"/>
              </w:rPr>
              <w:lastRenderedPageBreak/>
              <w:t xml:space="preserve">Pseudococcus maritimus </w:t>
            </w:r>
            <w:r w:rsidRPr="0065113C">
              <w:rPr>
                <w:rFonts w:eastAsia="Calibri" w:cs="Times New Roman"/>
                <w:sz w:val="18"/>
                <w:szCs w:val="18"/>
              </w:rPr>
              <w:t>(Ehrhorn, 1900)</w:t>
            </w:r>
          </w:p>
          <w:p w14:paraId="789C2EFF" w14:textId="77777777" w:rsidR="003438A2" w:rsidRPr="0065113C" w:rsidRDefault="003438A2" w:rsidP="00881E29">
            <w:pPr>
              <w:spacing w:before="60" w:after="60" w:line="240" w:lineRule="auto"/>
              <w:rPr>
                <w:rFonts w:eastAsia="Calibri" w:cs="Times New Roman"/>
                <w:sz w:val="18"/>
                <w:szCs w:val="18"/>
              </w:rPr>
            </w:pPr>
            <w:r w:rsidRPr="0065113C">
              <w:rPr>
                <w:rFonts w:eastAsia="Calibri" w:cs="Times New Roman"/>
                <w:sz w:val="18"/>
                <w:szCs w:val="18"/>
              </w:rPr>
              <w:t>[Pseudococcidae]</w:t>
            </w:r>
          </w:p>
          <w:p w14:paraId="1AC3E0DA" w14:textId="77777777" w:rsidR="003438A2" w:rsidRPr="00581C93" w:rsidRDefault="003438A2" w:rsidP="00881E29">
            <w:pPr>
              <w:spacing w:before="60" w:after="60" w:line="240" w:lineRule="auto"/>
              <w:rPr>
                <w:rFonts w:eastAsia="Calibri" w:cs="Times New Roman"/>
                <w:sz w:val="18"/>
                <w:szCs w:val="18"/>
              </w:rPr>
            </w:pPr>
            <w:r>
              <w:rPr>
                <w:rFonts w:eastAsia="Calibri" w:cs="Times New Roman"/>
                <w:sz w:val="18"/>
                <w:szCs w:val="18"/>
              </w:rPr>
              <w:t>Grape mealybug</w:t>
            </w:r>
          </w:p>
        </w:tc>
        <w:tc>
          <w:tcPr>
            <w:tcW w:w="1474" w:type="dxa"/>
            <w:shd w:val="clear" w:color="auto" w:fill="auto"/>
          </w:tcPr>
          <w:p w14:paraId="6795DA8B" w14:textId="77777777" w:rsidR="003438A2" w:rsidRPr="0065113C" w:rsidRDefault="003438A2" w:rsidP="00881E29">
            <w:pPr>
              <w:spacing w:before="60" w:after="60" w:line="240" w:lineRule="auto"/>
              <w:rPr>
                <w:rFonts w:eastAsia="Calibri" w:cs="Times New Roman"/>
                <w:sz w:val="18"/>
                <w:szCs w:val="18"/>
                <w:lang w:val="pt-BR"/>
              </w:rPr>
            </w:pPr>
            <w:r w:rsidRPr="0065113C">
              <w:rPr>
                <w:rFonts w:eastAsia="Calibri" w:cs="Times New Roman"/>
                <w:sz w:val="18"/>
                <w:szCs w:val="18"/>
              </w:rPr>
              <w:t xml:space="preserve">Yes. </w:t>
            </w:r>
            <w:r>
              <w:rPr>
                <w:rFonts w:eastAsia="Calibri" w:cs="Times New Roman"/>
                <w:sz w:val="18"/>
                <w:szCs w:val="18"/>
              </w:rPr>
              <w:t>Present in</w:t>
            </w:r>
            <w:r w:rsidRPr="0065113C">
              <w:rPr>
                <w:rFonts w:eastAsia="Calibri" w:cs="Times New Roman"/>
                <w:sz w:val="18"/>
                <w:szCs w:val="18"/>
              </w:rPr>
              <w:t xml:space="preserve"> ID, OR</w:t>
            </w:r>
            <w:r>
              <w:rPr>
                <w:rFonts w:eastAsia="Calibri" w:cs="Times New Roman"/>
                <w:sz w:val="18"/>
                <w:szCs w:val="18"/>
              </w:rPr>
              <w:t xml:space="preserve"> and</w:t>
            </w:r>
            <w:r w:rsidRPr="0065113C">
              <w:rPr>
                <w:rFonts w:eastAsia="Calibri" w:cs="Times New Roman"/>
                <w:sz w:val="18"/>
                <w:szCs w:val="18"/>
              </w:rPr>
              <w:t xml:space="preserve"> WA </w:t>
            </w:r>
            <w:r>
              <w:rPr>
                <w:rFonts w:eastAsia="Calibri" w:cs="Times New Roman"/>
                <w:noProof/>
                <w:sz w:val="18"/>
                <w:szCs w:val="18"/>
              </w:rPr>
              <w:t>(APHIS 2007; García Morales et al. 2016)</w:t>
            </w:r>
          </w:p>
        </w:tc>
        <w:tc>
          <w:tcPr>
            <w:tcW w:w="1474" w:type="dxa"/>
            <w:shd w:val="clear" w:color="auto" w:fill="auto"/>
          </w:tcPr>
          <w:p w14:paraId="7AEDEE0B" w14:textId="77777777" w:rsidR="003438A2" w:rsidRPr="000A020E" w:rsidRDefault="003438A2" w:rsidP="00881E29">
            <w:pPr>
              <w:spacing w:before="60" w:after="60" w:line="240" w:lineRule="auto"/>
              <w:rPr>
                <w:rFonts w:eastAsia="Calibri" w:cs="Times New Roman"/>
                <w:sz w:val="18"/>
                <w:szCs w:val="18"/>
              </w:rPr>
            </w:pPr>
            <w:r w:rsidRPr="000A020E">
              <w:rPr>
                <w:rFonts w:eastAsia="Calibri" w:cs="Times New Roman"/>
                <w:snapToGrid w:val="0"/>
                <w:sz w:val="18"/>
                <w:szCs w:val="18"/>
              </w:rPr>
              <w:t xml:space="preserve">No </w:t>
            </w:r>
            <w:r w:rsidRPr="000A020E">
              <w:rPr>
                <w:rFonts w:eastAsia="Calibri" w:cs="Times New Roman"/>
                <w:sz w:val="18"/>
                <w:szCs w:val="18"/>
              </w:rPr>
              <w:t>records found.</w:t>
            </w:r>
          </w:p>
          <w:p w14:paraId="14D21D40" w14:textId="77777777" w:rsidR="003438A2" w:rsidRPr="000A020E" w:rsidRDefault="003438A2" w:rsidP="00881E29">
            <w:pPr>
              <w:autoSpaceDE w:val="0"/>
              <w:autoSpaceDN w:val="0"/>
              <w:adjustRightInd w:val="0"/>
              <w:spacing w:before="60" w:after="60" w:line="240" w:lineRule="auto"/>
              <w:rPr>
                <w:rFonts w:eastAsia="Calibri" w:cs="Times New Roman"/>
                <w:sz w:val="18"/>
                <w:szCs w:val="18"/>
              </w:rPr>
            </w:pPr>
            <w:r>
              <w:rPr>
                <w:rFonts w:eastAsia="Calibri" w:cs="Times New Roman"/>
                <w:noProof/>
                <w:sz w:val="18"/>
                <w:szCs w:val="18"/>
              </w:rPr>
              <w:t>(Williams 1985)</w:t>
            </w:r>
            <w:r w:rsidRPr="000A020E">
              <w:rPr>
                <w:rFonts w:eastAsia="Calibri" w:cs="Times New Roman"/>
                <w:sz w:val="18"/>
                <w:szCs w:val="18"/>
              </w:rPr>
              <w:t xml:space="preserve"> states that </w:t>
            </w:r>
            <w:r w:rsidRPr="000A020E">
              <w:rPr>
                <w:rFonts w:eastAsia="Calibri" w:cs="Times New Roman"/>
                <w:i/>
                <w:sz w:val="18"/>
                <w:szCs w:val="18"/>
              </w:rPr>
              <w:t xml:space="preserve">P. maritimus </w:t>
            </w:r>
            <w:r w:rsidRPr="000A020E">
              <w:rPr>
                <w:rFonts w:eastAsia="Calibri" w:cs="Times New Roman"/>
                <w:sz w:val="18"/>
                <w:szCs w:val="18"/>
              </w:rPr>
              <w:t xml:space="preserve">is not known to occur in Australia but is a misidentification for </w:t>
            </w:r>
            <w:r w:rsidRPr="000A020E">
              <w:rPr>
                <w:rFonts w:eastAsia="Calibri" w:cs="Times New Roman"/>
                <w:i/>
                <w:sz w:val="18"/>
                <w:szCs w:val="18"/>
              </w:rPr>
              <w:t>P. affinis</w:t>
            </w:r>
            <w:r w:rsidRPr="000A020E">
              <w:rPr>
                <w:rFonts w:eastAsia="Calibri" w:cs="Times New Roman"/>
                <w:sz w:val="18"/>
                <w:szCs w:val="18"/>
              </w:rPr>
              <w:t xml:space="preserve">, </w:t>
            </w:r>
            <w:r w:rsidRPr="000A020E">
              <w:rPr>
                <w:rFonts w:eastAsia="Calibri" w:cs="Times New Roman"/>
                <w:i/>
                <w:sz w:val="18"/>
                <w:szCs w:val="18"/>
              </w:rPr>
              <w:t>P. calceolariae</w:t>
            </w:r>
            <w:r w:rsidRPr="000A020E">
              <w:rPr>
                <w:rFonts w:eastAsia="Calibri" w:cs="Times New Roman"/>
                <w:sz w:val="18"/>
                <w:szCs w:val="18"/>
              </w:rPr>
              <w:t xml:space="preserve"> and </w:t>
            </w:r>
            <w:r w:rsidRPr="000A020E">
              <w:rPr>
                <w:rFonts w:eastAsia="Calibri" w:cs="Times New Roman"/>
                <w:i/>
                <w:sz w:val="18"/>
                <w:szCs w:val="18"/>
              </w:rPr>
              <w:t>P. longispinus</w:t>
            </w:r>
            <w:r>
              <w:rPr>
                <w:rFonts w:eastAsia="Calibri" w:cs="Times New Roman"/>
                <w:sz w:val="18"/>
                <w:szCs w:val="18"/>
              </w:rPr>
              <w:t>. However,</w:t>
            </w:r>
            <w:r w:rsidRPr="000A020E">
              <w:rPr>
                <w:rFonts w:eastAsia="Calibri" w:cs="Times New Roman"/>
                <w:sz w:val="18"/>
                <w:szCs w:val="18"/>
              </w:rPr>
              <w:t xml:space="preserve"> </w:t>
            </w:r>
            <w:r>
              <w:rPr>
                <w:rFonts w:eastAsia="Calibri" w:cs="Times New Roman"/>
                <w:noProof/>
                <w:sz w:val="18"/>
                <w:szCs w:val="18"/>
              </w:rPr>
              <w:t>(Williams &amp; Granara de Willink 1992)</w:t>
            </w:r>
            <w:r w:rsidRPr="000A020E">
              <w:rPr>
                <w:rFonts w:eastAsia="Calibri" w:cs="Times New Roman"/>
                <w:sz w:val="18"/>
                <w:szCs w:val="18"/>
              </w:rPr>
              <w:t xml:space="preserve"> state that </w:t>
            </w:r>
            <w:r w:rsidRPr="000A020E">
              <w:rPr>
                <w:rFonts w:eastAsia="Calibri" w:cs="Times New Roman"/>
                <w:i/>
                <w:sz w:val="18"/>
                <w:szCs w:val="18"/>
              </w:rPr>
              <w:t xml:space="preserve">P. maritimus </w:t>
            </w:r>
            <w:r w:rsidRPr="000A020E">
              <w:rPr>
                <w:rFonts w:eastAsia="Calibri" w:cs="Times New Roman"/>
                <w:sz w:val="18"/>
                <w:szCs w:val="18"/>
              </w:rPr>
              <w:t xml:space="preserve">is common in Australia and the USA. According to Gimpel </w:t>
            </w:r>
            <w:r>
              <w:rPr>
                <w:rFonts w:eastAsia="Calibri" w:cs="Times New Roman"/>
                <w:noProof/>
                <w:sz w:val="18"/>
                <w:szCs w:val="18"/>
              </w:rPr>
              <w:t>(1996)</w:t>
            </w:r>
            <w:r>
              <w:rPr>
                <w:rFonts w:eastAsia="Calibri" w:cs="Times New Roman"/>
                <w:sz w:val="18"/>
                <w:szCs w:val="18"/>
              </w:rPr>
              <w:t>,</w:t>
            </w:r>
            <w:r w:rsidRPr="000A020E">
              <w:rPr>
                <w:rFonts w:eastAsia="Calibri" w:cs="Times New Roman"/>
                <w:sz w:val="18"/>
                <w:szCs w:val="18"/>
              </w:rPr>
              <w:t xml:space="preserve"> there are no correct records of </w:t>
            </w:r>
            <w:r w:rsidRPr="000A020E">
              <w:rPr>
                <w:rFonts w:eastAsia="Calibri" w:cs="Times New Roman"/>
                <w:i/>
                <w:sz w:val="18"/>
                <w:szCs w:val="18"/>
              </w:rPr>
              <w:t>P. maritimus</w:t>
            </w:r>
            <w:r w:rsidRPr="000A020E">
              <w:rPr>
                <w:rFonts w:eastAsia="Calibri" w:cs="Times New Roman"/>
                <w:sz w:val="18"/>
                <w:szCs w:val="18"/>
              </w:rPr>
              <w:t xml:space="preserve"> outside the New World. Listed as a Declared Pest, Prohibited (section 12) (C1 Prohibited) for WA </w:t>
            </w:r>
            <w:r>
              <w:rPr>
                <w:rFonts w:eastAsia="Calibri" w:cs="Times New Roman"/>
                <w:noProof/>
                <w:sz w:val="18"/>
                <w:szCs w:val="18"/>
              </w:rPr>
              <w:t>(Government of Western Australia 2017)</w:t>
            </w:r>
            <w:r>
              <w:rPr>
                <w:rFonts w:eastAsia="Calibri" w:cs="Times New Roman"/>
                <w:sz w:val="18"/>
                <w:szCs w:val="18"/>
              </w:rPr>
              <w:t>.</w:t>
            </w:r>
          </w:p>
        </w:tc>
        <w:tc>
          <w:tcPr>
            <w:tcW w:w="2552" w:type="dxa"/>
            <w:shd w:val="clear" w:color="auto" w:fill="auto"/>
          </w:tcPr>
          <w:p w14:paraId="5BB8E076" w14:textId="77777777" w:rsidR="003438A2" w:rsidRPr="0065113C" w:rsidRDefault="003438A2" w:rsidP="00881E29">
            <w:pPr>
              <w:spacing w:before="60" w:after="60" w:line="240" w:lineRule="auto"/>
              <w:rPr>
                <w:rFonts w:eastAsia="Calibri" w:cs="Times New Roman"/>
                <w:sz w:val="18"/>
                <w:szCs w:val="18"/>
              </w:rPr>
            </w:pPr>
            <w:r w:rsidRPr="0065113C">
              <w:rPr>
                <w:rFonts w:eastAsia="Calibri" w:cs="Times New Roman"/>
                <w:sz w:val="18"/>
                <w:szCs w:val="18"/>
              </w:rPr>
              <w:t xml:space="preserve">Yes. Feeding occurs primarily on the leaves, but adult females migrate to the trunk for oviposition </w:t>
            </w:r>
            <w:r>
              <w:rPr>
                <w:rFonts w:eastAsia="Calibri" w:cs="Times New Roman"/>
                <w:noProof/>
                <w:sz w:val="18"/>
                <w:szCs w:val="18"/>
              </w:rPr>
              <w:t>(García Morales et al. 2016)</w:t>
            </w:r>
            <w:r w:rsidRPr="0065113C">
              <w:rPr>
                <w:rFonts w:eastAsia="Calibri" w:cs="Times New Roman"/>
                <w:sz w:val="18"/>
                <w:szCs w:val="18"/>
              </w:rPr>
              <w:t xml:space="preserve">. Recognised as a sporadic pest of minor importance, the second generation of this pest may be associated with fruit </w:t>
            </w:r>
            <w:r>
              <w:rPr>
                <w:rFonts w:eastAsia="Calibri" w:cs="Times New Roman"/>
                <w:noProof/>
                <w:sz w:val="18"/>
                <w:szCs w:val="18"/>
              </w:rPr>
              <w:t>(Burts &amp; Dunley 1993)</w:t>
            </w:r>
            <w:r w:rsidRPr="0065113C">
              <w:rPr>
                <w:rFonts w:eastAsia="Calibri" w:cs="Times New Roman"/>
                <w:sz w:val="18"/>
                <w:szCs w:val="18"/>
              </w:rPr>
              <w:t xml:space="preserve">. Eggs are usually laid in crevices in the bark but some may be laid in the calyx end of apple fruit </w:t>
            </w:r>
            <w:r>
              <w:rPr>
                <w:rFonts w:eastAsia="Calibri" w:cs="Times New Roman"/>
                <w:noProof/>
                <w:sz w:val="18"/>
                <w:szCs w:val="18"/>
              </w:rPr>
              <w:t>(Ohlendorf 1991)</w:t>
            </w:r>
            <w:r>
              <w:rPr>
                <w:rFonts w:eastAsia="Calibri" w:cs="Times New Roman"/>
                <w:sz w:val="18"/>
                <w:szCs w:val="18"/>
              </w:rPr>
              <w:t>.</w:t>
            </w:r>
          </w:p>
        </w:tc>
        <w:tc>
          <w:tcPr>
            <w:tcW w:w="2381" w:type="dxa"/>
            <w:shd w:val="clear" w:color="auto" w:fill="auto"/>
          </w:tcPr>
          <w:p w14:paraId="5E880241" w14:textId="77777777" w:rsidR="003438A2" w:rsidRPr="0065113C" w:rsidRDefault="003438A2" w:rsidP="00881E29">
            <w:pPr>
              <w:spacing w:before="60" w:after="60" w:line="240" w:lineRule="auto"/>
              <w:rPr>
                <w:rFonts w:eastAsia="Calibri" w:cs="Times New Roman"/>
                <w:sz w:val="18"/>
                <w:szCs w:val="18"/>
              </w:rPr>
            </w:pPr>
            <w:r w:rsidRPr="0065113C">
              <w:rPr>
                <w:rFonts w:eastAsia="Calibri" w:cs="Times New Roman"/>
                <w:sz w:val="18"/>
                <w:szCs w:val="18"/>
              </w:rPr>
              <w:t xml:space="preserve">Yes. Wide host range on many cultivated and ornamental plants from 44 families </w:t>
            </w:r>
            <w:r>
              <w:rPr>
                <w:rFonts w:eastAsia="Calibri" w:cs="Times New Roman"/>
                <w:noProof/>
                <w:sz w:val="18"/>
                <w:szCs w:val="18"/>
              </w:rPr>
              <w:t>(García Morales et al. 2016)</w:t>
            </w:r>
            <w:r>
              <w:rPr>
                <w:rFonts w:eastAsia="Calibri" w:cs="Times New Roman"/>
                <w:sz w:val="18"/>
                <w:szCs w:val="18"/>
              </w:rPr>
              <w:t>,</w:t>
            </w:r>
            <w:r w:rsidRPr="0065113C">
              <w:rPr>
                <w:rFonts w:eastAsia="Calibri" w:cs="Times New Roman"/>
                <w:sz w:val="18"/>
                <w:szCs w:val="18"/>
              </w:rPr>
              <w:t xml:space="preserve"> most of which occur throughout Australia</w:t>
            </w:r>
            <w:r>
              <w:rPr>
                <w:rFonts w:eastAsia="Calibri" w:cs="Times New Roman"/>
                <w:sz w:val="18"/>
                <w:szCs w:val="18"/>
              </w:rPr>
              <w:t>. P</w:t>
            </w:r>
            <w:r w:rsidRPr="0065113C">
              <w:rPr>
                <w:rFonts w:eastAsia="Calibri" w:cs="Times New Roman"/>
                <w:sz w:val="18"/>
                <w:szCs w:val="18"/>
              </w:rPr>
              <w:t>resent in Idaho</w:t>
            </w:r>
            <w:r>
              <w:rPr>
                <w:rFonts w:eastAsia="Calibri" w:cs="Times New Roman"/>
                <w:sz w:val="18"/>
                <w:szCs w:val="18"/>
              </w:rPr>
              <w:t>,</w:t>
            </w:r>
            <w:r w:rsidRPr="0065113C">
              <w:rPr>
                <w:rFonts w:eastAsia="Calibri" w:cs="Times New Roman"/>
                <w:sz w:val="18"/>
                <w:szCs w:val="18"/>
              </w:rPr>
              <w:t xml:space="preserve"> Oregon and</w:t>
            </w:r>
            <w:r>
              <w:rPr>
                <w:rFonts w:eastAsia="Calibri" w:cs="Times New Roman"/>
                <w:sz w:val="18"/>
                <w:szCs w:val="18"/>
              </w:rPr>
              <w:t xml:space="preserve"> </w:t>
            </w:r>
            <w:r w:rsidRPr="0065113C">
              <w:rPr>
                <w:rFonts w:eastAsia="Calibri" w:cs="Times New Roman"/>
                <w:sz w:val="18"/>
                <w:szCs w:val="18"/>
              </w:rPr>
              <w:t xml:space="preserve">Washington </w:t>
            </w:r>
            <w:r>
              <w:rPr>
                <w:rFonts w:eastAsia="Calibri" w:cs="Times New Roman"/>
                <w:noProof/>
                <w:sz w:val="18"/>
                <w:szCs w:val="18"/>
              </w:rPr>
              <w:t>(APHIS 2007; García Morales et al. 2016)</w:t>
            </w:r>
            <w:r w:rsidRPr="0065113C">
              <w:rPr>
                <w:rFonts w:eastAsia="Calibri" w:cs="Times New Roman"/>
                <w:sz w:val="18"/>
                <w:szCs w:val="18"/>
              </w:rPr>
              <w:t xml:space="preserve">, where climatic conditions </w:t>
            </w:r>
            <w:r>
              <w:rPr>
                <w:rFonts w:eastAsia="Calibri" w:cs="Times New Roman"/>
                <w:sz w:val="18"/>
                <w:szCs w:val="18"/>
              </w:rPr>
              <w:t xml:space="preserve">are </w:t>
            </w:r>
            <w:r w:rsidRPr="0065113C">
              <w:rPr>
                <w:rFonts w:eastAsia="Calibri" w:cs="Times New Roman"/>
                <w:sz w:val="18"/>
                <w:szCs w:val="18"/>
              </w:rPr>
              <w:t xml:space="preserve">similar to those in </w:t>
            </w:r>
            <w:r>
              <w:rPr>
                <w:rFonts w:eastAsia="Calibri" w:cs="Times New Roman"/>
                <w:sz w:val="18"/>
                <w:szCs w:val="18"/>
              </w:rPr>
              <w:t xml:space="preserve">parts of </w:t>
            </w:r>
            <w:r w:rsidRPr="0065113C">
              <w:rPr>
                <w:rFonts w:eastAsia="Calibri" w:cs="Times New Roman"/>
                <w:sz w:val="18"/>
                <w:szCs w:val="18"/>
              </w:rPr>
              <w:t>Australia. It is likely that this species could establish in Australia</w:t>
            </w:r>
            <w:r>
              <w:rPr>
                <w:rFonts w:eastAsia="Calibri" w:cs="Times New Roman"/>
                <w:sz w:val="18"/>
                <w:szCs w:val="18"/>
              </w:rPr>
              <w:t>.</w:t>
            </w:r>
          </w:p>
        </w:tc>
        <w:tc>
          <w:tcPr>
            <w:tcW w:w="2211" w:type="dxa"/>
            <w:shd w:val="clear" w:color="auto" w:fill="auto"/>
          </w:tcPr>
          <w:p w14:paraId="22CB6D54" w14:textId="77777777" w:rsidR="003438A2" w:rsidRPr="0065113C" w:rsidRDefault="003438A2" w:rsidP="00881E29">
            <w:pPr>
              <w:spacing w:before="60" w:after="60" w:line="240" w:lineRule="auto"/>
              <w:rPr>
                <w:rFonts w:eastAsia="Calibri" w:cs="Times New Roman"/>
                <w:sz w:val="18"/>
                <w:szCs w:val="18"/>
              </w:rPr>
            </w:pPr>
            <w:r w:rsidRPr="0065113C">
              <w:rPr>
                <w:rFonts w:eastAsia="Calibri" w:cs="Times New Roman"/>
                <w:sz w:val="18"/>
                <w:szCs w:val="18"/>
              </w:rPr>
              <w:t>Yes. Mealybugs feed on sap and produce honeydew. Feeding directly damages plants and sooty mould growth on honeydew reduces the marketability of fruit</w:t>
            </w:r>
            <w:r>
              <w:rPr>
                <w:rFonts w:eastAsia="Calibri" w:cs="Times New Roman"/>
                <w:sz w:val="18"/>
                <w:szCs w:val="18"/>
              </w:rPr>
              <w:t>.</w:t>
            </w:r>
          </w:p>
        </w:tc>
        <w:tc>
          <w:tcPr>
            <w:tcW w:w="1191" w:type="dxa"/>
            <w:shd w:val="clear" w:color="auto" w:fill="auto"/>
          </w:tcPr>
          <w:p w14:paraId="712DF0B3" w14:textId="77777777" w:rsidR="003438A2" w:rsidRPr="0065113C" w:rsidRDefault="003438A2" w:rsidP="00881E29">
            <w:pPr>
              <w:spacing w:before="60" w:after="60" w:line="240" w:lineRule="auto"/>
              <w:rPr>
                <w:rFonts w:eastAsia="Calibri" w:cs="Times New Roman"/>
                <w:sz w:val="18"/>
                <w:szCs w:val="18"/>
              </w:rPr>
            </w:pPr>
            <w:r w:rsidRPr="0065113C">
              <w:rPr>
                <w:rFonts w:eastAsia="Calibri" w:cs="Times New Roman"/>
                <w:sz w:val="18"/>
                <w:szCs w:val="18"/>
              </w:rPr>
              <w:t>Yes</w:t>
            </w:r>
            <w:r>
              <w:rPr>
                <w:rFonts w:eastAsia="Calibri" w:cs="Times New Roman"/>
                <w:sz w:val="18"/>
                <w:szCs w:val="18"/>
              </w:rPr>
              <w:t>. Mealybug</w:t>
            </w:r>
            <w:r w:rsidRPr="00F93DDB">
              <w:rPr>
                <w:sz w:val="18"/>
                <w:szCs w:val="18"/>
              </w:rPr>
              <w:t xml:space="preserve"> group PRA applied</w:t>
            </w:r>
            <w:r>
              <w:rPr>
                <w:rFonts w:eastAsia="Calibri" w:cs="Times New Roman"/>
                <w:sz w:val="18"/>
                <w:szCs w:val="18"/>
              </w:rPr>
              <w:t xml:space="preserve"> </w:t>
            </w:r>
            <w:r>
              <w:rPr>
                <w:rFonts w:eastAsia="Calibri" w:cs="Times New Roman"/>
                <w:noProof/>
                <w:sz w:val="18"/>
                <w:szCs w:val="18"/>
              </w:rPr>
              <w:t>(DAWR 2019)</w:t>
            </w:r>
          </w:p>
        </w:tc>
      </w:tr>
      <w:tr w:rsidR="003438A2" w:rsidRPr="00814426" w14:paraId="40534F8A" w14:textId="77777777" w:rsidTr="00C4199F">
        <w:trPr>
          <w:cantSplit/>
          <w:trHeight w:val="75"/>
          <w:jc w:val="center"/>
        </w:trPr>
        <w:tc>
          <w:tcPr>
            <w:tcW w:w="13836" w:type="dxa"/>
            <w:gridSpan w:val="7"/>
            <w:shd w:val="clear" w:color="auto" w:fill="auto"/>
          </w:tcPr>
          <w:p w14:paraId="3948FE5F" w14:textId="77777777" w:rsidR="003438A2" w:rsidRPr="00814426" w:rsidRDefault="003438A2" w:rsidP="00881E29">
            <w:pPr>
              <w:keepNext/>
              <w:spacing w:before="60" w:after="60" w:line="240" w:lineRule="auto"/>
              <w:rPr>
                <w:rFonts w:eastAsia="Calibri" w:cs="Times New Roman"/>
                <w:b/>
                <w:sz w:val="18"/>
                <w:szCs w:val="18"/>
              </w:rPr>
            </w:pPr>
            <w:r w:rsidRPr="00814426">
              <w:rPr>
                <w:rFonts w:eastAsia="Calibri" w:cs="Times New Roman"/>
                <w:b/>
                <w:iCs/>
                <w:sz w:val="18"/>
                <w:szCs w:val="18"/>
              </w:rPr>
              <w:lastRenderedPageBreak/>
              <w:t>Hymenoptera</w:t>
            </w:r>
          </w:p>
        </w:tc>
      </w:tr>
      <w:tr w:rsidR="003438A2" w:rsidRPr="0065113C" w14:paraId="5BA125C6" w14:textId="77777777" w:rsidTr="00C4199F">
        <w:trPr>
          <w:cantSplit/>
          <w:trHeight w:val="75"/>
          <w:jc w:val="center"/>
        </w:trPr>
        <w:tc>
          <w:tcPr>
            <w:tcW w:w="2553" w:type="dxa"/>
            <w:shd w:val="clear" w:color="auto" w:fill="auto"/>
          </w:tcPr>
          <w:p w14:paraId="571F307B" w14:textId="77777777" w:rsidR="003438A2" w:rsidRPr="009452E9" w:rsidRDefault="003438A2" w:rsidP="00881E29">
            <w:pPr>
              <w:spacing w:before="60" w:after="60" w:line="240" w:lineRule="auto"/>
              <w:rPr>
                <w:rFonts w:eastAsia="Calibri" w:cs="Times New Roman"/>
                <w:sz w:val="18"/>
                <w:szCs w:val="18"/>
              </w:rPr>
            </w:pPr>
            <w:r w:rsidRPr="009452E9">
              <w:rPr>
                <w:rFonts w:eastAsia="Calibri" w:cs="Times New Roman"/>
                <w:i/>
                <w:sz w:val="18"/>
                <w:szCs w:val="18"/>
              </w:rPr>
              <w:t xml:space="preserve">Ametastegia glabrata </w:t>
            </w:r>
            <w:r w:rsidRPr="009452E9">
              <w:rPr>
                <w:rFonts w:eastAsia="Calibri" w:cs="Times New Roman"/>
                <w:sz w:val="18"/>
                <w:szCs w:val="18"/>
              </w:rPr>
              <w:t>(Fallén, 1808)</w:t>
            </w:r>
          </w:p>
          <w:p w14:paraId="6293C63C" w14:textId="77777777" w:rsidR="003438A2" w:rsidRPr="009452E9" w:rsidRDefault="003438A2" w:rsidP="00881E29">
            <w:pPr>
              <w:spacing w:before="60" w:after="60" w:line="240" w:lineRule="auto"/>
              <w:rPr>
                <w:rFonts w:eastAsia="Calibri" w:cs="Times New Roman"/>
                <w:sz w:val="18"/>
                <w:szCs w:val="18"/>
              </w:rPr>
            </w:pPr>
            <w:r w:rsidRPr="009452E9">
              <w:rPr>
                <w:rFonts w:eastAsia="Calibri" w:cs="Times New Roman"/>
                <w:sz w:val="18"/>
                <w:szCs w:val="18"/>
              </w:rPr>
              <w:t>[Tenthredinidae]</w:t>
            </w:r>
          </w:p>
          <w:p w14:paraId="5A28C6AF" w14:textId="77777777" w:rsidR="003438A2" w:rsidRPr="009452E9" w:rsidRDefault="003438A2" w:rsidP="00881E29">
            <w:pPr>
              <w:spacing w:before="60" w:after="60" w:line="240" w:lineRule="auto"/>
              <w:rPr>
                <w:rFonts w:eastAsia="Calibri" w:cs="Times New Roman"/>
                <w:i/>
                <w:sz w:val="18"/>
                <w:szCs w:val="18"/>
                <w:lang w:val="pt-BR"/>
              </w:rPr>
            </w:pPr>
            <w:r w:rsidRPr="009452E9">
              <w:rPr>
                <w:rFonts w:eastAsia="Calibri" w:cs="Times New Roman"/>
                <w:sz w:val="18"/>
                <w:szCs w:val="18"/>
              </w:rPr>
              <w:t>Dock sawfly</w:t>
            </w:r>
          </w:p>
        </w:tc>
        <w:tc>
          <w:tcPr>
            <w:tcW w:w="1474" w:type="dxa"/>
            <w:shd w:val="clear" w:color="auto" w:fill="auto"/>
          </w:tcPr>
          <w:p w14:paraId="695B0E13" w14:textId="77777777" w:rsidR="003438A2" w:rsidRPr="009452E9" w:rsidRDefault="003438A2" w:rsidP="00881E29">
            <w:pPr>
              <w:spacing w:before="60" w:after="60" w:line="240" w:lineRule="auto"/>
              <w:rPr>
                <w:rFonts w:eastAsia="Calibri" w:cs="Times New Roman"/>
                <w:sz w:val="18"/>
                <w:szCs w:val="18"/>
                <w:lang w:val="pt-BR"/>
              </w:rPr>
            </w:pPr>
            <w:r w:rsidRPr="009452E9">
              <w:rPr>
                <w:rFonts w:eastAsia="Calibri" w:cs="Times New Roman"/>
                <w:sz w:val="18"/>
                <w:szCs w:val="18"/>
              </w:rPr>
              <w:t xml:space="preserve">Yes. </w:t>
            </w:r>
            <w:r>
              <w:rPr>
                <w:rFonts w:eastAsia="Calibri" w:cs="Times New Roman"/>
                <w:sz w:val="18"/>
                <w:szCs w:val="18"/>
              </w:rPr>
              <w:t>Present in</w:t>
            </w:r>
            <w:r w:rsidRPr="009452E9">
              <w:rPr>
                <w:rFonts w:eastAsia="Calibri" w:cs="Times New Roman"/>
                <w:sz w:val="18"/>
                <w:szCs w:val="18"/>
              </w:rPr>
              <w:t xml:space="preserve"> OR</w:t>
            </w:r>
            <w:r>
              <w:rPr>
                <w:rFonts w:eastAsia="Calibri" w:cs="Times New Roman"/>
                <w:sz w:val="18"/>
                <w:szCs w:val="18"/>
              </w:rPr>
              <w:t xml:space="preserve"> and</w:t>
            </w:r>
            <w:r w:rsidRPr="009452E9">
              <w:rPr>
                <w:rFonts w:eastAsia="Calibri" w:cs="Times New Roman"/>
                <w:sz w:val="18"/>
                <w:szCs w:val="18"/>
              </w:rPr>
              <w:t xml:space="preserve"> WA </w:t>
            </w:r>
            <w:r>
              <w:rPr>
                <w:rFonts w:eastAsia="Calibri" w:cs="Times New Roman"/>
                <w:noProof/>
                <w:sz w:val="18"/>
                <w:szCs w:val="18"/>
              </w:rPr>
              <w:t>(APHIS 2007)</w:t>
            </w:r>
          </w:p>
        </w:tc>
        <w:tc>
          <w:tcPr>
            <w:tcW w:w="1474" w:type="dxa"/>
            <w:shd w:val="clear" w:color="auto" w:fill="auto"/>
          </w:tcPr>
          <w:p w14:paraId="6537DB52" w14:textId="77777777" w:rsidR="003438A2" w:rsidRPr="009452E9" w:rsidRDefault="003438A2" w:rsidP="00881E29">
            <w:pPr>
              <w:spacing w:before="60" w:after="60" w:line="240" w:lineRule="auto"/>
              <w:rPr>
                <w:rFonts w:eastAsia="Calibri" w:cs="Times New Roman"/>
                <w:sz w:val="18"/>
                <w:szCs w:val="18"/>
              </w:rPr>
            </w:pPr>
            <w:r w:rsidRPr="009452E9">
              <w:rPr>
                <w:rFonts w:eastAsia="Calibri" w:cs="Times New Roman"/>
                <w:sz w:val="18"/>
                <w:szCs w:val="18"/>
              </w:rPr>
              <w:t xml:space="preserve">Yes. Vic. </w:t>
            </w:r>
            <w:r>
              <w:rPr>
                <w:rFonts w:eastAsia="Calibri" w:cs="Times New Roman"/>
                <w:noProof/>
                <w:sz w:val="18"/>
                <w:szCs w:val="18"/>
              </w:rPr>
              <w:t>(Malipatil, Naumann &amp; Williams 1995)</w:t>
            </w:r>
            <w:r w:rsidRPr="009452E9">
              <w:rPr>
                <w:rFonts w:eastAsia="Calibri" w:cs="Times New Roman"/>
                <w:sz w:val="18"/>
                <w:szCs w:val="18"/>
              </w:rPr>
              <w:t xml:space="preserve"> – recent introduction probably widespread in Victoria. Listed as a Declared Pest, Prohibited (section 12) (C1 Prohibited) for WA </w:t>
            </w:r>
            <w:r>
              <w:rPr>
                <w:rFonts w:eastAsia="Calibri" w:cs="Times New Roman"/>
                <w:noProof/>
                <w:sz w:val="18"/>
                <w:szCs w:val="18"/>
              </w:rPr>
              <w:t>(Government of Western Australia 2017)</w:t>
            </w:r>
          </w:p>
        </w:tc>
        <w:tc>
          <w:tcPr>
            <w:tcW w:w="2552" w:type="dxa"/>
            <w:shd w:val="clear" w:color="auto" w:fill="auto"/>
          </w:tcPr>
          <w:p w14:paraId="2AE5D2A0" w14:textId="77777777" w:rsidR="003438A2" w:rsidRPr="009452E9" w:rsidRDefault="003438A2" w:rsidP="00881E29">
            <w:pPr>
              <w:spacing w:before="60" w:after="60" w:line="240" w:lineRule="auto"/>
              <w:rPr>
                <w:rFonts w:eastAsia="Calibri" w:cs="Times New Roman"/>
                <w:sz w:val="18"/>
                <w:szCs w:val="18"/>
              </w:rPr>
            </w:pPr>
            <w:r w:rsidRPr="009452E9">
              <w:rPr>
                <w:rFonts w:eastAsia="Calibri" w:cs="Times New Roman"/>
                <w:sz w:val="18"/>
                <w:szCs w:val="18"/>
              </w:rPr>
              <w:t xml:space="preserve">No. After feeding, larvae seek out hollow stems, soft wood or fruit, including fruit of apple to form pupal cells </w:t>
            </w:r>
            <w:r>
              <w:rPr>
                <w:rFonts w:eastAsia="Calibri" w:cs="Times New Roman"/>
                <w:noProof/>
                <w:sz w:val="18"/>
                <w:szCs w:val="18"/>
              </w:rPr>
              <w:t>(Malipatil, Naumann &amp; Williams 1995)</w:t>
            </w:r>
            <w:r w:rsidRPr="009452E9">
              <w:rPr>
                <w:rFonts w:eastAsia="Calibri" w:cs="Times New Roman"/>
                <w:sz w:val="18"/>
                <w:szCs w:val="18"/>
              </w:rPr>
              <w:t xml:space="preserve">. However, according to APHIS </w:t>
            </w:r>
            <w:r>
              <w:rPr>
                <w:rFonts w:eastAsia="Calibri" w:cs="Times New Roman"/>
                <w:noProof/>
                <w:sz w:val="18"/>
                <w:szCs w:val="18"/>
              </w:rPr>
              <w:t>(2007)</w:t>
            </w:r>
            <w:r w:rsidRPr="009452E9">
              <w:rPr>
                <w:rFonts w:eastAsia="Calibri" w:cs="Times New Roman"/>
                <w:sz w:val="18"/>
                <w:szCs w:val="18"/>
              </w:rPr>
              <w:t xml:space="preserve">, commercial fruit </w:t>
            </w:r>
            <w:r>
              <w:rPr>
                <w:rFonts w:eastAsia="Calibri" w:cs="Times New Roman"/>
                <w:sz w:val="18"/>
                <w:szCs w:val="18"/>
              </w:rPr>
              <w:t>are</w:t>
            </w:r>
            <w:r w:rsidRPr="009452E9">
              <w:rPr>
                <w:rFonts w:eastAsia="Calibri" w:cs="Times New Roman"/>
                <w:sz w:val="18"/>
                <w:szCs w:val="18"/>
              </w:rPr>
              <w:t xml:space="preserve"> unlikely to be a</w:t>
            </w:r>
            <w:r>
              <w:rPr>
                <w:rFonts w:eastAsia="Calibri" w:cs="Times New Roman"/>
                <w:sz w:val="18"/>
                <w:szCs w:val="18"/>
              </w:rPr>
              <w:t xml:space="preserve"> </w:t>
            </w:r>
            <w:r w:rsidRPr="009452E9">
              <w:rPr>
                <w:rFonts w:eastAsia="Calibri" w:cs="Times New Roman"/>
                <w:sz w:val="18"/>
                <w:szCs w:val="18"/>
              </w:rPr>
              <w:t>pathway as the pest will not remain in apples due to the commercial production an</w:t>
            </w:r>
            <w:r>
              <w:rPr>
                <w:rFonts w:eastAsia="Calibri" w:cs="Times New Roman"/>
                <w:sz w:val="18"/>
                <w:szCs w:val="18"/>
              </w:rPr>
              <w:t>d processing practices in place.</w:t>
            </w:r>
          </w:p>
        </w:tc>
        <w:tc>
          <w:tcPr>
            <w:tcW w:w="2381" w:type="dxa"/>
            <w:shd w:val="clear" w:color="auto" w:fill="auto"/>
          </w:tcPr>
          <w:p w14:paraId="4DCE04F0" w14:textId="77777777" w:rsidR="003438A2" w:rsidRPr="009452E9" w:rsidRDefault="003438A2" w:rsidP="00881E29">
            <w:pPr>
              <w:spacing w:before="60" w:after="60" w:line="240" w:lineRule="auto"/>
              <w:rPr>
                <w:rFonts w:eastAsia="Calibri" w:cs="Times New Roman"/>
                <w:sz w:val="18"/>
                <w:szCs w:val="18"/>
              </w:rPr>
            </w:pPr>
            <w:r w:rsidRPr="009452E9">
              <w:rPr>
                <w:rFonts w:eastAsia="Calibri" w:cs="Times New Roman"/>
                <w:sz w:val="18"/>
                <w:szCs w:val="18"/>
              </w:rPr>
              <w:t>Assessment not required</w:t>
            </w:r>
          </w:p>
        </w:tc>
        <w:tc>
          <w:tcPr>
            <w:tcW w:w="2211" w:type="dxa"/>
            <w:shd w:val="clear" w:color="auto" w:fill="auto"/>
          </w:tcPr>
          <w:p w14:paraId="73A04998" w14:textId="77777777" w:rsidR="003438A2" w:rsidRPr="009452E9" w:rsidRDefault="003438A2" w:rsidP="00881E29">
            <w:pPr>
              <w:spacing w:before="60" w:after="60" w:line="240" w:lineRule="auto"/>
              <w:rPr>
                <w:rFonts w:eastAsia="Calibri" w:cs="Times New Roman"/>
                <w:sz w:val="18"/>
                <w:szCs w:val="18"/>
              </w:rPr>
            </w:pPr>
            <w:r w:rsidRPr="009452E9">
              <w:rPr>
                <w:rFonts w:eastAsia="Calibri" w:cs="Times New Roman"/>
                <w:sz w:val="18"/>
                <w:szCs w:val="18"/>
              </w:rPr>
              <w:t>Assessment not required</w:t>
            </w:r>
          </w:p>
        </w:tc>
        <w:tc>
          <w:tcPr>
            <w:tcW w:w="1191" w:type="dxa"/>
            <w:shd w:val="clear" w:color="auto" w:fill="auto"/>
          </w:tcPr>
          <w:p w14:paraId="67344753" w14:textId="77777777" w:rsidR="003438A2" w:rsidRPr="0065113C" w:rsidRDefault="003438A2" w:rsidP="00881E29">
            <w:pPr>
              <w:spacing w:before="60" w:after="60" w:line="240" w:lineRule="auto"/>
              <w:rPr>
                <w:rFonts w:eastAsia="Calibri" w:cs="Times New Roman"/>
                <w:sz w:val="18"/>
                <w:szCs w:val="18"/>
              </w:rPr>
            </w:pPr>
            <w:r w:rsidRPr="009452E9">
              <w:rPr>
                <w:rFonts w:eastAsia="Calibri" w:cs="Times New Roman"/>
                <w:sz w:val="18"/>
                <w:szCs w:val="18"/>
              </w:rPr>
              <w:t>No</w:t>
            </w:r>
          </w:p>
        </w:tc>
      </w:tr>
      <w:tr w:rsidR="003438A2" w:rsidRPr="00243E34" w14:paraId="3F14096D" w14:textId="77777777" w:rsidTr="00C4199F">
        <w:trPr>
          <w:cantSplit/>
          <w:trHeight w:val="75"/>
          <w:jc w:val="center"/>
        </w:trPr>
        <w:tc>
          <w:tcPr>
            <w:tcW w:w="2553" w:type="dxa"/>
            <w:shd w:val="clear" w:color="auto" w:fill="auto"/>
          </w:tcPr>
          <w:p w14:paraId="503308FA" w14:textId="77777777" w:rsidR="003438A2" w:rsidRPr="0065113C" w:rsidRDefault="003438A2" w:rsidP="00881E29">
            <w:pPr>
              <w:spacing w:before="60" w:after="60" w:line="240" w:lineRule="auto"/>
              <w:rPr>
                <w:rFonts w:eastAsia="Calibri" w:cs="Times New Roman"/>
                <w:sz w:val="18"/>
                <w:szCs w:val="18"/>
              </w:rPr>
            </w:pPr>
            <w:r w:rsidRPr="0065113C">
              <w:rPr>
                <w:rFonts w:eastAsia="Calibri" w:cs="Times New Roman"/>
                <w:i/>
                <w:sz w:val="18"/>
                <w:szCs w:val="18"/>
              </w:rPr>
              <w:t>Caliroa cerasi</w:t>
            </w:r>
            <w:r w:rsidRPr="0065113C">
              <w:rPr>
                <w:rFonts w:eastAsia="Calibri" w:cs="Times New Roman"/>
                <w:sz w:val="18"/>
                <w:szCs w:val="18"/>
              </w:rPr>
              <w:t xml:space="preserve"> (Linnaeus, 1758)</w:t>
            </w:r>
          </w:p>
          <w:p w14:paraId="50EC35D0" w14:textId="77777777" w:rsidR="003438A2" w:rsidRPr="0065113C" w:rsidRDefault="003438A2" w:rsidP="00881E29">
            <w:pPr>
              <w:spacing w:before="60" w:after="60" w:line="240" w:lineRule="auto"/>
              <w:rPr>
                <w:rFonts w:eastAsia="Calibri" w:cs="Times New Roman"/>
                <w:sz w:val="18"/>
                <w:szCs w:val="18"/>
              </w:rPr>
            </w:pPr>
            <w:r w:rsidRPr="0065113C">
              <w:rPr>
                <w:rFonts w:eastAsia="Calibri" w:cs="Times New Roman"/>
                <w:sz w:val="18"/>
                <w:szCs w:val="18"/>
              </w:rPr>
              <w:t>[Tenthredinidae]</w:t>
            </w:r>
          </w:p>
          <w:p w14:paraId="10D941FC" w14:textId="77777777" w:rsidR="003438A2" w:rsidRPr="0065113C" w:rsidRDefault="003438A2" w:rsidP="00881E29">
            <w:pPr>
              <w:spacing w:before="60" w:after="60" w:line="240" w:lineRule="auto"/>
              <w:rPr>
                <w:rFonts w:eastAsia="Calibri" w:cs="Times New Roman"/>
                <w:i/>
                <w:sz w:val="18"/>
                <w:szCs w:val="18"/>
                <w:lang w:val="pt-BR"/>
              </w:rPr>
            </w:pPr>
            <w:r w:rsidRPr="0065113C">
              <w:rPr>
                <w:rFonts w:eastAsia="Calibri" w:cs="Times New Roman"/>
                <w:sz w:val="18"/>
                <w:szCs w:val="18"/>
              </w:rPr>
              <w:t>Pear and cherry slugworm</w:t>
            </w:r>
          </w:p>
        </w:tc>
        <w:tc>
          <w:tcPr>
            <w:tcW w:w="1474" w:type="dxa"/>
            <w:shd w:val="clear" w:color="auto" w:fill="auto"/>
          </w:tcPr>
          <w:p w14:paraId="79C516B8" w14:textId="77777777" w:rsidR="003438A2" w:rsidRPr="0065113C" w:rsidRDefault="003438A2" w:rsidP="00881E29">
            <w:pPr>
              <w:spacing w:before="60" w:after="60" w:line="240" w:lineRule="auto"/>
              <w:rPr>
                <w:rFonts w:eastAsia="Calibri" w:cs="Times New Roman"/>
                <w:sz w:val="18"/>
                <w:szCs w:val="18"/>
                <w:lang w:val="pt-BR"/>
              </w:rPr>
            </w:pPr>
            <w:r w:rsidRPr="0065113C">
              <w:rPr>
                <w:rFonts w:eastAsia="Calibri" w:cs="Times New Roman"/>
                <w:sz w:val="18"/>
                <w:szCs w:val="18"/>
              </w:rPr>
              <w:t xml:space="preserve">Yes. </w:t>
            </w:r>
            <w:r>
              <w:rPr>
                <w:rFonts w:eastAsia="Calibri" w:cs="Times New Roman"/>
                <w:sz w:val="18"/>
                <w:szCs w:val="18"/>
              </w:rPr>
              <w:t>Present in</w:t>
            </w:r>
            <w:r w:rsidRPr="0065113C">
              <w:rPr>
                <w:rFonts w:eastAsia="Calibri" w:cs="Times New Roman"/>
                <w:sz w:val="18"/>
                <w:szCs w:val="18"/>
              </w:rPr>
              <w:t xml:space="preserve"> ID, OR</w:t>
            </w:r>
            <w:r>
              <w:rPr>
                <w:rFonts w:eastAsia="Calibri" w:cs="Times New Roman"/>
                <w:sz w:val="18"/>
                <w:szCs w:val="18"/>
              </w:rPr>
              <w:t xml:space="preserve"> and</w:t>
            </w:r>
            <w:r w:rsidRPr="0065113C">
              <w:rPr>
                <w:rFonts w:eastAsia="Calibri" w:cs="Times New Roman"/>
                <w:sz w:val="18"/>
                <w:szCs w:val="18"/>
              </w:rPr>
              <w:t xml:space="preserve"> WA</w:t>
            </w:r>
            <w:r>
              <w:rPr>
                <w:rFonts w:eastAsia="Calibri" w:cs="Times New Roman"/>
                <w:sz w:val="18"/>
                <w:szCs w:val="18"/>
              </w:rPr>
              <w:t xml:space="preserve"> </w:t>
            </w:r>
            <w:r>
              <w:rPr>
                <w:rFonts w:eastAsia="Calibri" w:cs="Times New Roman"/>
                <w:noProof/>
                <w:sz w:val="18"/>
                <w:szCs w:val="18"/>
              </w:rPr>
              <w:t>(CABI 2019)</w:t>
            </w:r>
          </w:p>
        </w:tc>
        <w:tc>
          <w:tcPr>
            <w:tcW w:w="1474" w:type="dxa"/>
            <w:shd w:val="clear" w:color="auto" w:fill="auto"/>
          </w:tcPr>
          <w:p w14:paraId="19057733" w14:textId="77777777" w:rsidR="003438A2" w:rsidRPr="0065113C" w:rsidRDefault="003438A2" w:rsidP="00881E29">
            <w:pPr>
              <w:spacing w:before="60" w:after="60" w:line="240" w:lineRule="auto"/>
              <w:rPr>
                <w:rFonts w:eastAsia="Calibri" w:cs="Times New Roman"/>
                <w:sz w:val="18"/>
                <w:szCs w:val="18"/>
              </w:rPr>
            </w:pPr>
            <w:r w:rsidRPr="0065113C">
              <w:rPr>
                <w:rFonts w:eastAsia="Calibri" w:cs="Times New Roman"/>
                <w:sz w:val="18"/>
                <w:szCs w:val="18"/>
              </w:rPr>
              <w:t xml:space="preserve">Yes. NSW, Tas., Vic., SA </w:t>
            </w:r>
            <w:r>
              <w:rPr>
                <w:rFonts w:eastAsia="Calibri" w:cs="Times New Roman"/>
                <w:noProof/>
                <w:sz w:val="18"/>
                <w:szCs w:val="18"/>
              </w:rPr>
              <w:t>(Plant Health Australia 2018)</w:t>
            </w:r>
            <w:r w:rsidRPr="0065113C">
              <w:rPr>
                <w:rFonts w:eastAsia="Calibri" w:cs="Times New Roman"/>
                <w:sz w:val="18"/>
                <w:szCs w:val="18"/>
              </w:rPr>
              <w:t xml:space="preserve">. </w:t>
            </w:r>
            <w:r w:rsidRPr="00BC49E1">
              <w:rPr>
                <w:rFonts w:eastAsia="Calibri" w:cs="Times New Roman"/>
                <w:sz w:val="18"/>
                <w:szCs w:val="18"/>
              </w:rPr>
              <w:t xml:space="preserve">Listed as a permitted organism </w:t>
            </w:r>
            <w:r>
              <w:rPr>
                <w:rFonts w:eastAsia="Calibri" w:cs="Times New Roman"/>
                <w:sz w:val="18"/>
                <w:szCs w:val="18"/>
              </w:rPr>
              <w:t xml:space="preserve">for WA </w:t>
            </w:r>
            <w:r>
              <w:rPr>
                <w:rFonts w:eastAsia="Calibri" w:cs="Times New Roman"/>
                <w:noProof/>
                <w:sz w:val="18"/>
                <w:szCs w:val="18"/>
              </w:rPr>
              <w:t>(Government of Western Australia 2018)</w:t>
            </w:r>
          </w:p>
        </w:tc>
        <w:tc>
          <w:tcPr>
            <w:tcW w:w="2552" w:type="dxa"/>
            <w:shd w:val="clear" w:color="auto" w:fill="auto"/>
          </w:tcPr>
          <w:p w14:paraId="01BA97CD" w14:textId="77777777" w:rsidR="003438A2" w:rsidRPr="0065113C" w:rsidRDefault="003438A2" w:rsidP="00881E29">
            <w:pPr>
              <w:spacing w:before="60" w:after="60" w:line="240" w:lineRule="auto"/>
              <w:rPr>
                <w:rFonts w:eastAsia="Calibri" w:cs="Times New Roman"/>
                <w:sz w:val="18"/>
                <w:szCs w:val="18"/>
              </w:rPr>
            </w:pPr>
            <w:r w:rsidRPr="0065113C">
              <w:rPr>
                <w:rFonts w:eastAsia="Calibri" w:cs="Times New Roman"/>
                <w:sz w:val="18"/>
                <w:szCs w:val="18"/>
              </w:rPr>
              <w:t>Assessment not required</w:t>
            </w:r>
          </w:p>
        </w:tc>
        <w:tc>
          <w:tcPr>
            <w:tcW w:w="2381" w:type="dxa"/>
            <w:shd w:val="clear" w:color="auto" w:fill="auto"/>
          </w:tcPr>
          <w:p w14:paraId="6E5E56C1" w14:textId="77777777" w:rsidR="003438A2" w:rsidRPr="0065113C" w:rsidRDefault="003438A2" w:rsidP="00881E29">
            <w:pPr>
              <w:spacing w:before="60" w:after="60" w:line="240" w:lineRule="auto"/>
              <w:rPr>
                <w:rFonts w:eastAsia="Calibri" w:cs="Times New Roman"/>
                <w:sz w:val="18"/>
                <w:szCs w:val="18"/>
              </w:rPr>
            </w:pPr>
            <w:r w:rsidRPr="0065113C">
              <w:rPr>
                <w:rFonts w:eastAsia="Calibri" w:cs="Times New Roman"/>
                <w:sz w:val="18"/>
                <w:szCs w:val="18"/>
              </w:rPr>
              <w:t>Assessment not required</w:t>
            </w:r>
          </w:p>
        </w:tc>
        <w:tc>
          <w:tcPr>
            <w:tcW w:w="2211" w:type="dxa"/>
            <w:shd w:val="clear" w:color="auto" w:fill="auto"/>
          </w:tcPr>
          <w:p w14:paraId="34332EAA" w14:textId="77777777" w:rsidR="003438A2" w:rsidRPr="0065113C" w:rsidRDefault="003438A2" w:rsidP="00881E29">
            <w:pPr>
              <w:spacing w:before="60" w:after="60" w:line="240" w:lineRule="auto"/>
              <w:rPr>
                <w:rFonts w:eastAsia="Calibri" w:cs="Times New Roman"/>
                <w:sz w:val="18"/>
                <w:szCs w:val="18"/>
              </w:rPr>
            </w:pPr>
            <w:r w:rsidRPr="0065113C">
              <w:rPr>
                <w:rFonts w:eastAsia="Calibri" w:cs="Times New Roman"/>
                <w:sz w:val="18"/>
                <w:szCs w:val="18"/>
              </w:rPr>
              <w:t>Assessment not required</w:t>
            </w:r>
          </w:p>
        </w:tc>
        <w:tc>
          <w:tcPr>
            <w:tcW w:w="1191" w:type="dxa"/>
            <w:shd w:val="clear" w:color="auto" w:fill="auto"/>
          </w:tcPr>
          <w:p w14:paraId="2A92069A" w14:textId="77777777" w:rsidR="003438A2" w:rsidRPr="0065113C" w:rsidRDefault="003438A2" w:rsidP="00881E29">
            <w:pPr>
              <w:spacing w:before="60" w:after="60" w:line="240" w:lineRule="auto"/>
              <w:rPr>
                <w:rFonts w:eastAsia="Calibri" w:cs="Times New Roman"/>
                <w:sz w:val="18"/>
                <w:szCs w:val="18"/>
              </w:rPr>
            </w:pPr>
            <w:r w:rsidRPr="0065113C">
              <w:rPr>
                <w:rFonts w:eastAsia="Calibri" w:cs="Times New Roman"/>
                <w:sz w:val="18"/>
                <w:szCs w:val="18"/>
              </w:rPr>
              <w:t>No</w:t>
            </w:r>
          </w:p>
        </w:tc>
      </w:tr>
      <w:tr w:rsidR="003438A2" w:rsidRPr="00C9060A" w14:paraId="28CAE906" w14:textId="77777777" w:rsidTr="00C4199F">
        <w:tblPrEx>
          <w:tblBorders>
            <w:insideH w:val="single" w:sz="4" w:space="0" w:color="BFBFBF" w:themeColor="background1" w:themeShade="BF"/>
          </w:tblBorders>
        </w:tblPrEx>
        <w:trPr>
          <w:cantSplit/>
          <w:trHeight w:val="75"/>
          <w:jc w:val="center"/>
        </w:trPr>
        <w:tc>
          <w:tcPr>
            <w:tcW w:w="2553" w:type="dxa"/>
            <w:shd w:val="clear" w:color="auto" w:fill="auto"/>
          </w:tcPr>
          <w:p w14:paraId="7EBA7F5F" w14:textId="77777777" w:rsidR="003438A2" w:rsidRPr="00C64D61" w:rsidRDefault="003438A2" w:rsidP="00881E29">
            <w:pPr>
              <w:spacing w:before="60" w:after="60" w:line="240" w:lineRule="auto"/>
              <w:rPr>
                <w:rFonts w:eastAsia="Calibri" w:cs="Times New Roman"/>
                <w:i/>
                <w:sz w:val="18"/>
                <w:szCs w:val="18"/>
              </w:rPr>
            </w:pPr>
            <w:r w:rsidRPr="00C64D61">
              <w:rPr>
                <w:rFonts w:eastAsia="Calibri" w:cs="Times New Roman"/>
                <w:i/>
                <w:sz w:val="18"/>
                <w:szCs w:val="18"/>
              </w:rPr>
              <w:t>Hoplocampa testudinea</w:t>
            </w:r>
          </w:p>
          <w:p w14:paraId="53B56B7A" w14:textId="77777777" w:rsidR="003438A2" w:rsidRPr="00C64D61" w:rsidRDefault="003438A2" w:rsidP="00881E29">
            <w:pPr>
              <w:spacing w:before="60" w:after="60" w:line="240" w:lineRule="auto"/>
              <w:rPr>
                <w:rFonts w:eastAsia="Calibri" w:cs="Times New Roman"/>
                <w:sz w:val="18"/>
                <w:szCs w:val="18"/>
              </w:rPr>
            </w:pPr>
            <w:r w:rsidRPr="00C64D61">
              <w:rPr>
                <w:rFonts w:eastAsia="Calibri" w:cs="Times New Roman"/>
                <w:sz w:val="18"/>
                <w:szCs w:val="18"/>
              </w:rPr>
              <w:t>(Klug, 1816)</w:t>
            </w:r>
          </w:p>
          <w:p w14:paraId="71E90CD8" w14:textId="77777777" w:rsidR="003438A2" w:rsidRPr="00C64D61" w:rsidRDefault="003438A2" w:rsidP="00881E29">
            <w:pPr>
              <w:spacing w:before="60" w:after="60" w:line="240" w:lineRule="auto"/>
              <w:rPr>
                <w:rFonts w:eastAsia="Calibri" w:cs="Times New Roman"/>
                <w:sz w:val="18"/>
                <w:szCs w:val="18"/>
              </w:rPr>
            </w:pPr>
            <w:r w:rsidRPr="00C64D61">
              <w:rPr>
                <w:rFonts w:eastAsia="Calibri" w:cs="Times New Roman"/>
                <w:sz w:val="18"/>
                <w:szCs w:val="18"/>
              </w:rPr>
              <w:t>[Tenthredinidae]</w:t>
            </w:r>
          </w:p>
          <w:p w14:paraId="149EBF65" w14:textId="77777777" w:rsidR="003438A2" w:rsidRPr="00C64D61" w:rsidRDefault="003438A2" w:rsidP="00881E29">
            <w:pPr>
              <w:spacing w:before="60" w:after="60" w:line="240" w:lineRule="auto"/>
              <w:rPr>
                <w:rFonts w:eastAsia="Calibri" w:cs="Times New Roman"/>
                <w:sz w:val="18"/>
                <w:szCs w:val="18"/>
              </w:rPr>
            </w:pPr>
            <w:r w:rsidRPr="00C64D61">
              <w:rPr>
                <w:rFonts w:eastAsia="Calibri" w:cs="Times New Roman"/>
                <w:sz w:val="18"/>
                <w:szCs w:val="18"/>
              </w:rPr>
              <w:t>(European apple sawfly)</w:t>
            </w:r>
          </w:p>
        </w:tc>
        <w:tc>
          <w:tcPr>
            <w:tcW w:w="1474" w:type="dxa"/>
            <w:shd w:val="clear" w:color="auto" w:fill="auto"/>
          </w:tcPr>
          <w:p w14:paraId="29214229" w14:textId="77777777" w:rsidR="003438A2" w:rsidRDefault="003438A2" w:rsidP="00321810">
            <w:pPr>
              <w:spacing w:before="60" w:after="60" w:line="240" w:lineRule="auto"/>
              <w:rPr>
                <w:rFonts w:eastAsia="Calibri" w:cs="Times New Roman"/>
                <w:sz w:val="18"/>
                <w:szCs w:val="18"/>
              </w:rPr>
            </w:pPr>
            <w:r>
              <w:rPr>
                <w:rFonts w:eastAsia="Calibri" w:cs="Times New Roman"/>
                <w:sz w:val="18"/>
                <w:szCs w:val="18"/>
              </w:rPr>
              <w:t xml:space="preserve">No. Not present in PNW-USA </w:t>
            </w:r>
            <w:r>
              <w:rPr>
                <w:rFonts w:eastAsia="Calibri" w:cs="Times New Roman"/>
                <w:noProof/>
                <w:sz w:val="18"/>
                <w:szCs w:val="18"/>
              </w:rPr>
              <w:t>(Graf, Höpli &amp; Höhn 2001; Looney &amp; LaGasa 2013)</w:t>
            </w:r>
          </w:p>
          <w:p w14:paraId="7BF3E8C5" w14:textId="77777777" w:rsidR="003438A2" w:rsidRPr="00C64D61" w:rsidRDefault="003438A2" w:rsidP="00321810">
            <w:pPr>
              <w:spacing w:before="60" w:after="60" w:line="240" w:lineRule="auto"/>
              <w:rPr>
                <w:rFonts w:eastAsia="Calibri" w:cs="Times New Roman"/>
                <w:sz w:val="18"/>
                <w:szCs w:val="18"/>
              </w:rPr>
            </w:pPr>
          </w:p>
        </w:tc>
        <w:tc>
          <w:tcPr>
            <w:tcW w:w="1474" w:type="dxa"/>
            <w:shd w:val="clear" w:color="auto" w:fill="auto"/>
          </w:tcPr>
          <w:p w14:paraId="5735D184" w14:textId="77777777" w:rsidR="003438A2" w:rsidRPr="00C64D61" w:rsidRDefault="003438A2" w:rsidP="00881E29">
            <w:pPr>
              <w:spacing w:before="60" w:after="60" w:line="240" w:lineRule="auto"/>
              <w:rPr>
                <w:rFonts w:eastAsia="Calibri" w:cs="Times New Roman"/>
                <w:sz w:val="18"/>
                <w:szCs w:val="18"/>
              </w:rPr>
            </w:pPr>
            <w:r w:rsidRPr="00C64D61">
              <w:rPr>
                <w:rFonts w:eastAsia="Calibri" w:cs="Times New Roman"/>
                <w:sz w:val="18"/>
                <w:szCs w:val="18"/>
              </w:rPr>
              <w:t>No records found</w:t>
            </w:r>
          </w:p>
        </w:tc>
        <w:tc>
          <w:tcPr>
            <w:tcW w:w="2552" w:type="dxa"/>
            <w:shd w:val="clear" w:color="auto" w:fill="auto"/>
          </w:tcPr>
          <w:p w14:paraId="46B389D9" w14:textId="77777777" w:rsidR="003438A2" w:rsidRPr="00C64D61" w:rsidRDefault="003438A2" w:rsidP="00881E29">
            <w:pPr>
              <w:spacing w:before="60" w:after="60" w:line="240" w:lineRule="auto"/>
              <w:rPr>
                <w:rFonts w:eastAsia="Calibri" w:cs="Times New Roman"/>
                <w:sz w:val="18"/>
                <w:szCs w:val="18"/>
              </w:rPr>
            </w:pPr>
            <w:r w:rsidRPr="00716DA2">
              <w:rPr>
                <w:rFonts w:eastAsia="Calibri" w:cs="Times New Roman"/>
                <w:sz w:val="18"/>
                <w:szCs w:val="18"/>
              </w:rPr>
              <w:t>Assessment not required</w:t>
            </w:r>
            <w:r>
              <w:rPr>
                <w:rFonts w:eastAsia="Calibri" w:cs="Times New Roman"/>
                <w:sz w:val="18"/>
                <w:szCs w:val="18"/>
              </w:rPr>
              <w:t xml:space="preserve"> </w:t>
            </w:r>
          </w:p>
        </w:tc>
        <w:tc>
          <w:tcPr>
            <w:tcW w:w="2381" w:type="dxa"/>
            <w:shd w:val="clear" w:color="auto" w:fill="auto"/>
          </w:tcPr>
          <w:p w14:paraId="70BC1BF3" w14:textId="77777777" w:rsidR="003438A2" w:rsidRPr="00C64D61" w:rsidRDefault="003438A2" w:rsidP="00881E29">
            <w:pPr>
              <w:spacing w:before="60" w:after="60" w:line="240" w:lineRule="auto"/>
              <w:rPr>
                <w:rFonts w:eastAsia="Calibri" w:cs="Times New Roman"/>
                <w:sz w:val="18"/>
                <w:szCs w:val="18"/>
              </w:rPr>
            </w:pPr>
            <w:r w:rsidRPr="00C64D61">
              <w:rPr>
                <w:rFonts w:eastAsia="Calibri" w:cs="Times New Roman"/>
                <w:sz w:val="18"/>
                <w:szCs w:val="18"/>
              </w:rPr>
              <w:t>Assessment not required</w:t>
            </w:r>
          </w:p>
        </w:tc>
        <w:tc>
          <w:tcPr>
            <w:tcW w:w="2211" w:type="dxa"/>
            <w:shd w:val="clear" w:color="auto" w:fill="auto"/>
          </w:tcPr>
          <w:p w14:paraId="7B893C79" w14:textId="77777777" w:rsidR="003438A2" w:rsidRPr="00C64D61" w:rsidRDefault="003438A2" w:rsidP="00881E29">
            <w:pPr>
              <w:spacing w:before="60" w:after="60" w:line="240" w:lineRule="auto"/>
              <w:rPr>
                <w:rFonts w:eastAsia="Calibri" w:cs="Times New Roman"/>
                <w:sz w:val="18"/>
                <w:szCs w:val="18"/>
              </w:rPr>
            </w:pPr>
            <w:r w:rsidRPr="00C64D61">
              <w:rPr>
                <w:rFonts w:eastAsia="Calibri" w:cs="Times New Roman"/>
                <w:sz w:val="18"/>
                <w:szCs w:val="18"/>
              </w:rPr>
              <w:t>Assessment not required</w:t>
            </w:r>
          </w:p>
        </w:tc>
        <w:tc>
          <w:tcPr>
            <w:tcW w:w="1191" w:type="dxa"/>
            <w:shd w:val="clear" w:color="auto" w:fill="auto"/>
          </w:tcPr>
          <w:p w14:paraId="5AE1F042" w14:textId="77777777" w:rsidR="003438A2" w:rsidRPr="00C9060A" w:rsidRDefault="003438A2" w:rsidP="00881E29">
            <w:pPr>
              <w:spacing w:before="60" w:after="60" w:line="240" w:lineRule="auto"/>
              <w:rPr>
                <w:rFonts w:eastAsia="Calibri" w:cs="Times New Roman"/>
                <w:sz w:val="18"/>
                <w:szCs w:val="18"/>
              </w:rPr>
            </w:pPr>
            <w:r w:rsidRPr="00C64D61">
              <w:rPr>
                <w:rFonts w:eastAsia="Calibri" w:cs="Times New Roman"/>
                <w:sz w:val="18"/>
                <w:szCs w:val="18"/>
              </w:rPr>
              <w:t>No</w:t>
            </w:r>
          </w:p>
        </w:tc>
      </w:tr>
      <w:tr w:rsidR="003438A2" w:rsidRPr="00197A35" w14:paraId="211119F9" w14:textId="77777777" w:rsidTr="00C4199F">
        <w:trPr>
          <w:cantSplit/>
          <w:trHeight w:val="75"/>
          <w:jc w:val="center"/>
        </w:trPr>
        <w:tc>
          <w:tcPr>
            <w:tcW w:w="13836" w:type="dxa"/>
            <w:gridSpan w:val="7"/>
            <w:shd w:val="clear" w:color="auto" w:fill="auto"/>
          </w:tcPr>
          <w:p w14:paraId="0B5A44E1" w14:textId="77777777" w:rsidR="003438A2" w:rsidRPr="00197A35" w:rsidRDefault="003438A2" w:rsidP="00881E29">
            <w:pPr>
              <w:spacing w:before="60" w:after="60" w:line="240" w:lineRule="auto"/>
              <w:rPr>
                <w:rFonts w:eastAsia="Calibri" w:cs="Times New Roman"/>
                <w:b/>
                <w:sz w:val="18"/>
                <w:szCs w:val="18"/>
                <w:highlight w:val="cyan"/>
              </w:rPr>
            </w:pPr>
            <w:r w:rsidRPr="00197A35">
              <w:rPr>
                <w:rFonts w:eastAsia="Calibri" w:cs="Arial"/>
                <w:b/>
                <w:sz w:val="18"/>
                <w:szCs w:val="18"/>
              </w:rPr>
              <w:lastRenderedPageBreak/>
              <w:t>Lepidoptera</w:t>
            </w:r>
          </w:p>
        </w:tc>
      </w:tr>
      <w:tr w:rsidR="003438A2" w:rsidRPr="007107BF" w14:paraId="3A9B1676" w14:textId="77777777" w:rsidTr="00C4199F">
        <w:trPr>
          <w:cantSplit/>
          <w:trHeight w:val="75"/>
          <w:jc w:val="center"/>
        </w:trPr>
        <w:tc>
          <w:tcPr>
            <w:tcW w:w="2553" w:type="dxa"/>
            <w:shd w:val="clear" w:color="auto" w:fill="FFFFFF" w:themeFill="background1"/>
          </w:tcPr>
          <w:p w14:paraId="281E1BB5"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Arial"/>
                <w:i/>
                <w:sz w:val="18"/>
                <w:szCs w:val="18"/>
              </w:rPr>
              <w:t xml:space="preserve">Acleris </w:t>
            </w:r>
            <w:r w:rsidRPr="007107BF">
              <w:rPr>
                <w:rFonts w:eastAsia="Calibri" w:cs="Times New Roman"/>
                <w:i/>
                <w:sz w:val="18"/>
                <w:szCs w:val="18"/>
              </w:rPr>
              <w:t xml:space="preserve">holmiana </w:t>
            </w:r>
            <w:r w:rsidRPr="007107BF">
              <w:rPr>
                <w:rFonts w:eastAsia="Calibri" w:cs="Times New Roman"/>
                <w:sz w:val="18"/>
                <w:szCs w:val="18"/>
              </w:rPr>
              <w:t>(Linnaeus, 1758)</w:t>
            </w:r>
          </w:p>
          <w:p w14:paraId="2619B5B7"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Arial"/>
                <w:sz w:val="18"/>
                <w:szCs w:val="18"/>
              </w:rPr>
              <w:t xml:space="preserve">Synonym: </w:t>
            </w:r>
            <w:r w:rsidRPr="007107BF">
              <w:rPr>
                <w:rFonts w:eastAsia="Calibri" w:cs="Times New Roman"/>
                <w:i/>
                <w:sz w:val="18"/>
                <w:szCs w:val="18"/>
              </w:rPr>
              <w:t xml:space="preserve">Croesia holmiana </w:t>
            </w:r>
            <w:r w:rsidRPr="007107BF">
              <w:rPr>
                <w:rFonts w:eastAsia="Calibri" w:cs="Times New Roman"/>
                <w:sz w:val="18"/>
                <w:szCs w:val="18"/>
              </w:rPr>
              <w:t>(Linnaeus, 1758)</w:t>
            </w:r>
          </w:p>
          <w:p w14:paraId="435CE17B" w14:textId="77777777" w:rsidR="003438A2" w:rsidRPr="007107BF" w:rsidRDefault="003438A2" w:rsidP="00881E29">
            <w:pPr>
              <w:spacing w:before="60" w:after="60" w:line="240" w:lineRule="auto"/>
              <w:rPr>
                <w:rFonts w:eastAsia="Calibri" w:cs="Arial"/>
                <w:sz w:val="18"/>
                <w:szCs w:val="18"/>
              </w:rPr>
            </w:pPr>
            <w:r w:rsidRPr="007107BF">
              <w:rPr>
                <w:rFonts w:eastAsia="Calibri" w:cs="Arial"/>
                <w:sz w:val="18"/>
                <w:szCs w:val="18"/>
              </w:rPr>
              <w:t>[Tortricidae]</w:t>
            </w:r>
          </w:p>
          <w:p w14:paraId="5D4307C5" w14:textId="77777777" w:rsidR="003438A2" w:rsidRPr="007107BF" w:rsidRDefault="003438A2" w:rsidP="00881E29">
            <w:pPr>
              <w:spacing w:before="60" w:after="60" w:line="240" w:lineRule="auto"/>
              <w:rPr>
                <w:rFonts w:eastAsia="Calibri" w:cs="Times New Roman"/>
                <w:i/>
                <w:sz w:val="18"/>
                <w:szCs w:val="18"/>
                <w:lang w:val="pt-BR"/>
              </w:rPr>
            </w:pPr>
            <w:r w:rsidRPr="007107BF">
              <w:rPr>
                <w:rFonts w:eastAsia="Calibri" w:cs="Times New Roman"/>
                <w:sz w:val="18"/>
                <w:szCs w:val="18"/>
              </w:rPr>
              <w:t>Golden leafroller</w:t>
            </w:r>
          </w:p>
        </w:tc>
        <w:tc>
          <w:tcPr>
            <w:tcW w:w="1474" w:type="dxa"/>
            <w:shd w:val="clear" w:color="auto" w:fill="FFFFFF" w:themeFill="background1"/>
          </w:tcPr>
          <w:p w14:paraId="6F8DF378" w14:textId="77777777" w:rsidR="003438A2" w:rsidRPr="007107BF" w:rsidRDefault="003438A2" w:rsidP="00881E29">
            <w:pPr>
              <w:spacing w:before="60" w:after="60" w:line="240" w:lineRule="auto"/>
              <w:rPr>
                <w:rFonts w:eastAsia="Calibri" w:cs="Times New Roman"/>
                <w:sz w:val="18"/>
                <w:szCs w:val="18"/>
                <w:lang w:val="pt-BR"/>
              </w:rPr>
            </w:pPr>
            <w:r w:rsidRPr="007107BF">
              <w:rPr>
                <w:rFonts w:eastAsia="Calibri" w:cs="Arial"/>
                <w:sz w:val="18"/>
                <w:szCs w:val="18"/>
              </w:rPr>
              <w:t xml:space="preserve">Yes. </w:t>
            </w:r>
            <w:r>
              <w:rPr>
                <w:rFonts w:eastAsia="Calibri" w:cs="Arial"/>
                <w:sz w:val="18"/>
                <w:szCs w:val="18"/>
              </w:rPr>
              <w:t>Present in</w:t>
            </w:r>
            <w:r w:rsidRPr="007107BF">
              <w:rPr>
                <w:rFonts w:eastAsia="Calibri" w:cs="Arial"/>
                <w:sz w:val="18"/>
                <w:szCs w:val="18"/>
              </w:rPr>
              <w:t xml:space="preserve"> WA </w:t>
            </w:r>
            <w:r>
              <w:rPr>
                <w:rFonts w:eastAsia="Calibri" w:cs="Arial"/>
                <w:noProof/>
                <w:sz w:val="18"/>
                <w:szCs w:val="18"/>
              </w:rPr>
              <w:t>(LaGasa 1996)</w:t>
            </w:r>
          </w:p>
        </w:tc>
        <w:tc>
          <w:tcPr>
            <w:tcW w:w="1474" w:type="dxa"/>
            <w:shd w:val="clear" w:color="auto" w:fill="FFFFFF" w:themeFill="background1"/>
          </w:tcPr>
          <w:p w14:paraId="33C239CE"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records found</w:t>
            </w:r>
          </w:p>
        </w:tc>
        <w:tc>
          <w:tcPr>
            <w:tcW w:w="2552" w:type="dxa"/>
            <w:shd w:val="clear" w:color="auto" w:fill="FFFFFF" w:themeFill="background1"/>
          </w:tcPr>
          <w:p w14:paraId="3D306D60" w14:textId="77777777" w:rsidR="003438A2" w:rsidRPr="007107BF" w:rsidRDefault="003438A2" w:rsidP="00881E29">
            <w:pPr>
              <w:spacing w:before="60" w:after="60" w:line="240" w:lineRule="auto"/>
              <w:rPr>
                <w:rFonts w:eastAsia="Calibri" w:cs="Times New Roman"/>
                <w:sz w:val="18"/>
                <w:szCs w:val="18"/>
              </w:rPr>
            </w:pPr>
            <w:r w:rsidRPr="00C13C84">
              <w:rPr>
                <w:rFonts w:eastAsia="Calibri" w:cs="Times New Roman"/>
                <w:sz w:val="18"/>
                <w:szCs w:val="18"/>
              </w:rPr>
              <w:t xml:space="preserve">No. Larvae feed on leaves </w:t>
            </w:r>
            <w:r>
              <w:rPr>
                <w:rFonts w:eastAsia="Calibri" w:cs="Times New Roman"/>
                <w:noProof/>
                <w:sz w:val="18"/>
                <w:szCs w:val="18"/>
              </w:rPr>
              <w:t>(LaGasa 1996)</w:t>
            </w:r>
            <w:r w:rsidRPr="00C13C84">
              <w:rPr>
                <w:rFonts w:eastAsia="Calibri" w:cs="Times New Roman"/>
                <w:sz w:val="18"/>
                <w:szCs w:val="18"/>
              </w:rPr>
              <w:t>. The larva spins several leaves together from which it feeds on</w:t>
            </w:r>
            <w:r>
              <w:rPr>
                <w:rFonts w:eastAsia="Calibri" w:cs="Times New Roman"/>
                <w:sz w:val="18"/>
                <w:szCs w:val="18"/>
              </w:rPr>
              <w:t>.</w:t>
            </w:r>
            <w:r w:rsidRPr="00C13C84">
              <w:rPr>
                <w:rFonts w:eastAsia="Calibri" w:cs="Times New Roman"/>
                <w:sz w:val="18"/>
                <w:szCs w:val="18"/>
              </w:rPr>
              <w:t xml:space="preserve"> It lives on a range of rosaceous trees including apple (</w:t>
            </w:r>
            <w:r w:rsidRPr="00573C4E">
              <w:rPr>
                <w:rFonts w:eastAsia="Calibri" w:cs="Times New Roman"/>
                <w:i/>
                <w:sz w:val="18"/>
                <w:szCs w:val="18"/>
              </w:rPr>
              <w:t>Malus</w:t>
            </w:r>
            <w:r w:rsidRPr="00C13C84">
              <w:rPr>
                <w:rFonts w:eastAsia="Calibri" w:cs="Times New Roman"/>
                <w:sz w:val="18"/>
                <w:szCs w:val="18"/>
              </w:rPr>
              <w:t xml:space="preserve">) </w:t>
            </w:r>
            <w:r>
              <w:rPr>
                <w:rFonts w:eastAsia="Calibri" w:cs="Times New Roman"/>
                <w:noProof/>
                <w:sz w:val="18"/>
                <w:szCs w:val="18"/>
              </w:rPr>
              <w:t>(de Prins &amp; Steeman 2008; Kimber 2009)</w:t>
            </w:r>
            <w:r w:rsidRPr="00C13C84">
              <w:rPr>
                <w:rFonts w:eastAsia="Calibri" w:cs="Times New Roman"/>
                <w:sz w:val="18"/>
                <w:szCs w:val="18"/>
              </w:rPr>
              <w:t xml:space="preserve">. </w:t>
            </w:r>
          </w:p>
        </w:tc>
        <w:tc>
          <w:tcPr>
            <w:tcW w:w="2381" w:type="dxa"/>
            <w:shd w:val="clear" w:color="auto" w:fill="FFFFFF" w:themeFill="background1"/>
          </w:tcPr>
          <w:p w14:paraId="05E0D80A"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2211" w:type="dxa"/>
            <w:shd w:val="clear" w:color="auto" w:fill="FFFFFF" w:themeFill="background1"/>
          </w:tcPr>
          <w:p w14:paraId="1DCCBB25"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1191" w:type="dxa"/>
            <w:shd w:val="clear" w:color="auto" w:fill="FFFFFF" w:themeFill="background1"/>
          </w:tcPr>
          <w:p w14:paraId="5234472B"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w:t>
            </w:r>
          </w:p>
        </w:tc>
      </w:tr>
      <w:tr w:rsidR="003438A2" w:rsidRPr="007107BF" w14:paraId="59E331F9" w14:textId="77777777" w:rsidTr="00C4199F">
        <w:trPr>
          <w:cantSplit/>
          <w:trHeight w:val="75"/>
          <w:jc w:val="center"/>
        </w:trPr>
        <w:tc>
          <w:tcPr>
            <w:tcW w:w="2553" w:type="dxa"/>
            <w:shd w:val="clear" w:color="auto" w:fill="auto"/>
          </w:tcPr>
          <w:p w14:paraId="6AB97E89" w14:textId="77777777" w:rsidR="003438A2" w:rsidRDefault="003438A2" w:rsidP="00881E29">
            <w:pPr>
              <w:spacing w:before="60" w:after="60" w:line="240" w:lineRule="auto"/>
              <w:rPr>
                <w:rFonts w:eastAsia="Calibri" w:cs="Arial"/>
                <w:sz w:val="18"/>
                <w:szCs w:val="18"/>
              </w:rPr>
            </w:pPr>
            <w:r w:rsidRPr="007107BF">
              <w:rPr>
                <w:rFonts w:eastAsia="Calibri" w:cs="Arial"/>
                <w:i/>
                <w:sz w:val="18"/>
                <w:szCs w:val="18"/>
              </w:rPr>
              <w:t>Archips argyrospila</w:t>
            </w:r>
            <w:r w:rsidRPr="007107BF">
              <w:rPr>
                <w:rFonts w:eastAsia="Calibri" w:cs="Arial"/>
                <w:sz w:val="18"/>
                <w:szCs w:val="18"/>
              </w:rPr>
              <w:t xml:space="preserve"> (Walker, 1863)</w:t>
            </w:r>
          </w:p>
          <w:p w14:paraId="69384D85" w14:textId="77777777" w:rsidR="003438A2" w:rsidRPr="007107BF" w:rsidRDefault="003438A2" w:rsidP="00881E29">
            <w:pPr>
              <w:spacing w:before="60" w:after="60" w:line="240" w:lineRule="auto"/>
              <w:rPr>
                <w:rFonts w:eastAsia="Calibri" w:cs="Arial"/>
                <w:sz w:val="18"/>
                <w:szCs w:val="18"/>
              </w:rPr>
            </w:pPr>
            <w:r w:rsidRPr="007107BF">
              <w:rPr>
                <w:rFonts w:eastAsia="Calibri" w:cs="Arial"/>
                <w:sz w:val="18"/>
                <w:szCs w:val="18"/>
              </w:rPr>
              <w:t>[Tortricidae]</w:t>
            </w:r>
          </w:p>
          <w:p w14:paraId="3002DBE8" w14:textId="77777777" w:rsidR="003438A2" w:rsidRPr="007107BF" w:rsidRDefault="003438A2" w:rsidP="00881E29">
            <w:pPr>
              <w:spacing w:before="60" w:after="60" w:line="240" w:lineRule="auto"/>
              <w:rPr>
                <w:rFonts w:eastAsia="Calibri" w:cs="Times New Roman"/>
                <w:i/>
                <w:sz w:val="18"/>
                <w:szCs w:val="18"/>
                <w:lang w:val="pt-BR"/>
              </w:rPr>
            </w:pPr>
            <w:r w:rsidRPr="007107BF">
              <w:rPr>
                <w:rFonts w:eastAsia="Calibri" w:cs="Arial"/>
                <w:sz w:val="18"/>
                <w:szCs w:val="18"/>
              </w:rPr>
              <w:t>Fruit tree leafroller</w:t>
            </w:r>
          </w:p>
        </w:tc>
        <w:tc>
          <w:tcPr>
            <w:tcW w:w="1474" w:type="dxa"/>
            <w:shd w:val="clear" w:color="auto" w:fill="auto"/>
          </w:tcPr>
          <w:p w14:paraId="78BB1F08" w14:textId="77777777" w:rsidR="003438A2" w:rsidRPr="007107BF" w:rsidRDefault="003438A2" w:rsidP="00881E29">
            <w:pPr>
              <w:spacing w:before="60" w:after="60" w:line="240" w:lineRule="auto"/>
              <w:rPr>
                <w:rFonts w:eastAsia="Calibri" w:cs="Times New Roman"/>
                <w:sz w:val="18"/>
                <w:szCs w:val="18"/>
                <w:lang w:val="pt-BR"/>
              </w:rPr>
            </w:pPr>
            <w:r w:rsidRPr="007107BF">
              <w:rPr>
                <w:rFonts w:eastAsia="Calibri" w:cs="Arial"/>
                <w:sz w:val="18"/>
                <w:szCs w:val="18"/>
              </w:rPr>
              <w:t xml:space="preserve">Yes. </w:t>
            </w:r>
            <w:r>
              <w:rPr>
                <w:rFonts w:eastAsia="Calibri" w:cs="Arial"/>
                <w:sz w:val="18"/>
                <w:szCs w:val="18"/>
              </w:rPr>
              <w:t>Present in</w:t>
            </w:r>
            <w:r w:rsidRPr="007107BF">
              <w:rPr>
                <w:rFonts w:eastAsia="Calibri" w:cs="Arial"/>
                <w:sz w:val="18"/>
                <w:szCs w:val="18"/>
              </w:rPr>
              <w:t xml:space="preserve"> OR</w:t>
            </w:r>
            <w:r>
              <w:rPr>
                <w:rFonts w:eastAsia="Calibri" w:cs="Arial"/>
                <w:sz w:val="18"/>
                <w:szCs w:val="18"/>
              </w:rPr>
              <w:t xml:space="preserve"> and</w:t>
            </w:r>
            <w:r w:rsidRPr="007107BF">
              <w:rPr>
                <w:rFonts w:eastAsia="Calibri" w:cs="Arial"/>
                <w:sz w:val="18"/>
                <w:szCs w:val="18"/>
              </w:rPr>
              <w:t xml:space="preserve"> WA </w:t>
            </w:r>
            <w:r>
              <w:rPr>
                <w:rFonts w:eastAsia="Calibri" w:cs="Arial"/>
                <w:noProof/>
                <w:sz w:val="18"/>
                <w:szCs w:val="18"/>
              </w:rPr>
              <w:t>(APHIS 2007)</w:t>
            </w:r>
          </w:p>
        </w:tc>
        <w:tc>
          <w:tcPr>
            <w:tcW w:w="1474" w:type="dxa"/>
            <w:shd w:val="clear" w:color="auto" w:fill="auto"/>
          </w:tcPr>
          <w:p w14:paraId="3DA2683F" w14:textId="77777777" w:rsidR="003438A2" w:rsidRPr="009B0E2F" w:rsidRDefault="003438A2" w:rsidP="00881E29">
            <w:pPr>
              <w:spacing w:before="60" w:after="60" w:line="240" w:lineRule="auto"/>
              <w:rPr>
                <w:rFonts w:eastAsia="Calibri" w:cs="Times New Roman"/>
                <w:sz w:val="18"/>
                <w:szCs w:val="18"/>
              </w:rPr>
            </w:pPr>
            <w:r w:rsidRPr="009B0E2F">
              <w:rPr>
                <w:rFonts w:eastAsia="Calibri" w:cs="Times New Roman"/>
                <w:sz w:val="18"/>
                <w:szCs w:val="18"/>
              </w:rPr>
              <w:t>No records found</w:t>
            </w:r>
          </w:p>
        </w:tc>
        <w:tc>
          <w:tcPr>
            <w:tcW w:w="2552" w:type="dxa"/>
            <w:shd w:val="clear" w:color="auto" w:fill="auto"/>
          </w:tcPr>
          <w:p w14:paraId="1A8619EC" w14:textId="77777777" w:rsidR="003438A2" w:rsidRPr="009B0E2F" w:rsidRDefault="003438A2" w:rsidP="00D5785A">
            <w:pPr>
              <w:spacing w:after="0" w:line="240" w:lineRule="auto"/>
              <w:rPr>
                <w:rFonts w:eastAsia="Calibri" w:cs="Times New Roman"/>
                <w:sz w:val="18"/>
                <w:szCs w:val="18"/>
              </w:rPr>
            </w:pPr>
            <w:r w:rsidRPr="009B0E2F">
              <w:rPr>
                <w:rFonts w:eastAsia="Calibri" w:cs="Times New Roman"/>
                <w:sz w:val="18"/>
                <w:szCs w:val="18"/>
              </w:rPr>
              <w:t>Yes. A native American species whose larvae primarily feed on the lower surface of leaves</w:t>
            </w:r>
            <w:r>
              <w:rPr>
                <w:rFonts w:eastAsia="Calibri" w:cs="Times New Roman"/>
                <w:sz w:val="18"/>
                <w:szCs w:val="18"/>
              </w:rPr>
              <w:t>,</w:t>
            </w:r>
            <w:r w:rsidRPr="009B0E2F">
              <w:rPr>
                <w:rFonts w:eastAsia="Calibri" w:cs="Times New Roman"/>
                <w:sz w:val="18"/>
                <w:szCs w:val="18"/>
              </w:rPr>
              <w:t xml:space="preserve"> usually in groups </w:t>
            </w:r>
            <w:r>
              <w:rPr>
                <w:rFonts w:eastAsia="Calibri" w:cs="Times New Roman"/>
                <w:noProof/>
                <w:sz w:val="18"/>
                <w:szCs w:val="18"/>
              </w:rPr>
              <w:t>(APHIS 2007; Brunner 1993)</w:t>
            </w:r>
            <w:r w:rsidRPr="009B0E2F">
              <w:rPr>
                <w:rFonts w:eastAsia="Calibri" w:cs="Times New Roman"/>
                <w:sz w:val="18"/>
                <w:szCs w:val="18"/>
              </w:rPr>
              <w:t>. Larvae can damage fruit throughout the growing season causing fruit drop or deep scarring and severe deformation</w:t>
            </w:r>
            <w:r w:rsidRPr="00562EE0">
              <w:rPr>
                <w:rFonts w:eastAsia="Calibri" w:cs="Times New Roman"/>
                <w:sz w:val="18"/>
                <w:szCs w:val="18"/>
              </w:rPr>
              <w:t xml:space="preserve"> </w:t>
            </w:r>
            <w:r>
              <w:rPr>
                <w:rFonts w:eastAsia="Calibri" w:cs="Times New Roman"/>
                <w:noProof/>
                <w:sz w:val="18"/>
                <w:szCs w:val="18"/>
              </w:rPr>
              <w:t>(Brunner 1993; Wiman &amp; Stoven 2022)</w:t>
            </w:r>
            <w:r>
              <w:rPr>
                <w:rFonts w:eastAsia="Calibri" w:cs="Times New Roman"/>
                <w:sz w:val="18"/>
                <w:szCs w:val="18"/>
              </w:rPr>
              <w:t xml:space="preserve">. </w:t>
            </w:r>
          </w:p>
        </w:tc>
        <w:tc>
          <w:tcPr>
            <w:tcW w:w="2381" w:type="dxa"/>
            <w:shd w:val="clear" w:color="auto" w:fill="auto"/>
          </w:tcPr>
          <w:p w14:paraId="259D2ED4" w14:textId="77777777" w:rsidR="003438A2" w:rsidRPr="009B0E2F" w:rsidRDefault="003438A2" w:rsidP="00881E29">
            <w:pPr>
              <w:spacing w:before="60" w:after="60" w:line="240" w:lineRule="auto"/>
              <w:rPr>
                <w:rFonts w:eastAsia="Calibri" w:cs="Times New Roman"/>
                <w:sz w:val="18"/>
                <w:szCs w:val="18"/>
              </w:rPr>
            </w:pPr>
            <w:r w:rsidRPr="009B0E2F">
              <w:rPr>
                <w:rFonts w:eastAsia="Calibri" w:cs="Times New Roman"/>
                <w:sz w:val="18"/>
                <w:szCs w:val="18"/>
              </w:rPr>
              <w:t>Yes. Wide host range including apricot, cherry, plum</w:t>
            </w:r>
            <w:r>
              <w:rPr>
                <w:rFonts w:eastAsia="Calibri" w:cs="Times New Roman"/>
                <w:sz w:val="18"/>
                <w:szCs w:val="18"/>
              </w:rPr>
              <w:t xml:space="preserve"> </w:t>
            </w:r>
            <w:r w:rsidRPr="009B0E2F">
              <w:rPr>
                <w:rFonts w:eastAsia="Calibri" w:cs="Times New Roman"/>
                <w:sz w:val="18"/>
                <w:szCs w:val="18"/>
              </w:rPr>
              <w:t>(</w:t>
            </w:r>
            <w:r w:rsidRPr="009B0E2F">
              <w:rPr>
                <w:rFonts w:eastAsia="Calibri" w:cs="Times New Roman"/>
                <w:i/>
                <w:sz w:val="18"/>
                <w:szCs w:val="18"/>
              </w:rPr>
              <w:t>Prunus</w:t>
            </w:r>
            <w:r w:rsidRPr="009B0E2F">
              <w:rPr>
                <w:rFonts w:eastAsia="Calibri" w:cs="Times New Roman"/>
                <w:sz w:val="18"/>
                <w:szCs w:val="18"/>
              </w:rPr>
              <w:t xml:space="preserve"> spp.), pear (</w:t>
            </w:r>
            <w:r w:rsidRPr="009B0E2F">
              <w:rPr>
                <w:rFonts w:eastAsia="Calibri" w:cs="Times New Roman"/>
                <w:i/>
                <w:sz w:val="18"/>
                <w:szCs w:val="18"/>
              </w:rPr>
              <w:t>Pyrus</w:t>
            </w:r>
            <w:r w:rsidRPr="009B0E2F">
              <w:rPr>
                <w:rFonts w:eastAsia="Calibri" w:cs="Times New Roman"/>
                <w:sz w:val="18"/>
                <w:szCs w:val="18"/>
              </w:rPr>
              <w:t>), apple (</w:t>
            </w:r>
            <w:r w:rsidRPr="009B0E2F">
              <w:rPr>
                <w:rFonts w:eastAsia="Calibri" w:cs="Times New Roman"/>
                <w:i/>
                <w:sz w:val="18"/>
                <w:szCs w:val="18"/>
              </w:rPr>
              <w:t>Malus</w:t>
            </w:r>
            <w:r w:rsidRPr="009B0E2F">
              <w:rPr>
                <w:rFonts w:eastAsia="Calibri" w:cs="Times New Roman"/>
                <w:sz w:val="18"/>
                <w:szCs w:val="18"/>
              </w:rPr>
              <w:t>), quince (</w:t>
            </w:r>
            <w:r w:rsidRPr="009B0E2F">
              <w:rPr>
                <w:rFonts w:eastAsia="Calibri" w:cs="Times New Roman"/>
                <w:i/>
                <w:sz w:val="18"/>
                <w:szCs w:val="18"/>
              </w:rPr>
              <w:t>Cydonia</w:t>
            </w:r>
            <w:r w:rsidRPr="009B0E2F">
              <w:rPr>
                <w:rFonts w:eastAsia="Calibri" w:cs="Times New Roman"/>
                <w:sz w:val="18"/>
                <w:szCs w:val="18"/>
              </w:rPr>
              <w:t>), ra</w:t>
            </w:r>
            <w:r>
              <w:rPr>
                <w:rFonts w:eastAsia="Calibri" w:cs="Times New Roman"/>
                <w:sz w:val="18"/>
                <w:szCs w:val="18"/>
              </w:rPr>
              <w:t>spberry, loganberry, blackberry</w:t>
            </w:r>
            <w:r w:rsidRPr="009B0E2F">
              <w:rPr>
                <w:rFonts w:eastAsia="Calibri" w:cs="Times New Roman"/>
                <w:sz w:val="18"/>
                <w:szCs w:val="18"/>
              </w:rPr>
              <w:t xml:space="preserve"> (</w:t>
            </w:r>
            <w:r w:rsidRPr="009B0E2F">
              <w:rPr>
                <w:rFonts w:eastAsia="Calibri" w:cs="Times New Roman"/>
                <w:i/>
                <w:sz w:val="18"/>
                <w:szCs w:val="18"/>
              </w:rPr>
              <w:t>Rubus</w:t>
            </w:r>
            <w:r w:rsidRPr="009B0E2F">
              <w:rPr>
                <w:rFonts w:eastAsia="Calibri" w:cs="Times New Roman"/>
                <w:sz w:val="18"/>
                <w:szCs w:val="18"/>
              </w:rPr>
              <w:t>), currant, gooseberry (</w:t>
            </w:r>
            <w:r w:rsidRPr="009B0E2F">
              <w:rPr>
                <w:rFonts w:eastAsia="Calibri" w:cs="Times New Roman"/>
                <w:i/>
                <w:sz w:val="18"/>
                <w:szCs w:val="18"/>
              </w:rPr>
              <w:t xml:space="preserve">Ribes </w:t>
            </w:r>
            <w:r w:rsidRPr="009B0E2F">
              <w:rPr>
                <w:rFonts w:eastAsia="Calibri" w:cs="Times New Roman"/>
                <w:sz w:val="18"/>
                <w:szCs w:val="18"/>
              </w:rPr>
              <w:t>spp.), English walnut (</w:t>
            </w:r>
            <w:r w:rsidRPr="009B0E2F">
              <w:rPr>
                <w:rFonts w:eastAsia="Calibri" w:cs="Times New Roman"/>
                <w:i/>
                <w:sz w:val="18"/>
                <w:szCs w:val="18"/>
              </w:rPr>
              <w:t>Juglans regia</w:t>
            </w:r>
            <w:r w:rsidRPr="009B0E2F">
              <w:rPr>
                <w:rFonts w:eastAsia="Calibri" w:cs="Times New Roman"/>
                <w:sz w:val="18"/>
                <w:szCs w:val="18"/>
              </w:rPr>
              <w:t>), ash (</w:t>
            </w:r>
            <w:r w:rsidRPr="009B0E2F">
              <w:rPr>
                <w:rFonts w:eastAsia="Calibri" w:cs="Times New Roman"/>
                <w:i/>
                <w:sz w:val="18"/>
                <w:szCs w:val="18"/>
              </w:rPr>
              <w:t>Fraxinus</w:t>
            </w:r>
            <w:r w:rsidRPr="009B0E2F">
              <w:rPr>
                <w:rFonts w:eastAsia="Calibri" w:cs="Times New Roman"/>
                <w:sz w:val="18"/>
                <w:szCs w:val="18"/>
              </w:rPr>
              <w:t>), box elder (</w:t>
            </w:r>
            <w:r w:rsidRPr="009B0E2F">
              <w:rPr>
                <w:rFonts w:eastAsia="Calibri" w:cs="Times New Roman"/>
                <w:i/>
                <w:sz w:val="18"/>
                <w:szCs w:val="18"/>
              </w:rPr>
              <w:t>Acer negundo</w:t>
            </w:r>
            <w:r w:rsidRPr="009B0E2F">
              <w:rPr>
                <w:rFonts w:eastAsia="Calibri" w:cs="Times New Roman"/>
                <w:sz w:val="18"/>
                <w:szCs w:val="18"/>
              </w:rPr>
              <w:t>), elm (</w:t>
            </w:r>
            <w:r w:rsidRPr="009B0E2F">
              <w:rPr>
                <w:rFonts w:eastAsia="Calibri" w:cs="Times New Roman"/>
                <w:i/>
                <w:sz w:val="18"/>
                <w:szCs w:val="18"/>
              </w:rPr>
              <w:t>Ulmus</w:t>
            </w:r>
            <w:r w:rsidRPr="009B0E2F">
              <w:rPr>
                <w:rFonts w:eastAsia="Calibri" w:cs="Times New Roman"/>
                <w:sz w:val="18"/>
                <w:szCs w:val="18"/>
              </w:rPr>
              <w:t>), locust (</w:t>
            </w:r>
            <w:r w:rsidRPr="009B0E2F">
              <w:rPr>
                <w:rFonts w:eastAsia="Calibri" w:cs="Times New Roman"/>
                <w:i/>
                <w:sz w:val="18"/>
                <w:szCs w:val="18"/>
              </w:rPr>
              <w:t>Robinia</w:t>
            </w:r>
            <w:r w:rsidRPr="009B0E2F">
              <w:rPr>
                <w:rFonts w:eastAsia="Calibri" w:cs="Times New Roman"/>
                <w:sz w:val="18"/>
                <w:szCs w:val="18"/>
              </w:rPr>
              <w:t>), oak (</w:t>
            </w:r>
            <w:r w:rsidRPr="009B0E2F">
              <w:rPr>
                <w:rFonts w:eastAsia="Calibri" w:cs="Times New Roman"/>
                <w:i/>
                <w:sz w:val="18"/>
                <w:szCs w:val="18"/>
              </w:rPr>
              <w:t>Quercus</w:t>
            </w:r>
            <w:r w:rsidRPr="009B0E2F">
              <w:rPr>
                <w:rFonts w:eastAsia="Calibri" w:cs="Times New Roman"/>
                <w:sz w:val="18"/>
                <w:szCs w:val="18"/>
              </w:rPr>
              <w:t>), poplar (</w:t>
            </w:r>
            <w:r w:rsidRPr="009B0E2F">
              <w:rPr>
                <w:rFonts w:eastAsia="Calibri" w:cs="Times New Roman"/>
                <w:i/>
                <w:sz w:val="18"/>
                <w:szCs w:val="18"/>
              </w:rPr>
              <w:t>Populus</w:t>
            </w:r>
            <w:r w:rsidRPr="009B0E2F">
              <w:rPr>
                <w:rFonts w:eastAsia="Calibri" w:cs="Times New Roman"/>
                <w:sz w:val="18"/>
                <w:szCs w:val="18"/>
              </w:rPr>
              <w:t>), willow (</w:t>
            </w:r>
            <w:r w:rsidRPr="009B0E2F">
              <w:rPr>
                <w:rFonts w:eastAsia="Calibri" w:cs="Times New Roman"/>
                <w:i/>
                <w:sz w:val="18"/>
                <w:szCs w:val="18"/>
              </w:rPr>
              <w:t>Salix</w:t>
            </w:r>
            <w:r w:rsidRPr="009B0E2F">
              <w:rPr>
                <w:rFonts w:eastAsia="Calibri" w:cs="Times New Roman"/>
                <w:sz w:val="18"/>
                <w:szCs w:val="18"/>
              </w:rPr>
              <w:t>) and rose (</w:t>
            </w:r>
            <w:r w:rsidRPr="009B0E2F">
              <w:rPr>
                <w:rFonts w:eastAsia="Calibri" w:cs="Times New Roman"/>
                <w:i/>
                <w:sz w:val="18"/>
                <w:szCs w:val="18"/>
              </w:rPr>
              <w:t>Rosa</w:t>
            </w:r>
            <w:r w:rsidRPr="009B0E2F">
              <w:rPr>
                <w:rFonts w:eastAsia="Calibri" w:cs="Times New Roman"/>
                <w:sz w:val="18"/>
                <w:szCs w:val="18"/>
              </w:rPr>
              <w:t xml:space="preserve">), and distributed across North America in environments similar to those found in Australia </w:t>
            </w:r>
            <w:r>
              <w:rPr>
                <w:rFonts w:eastAsia="Calibri" w:cs="Times New Roman"/>
                <w:noProof/>
                <w:sz w:val="18"/>
                <w:szCs w:val="18"/>
              </w:rPr>
              <w:t>(Bentley &amp; Day 2006; Caprile et al. 2006c; Deland et al. 1993; Pickel et al. 2017)</w:t>
            </w:r>
            <w:r>
              <w:rPr>
                <w:rFonts w:eastAsia="Calibri" w:cs="Times New Roman"/>
                <w:sz w:val="18"/>
                <w:szCs w:val="18"/>
              </w:rPr>
              <w:t>.</w:t>
            </w:r>
          </w:p>
        </w:tc>
        <w:tc>
          <w:tcPr>
            <w:tcW w:w="2211" w:type="dxa"/>
            <w:shd w:val="clear" w:color="auto" w:fill="auto"/>
          </w:tcPr>
          <w:p w14:paraId="1A1A486B" w14:textId="77777777" w:rsidR="003438A2" w:rsidRPr="009B0E2F" w:rsidRDefault="003438A2" w:rsidP="00881E29">
            <w:pPr>
              <w:spacing w:before="60" w:after="60" w:line="240" w:lineRule="auto"/>
              <w:rPr>
                <w:rFonts w:eastAsia="Calibri" w:cs="Times New Roman"/>
                <w:sz w:val="18"/>
                <w:szCs w:val="18"/>
              </w:rPr>
            </w:pPr>
            <w:r w:rsidRPr="009B0E2F">
              <w:rPr>
                <w:rFonts w:eastAsia="Calibri" w:cs="Times New Roman"/>
                <w:sz w:val="18"/>
                <w:szCs w:val="18"/>
              </w:rPr>
              <w:t xml:space="preserve">Yes. Larvae feed on leaves, buds and fruit resulting in fruit loss and reducing marketability due to deep scarring and severe deformation of stone fruit </w:t>
            </w:r>
            <w:r>
              <w:rPr>
                <w:rFonts w:eastAsia="Calibri" w:cs="Times New Roman"/>
                <w:noProof/>
                <w:sz w:val="18"/>
                <w:szCs w:val="18"/>
              </w:rPr>
              <w:t>(Bentley &amp; Day 2006; Berry 1998c; Pickel et al. 2017)</w:t>
            </w:r>
            <w:r>
              <w:rPr>
                <w:rFonts w:eastAsia="Calibri" w:cs="Times New Roman"/>
                <w:sz w:val="18"/>
                <w:szCs w:val="18"/>
              </w:rPr>
              <w:t xml:space="preserve"> </w:t>
            </w:r>
            <w:r w:rsidRPr="009B0E2F">
              <w:rPr>
                <w:rFonts w:eastAsia="Calibri" w:cs="Times New Roman"/>
                <w:sz w:val="18"/>
                <w:szCs w:val="18"/>
              </w:rPr>
              <w:t xml:space="preserve">or shallow cavities or deep bronze-coloured scars with roughened, netlike surfaces </w:t>
            </w:r>
            <w:r>
              <w:rPr>
                <w:rFonts w:eastAsia="Calibri" w:cs="Times New Roman"/>
                <w:sz w:val="18"/>
                <w:szCs w:val="18"/>
              </w:rPr>
              <w:t xml:space="preserve">on apple fruit </w:t>
            </w:r>
            <w:r>
              <w:rPr>
                <w:rFonts w:eastAsia="Calibri" w:cs="Times New Roman"/>
                <w:noProof/>
                <w:sz w:val="18"/>
                <w:szCs w:val="18"/>
              </w:rPr>
              <w:t>(Caprile et al. 2006d)</w:t>
            </w:r>
            <w:r>
              <w:rPr>
                <w:rFonts w:eastAsia="Calibri" w:cs="Times New Roman"/>
                <w:sz w:val="18"/>
                <w:szCs w:val="18"/>
              </w:rPr>
              <w:t>.</w:t>
            </w:r>
          </w:p>
        </w:tc>
        <w:tc>
          <w:tcPr>
            <w:tcW w:w="1191" w:type="dxa"/>
            <w:shd w:val="clear" w:color="auto" w:fill="auto"/>
          </w:tcPr>
          <w:p w14:paraId="7D58FCB2" w14:textId="77777777" w:rsidR="003438A2" w:rsidRPr="007107BF" w:rsidRDefault="003438A2" w:rsidP="00881E29">
            <w:pPr>
              <w:spacing w:before="60" w:after="60" w:line="240" w:lineRule="auto"/>
              <w:rPr>
                <w:rFonts w:eastAsia="Calibri" w:cs="Times New Roman"/>
                <w:sz w:val="18"/>
                <w:szCs w:val="18"/>
              </w:rPr>
            </w:pPr>
            <w:r w:rsidRPr="0065113C">
              <w:rPr>
                <w:rFonts w:eastAsia="Calibri" w:cs="Times New Roman"/>
                <w:sz w:val="18"/>
                <w:szCs w:val="18"/>
              </w:rPr>
              <w:t>Yes</w:t>
            </w:r>
            <w:r>
              <w:rPr>
                <w:rFonts w:eastAsia="Calibri" w:cs="Times New Roman"/>
                <w:sz w:val="18"/>
                <w:szCs w:val="18"/>
              </w:rPr>
              <w:t xml:space="preserve"> (EP)</w:t>
            </w:r>
          </w:p>
        </w:tc>
      </w:tr>
      <w:tr w:rsidR="003438A2" w:rsidRPr="007107BF" w14:paraId="09C85905" w14:textId="77777777" w:rsidTr="00C4199F">
        <w:trPr>
          <w:cantSplit/>
          <w:trHeight w:val="75"/>
          <w:jc w:val="center"/>
        </w:trPr>
        <w:tc>
          <w:tcPr>
            <w:tcW w:w="2553" w:type="dxa"/>
            <w:shd w:val="clear" w:color="auto" w:fill="auto"/>
          </w:tcPr>
          <w:p w14:paraId="7C00FA4A" w14:textId="77777777" w:rsidR="003438A2" w:rsidRPr="007107BF" w:rsidRDefault="003438A2" w:rsidP="00881E29">
            <w:pPr>
              <w:spacing w:before="60" w:after="60" w:line="240" w:lineRule="auto"/>
              <w:rPr>
                <w:rFonts w:eastAsia="Calibri" w:cs="Arial"/>
                <w:sz w:val="18"/>
                <w:szCs w:val="18"/>
              </w:rPr>
            </w:pPr>
            <w:r w:rsidRPr="007107BF">
              <w:rPr>
                <w:rFonts w:eastAsia="Calibri" w:cs="Arial"/>
                <w:i/>
                <w:sz w:val="18"/>
                <w:szCs w:val="18"/>
              </w:rPr>
              <w:lastRenderedPageBreak/>
              <w:t xml:space="preserve">Archips fuscocupreanus </w:t>
            </w:r>
            <w:r w:rsidRPr="007107BF">
              <w:rPr>
                <w:rFonts w:eastAsia="Calibri" w:cs="Arial"/>
                <w:sz w:val="18"/>
                <w:szCs w:val="18"/>
              </w:rPr>
              <w:t>Walsingham, 1900</w:t>
            </w:r>
          </w:p>
          <w:p w14:paraId="4C8EEB1C" w14:textId="77777777" w:rsidR="003438A2" w:rsidRPr="007107BF" w:rsidRDefault="003438A2" w:rsidP="00881E29">
            <w:pPr>
              <w:spacing w:before="60" w:after="60" w:line="240" w:lineRule="auto"/>
              <w:rPr>
                <w:rFonts w:eastAsia="Calibri" w:cs="Arial"/>
                <w:sz w:val="18"/>
                <w:szCs w:val="18"/>
              </w:rPr>
            </w:pPr>
            <w:r w:rsidRPr="007107BF">
              <w:rPr>
                <w:rFonts w:eastAsia="Calibri" w:cs="Arial"/>
                <w:sz w:val="18"/>
                <w:szCs w:val="18"/>
              </w:rPr>
              <w:t>[Tortricidae]</w:t>
            </w:r>
          </w:p>
          <w:p w14:paraId="21DE5F53" w14:textId="77777777" w:rsidR="003438A2" w:rsidRPr="007107BF" w:rsidRDefault="003438A2" w:rsidP="00881E29">
            <w:pPr>
              <w:spacing w:before="60" w:after="60" w:line="240" w:lineRule="auto"/>
              <w:rPr>
                <w:rFonts w:eastAsia="Calibri" w:cs="Times New Roman"/>
                <w:i/>
                <w:sz w:val="18"/>
                <w:szCs w:val="18"/>
                <w:lang w:val="pt-BR"/>
              </w:rPr>
            </w:pPr>
            <w:r w:rsidRPr="007107BF">
              <w:rPr>
                <w:rFonts w:eastAsia="Calibri" w:cs="Arial"/>
                <w:sz w:val="18"/>
                <w:szCs w:val="18"/>
              </w:rPr>
              <w:t>Apple tortrix</w:t>
            </w:r>
          </w:p>
        </w:tc>
        <w:tc>
          <w:tcPr>
            <w:tcW w:w="1474" w:type="dxa"/>
            <w:shd w:val="clear" w:color="auto" w:fill="auto"/>
          </w:tcPr>
          <w:p w14:paraId="6AFBB7EF" w14:textId="77777777" w:rsidR="003438A2" w:rsidRPr="007107BF" w:rsidRDefault="003438A2" w:rsidP="00881E29">
            <w:pPr>
              <w:spacing w:before="60" w:after="60" w:line="240" w:lineRule="auto"/>
              <w:rPr>
                <w:rFonts w:eastAsia="Calibri" w:cs="Times New Roman"/>
                <w:sz w:val="18"/>
                <w:szCs w:val="18"/>
                <w:lang w:val="pt-BR"/>
              </w:rPr>
            </w:pPr>
            <w:r w:rsidRPr="007107BF">
              <w:rPr>
                <w:rFonts w:eastAsia="Calibri" w:cs="Arial"/>
                <w:sz w:val="18"/>
                <w:szCs w:val="18"/>
              </w:rPr>
              <w:t xml:space="preserve">Yes. </w:t>
            </w:r>
            <w:r>
              <w:rPr>
                <w:rFonts w:eastAsia="Calibri" w:cs="Arial"/>
                <w:sz w:val="18"/>
                <w:szCs w:val="18"/>
              </w:rPr>
              <w:t>Present in</w:t>
            </w:r>
            <w:r w:rsidRPr="007107BF">
              <w:rPr>
                <w:rFonts w:eastAsia="Calibri" w:cs="Arial"/>
                <w:sz w:val="18"/>
                <w:szCs w:val="18"/>
              </w:rPr>
              <w:t xml:space="preserve"> WA </w:t>
            </w:r>
            <w:r>
              <w:rPr>
                <w:rFonts w:eastAsia="Calibri" w:cs="Arial"/>
                <w:noProof/>
                <w:sz w:val="18"/>
                <w:szCs w:val="18"/>
              </w:rPr>
              <w:t>(Maier 2007a)</w:t>
            </w:r>
          </w:p>
        </w:tc>
        <w:tc>
          <w:tcPr>
            <w:tcW w:w="1474" w:type="dxa"/>
            <w:shd w:val="clear" w:color="auto" w:fill="auto"/>
          </w:tcPr>
          <w:p w14:paraId="55CC4249"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records found</w:t>
            </w:r>
          </w:p>
        </w:tc>
        <w:tc>
          <w:tcPr>
            <w:tcW w:w="2552" w:type="dxa"/>
            <w:shd w:val="clear" w:color="auto" w:fill="auto"/>
          </w:tcPr>
          <w:p w14:paraId="1817CB1B" w14:textId="77777777" w:rsidR="003438A2" w:rsidRPr="007107BF" w:rsidRDefault="003438A2" w:rsidP="00881E29">
            <w:pPr>
              <w:spacing w:before="60" w:after="60" w:line="240" w:lineRule="auto"/>
              <w:rPr>
                <w:rFonts w:eastAsia="Calibri" w:cs="Times New Roman"/>
                <w:sz w:val="18"/>
                <w:szCs w:val="18"/>
              </w:rPr>
            </w:pPr>
            <w:r w:rsidRPr="006D6AB3">
              <w:rPr>
                <w:rFonts w:eastAsia="Calibri" w:cs="Times New Roman"/>
                <w:sz w:val="18"/>
                <w:szCs w:val="18"/>
              </w:rPr>
              <w:t xml:space="preserve">No. Egg masses are laid on the trunk and branches of trees. The young larvae feed on developing leaves while later instar larvae eat the flowers and occasionally graze young fruit </w:t>
            </w:r>
            <w:r>
              <w:rPr>
                <w:rFonts w:eastAsia="Calibri" w:cs="Times New Roman"/>
                <w:noProof/>
                <w:sz w:val="18"/>
                <w:szCs w:val="18"/>
              </w:rPr>
              <w:t>(Maier 2003, 2007a)</w:t>
            </w:r>
            <w:r w:rsidRPr="006D6AB3">
              <w:rPr>
                <w:rFonts w:eastAsia="Calibri" w:cs="Times New Roman"/>
                <w:sz w:val="18"/>
                <w:szCs w:val="18"/>
              </w:rPr>
              <w:t xml:space="preserve">. It is not a pest of </w:t>
            </w:r>
            <w:r>
              <w:rPr>
                <w:rFonts w:eastAsia="Calibri" w:cs="Times New Roman"/>
                <w:sz w:val="18"/>
                <w:szCs w:val="18"/>
              </w:rPr>
              <w:t>mature</w:t>
            </w:r>
            <w:r w:rsidRPr="006D6AB3">
              <w:rPr>
                <w:rFonts w:eastAsia="Calibri" w:cs="Times New Roman"/>
                <w:sz w:val="18"/>
                <w:szCs w:val="18"/>
              </w:rPr>
              <w:t xml:space="preserve"> fruit </w:t>
            </w:r>
            <w:r>
              <w:rPr>
                <w:rFonts w:eastAsia="Calibri" w:cs="Times New Roman"/>
                <w:noProof/>
                <w:sz w:val="18"/>
                <w:szCs w:val="18"/>
              </w:rPr>
              <w:t>(CABI 2019)</w:t>
            </w:r>
            <w:r w:rsidRPr="006D6AB3">
              <w:rPr>
                <w:rFonts w:eastAsia="Calibri" w:cs="Times New Roman"/>
                <w:sz w:val="18"/>
                <w:szCs w:val="18"/>
              </w:rPr>
              <w:t xml:space="preserve">. Therefore, </w:t>
            </w:r>
            <w:r>
              <w:rPr>
                <w:rFonts w:eastAsia="Calibri" w:cs="Times New Roman"/>
                <w:sz w:val="18"/>
                <w:szCs w:val="18"/>
              </w:rPr>
              <w:t xml:space="preserve">this </w:t>
            </w:r>
            <w:r w:rsidRPr="00576591">
              <w:rPr>
                <w:rFonts w:eastAsia="Calibri" w:cs="Times New Roman"/>
                <w:sz w:val="18"/>
                <w:szCs w:val="18"/>
              </w:rPr>
              <w:t>pest</w:t>
            </w:r>
            <w:r>
              <w:rPr>
                <w:rFonts w:eastAsia="Calibri" w:cs="Times New Roman"/>
                <w:sz w:val="18"/>
                <w:szCs w:val="18"/>
              </w:rPr>
              <w:t xml:space="preserve"> is</w:t>
            </w:r>
            <w:r w:rsidRPr="00576591">
              <w:rPr>
                <w:rFonts w:eastAsia="Calibri" w:cs="Times New Roman"/>
                <w:sz w:val="18"/>
                <w:szCs w:val="18"/>
              </w:rPr>
              <w:t xml:space="preserve"> highly unlikely </w:t>
            </w:r>
            <w:r>
              <w:rPr>
                <w:rFonts w:eastAsia="Calibri" w:cs="Times New Roman"/>
                <w:sz w:val="18"/>
                <w:szCs w:val="18"/>
              </w:rPr>
              <w:t xml:space="preserve">to be found on </w:t>
            </w:r>
            <w:r w:rsidRPr="00576591">
              <w:rPr>
                <w:rFonts w:eastAsia="Calibri" w:cs="Times New Roman"/>
                <w:sz w:val="18"/>
                <w:szCs w:val="18"/>
              </w:rPr>
              <w:t>commercially produced apples</w:t>
            </w:r>
            <w:r>
              <w:rPr>
                <w:rFonts w:eastAsia="Calibri" w:cs="Times New Roman"/>
                <w:sz w:val="18"/>
                <w:szCs w:val="18"/>
              </w:rPr>
              <w:t>.</w:t>
            </w:r>
          </w:p>
        </w:tc>
        <w:tc>
          <w:tcPr>
            <w:tcW w:w="2381" w:type="dxa"/>
            <w:shd w:val="clear" w:color="auto" w:fill="auto"/>
          </w:tcPr>
          <w:p w14:paraId="63D78374"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2211" w:type="dxa"/>
            <w:shd w:val="clear" w:color="auto" w:fill="auto"/>
          </w:tcPr>
          <w:p w14:paraId="5DDADF44"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1191" w:type="dxa"/>
            <w:shd w:val="clear" w:color="auto" w:fill="auto"/>
          </w:tcPr>
          <w:p w14:paraId="30B423A6"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w:t>
            </w:r>
          </w:p>
        </w:tc>
      </w:tr>
      <w:tr w:rsidR="003438A2" w:rsidRPr="007107BF" w14:paraId="15CD438F" w14:textId="77777777" w:rsidTr="00C4199F">
        <w:trPr>
          <w:cantSplit/>
          <w:trHeight w:val="75"/>
          <w:jc w:val="center"/>
        </w:trPr>
        <w:tc>
          <w:tcPr>
            <w:tcW w:w="2553" w:type="dxa"/>
            <w:shd w:val="clear" w:color="auto" w:fill="auto"/>
          </w:tcPr>
          <w:p w14:paraId="660BD3C1" w14:textId="77777777" w:rsidR="003438A2" w:rsidRDefault="003438A2" w:rsidP="00881E29">
            <w:pPr>
              <w:spacing w:before="60" w:after="60" w:line="240" w:lineRule="auto"/>
              <w:rPr>
                <w:rFonts w:eastAsia="Calibri" w:cs="Arial"/>
                <w:sz w:val="18"/>
                <w:szCs w:val="18"/>
              </w:rPr>
            </w:pPr>
            <w:r w:rsidRPr="00515213">
              <w:rPr>
                <w:rFonts w:eastAsia="Calibri" w:cs="Arial"/>
                <w:i/>
                <w:sz w:val="18"/>
                <w:szCs w:val="18"/>
              </w:rPr>
              <w:t xml:space="preserve">Archips podana </w:t>
            </w:r>
            <w:r w:rsidRPr="00515213">
              <w:rPr>
                <w:rFonts w:eastAsia="Calibri" w:cs="Arial"/>
                <w:sz w:val="18"/>
                <w:szCs w:val="18"/>
              </w:rPr>
              <w:t>(Scopoli, 1763)</w:t>
            </w:r>
          </w:p>
          <w:p w14:paraId="6EC78321" w14:textId="77777777" w:rsidR="003438A2" w:rsidRPr="00515213" w:rsidRDefault="003438A2" w:rsidP="00881E29">
            <w:pPr>
              <w:spacing w:before="60" w:after="60" w:line="240" w:lineRule="auto"/>
              <w:rPr>
                <w:rFonts w:eastAsia="Calibri" w:cs="Arial"/>
                <w:sz w:val="18"/>
                <w:szCs w:val="18"/>
              </w:rPr>
            </w:pPr>
            <w:r w:rsidRPr="00515213">
              <w:rPr>
                <w:rFonts w:eastAsia="Calibri" w:cs="Arial"/>
                <w:sz w:val="18"/>
                <w:szCs w:val="18"/>
              </w:rPr>
              <w:t>[Tortricidae]</w:t>
            </w:r>
          </w:p>
          <w:p w14:paraId="76FE7807" w14:textId="77777777" w:rsidR="003438A2" w:rsidRPr="00515213" w:rsidRDefault="003438A2" w:rsidP="00881E29">
            <w:pPr>
              <w:spacing w:before="60" w:after="60" w:line="240" w:lineRule="auto"/>
              <w:rPr>
                <w:rFonts w:eastAsia="Calibri" w:cs="Times New Roman"/>
                <w:i/>
                <w:sz w:val="18"/>
                <w:szCs w:val="18"/>
                <w:lang w:val="pt-BR"/>
              </w:rPr>
            </w:pPr>
            <w:r w:rsidRPr="00515213">
              <w:rPr>
                <w:rFonts w:eastAsia="Calibri" w:cs="Arial"/>
                <w:sz w:val="18"/>
                <w:szCs w:val="18"/>
              </w:rPr>
              <w:t>Great brown twist moth, Large fruit tree tortrix</w:t>
            </w:r>
          </w:p>
        </w:tc>
        <w:tc>
          <w:tcPr>
            <w:tcW w:w="1474" w:type="dxa"/>
            <w:shd w:val="clear" w:color="auto" w:fill="auto"/>
          </w:tcPr>
          <w:p w14:paraId="1B4FAC3E" w14:textId="77777777" w:rsidR="003438A2" w:rsidRDefault="003438A2" w:rsidP="003724B1">
            <w:pPr>
              <w:pStyle w:val="TableText"/>
            </w:pPr>
            <w:r w:rsidRPr="00515213">
              <w:rPr>
                <w:rFonts w:eastAsia="Calibri" w:cs="Arial"/>
                <w:szCs w:val="18"/>
              </w:rPr>
              <w:t xml:space="preserve">Yes. </w:t>
            </w:r>
            <w:r>
              <w:rPr>
                <w:rFonts w:eastAsia="Calibri" w:cs="Arial"/>
                <w:szCs w:val="18"/>
              </w:rPr>
              <w:t>Present in</w:t>
            </w:r>
            <w:r w:rsidRPr="00515213">
              <w:rPr>
                <w:rFonts w:eastAsia="Calibri" w:cs="Arial"/>
                <w:szCs w:val="18"/>
              </w:rPr>
              <w:t xml:space="preserve"> WA</w:t>
            </w:r>
            <w:r>
              <w:rPr>
                <w:rFonts w:eastAsia="Calibri" w:cs="Arial"/>
                <w:szCs w:val="18"/>
              </w:rPr>
              <w:t xml:space="preserve"> </w:t>
            </w:r>
            <w:r>
              <w:rPr>
                <w:noProof/>
              </w:rPr>
              <w:t>(CABI 2022)</w:t>
            </w:r>
          </w:p>
          <w:p w14:paraId="5A8F7833" w14:textId="77777777" w:rsidR="003438A2" w:rsidRDefault="003438A2" w:rsidP="00321810">
            <w:pPr>
              <w:spacing w:before="60" w:after="60" w:line="240" w:lineRule="auto"/>
              <w:rPr>
                <w:rFonts w:eastAsia="Times New Roman" w:cs="Calibri"/>
                <w:color w:val="000000"/>
                <w:sz w:val="18"/>
                <w:szCs w:val="18"/>
                <w:lang w:eastAsia="en-AU"/>
              </w:rPr>
            </w:pPr>
          </w:p>
          <w:p w14:paraId="4D0326C6" w14:textId="77777777" w:rsidR="003438A2" w:rsidRPr="00515213" w:rsidRDefault="003438A2" w:rsidP="00321810">
            <w:pPr>
              <w:spacing w:before="60" w:after="60" w:line="240" w:lineRule="auto"/>
              <w:rPr>
                <w:rFonts w:eastAsia="Calibri" w:cs="Times New Roman"/>
                <w:sz w:val="18"/>
                <w:szCs w:val="18"/>
                <w:lang w:val="pt-BR"/>
              </w:rPr>
            </w:pPr>
          </w:p>
        </w:tc>
        <w:tc>
          <w:tcPr>
            <w:tcW w:w="1474" w:type="dxa"/>
            <w:shd w:val="clear" w:color="auto" w:fill="auto"/>
          </w:tcPr>
          <w:p w14:paraId="0CF36980"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Arial"/>
                <w:sz w:val="18"/>
                <w:szCs w:val="18"/>
              </w:rPr>
              <w:t xml:space="preserve">No </w:t>
            </w:r>
            <w:r w:rsidRPr="007107BF">
              <w:rPr>
                <w:rFonts w:eastAsia="Calibri" w:cs="Times New Roman"/>
                <w:sz w:val="18"/>
                <w:szCs w:val="18"/>
              </w:rPr>
              <w:t>records found</w:t>
            </w:r>
          </w:p>
        </w:tc>
        <w:tc>
          <w:tcPr>
            <w:tcW w:w="2552" w:type="dxa"/>
            <w:shd w:val="clear" w:color="auto" w:fill="auto"/>
          </w:tcPr>
          <w:p w14:paraId="712318BB" w14:textId="77777777" w:rsidR="003438A2" w:rsidRPr="007107BF" w:rsidRDefault="003438A2" w:rsidP="00881E29">
            <w:pPr>
              <w:spacing w:before="60" w:after="60" w:line="240" w:lineRule="auto"/>
              <w:rPr>
                <w:rFonts w:eastAsia="Calibri" w:cs="Times New Roman"/>
                <w:sz w:val="18"/>
                <w:szCs w:val="18"/>
              </w:rPr>
            </w:pPr>
            <w:r w:rsidRPr="00646CF1">
              <w:rPr>
                <w:rStyle w:val="TableTextChar"/>
              </w:rPr>
              <w:t xml:space="preserve">Yes. An introduced European species. Attacks leaves and buds early in the season; later in the season, early instar larvae can cause skin damage to mature fruit (Dickler 1991). Eggs are laid in batches on the upper surface of leaves and larvae continue to feed on the fruit </w:t>
            </w:r>
            <w:r w:rsidRPr="00646CF1">
              <w:rPr>
                <w:rStyle w:val="TableTextChar"/>
                <w:noProof/>
              </w:rPr>
              <w:t>(Cuthbertson &amp; Murchie 2005)</w:t>
            </w:r>
            <w:r w:rsidRPr="00646CF1">
              <w:rPr>
                <w:rStyle w:val="TableTextChar"/>
              </w:rPr>
              <w:t>. Third instar larvae hibernate in a cocoon at the base of the leaves or at a branch axil on rolled leaves (Wiman &amp; Stoven 2022)</w:t>
            </w:r>
            <w:r>
              <w:rPr>
                <w:rFonts w:eastAsia="Calibri" w:cs="Arial"/>
                <w:sz w:val="18"/>
                <w:szCs w:val="18"/>
              </w:rPr>
              <w:t>.</w:t>
            </w:r>
          </w:p>
        </w:tc>
        <w:tc>
          <w:tcPr>
            <w:tcW w:w="2381" w:type="dxa"/>
            <w:shd w:val="clear" w:color="auto" w:fill="auto"/>
          </w:tcPr>
          <w:p w14:paraId="6A78B7D7" w14:textId="77777777" w:rsidR="003438A2" w:rsidRPr="006419AD" w:rsidRDefault="003438A2" w:rsidP="000C466A">
            <w:pPr>
              <w:pStyle w:val="TableText"/>
            </w:pPr>
            <w:r w:rsidRPr="007107BF">
              <w:t>Yes. Wide host range feeding on the foliage, flowers and fruit of a wide variety of deciduous trees, including apple (</w:t>
            </w:r>
            <w:r w:rsidRPr="007107BF">
              <w:rPr>
                <w:i/>
              </w:rPr>
              <w:t>Malus</w:t>
            </w:r>
            <w:r w:rsidRPr="007107BF">
              <w:t>), pear (</w:t>
            </w:r>
            <w:r w:rsidRPr="007107BF">
              <w:rPr>
                <w:i/>
              </w:rPr>
              <w:t>Pyrus</w:t>
            </w:r>
            <w:r w:rsidRPr="007107BF">
              <w:t>), plum, cherry, apricot (</w:t>
            </w:r>
            <w:r w:rsidRPr="007107BF">
              <w:rPr>
                <w:i/>
              </w:rPr>
              <w:t>Prunus</w:t>
            </w:r>
            <w:r w:rsidRPr="007107BF">
              <w:t xml:space="preserve"> spp.), blackthorn (</w:t>
            </w:r>
            <w:r w:rsidRPr="007107BF">
              <w:rPr>
                <w:i/>
              </w:rPr>
              <w:t>Prunus spinosa</w:t>
            </w:r>
            <w:r w:rsidRPr="007107BF">
              <w:t>), black currant (</w:t>
            </w:r>
            <w:r w:rsidRPr="007107BF">
              <w:rPr>
                <w:i/>
              </w:rPr>
              <w:t>Ribes nigrum</w:t>
            </w:r>
            <w:r w:rsidRPr="007107BF">
              <w:t>), raspberry (</w:t>
            </w:r>
            <w:r w:rsidRPr="007107BF">
              <w:rPr>
                <w:i/>
              </w:rPr>
              <w:t>Rubus</w:t>
            </w:r>
            <w:r w:rsidRPr="007107BF">
              <w:t>), hop (</w:t>
            </w:r>
            <w:r w:rsidRPr="007107BF">
              <w:rPr>
                <w:i/>
              </w:rPr>
              <w:t>Humulus lupulus</w:t>
            </w:r>
            <w:r w:rsidRPr="007107BF">
              <w:t>), rhododendron (</w:t>
            </w:r>
            <w:r w:rsidRPr="007107BF">
              <w:rPr>
                <w:i/>
              </w:rPr>
              <w:t>Rhododendron</w:t>
            </w:r>
            <w:r w:rsidRPr="007107BF">
              <w:t>), rose (</w:t>
            </w:r>
            <w:r w:rsidRPr="007107BF">
              <w:rPr>
                <w:i/>
              </w:rPr>
              <w:t>Rosa</w:t>
            </w:r>
            <w:r w:rsidRPr="007107BF">
              <w:t>) and occasionally conifers</w:t>
            </w:r>
            <w:r>
              <w:t xml:space="preserve"> </w:t>
            </w:r>
            <w:r>
              <w:rPr>
                <w:noProof/>
              </w:rPr>
              <w:t>(BugGuide 2022; Kimber 2022)</w:t>
            </w:r>
            <w:r>
              <w:t xml:space="preserve">. </w:t>
            </w:r>
          </w:p>
          <w:p w14:paraId="3431A153" w14:textId="77777777" w:rsidR="003438A2" w:rsidRPr="007107BF" w:rsidRDefault="003438A2" w:rsidP="000C466A">
            <w:pPr>
              <w:pStyle w:val="TableText"/>
              <w:rPr>
                <w:rFonts w:cs="Times New Roman"/>
              </w:rPr>
            </w:pPr>
            <w:r w:rsidRPr="007107BF">
              <w:t>It is an introduced species widely distributed across Europe, Canada, and</w:t>
            </w:r>
            <w:r>
              <w:t xml:space="preserve"> USA </w:t>
            </w:r>
            <w:r w:rsidRPr="007107BF">
              <w:t xml:space="preserve">with environments similar to those found in </w:t>
            </w:r>
            <w:r>
              <w:t xml:space="preserve">parts of </w:t>
            </w:r>
            <w:r w:rsidRPr="007107BF">
              <w:t xml:space="preserve">Australia </w:t>
            </w:r>
            <w:r>
              <w:rPr>
                <w:noProof/>
              </w:rPr>
              <w:t>(CABI 2019; Safonkin &amp; Triseleva 2005)</w:t>
            </w:r>
            <w:r>
              <w:t>.</w:t>
            </w:r>
          </w:p>
        </w:tc>
        <w:tc>
          <w:tcPr>
            <w:tcW w:w="2211" w:type="dxa"/>
            <w:shd w:val="clear" w:color="auto" w:fill="auto"/>
          </w:tcPr>
          <w:p w14:paraId="6F06CE68"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Arial"/>
                <w:sz w:val="18"/>
                <w:szCs w:val="18"/>
              </w:rPr>
              <w:t xml:space="preserve">Yes. Larval feeding on fruit reduces marketability </w:t>
            </w:r>
            <w:r>
              <w:rPr>
                <w:rFonts w:eastAsia="Calibri" w:cs="Arial"/>
                <w:noProof/>
                <w:sz w:val="18"/>
                <w:szCs w:val="18"/>
              </w:rPr>
              <w:t>(CABI 2019)</w:t>
            </w:r>
            <w:r w:rsidRPr="007107BF">
              <w:rPr>
                <w:rFonts w:eastAsia="Calibri" w:cs="Arial"/>
                <w:sz w:val="18"/>
                <w:szCs w:val="18"/>
              </w:rPr>
              <w:t>. I</w:t>
            </w:r>
            <w:r>
              <w:rPr>
                <w:rFonts w:eastAsia="Calibri" w:cs="Arial"/>
                <w:sz w:val="18"/>
                <w:szCs w:val="18"/>
              </w:rPr>
              <w:t>t i</w:t>
            </w:r>
            <w:r w:rsidRPr="007107BF">
              <w:rPr>
                <w:rFonts w:eastAsia="Calibri" w:cs="Arial"/>
                <w:sz w:val="18"/>
                <w:szCs w:val="18"/>
              </w:rPr>
              <w:t xml:space="preserve">s considered one of the most harmful leafroller moths on apples and other fruit trees </w:t>
            </w:r>
            <w:r>
              <w:rPr>
                <w:rFonts w:eastAsia="Calibri" w:cs="Arial"/>
                <w:noProof/>
                <w:sz w:val="18"/>
                <w:szCs w:val="18"/>
              </w:rPr>
              <w:t>(Tesanovic &amp; Spasic 2013)</w:t>
            </w:r>
            <w:r>
              <w:rPr>
                <w:rFonts w:eastAsia="Calibri" w:cs="Arial"/>
                <w:sz w:val="18"/>
                <w:szCs w:val="18"/>
              </w:rPr>
              <w:t>.</w:t>
            </w:r>
          </w:p>
        </w:tc>
        <w:tc>
          <w:tcPr>
            <w:tcW w:w="1191" w:type="dxa"/>
            <w:shd w:val="clear" w:color="auto" w:fill="auto"/>
          </w:tcPr>
          <w:p w14:paraId="73296324" w14:textId="77777777" w:rsidR="003438A2" w:rsidRPr="007107BF" w:rsidRDefault="003438A2" w:rsidP="00881E29">
            <w:pPr>
              <w:spacing w:before="60" w:after="60" w:line="240" w:lineRule="auto"/>
              <w:rPr>
                <w:rFonts w:eastAsia="Calibri" w:cs="Times New Roman"/>
                <w:sz w:val="18"/>
                <w:szCs w:val="18"/>
              </w:rPr>
            </w:pPr>
            <w:r w:rsidRPr="0065113C">
              <w:rPr>
                <w:rFonts w:eastAsia="Calibri" w:cs="Times New Roman"/>
                <w:sz w:val="18"/>
                <w:szCs w:val="18"/>
              </w:rPr>
              <w:t>Yes</w:t>
            </w:r>
            <w:r>
              <w:rPr>
                <w:rFonts w:eastAsia="Calibri" w:cs="Times New Roman"/>
                <w:sz w:val="18"/>
                <w:szCs w:val="18"/>
              </w:rPr>
              <w:t xml:space="preserve"> (EP)</w:t>
            </w:r>
          </w:p>
        </w:tc>
      </w:tr>
      <w:tr w:rsidR="003438A2" w:rsidRPr="007107BF" w14:paraId="224A4AF9" w14:textId="77777777" w:rsidTr="00C4199F">
        <w:trPr>
          <w:cantSplit/>
          <w:trHeight w:val="75"/>
          <w:jc w:val="center"/>
        </w:trPr>
        <w:tc>
          <w:tcPr>
            <w:tcW w:w="2553" w:type="dxa"/>
            <w:shd w:val="clear" w:color="auto" w:fill="auto"/>
          </w:tcPr>
          <w:p w14:paraId="7EA57294" w14:textId="77777777" w:rsidR="003438A2" w:rsidRPr="00515213" w:rsidRDefault="003438A2" w:rsidP="00881E29">
            <w:pPr>
              <w:spacing w:before="60" w:after="60" w:line="240" w:lineRule="auto"/>
              <w:rPr>
                <w:rFonts w:eastAsia="Calibri" w:cs="Arial"/>
                <w:sz w:val="18"/>
                <w:szCs w:val="18"/>
              </w:rPr>
            </w:pPr>
            <w:r w:rsidRPr="00515213">
              <w:rPr>
                <w:rFonts w:eastAsia="Calibri" w:cs="Arial"/>
                <w:i/>
                <w:sz w:val="18"/>
                <w:szCs w:val="18"/>
              </w:rPr>
              <w:lastRenderedPageBreak/>
              <w:t>Archips rosana</w:t>
            </w:r>
            <w:r>
              <w:rPr>
                <w:rFonts w:eastAsia="Calibri" w:cs="Arial"/>
                <w:sz w:val="18"/>
                <w:szCs w:val="18"/>
              </w:rPr>
              <w:t xml:space="preserve"> (Linnaeus, 1758)</w:t>
            </w:r>
          </w:p>
          <w:p w14:paraId="2C29895C" w14:textId="77777777" w:rsidR="003438A2" w:rsidRPr="00515213" w:rsidRDefault="003438A2" w:rsidP="00881E29">
            <w:pPr>
              <w:spacing w:before="60" w:after="60" w:line="240" w:lineRule="auto"/>
              <w:rPr>
                <w:rFonts w:eastAsia="Calibri" w:cs="Arial"/>
                <w:sz w:val="18"/>
                <w:szCs w:val="18"/>
              </w:rPr>
            </w:pPr>
            <w:r w:rsidRPr="00515213">
              <w:rPr>
                <w:rFonts w:eastAsia="Calibri" w:cs="Arial"/>
                <w:sz w:val="18"/>
                <w:szCs w:val="18"/>
              </w:rPr>
              <w:t xml:space="preserve">Synonym: </w:t>
            </w:r>
            <w:r w:rsidRPr="00515213">
              <w:rPr>
                <w:rFonts w:eastAsia="Calibri" w:cs="Arial"/>
                <w:i/>
                <w:sz w:val="18"/>
                <w:szCs w:val="18"/>
              </w:rPr>
              <w:t>Archips rosanus</w:t>
            </w:r>
            <w:r w:rsidRPr="00515213">
              <w:rPr>
                <w:rFonts w:eastAsia="Calibri" w:cs="Arial"/>
                <w:sz w:val="18"/>
                <w:szCs w:val="18"/>
              </w:rPr>
              <w:t xml:space="preserve"> (Linnaeus, 1758)</w:t>
            </w:r>
          </w:p>
          <w:p w14:paraId="50874FFC" w14:textId="77777777" w:rsidR="003438A2" w:rsidRPr="00515213" w:rsidRDefault="003438A2" w:rsidP="00881E29">
            <w:pPr>
              <w:spacing w:before="60" w:after="60" w:line="240" w:lineRule="auto"/>
              <w:rPr>
                <w:rFonts w:eastAsia="Calibri" w:cs="Arial"/>
                <w:sz w:val="18"/>
                <w:szCs w:val="18"/>
              </w:rPr>
            </w:pPr>
            <w:r w:rsidRPr="00515213">
              <w:rPr>
                <w:rFonts w:eastAsia="Calibri" w:cs="Arial"/>
                <w:sz w:val="18"/>
                <w:szCs w:val="18"/>
              </w:rPr>
              <w:t>[Tortricidae]</w:t>
            </w:r>
          </w:p>
          <w:p w14:paraId="72144DE9" w14:textId="77777777" w:rsidR="003438A2" w:rsidRPr="00515213" w:rsidRDefault="003438A2" w:rsidP="00881E29">
            <w:pPr>
              <w:spacing w:before="60" w:after="60" w:line="240" w:lineRule="auto"/>
              <w:rPr>
                <w:rFonts w:eastAsia="Calibri" w:cs="Times New Roman"/>
                <w:i/>
                <w:sz w:val="18"/>
                <w:szCs w:val="18"/>
                <w:lang w:val="pt-BR"/>
              </w:rPr>
            </w:pPr>
            <w:r w:rsidRPr="00515213">
              <w:rPr>
                <w:rFonts w:eastAsia="Calibri" w:cs="Arial"/>
                <w:sz w:val="18"/>
                <w:szCs w:val="18"/>
              </w:rPr>
              <w:t>European leafroller</w:t>
            </w:r>
          </w:p>
        </w:tc>
        <w:tc>
          <w:tcPr>
            <w:tcW w:w="1474" w:type="dxa"/>
            <w:shd w:val="clear" w:color="auto" w:fill="auto"/>
          </w:tcPr>
          <w:p w14:paraId="0FFDDBE8" w14:textId="77777777" w:rsidR="003438A2" w:rsidRPr="00515213" w:rsidRDefault="003438A2" w:rsidP="00881E29">
            <w:pPr>
              <w:spacing w:before="60" w:after="60" w:line="240" w:lineRule="auto"/>
              <w:rPr>
                <w:rFonts w:eastAsia="Calibri" w:cs="Times New Roman"/>
                <w:sz w:val="18"/>
                <w:szCs w:val="18"/>
                <w:lang w:val="pt-BR"/>
              </w:rPr>
            </w:pPr>
            <w:r w:rsidRPr="00515213">
              <w:rPr>
                <w:rFonts w:eastAsia="Calibri" w:cs="Arial"/>
                <w:sz w:val="18"/>
                <w:szCs w:val="18"/>
              </w:rPr>
              <w:t xml:space="preserve">Yes. </w:t>
            </w:r>
            <w:r>
              <w:rPr>
                <w:rFonts w:eastAsia="Calibri" w:cs="Arial"/>
                <w:sz w:val="18"/>
                <w:szCs w:val="18"/>
              </w:rPr>
              <w:t>Present in</w:t>
            </w:r>
            <w:r w:rsidRPr="00515213">
              <w:rPr>
                <w:rFonts w:eastAsia="Calibri" w:cs="Arial"/>
                <w:sz w:val="18"/>
                <w:szCs w:val="18"/>
              </w:rPr>
              <w:t xml:space="preserve"> OR</w:t>
            </w:r>
            <w:r>
              <w:rPr>
                <w:rFonts w:eastAsia="Calibri" w:cs="Arial"/>
                <w:sz w:val="18"/>
                <w:szCs w:val="18"/>
              </w:rPr>
              <w:t xml:space="preserve"> and</w:t>
            </w:r>
            <w:r w:rsidRPr="00515213">
              <w:rPr>
                <w:rFonts w:eastAsia="Calibri" w:cs="Arial"/>
                <w:sz w:val="18"/>
                <w:szCs w:val="18"/>
              </w:rPr>
              <w:t xml:space="preserve"> WA </w:t>
            </w:r>
            <w:r>
              <w:rPr>
                <w:rFonts w:eastAsia="Calibri" w:cs="Arial"/>
                <w:noProof/>
                <w:sz w:val="18"/>
                <w:szCs w:val="18"/>
              </w:rPr>
              <w:t>(APHIS 2007; Berry 1998b; Hollingsworth 2008)</w:t>
            </w:r>
          </w:p>
        </w:tc>
        <w:tc>
          <w:tcPr>
            <w:tcW w:w="1474" w:type="dxa"/>
            <w:shd w:val="clear" w:color="auto" w:fill="auto"/>
          </w:tcPr>
          <w:p w14:paraId="18EA1B4A"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records found</w:t>
            </w:r>
          </w:p>
        </w:tc>
        <w:tc>
          <w:tcPr>
            <w:tcW w:w="2552" w:type="dxa"/>
            <w:shd w:val="clear" w:color="auto" w:fill="auto"/>
          </w:tcPr>
          <w:p w14:paraId="6825AEB6"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 xml:space="preserve">Yes. A native American species whose larvae primarily feed on foliage but also on fruit </w:t>
            </w:r>
            <w:r>
              <w:rPr>
                <w:rFonts w:eastAsia="Calibri" w:cs="Times New Roman"/>
                <w:noProof/>
                <w:sz w:val="18"/>
                <w:szCs w:val="18"/>
              </w:rPr>
              <w:t>(Brunner 1993)</w:t>
            </w:r>
            <w:r w:rsidRPr="007107BF">
              <w:rPr>
                <w:rFonts w:eastAsia="Calibri" w:cs="Times New Roman"/>
                <w:sz w:val="18"/>
                <w:szCs w:val="18"/>
              </w:rPr>
              <w:t xml:space="preserve">. Eggs are deposited on bark of host plants; feeding on apple results in the formation of russeted, badly misshapen and unmarketable fruit </w:t>
            </w:r>
            <w:r>
              <w:rPr>
                <w:noProof/>
                <w:sz w:val="18"/>
                <w:szCs w:val="18"/>
              </w:rPr>
              <w:t>(Meijerman &amp; Ulenberg 2000)</w:t>
            </w:r>
            <w:r w:rsidRPr="00BB2DE8">
              <w:rPr>
                <w:rFonts w:eastAsia="Calibri" w:cs="Times New Roman"/>
                <w:sz w:val="18"/>
                <w:szCs w:val="18"/>
              </w:rPr>
              <w:t>. Early</w:t>
            </w:r>
            <w:r w:rsidRPr="007107BF">
              <w:rPr>
                <w:rFonts w:eastAsia="Calibri" w:cs="Times New Roman"/>
                <w:sz w:val="18"/>
                <w:szCs w:val="18"/>
              </w:rPr>
              <w:t xml:space="preserve"> instar larvae cause skin damage to mature </w:t>
            </w:r>
            <w:r>
              <w:rPr>
                <w:rFonts w:eastAsia="Calibri" w:cs="Times New Roman"/>
                <w:sz w:val="18"/>
                <w:szCs w:val="18"/>
              </w:rPr>
              <w:t>fruit</w:t>
            </w:r>
            <w:r w:rsidRPr="007107BF">
              <w:rPr>
                <w:rFonts w:eastAsia="Calibri" w:cs="Times New Roman"/>
                <w:sz w:val="18"/>
                <w:szCs w:val="18"/>
              </w:rPr>
              <w:t xml:space="preserve"> </w:t>
            </w:r>
            <w:r>
              <w:rPr>
                <w:rFonts w:eastAsia="Calibri" w:cs="Times New Roman"/>
                <w:noProof/>
                <w:sz w:val="18"/>
                <w:szCs w:val="18"/>
              </w:rPr>
              <w:t>(Dickler 1991)</w:t>
            </w:r>
            <w:r w:rsidRPr="007107BF">
              <w:rPr>
                <w:rFonts w:eastAsia="Calibri" w:cs="Times New Roman"/>
                <w:sz w:val="18"/>
                <w:szCs w:val="18"/>
              </w:rPr>
              <w:t xml:space="preserve"> and </w:t>
            </w:r>
            <w:r>
              <w:rPr>
                <w:rFonts w:eastAsia="Calibri" w:cs="Times New Roman"/>
                <w:sz w:val="18"/>
                <w:szCs w:val="18"/>
              </w:rPr>
              <w:t>fruit</w:t>
            </w:r>
            <w:r w:rsidRPr="007107BF">
              <w:rPr>
                <w:rFonts w:eastAsia="Calibri" w:cs="Times New Roman"/>
                <w:sz w:val="18"/>
                <w:szCs w:val="18"/>
              </w:rPr>
              <w:t xml:space="preserve"> in contact with leaves are nibbled quite deeply in</w:t>
            </w:r>
            <w:r>
              <w:rPr>
                <w:rFonts w:eastAsia="Calibri" w:cs="Times New Roman"/>
                <w:sz w:val="18"/>
                <w:szCs w:val="18"/>
              </w:rPr>
              <w:t xml:space="preserve"> spring</w:t>
            </w:r>
            <w:r w:rsidRPr="007107BF">
              <w:rPr>
                <w:rFonts w:eastAsia="Calibri" w:cs="Times New Roman"/>
                <w:sz w:val="18"/>
                <w:szCs w:val="18"/>
              </w:rPr>
              <w:t xml:space="preserve"> in Europe</w:t>
            </w:r>
            <w:r>
              <w:rPr>
                <w:rFonts w:eastAsia="Calibri" w:cs="Times New Roman"/>
                <w:sz w:val="18"/>
                <w:szCs w:val="18"/>
              </w:rPr>
              <w:t>.</w:t>
            </w:r>
          </w:p>
        </w:tc>
        <w:tc>
          <w:tcPr>
            <w:tcW w:w="2381" w:type="dxa"/>
            <w:shd w:val="clear" w:color="auto" w:fill="auto"/>
          </w:tcPr>
          <w:p w14:paraId="08AC6B3D"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Yes. Wide host range</w:t>
            </w:r>
            <w:r>
              <w:rPr>
                <w:rFonts w:eastAsia="Calibri" w:cs="Times New Roman"/>
                <w:sz w:val="18"/>
                <w:szCs w:val="18"/>
              </w:rPr>
              <w:t>,</w:t>
            </w:r>
            <w:r w:rsidRPr="007107BF">
              <w:rPr>
                <w:rFonts w:eastAsia="Calibri" w:cs="Times New Roman"/>
                <w:sz w:val="18"/>
                <w:szCs w:val="18"/>
              </w:rPr>
              <w:t xml:space="preserve"> the primary hosts being apple (</w:t>
            </w:r>
            <w:r w:rsidRPr="007107BF">
              <w:rPr>
                <w:rFonts w:eastAsia="Calibri" w:cs="Times New Roman"/>
                <w:i/>
                <w:sz w:val="18"/>
                <w:szCs w:val="18"/>
              </w:rPr>
              <w:t>Malus</w:t>
            </w:r>
            <w:r w:rsidRPr="007107BF">
              <w:rPr>
                <w:rFonts w:eastAsia="Calibri" w:cs="Times New Roman"/>
                <w:sz w:val="18"/>
                <w:szCs w:val="18"/>
              </w:rPr>
              <w:t>), pear (</w:t>
            </w:r>
            <w:r w:rsidRPr="007107BF">
              <w:rPr>
                <w:rFonts w:eastAsia="Calibri" w:cs="Times New Roman"/>
                <w:i/>
                <w:sz w:val="18"/>
                <w:szCs w:val="18"/>
              </w:rPr>
              <w:t>Pyrus</w:t>
            </w:r>
            <w:r w:rsidRPr="007107BF">
              <w:rPr>
                <w:rFonts w:eastAsia="Calibri" w:cs="Times New Roman"/>
                <w:sz w:val="18"/>
                <w:szCs w:val="18"/>
              </w:rPr>
              <w:t>), hawthorn (</w:t>
            </w:r>
            <w:r w:rsidRPr="007107BF">
              <w:rPr>
                <w:rFonts w:eastAsia="Calibri" w:cs="Times New Roman"/>
                <w:i/>
                <w:sz w:val="18"/>
                <w:szCs w:val="18"/>
              </w:rPr>
              <w:t>Crataegus</w:t>
            </w:r>
            <w:r w:rsidRPr="007107BF">
              <w:rPr>
                <w:rFonts w:eastAsia="Calibri" w:cs="Times New Roman"/>
                <w:sz w:val="18"/>
                <w:szCs w:val="18"/>
              </w:rPr>
              <w:t>), cherry, plum (</w:t>
            </w:r>
            <w:r w:rsidRPr="007107BF">
              <w:rPr>
                <w:rFonts w:eastAsia="Calibri" w:cs="Times New Roman"/>
                <w:i/>
                <w:sz w:val="18"/>
                <w:szCs w:val="18"/>
              </w:rPr>
              <w:t>Prunus</w:t>
            </w:r>
            <w:r w:rsidRPr="007107BF">
              <w:rPr>
                <w:rFonts w:eastAsia="Calibri" w:cs="Times New Roman"/>
                <w:sz w:val="18"/>
                <w:szCs w:val="18"/>
              </w:rPr>
              <w:t xml:space="preserve"> spp.) currant (</w:t>
            </w:r>
            <w:r w:rsidRPr="007107BF">
              <w:rPr>
                <w:rFonts w:eastAsia="Calibri" w:cs="Times New Roman"/>
                <w:i/>
                <w:sz w:val="18"/>
                <w:szCs w:val="18"/>
              </w:rPr>
              <w:t>Ribes</w:t>
            </w:r>
            <w:r w:rsidRPr="007107BF">
              <w:rPr>
                <w:rFonts w:eastAsia="Calibri" w:cs="Times New Roman"/>
                <w:sz w:val="18"/>
                <w:szCs w:val="18"/>
              </w:rPr>
              <w:t>) as well as privet (</w:t>
            </w:r>
            <w:r w:rsidRPr="007107BF">
              <w:rPr>
                <w:rFonts w:eastAsia="Calibri" w:cs="Times New Roman"/>
                <w:i/>
                <w:sz w:val="18"/>
                <w:szCs w:val="18"/>
              </w:rPr>
              <w:t>Ligustrum</w:t>
            </w:r>
            <w:r w:rsidRPr="007107BF">
              <w:rPr>
                <w:rFonts w:eastAsia="Calibri" w:cs="Times New Roman"/>
                <w:sz w:val="18"/>
                <w:szCs w:val="18"/>
              </w:rPr>
              <w:t>)</w:t>
            </w:r>
            <w:r>
              <w:rPr>
                <w:rFonts w:eastAsia="Calibri" w:cs="Times New Roman"/>
                <w:sz w:val="18"/>
                <w:szCs w:val="18"/>
              </w:rPr>
              <w:t>,</w:t>
            </w:r>
            <w:r w:rsidRPr="007107BF">
              <w:rPr>
                <w:rFonts w:eastAsia="Calibri" w:cs="Times New Roman"/>
                <w:sz w:val="18"/>
                <w:szCs w:val="18"/>
              </w:rPr>
              <w:t xml:space="preserve"> and widely distributed across Europe and localised areas in North America with environments similar to those in</w:t>
            </w:r>
            <w:r>
              <w:rPr>
                <w:rFonts w:eastAsia="Calibri" w:cs="Times New Roman"/>
                <w:sz w:val="18"/>
                <w:szCs w:val="18"/>
              </w:rPr>
              <w:t xml:space="preserve"> parts of</w:t>
            </w:r>
            <w:r w:rsidRPr="007107BF">
              <w:rPr>
                <w:rFonts w:eastAsia="Calibri" w:cs="Times New Roman"/>
                <w:sz w:val="18"/>
                <w:szCs w:val="18"/>
              </w:rPr>
              <w:t xml:space="preserve"> Australia </w:t>
            </w:r>
            <w:r>
              <w:rPr>
                <w:rFonts w:eastAsia="Calibri" w:cs="Times New Roman"/>
                <w:noProof/>
                <w:sz w:val="18"/>
                <w:szCs w:val="18"/>
              </w:rPr>
              <w:t>(Brunner 1993; CABI 2019)</w:t>
            </w:r>
            <w:r>
              <w:rPr>
                <w:rFonts w:eastAsia="Calibri" w:cs="Times New Roman"/>
                <w:sz w:val="18"/>
                <w:szCs w:val="18"/>
              </w:rPr>
              <w:t>.</w:t>
            </w:r>
          </w:p>
        </w:tc>
        <w:tc>
          <w:tcPr>
            <w:tcW w:w="2211" w:type="dxa"/>
            <w:shd w:val="clear" w:color="auto" w:fill="auto"/>
          </w:tcPr>
          <w:p w14:paraId="599AC4F2" w14:textId="77777777" w:rsidR="003438A2" w:rsidRPr="007107BF" w:rsidRDefault="003438A2" w:rsidP="006315DA">
            <w:pPr>
              <w:pStyle w:val="TableText"/>
            </w:pPr>
            <w:r w:rsidRPr="007107BF">
              <w:t xml:space="preserve">Yes. Larvae feed </w:t>
            </w:r>
            <w:r>
              <w:t>o</w:t>
            </w:r>
            <w:r w:rsidRPr="007107BF">
              <w:t>n buds resulting in fruit loss</w:t>
            </w:r>
            <w:r>
              <w:t xml:space="preserve"> </w:t>
            </w:r>
            <w:r>
              <w:rPr>
                <w:noProof/>
              </w:rPr>
              <w:t>(Brunner 1993; CABI 2019)</w:t>
            </w:r>
            <w:r w:rsidRPr="007107BF">
              <w:t xml:space="preserve">. Damage is frequent on apple and pear; incisions on the bud peduncle lead to premature drop and feeding on fruit can be quite deep resulting in markedly deformed </w:t>
            </w:r>
            <w:r>
              <w:t xml:space="preserve">fruit </w:t>
            </w:r>
            <w:r>
              <w:rPr>
                <w:noProof/>
              </w:rPr>
              <w:t>(Wiman &amp; Stoven 2022).</w:t>
            </w:r>
            <w:r>
              <w:t xml:space="preserve"> Larvae also feed on leaves and roll them.</w:t>
            </w:r>
          </w:p>
        </w:tc>
        <w:tc>
          <w:tcPr>
            <w:tcW w:w="1191" w:type="dxa"/>
            <w:shd w:val="clear" w:color="auto" w:fill="auto"/>
          </w:tcPr>
          <w:p w14:paraId="21826430" w14:textId="77777777" w:rsidR="003438A2" w:rsidRPr="007107BF" w:rsidRDefault="003438A2" w:rsidP="00881E29">
            <w:pPr>
              <w:spacing w:before="60" w:after="60" w:line="240" w:lineRule="auto"/>
              <w:rPr>
                <w:rFonts w:eastAsia="Calibri" w:cs="Times New Roman"/>
                <w:sz w:val="18"/>
                <w:szCs w:val="18"/>
              </w:rPr>
            </w:pPr>
            <w:r w:rsidRPr="0065113C">
              <w:rPr>
                <w:rFonts w:eastAsia="Calibri" w:cs="Times New Roman"/>
                <w:sz w:val="18"/>
                <w:szCs w:val="18"/>
              </w:rPr>
              <w:t>Yes</w:t>
            </w:r>
            <w:r>
              <w:rPr>
                <w:rFonts w:eastAsia="Calibri" w:cs="Times New Roman"/>
                <w:sz w:val="18"/>
                <w:szCs w:val="18"/>
              </w:rPr>
              <w:t xml:space="preserve"> (EP)</w:t>
            </w:r>
          </w:p>
        </w:tc>
      </w:tr>
      <w:tr w:rsidR="003438A2" w:rsidRPr="007107BF" w14:paraId="59618B4B" w14:textId="77777777" w:rsidTr="00C4199F">
        <w:trPr>
          <w:cantSplit/>
          <w:trHeight w:val="75"/>
          <w:jc w:val="center"/>
        </w:trPr>
        <w:tc>
          <w:tcPr>
            <w:tcW w:w="2553" w:type="dxa"/>
            <w:shd w:val="clear" w:color="auto" w:fill="auto"/>
          </w:tcPr>
          <w:p w14:paraId="172AFB84" w14:textId="77777777" w:rsidR="003438A2" w:rsidRPr="00515213" w:rsidRDefault="003438A2" w:rsidP="00881E29">
            <w:pPr>
              <w:spacing w:before="60" w:after="60" w:line="240" w:lineRule="auto"/>
              <w:rPr>
                <w:rFonts w:eastAsia="Calibri" w:cs="Arial"/>
                <w:sz w:val="18"/>
                <w:szCs w:val="18"/>
              </w:rPr>
            </w:pPr>
            <w:r w:rsidRPr="00515213">
              <w:rPr>
                <w:rFonts w:eastAsia="Calibri" w:cs="Arial"/>
                <w:i/>
                <w:sz w:val="18"/>
                <w:szCs w:val="18"/>
              </w:rPr>
              <w:t xml:space="preserve">Argyresthia conjugella </w:t>
            </w:r>
            <w:r w:rsidRPr="00515213">
              <w:rPr>
                <w:rFonts w:eastAsia="Calibri" w:cs="Arial"/>
                <w:sz w:val="18"/>
                <w:szCs w:val="18"/>
              </w:rPr>
              <w:t>(Zeller, 1839</w:t>
            </w:r>
          </w:p>
          <w:p w14:paraId="66FFAE40" w14:textId="77777777" w:rsidR="003438A2" w:rsidRPr="00515213" w:rsidRDefault="003438A2" w:rsidP="00881E29">
            <w:pPr>
              <w:spacing w:before="60" w:after="60" w:line="240" w:lineRule="auto"/>
              <w:rPr>
                <w:rFonts w:eastAsia="Calibri" w:cs="Arial"/>
                <w:sz w:val="18"/>
                <w:szCs w:val="18"/>
              </w:rPr>
            </w:pPr>
            <w:r w:rsidRPr="00515213">
              <w:rPr>
                <w:rFonts w:eastAsia="Calibri" w:cs="Arial"/>
                <w:sz w:val="18"/>
                <w:szCs w:val="18"/>
              </w:rPr>
              <w:t>[Yponomeutidae]</w:t>
            </w:r>
          </w:p>
          <w:p w14:paraId="79CCA909" w14:textId="77777777" w:rsidR="003438A2" w:rsidRPr="00515213" w:rsidRDefault="003438A2" w:rsidP="00881E29">
            <w:pPr>
              <w:spacing w:before="60" w:after="60" w:line="240" w:lineRule="auto"/>
              <w:rPr>
                <w:rFonts w:eastAsia="Calibri" w:cs="Times New Roman"/>
                <w:i/>
                <w:sz w:val="18"/>
                <w:szCs w:val="18"/>
                <w:lang w:val="pt-BR"/>
              </w:rPr>
            </w:pPr>
            <w:r w:rsidRPr="00515213">
              <w:rPr>
                <w:rFonts w:eastAsia="Calibri" w:cs="Arial"/>
                <w:sz w:val="18"/>
                <w:szCs w:val="18"/>
              </w:rPr>
              <w:t>Apple fruit moth</w:t>
            </w:r>
          </w:p>
        </w:tc>
        <w:tc>
          <w:tcPr>
            <w:tcW w:w="1474" w:type="dxa"/>
            <w:shd w:val="clear" w:color="auto" w:fill="auto"/>
          </w:tcPr>
          <w:p w14:paraId="3B7DABAA" w14:textId="77777777" w:rsidR="003438A2" w:rsidRPr="00515213" w:rsidRDefault="003438A2" w:rsidP="00A4322D">
            <w:pPr>
              <w:pStyle w:val="TableText"/>
              <w:rPr>
                <w:rFonts w:eastAsia="Calibri" w:cs="Times New Roman"/>
                <w:szCs w:val="18"/>
                <w:lang w:val="pt-BR"/>
              </w:rPr>
            </w:pPr>
            <w:r w:rsidRPr="00515213">
              <w:rPr>
                <w:rFonts w:eastAsia="Calibri" w:cs="Arial"/>
                <w:szCs w:val="18"/>
              </w:rPr>
              <w:t xml:space="preserve">Yes. </w:t>
            </w:r>
            <w:r>
              <w:rPr>
                <w:rFonts w:eastAsia="Calibri" w:cs="Arial"/>
                <w:szCs w:val="18"/>
              </w:rPr>
              <w:t>Present in</w:t>
            </w:r>
            <w:r w:rsidRPr="00515213">
              <w:rPr>
                <w:rFonts w:eastAsia="Calibri" w:cs="Arial"/>
                <w:szCs w:val="18"/>
              </w:rPr>
              <w:t xml:space="preserve"> WA</w:t>
            </w:r>
            <w:r>
              <w:rPr>
                <w:rFonts w:eastAsia="Calibri" w:cs="Arial"/>
                <w:szCs w:val="18"/>
              </w:rPr>
              <w:t xml:space="preserve"> </w:t>
            </w:r>
            <w:bookmarkStart w:id="544" w:name="_Hlk111724513"/>
            <w:r>
              <w:rPr>
                <w:noProof/>
              </w:rPr>
              <w:t>(LaGasa 2008)</w:t>
            </w:r>
            <w:bookmarkEnd w:id="544"/>
            <w:r w:rsidDel="00A4322D">
              <w:rPr>
                <w:rFonts w:eastAsia="Calibri" w:cs="Arial"/>
                <w:szCs w:val="18"/>
              </w:rPr>
              <w:t xml:space="preserve"> </w:t>
            </w:r>
          </w:p>
        </w:tc>
        <w:tc>
          <w:tcPr>
            <w:tcW w:w="1474" w:type="dxa"/>
            <w:shd w:val="clear" w:color="auto" w:fill="auto"/>
          </w:tcPr>
          <w:p w14:paraId="5F2F7A17"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records found</w:t>
            </w:r>
          </w:p>
        </w:tc>
        <w:tc>
          <w:tcPr>
            <w:tcW w:w="2552" w:type="dxa"/>
            <w:shd w:val="clear" w:color="auto" w:fill="auto"/>
          </w:tcPr>
          <w:p w14:paraId="3B6B9C52"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 xml:space="preserve">Yes. Eggs laid on surface of fruit </w:t>
            </w:r>
            <w:r>
              <w:rPr>
                <w:rFonts w:eastAsia="Calibri" w:cs="Times New Roman"/>
                <w:noProof/>
                <w:sz w:val="18"/>
                <w:szCs w:val="18"/>
              </w:rPr>
              <w:t>(Carter 1984)</w:t>
            </w:r>
            <w:r w:rsidRPr="007107BF">
              <w:rPr>
                <w:rFonts w:eastAsia="Calibri" w:cs="Times New Roman"/>
                <w:sz w:val="18"/>
                <w:szCs w:val="18"/>
              </w:rPr>
              <w:t xml:space="preserve">. Larvae tunnel through apple fruit causing sunken, discoloured patches on the skin, sometimes attacking pips and hollowing them out; pupates in cocoon under loose bark or amongst leaf-litter on the ground </w:t>
            </w:r>
            <w:r>
              <w:rPr>
                <w:rFonts w:eastAsia="Calibri" w:cs="Times New Roman"/>
                <w:noProof/>
                <w:sz w:val="18"/>
                <w:szCs w:val="18"/>
              </w:rPr>
              <w:t>(Carter 1984; Kimber 2009)</w:t>
            </w:r>
            <w:r>
              <w:rPr>
                <w:rFonts w:eastAsia="Calibri" w:cs="Times New Roman"/>
                <w:sz w:val="18"/>
                <w:szCs w:val="18"/>
              </w:rPr>
              <w:t>.</w:t>
            </w:r>
          </w:p>
        </w:tc>
        <w:tc>
          <w:tcPr>
            <w:tcW w:w="2381" w:type="dxa"/>
            <w:shd w:val="clear" w:color="auto" w:fill="auto"/>
          </w:tcPr>
          <w:p w14:paraId="2A58D912"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Yes. Principal hosts are apple (</w:t>
            </w:r>
            <w:r w:rsidRPr="007107BF">
              <w:rPr>
                <w:rFonts w:eastAsia="Calibri" w:cs="Times New Roman"/>
                <w:i/>
                <w:sz w:val="18"/>
                <w:szCs w:val="18"/>
              </w:rPr>
              <w:t>Malus</w:t>
            </w:r>
            <w:r w:rsidRPr="007107BF">
              <w:rPr>
                <w:rFonts w:eastAsia="Calibri" w:cs="Times New Roman"/>
                <w:sz w:val="18"/>
                <w:szCs w:val="18"/>
              </w:rPr>
              <w:t>) and rowan (</w:t>
            </w:r>
            <w:r w:rsidRPr="007107BF">
              <w:rPr>
                <w:rFonts w:eastAsia="Calibri" w:cs="Times New Roman"/>
                <w:i/>
                <w:sz w:val="18"/>
                <w:szCs w:val="18"/>
              </w:rPr>
              <w:t>Sorbus aucuparia</w:t>
            </w:r>
            <w:r w:rsidRPr="007107BF">
              <w:rPr>
                <w:rFonts w:eastAsia="Calibri" w:cs="Times New Roman"/>
                <w:sz w:val="18"/>
                <w:szCs w:val="18"/>
              </w:rPr>
              <w:t>) which are present</w:t>
            </w:r>
            <w:r>
              <w:rPr>
                <w:rFonts w:eastAsia="Calibri" w:cs="Times New Roman"/>
                <w:sz w:val="18"/>
                <w:szCs w:val="18"/>
              </w:rPr>
              <w:t xml:space="preserve"> throughout temperate Australia,</w:t>
            </w:r>
            <w:r w:rsidRPr="007107BF">
              <w:rPr>
                <w:rFonts w:eastAsia="Calibri" w:cs="Times New Roman"/>
                <w:sz w:val="18"/>
                <w:szCs w:val="18"/>
              </w:rPr>
              <w:t xml:space="preserve"> </w:t>
            </w:r>
            <w:r>
              <w:rPr>
                <w:rFonts w:eastAsia="Calibri" w:cs="Times New Roman"/>
                <w:noProof/>
                <w:sz w:val="18"/>
                <w:szCs w:val="18"/>
              </w:rPr>
              <w:t>(Carter 1984; Nazari 2003)</w:t>
            </w:r>
            <w:r>
              <w:rPr>
                <w:rFonts w:eastAsia="Calibri" w:cs="Times New Roman"/>
                <w:sz w:val="18"/>
                <w:szCs w:val="18"/>
              </w:rPr>
              <w:t>.</w:t>
            </w:r>
          </w:p>
        </w:tc>
        <w:tc>
          <w:tcPr>
            <w:tcW w:w="2211" w:type="dxa"/>
            <w:shd w:val="clear" w:color="auto" w:fill="auto"/>
          </w:tcPr>
          <w:p w14:paraId="2D8C54DE"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 xml:space="preserve">Yes. Larvae tunnel through fruit of apple resulting in sunken, discoloured patches on the skin and causing the fruit to rot </w:t>
            </w:r>
            <w:r>
              <w:rPr>
                <w:rFonts w:eastAsia="Calibri" w:cs="Times New Roman"/>
                <w:noProof/>
                <w:sz w:val="18"/>
                <w:szCs w:val="18"/>
              </w:rPr>
              <w:t>(Carter 1984)</w:t>
            </w:r>
            <w:r w:rsidRPr="007107BF">
              <w:rPr>
                <w:rFonts w:eastAsia="Calibri" w:cs="Times New Roman"/>
                <w:sz w:val="18"/>
                <w:szCs w:val="18"/>
              </w:rPr>
              <w:t xml:space="preserve"> </w:t>
            </w:r>
            <w:r>
              <w:rPr>
                <w:rFonts w:eastAsia="Calibri" w:cs="Times New Roman"/>
                <w:sz w:val="18"/>
                <w:szCs w:val="18"/>
              </w:rPr>
              <w:t>leading to</w:t>
            </w:r>
            <w:r w:rsidRPr="007107BF">
              <w:rPr>
                <w:rFonts w:eastAsia="Calibri" w:cs="Times New Roman"/>
                <w:sz w:val="18"/>
                <w:szCs w:val="18"/>
              </w:rPr>
              <w:t xml:space="preserve"> crop losses or reduced marketability and subsequent economic loss to growers</w:t>
            </w:r>
            <w:r>
              <w:rPr>
                <w:rFonts w:eastAsia="Calibri" w:cs="Times New Roman"/>
                <w:sz w:val="18"/>
                <w:szCs w:val="18"/>
              </w:rPr>
              <w:t>.</w:t>
            </w:r>
          </w:p>
        </w:tc>
        <w:tc>
          <w:tcPr>
            <w:tcW w:w="1191" w:type="dxa"/>
            <w:shd w:val="clear" w:color="auto" w:fill="auto"/>
          </w:tcPr>
          <w:p w14:paraId="7BA08D81"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Yes</w:t>
            </w:r>
            <w:r>
              <w:rPr>
                <w:rFonts w:eastAsia="Calibri" w:cs="Times New Roman"/>
                <w:sz w:val="18"/>
                <w:szCs w:val="18"/>
              </w:rPr>
              <w:t xml:space="preserve"> (EP)</w:t>
            </w:r>
          </w:p>
        </w:tc>
      </w:tr>
      <w:tr w:rsidR="003438A2" w:rsidRPr="007107BF" w14:paraId="4F13FB9F" w14:textId="77777777" w:rsidTr="00C4199F">
        <w:trPr>
          <w:cantSplit/>
          <w:trHeight w:val="75"/>
          <w:jc w:val="center"/>
        </w:trPr>
        <w:tc>
          <w:tcPr>
            <w:tcW w:w="2553" w:type="dxa"/>
            <w:shd w:val="clear" w:color="auto" w:fill="auto"/>
          </w:tcPr>
          <w:p w14:paraId="0E2998C9" w14:textId="77777777" w:rsidR="003438A2" w:rsidRDefault="003438A2" w:rsidP="00881E29">
            <w:pPr>
              <w:spacing w:before="60" w:after="60" w:line="240" w:lineRule="auto"/>
              <w:rPr>
                <w:rFonts w:eastAsia="Calibri" w:cs="Arial"/>
                <w:sz w:val="18"/>
                <w:szCs w:val="18"/>
              </w:rPr>
            </w:pPr>
            <w:r w:rsidRPr="00515213">
              <w:rPr>
                <w:rFonts w:eastAsia="Calibri" w:cs="Arial"/>
                <w:i/>
                <w:sz w:val="18"/>
                <w:szCs w:val="18"/>
              </w:rPr>
              <w:lastRenderedPageBreak/>
              <w:t>Argyrotaenia franciscana</w:t>
            </w:r>
            <w:r w:rsidRPr="00515213">
              <w:rPr>
                <w:rFonts w:eastAsia="Calibri" w:cs="Arial"/>
                <w:sz w:val="18"/>
                <w:szCs w:val="18"/>
              </w:rPr>
              <w:t xml:space="preserve"> (Walsingham, 1879)</w:t>
            </w:r>
          </w:p>
          <w:p w14:paraId="6CD71702" w14:textId="77777777" w:rsidR="003438A2" w:rsidRPr="00515213" w:rsidRDefault="003438A2" w:rsidP="00881E29">
            <w:pPr>
              <w:spacing w:before="60" w:after="60" w:line="240" w:lineRule="auto"/>
              <w:rPr>
                <w:rFonts w:eastAsia="Calibri" w:cs="Arial"/>
                <w:sz w:val="18"/>
                <w:szCs w:val="18"/>
              </w:rPr>
            </w:pPr>
            <w:r w:rsidRPr="00515213">
              <w:rPr>
                <w:rFonts w:eastAsia="Calibri" w:cs="Arial"/>
                <w:sz w:val="18"/>
                <w:szCs w:val="18"/>
              </w:rPr>
              <w:t>Synonym</w:t>
            </w:r>
            <w:r>
              <w:rPr>
                <w:rFonts w:eastAsia="Calibri" w:cs="Arial"/>
                <w:sz w:val="18"/>
                <w:szCs w:val="18"/>
              </w:rPr>
              <w:t>s</w:t>
            </w:r>
            <w:r w:rsidRPr="00515213">
              <w:rPr>
                <w:rFonts w:eastAsia="Calibri" w:cs="Arial"/>
                <w:sz w:val="18"/>
                <w:szCs w:val="18"/>
              </w:rPr>
              <w:t xml:space="preserve">: </w:t>
            </w:r>
            <w:r w:rsidRPr="00515213">
              <w:rPr>
                <w:rFonts w:eastAsia="Calibri" w:cs="Arial"/>
                <w:i/>
                <w:sz w:val="18"/>
                <w:szCs w:val="18"/>
              </w:rPr>
              <w:t>Argyrotaenia citrana</w:t>
            </w:r>
            <w:r w:rsidRPr="00515213">
              <w:rPr>
                <w:rFonts w:eastAsia="Calibri" w:cs="Arial"/>
                <w:sz w:val="18"/>
                <w:szCs w:val="18"/>
              </w:rPr>
              <w:t xml:space="preserve"> (Fernald, 1889); </w:t>
            </w:r>
            <w:r w:rsidRPr="00515213">
              <w:rPr>
                <w:rFonts w:eastAsia="Calibri" w:cs="Arial"/>
                <w:i/>
                <w:sz w:val="18"/>
                <w:szCs w:val="18"/>
              </w:rPr>
              <w:t xml:space="preserve">Eulia citrana </w:t>
            </w:r>
            <w:r w:rsidRPr="00515213">
              <w:rPr>
                <w:rFonts w:eastAsia="Calibri" w:cs="Arial"/>
                <w:sz w:val="18"/>
                <w:szCs w:val="18"/>
              </w:rPr>
              <w:t xml:space="preserve">(Fernald, 1889); </w:t>
            </w:r>
            <w:r w:rsidRPr="00515213">
              <w:rPr>
                <w:rFonts w:eastAsia="Calibri" w:cs="Arial"/>
                <w:i/>
                <w:sz w:val="18"/>
                <w:szCs w:val="18"/>
              </w:rPr>
              <w:t xml:space="preserve">Argyrotaenia kearfotti </w:t>
            </w:r>
            <w:r w:rsidRPr="00515213">
              <w:rPr>
                <w:rFonts w:eastAsia="Calibri" w:cs="Arial"/>
                <w:sz w:val="18"/>
                <w:szCs w:val="18"/>
              </w:rPr>
              <w:t>Obraztsov, 1961</w:t>
            </w:r>
          </w:p>
          <w:p w14:paraId="129A8637" w14:textId="77777777" w:rsidR="003438A2" w:rsidRPr="00515213" w:rsidRDefault="003438A2" w:rsidP="00881E29">
            <w:pPr>
              <w:spacing w:before="60" w:after="60" w:line="240" w:lineRule="auto"/>
              <w:rPr>
                <w:rFonts w:eastAsia="Calibri" w:cs="Arial"/>
                <w:sz w:val="18"/>
                <w:szCs w:val="18"/>
              </w:rPr>
            </w:pPr>
            <w:r w:rsidRPr="00515213">
              <w:rPr>
                <w:rFonts w:eastAsia="Calibri" w:cs="Arial"/>
                <w:sz w:val="18"/>
                <w:szCs w:val="18"/>
              </w:rPr>
              <w:t>[Tortricidae]</w:t>
            </w:r>
          </w:p>
          <w:p w14:paraId="4D1BA167" w14:textId="77777777" w:rsidR="003438A2" w:rsidRPr="00515213" w:rsidRDefault="003438A2" w:rsidP="00881E29">
            <w:pPr>
              <w:spacing w:before="60" w:after="60" w:line="240" w:lineRule="auto"/>
              <w:rPr>
                <w:rFonts w:eastAsia="Calibri" w:cs="Times New Roman"/>
                <w:i/>
                <w:sz w:val="18"/>
                <w:szCs w:val="18"/>
                <w:lang w:val="pt-BR"/>
              </w:rPr>
            </w:pPr>
            <w:r w:rsidRPr="00515213">
              <w:rPr>
                <w:rFonts w:eastAsia="Calibri" w:cs="Arial"/>
                <w:sz w:val="18"/>
                <w:szCs w:val="18"/>
              </w:rPr>
              <w:t>Orange tortrix, Tortrix citrana</w:t>
            </w:r>
          </w:p>
        </w:tc>
        <w:tc>
          <w:tcPr>
            <w:tcW w:w="1474" w:type="dxa"/>
            <w:shd w:val="clear" w:color="auto" w:fill="auto"/>
          </w:tcPr>
          <w:p w14:paraId="380BD9D0" w14:textId="77777777" w:rsidR="003438A2" w:rsidRDefault="003438A2" w:rsidP="00321810">
            <w:pPr>
              <w:spacing w:before="60" w:after="60" w:line="240" w:lineRule="auto"/>
              <w:rPr>
                <w:rFonts w:eastAsia="Times New Roman" w:cs="Calibri"/>
                <w:color w:val="000000"/>
                <w:sz w:val="18"/>
                <w:szCs w:val="18"/>
                <w:lang w:eastAsia="en-AU"/>
              </w:rPr>
            </w:pPr>
            <w:r w:rsidRPr="00515213">
              <w:rPr>
                <w:rFonts w:eastAsia="Calibri" w:cs="Arial"/>
                <w:sz w:val="18"/>
                <w:szCs w:val="18"/>
              </w:rPr>
              <w:t xml:space="preserve">Yes. </w:t>
            </w:r>
            <w:r>
              <w:rPr>
                <w:rFonts w:eastAsia="Calibri" w:cs="Arial"/>
                <w:sz w:val="18"/>
                <w:szCs w:val="18"/>
              </w:rPr>
              <w:t>Present in</w:t>
            </w:r>
            <w:r w:rsidRPr="00515213">
              <w:rPr>
                <w:rFonts w:eastAsia="Calibri" w:cs="Arial"/>
                <w:sz w:val="18"/>
                <w:szCs w:val="18"/>
              </w:rPr>
              <w:t xml:space="preserve"> OR</w:t>
            </w:r>
            <w:r>
              <w:rPr>
                <w:rFonts w:eastAsia="Calibri" w:cs="Arial"/>
                <w:sz w:val="18"/>
                <w:szCs w:val="18"/>
              </w:rPr>
              <w:t xml:space="preserve"> and</w:t>
            </w:r>
            <w:r w:rsidRPr="00515213">
              <w:rPr>
                <w:rFonts w:eastAsia="Calibri" w:cs="Arial"/>
                <w:sz w:val="18"/>
                <w:szCs w:val="18"/>
              </w:rPr>
              <w:t xml:space="preserve"> WA</w:t>
            </w:r>
            <w:r>
              <w:rPr>
                <w:rFonts w:eastAsia="Calibri" w:cs="Arial"/>
                <w:sz w:val="18"/>
                <w:szCs w:val="18"/>
              </w:rPr>
              <w:t xml:space="preserve"> </w:t>
            </w:r>
            <w:r>
              <w:rPr>
                <w:rFonts w:eastAsia="Calibri" w:cs="Arial"/>
                <w:noProof/>
                <w:sz w:val="18"/>
                <w:szCs w:val="18"/>
              </w:rPr>
              <w:t>(Berry 1998d; CABI 2022)</w:t>
            </w:r>
          </w:p>
          <w:p w14:paraId="39AFE1E5" w14:textId="77777777" w:rsidR="003438A2" w:rsidRPr="00515213" w:rsidRDefault="003438A2" w:rsidP="00321810">
            <w:pPr>
              <w:spacing w:before="60" w:after="60" w:line="240" w:lineRule="auto"/>
              <w:rPr>
                <w:rFonts w:eastAsia="Calibri" w:cs="Times New Roman"/>
                <w:sz w:val="18"/>
                <w:szCs w:val="18"/>
                <w:lang w:val="pt-BR"/>
              </w:rPr>
            </w:pPr>
          </w:p>
        </w:tc>
        <w:tc>
          <w:tcPr>
            <w:tcW w:w="1474" w:type="dxa"/>
            <w:shd w:val="clear" w:color="auto" w:fill="auto"/>
          </w:tcPr>
          <w:p w14:paraId="2B79E629"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records found</w:t>
            </w:r>
          </w:p>
        </w:tc>
        <w:tc>
          <w:tcPr>
            <w:tcW w:w="2552" w:type="dxa"/>
            <w:shd w:val="clear" w:color="auto" w:fill="auto"/>
          </w:tcPr>
          <w:p w14:paraId="7E7F6FCF"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Arial"/>
                <w:sz w:val="18"/>
                <w:szCs w:val="18"/>
              </w:rPr>
              <w:t xml:space="preserve">Yes. Larvae are known as apple skinworms because of their surface feeding habit which causes fruit scarring </w:t>
            </w:r>
            <w:r>
              <w:rPr>
                <w:rFonts w:eastAsia="Calibri" w:cs="Arial"/>
                <w:noProof/>
                <w:sz w:val="18"/>
                <w:szCs w:val="18"/>
              </w:rPr>
              <w:t>(Zalom &amp; Pickel 1988)</w:t>
            </w:r>
            <w:r w:rsidRPr="007107BF">
              <w:rPr>
                <w:rFonts w:eastAsia="Calibri" w:cs="Arial"/>
                <w:sz w:val="18"/>
                <w:szCs w:val="18"/>
              </w:rPr>
              <w:t>. An occasional pest in apple orchards</w:t>
            </w:r>
            <w:r>
              <w:rPr>
                <w:rFonts w:eastAsia="Calibri" w:cs="Arial"/>
                <w:sz w:val="18"/>
                <w:szCs w:val="18"/>
              </w:rPr>
              <w:t>,</w:t>
            </w:r>
            <w:r w:rsidRPr="007107BF">
              <w:rPr>
                <w:rFonts w:eastAsia="Calibri" w:cs="Arial"/>
                <w:sz w:val="18"/>
                <w:szCs w:val="18"/>
              </w:rPr>
              <w:t xml:space="preserve"> </w:t>
            </w:r>
            <w:r>
              <w:rPr>
                <w:rFonts w:eastAsia="Calibri" w:cs="Arial"/>
                <w:sz w:val="18"/>
                <w:szCs w:val="18"/>
              </w:rPr>
              <w:t>l</w:t>
            </w:r>
            <w:r w:rsidRPr="007107BF">
              <w:rPr>
                <w:rFonts w:eastAsia="Calibri" w:cs="Arial"/>
                <w:sz w:val="18"/>
                <w:szCs w:val="18"/>
              </w:rPr>
              <w:t xml:space="preserve">arvae feed on the surface of fruit, where they leave shallow, irregular scars. Generally they feed within a fruit cluster; occasionally they tie a leaf to the fruit's surface and feed under it </w:t>
            </w:r>
            <w:r>
              <w:rPr>
                <w:rFonts w:eastAsia="Calibri" w:cs="Arial"/>
                <w:noProof/>
                <w:sz w:val="18"/>
                <w:szCs w:val="18"/>
              </w:rPr>
              <w:t>(Caprile et al. 2006c)</w:t>
            </w:r>
            <w:r>
              <w:rPr>
                <w:rFonts w:eastAsia="Calibri" w:cs="Arial"/>
                <w:sz w:val="18"/>
                <w:szCs w:val="18"/>
              </w:rPr>
              <w:t>.</w:t>
            </w:r>
          </w:p>
        </w:tc>
        <w:tc>
          <w:tcPr>
            <w:tcW w:w="2381" w:type="dxa"/>
            <w:shd w:val="clear" w:color="auto" w:fill="auto"/>
          </w:tcPr>
          <w:p w14:paraId="79F14BE3"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Arial"/>
                <w:sz w:val="18"/>
                <w:szCs w:val="18"/>
              </w:rPr>
              <w:t>Yes. Wide host range including raspberry, blackberry, boysenberry, loganberry, youngberry, blueberry, salmonberry (</w:t>
            </w:r>
            <w:r w:rsidRPr="007107BF">
              <w:rPr>
                <w:rFonts w:eastAsia="Calibri" w:cs="Arial"/>
                <w:i/>
                <w:sz w:val="18"/>
                <w:szCs w:val="18"/>
              </w:rPr>
              <w:t>Rubus</w:t>
            </w:r>
            <w:r w:rsidRPr="007107BF">
              <w:rPr>
                <w:rFonts w:eastAsia="Calibri" w:cs="Arial"/>
                <w:sz w:val="18"/>
                <w:szCs w:val="18"/>
              </w:rPr>
              <w:t xml:space="preserve"> spp.), apple (</w:t>
            </w:r>
            <w:r w:rsidRPr="007107BF">
              <w:rPr>
                <w:rFonts w:eastAsia="Calibri" w:cs="Arial"/>
                <w:i/>
                <w:sz w:val="18"/>
                <w:szCs w:val="18"/>
              </w:rPr>
              <w:t>Malus</w:t>
            </w:r>
            <w:r w:rsidRPr="007107BF">
              <w:rPr>
                <w:rFonts w:eastAsia="Calibri" w:cs="Arial"/>
                <w:sz w:val="18"/>
                <w:szCs w:val="18"/>
              </w:rPr>
              <w:t>), peach, apricot (</w:t>
            </w:r>
            <w:r w:rsidRPr="007107BF">
              <w:rPr>
                <w:rFonts w:eastAsia="Calibri" w:cs="Arial"/>
                <w:i/>
                <w:sz w:val="18"/>
                <w:szCs w:val="18"/>
              </w:rPr>
              <w:t>Prunus</w:t>
            </w:r>
            <w:r w:rsidRPr="007107BF">
              <w:rPr>
                <w:rFonts w:eastAsia="Calibri" w:cs="Arial"/>
                <w:sz w:val="18"/>
                <w:szCs w:val="18"/>
              </w:rPr>
              <w:t xml:space="preserve"> spp.), grape (</w:t>
            </w:r>
            <w:r w:rsidRPr="007107BF">
              <w:rPr>
                <w:rFonts w:eastAsia="Calibri" w:cs="Arial"/>
                <w:i/>
                <w:sz w:val="18"/>
                <w:szCs w:val="18"/>
              </w:rPr>
              <w:t>Vitis vinifera</w:t>
            </w:r>
            <w:r w:rsidRPr="007107BF">
              <w:rPr>
                <w:rFonts w:eastAsia="Calibri" w:cs="Arial"/>
                <w:sz w:val="18"/>
                <w:szCs w:val="18"/>
              </w:rPr>
              <w:t>) and weeds such as pigweed (</w:t>
            </w:r>
            <w:r w:rsidRPr="007107BF">
              <w:rPr>
                <w:rFonts w:eastAsia="Calibri" w:cs="Arial"/>
                <w:i/>
                <w:sz w:val="18"/>
                <w:szCs w:val="18"/>
              </w:rPr>
              <w:t>Portulaca oleracea</w:t>
            </w:r>
            <w:r w:rsidRPr="007107BF">
              <w:rPr>
                <w:rFonts w:eastAsia="Calibri" w:cs="Arial"/>
                <w:sz w:val="18"/>
                <w:szCs w:val="18"/>
              </w:rPr>
              <w:t>) and lambsquarter (</w:t>
            </w:r>
            <w:r w:rsidRPr="007107BF">
              <w:rPr>
                <w:rFonts w:eastAsia="Calibri" w:cs="Arial"/>
                <w:i/>
                <w:sz w:val="18"/>
                <w:szCs w:val="18"/>
              </w:rPr>
              <w:t>Chenopodium album</w:t>
            </w:r>
            <w:r w:rsidRPr="007107BF">
              <w:rPr>
                <w:rFonts w:eastAsia="Calibri" w:cs="Arial"/>
                <w:sz w:val="18"/>
                <w:szCs w:val="18"/>
              </w:rPr>
              <w:t xml:space="preserve">) and localised to PNW states with similar environments being found in </w:t>
            </w:r>
            <w:r>
              <w:rPr>
                <w:rFonts w:eastAsia="Calibri" w:cs="Arial"/>
                <w:sz w:val="18"/>
                <w:szCs w:val="18"/>
              </w:rPr>
              <w:t xml:space="preserve">parts of </w:t>
            </w:r>
            <w:r w:rsidRPr="007107BF">
              <w:rPr>
                <w:rFonts w:eastAsia="Calibri" w:cs="Arial"/>
                <w:sz w:val="18"/>
                <w:szCs w:val="18"/>
              </w:rPr>
              <w:t xml:space="preserve">Australia </w:t>
            </w:r>
            <w:r>
              <w:rPr>
                <w:rFonts w:eastAsia="Calibri" w:cs="Arial"/>
                <w:noProof/>
                <w:sz w:val="18"/>
                <w:szCs w:val="18"/>
              </w:rPr>
              <w:t>(Berry 1998d; Caprile et al. 2006c; Heppner 2004)</w:t>
            </w:r>
            <w:r>
              <w:rPr>
                <w:rFonts w:eastAsia="Calibri" w:cs="Arial"/>
                <w:sz w:val="18"/>
                <w:szCs w:val="18"/>
              </w:rPr>
              <w:t>.</w:t>
            </w:r>
          </w:p>
        </w:tc>
        <w:tc>
          <w:tcPr>
            <w:tcW w:w="2211" w:type="dxa"/>
            <w:shd w:val="clear" w:color="auto" w:fill="auto"/>
          </w:tcPr>
          <w:p w14:paraId="38F92EB0"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Arial"/>
                <w:sz w:val="18"/>
                <w:szCs w:val="18"/>
              </w:rPr>
              <w:t xml:space="preserve">Yes. Larvae of this leafroller feed on developing buds and leaves of cane </w:t>
            </w:r>
            <w:r>
              <w:rPr>
                <w:rFonts w:eastAsia="Calibri" w:cs="Arial"/>
                <w:sz w:val="18"/>
                <w:szCs w:val="18"/>
              </w:rPr>
              <w:t>fruit</w:t>
            </w:r>
            <w:r w:rsidRPr="007107BF">
              <w:rPr>
                <w:rFonts w:eastAsia="Calibri" w:cs="Arial"/>
                <w:sz w:val="18"/>
                <w:szCs w:val="18"/>
              </w:rPr>
              <w:t xml:space="preserve">, tree </w:t>
            </w:r>
            <w:r>
              <w:rPr>
                <w:rFonts w:eastAsia="Calibri" w:cs="Arial"/>
                <w:sz w:val="18"/>
                <w:szCs w:val="18"/>
              </w:rPr>
              <w:t>fruit</w:t>
            </w:r>
            <w:r w:rsidRPr="007107BF">
              <w:rPr>
                <w:rFonts w:eastAsia="Calibri" w:cs="Arial"/>
                <w:sz w:val="18"/>
                <w:szCs w:val="18"/>
              </w:rPr>
              <w:t xml:space="preserve">, ornamental and florist crops; larvae are known to bore into the base of berries to feed on the fruit tissues making the berries unacceptable for fresh market and processing </w:t>
            </w:r>
            <w:r>
              <w:rPr>
                <w:rFonts w:eastAsia="Calibri" w:cs="Arial"/>
                <w:noProof/>
                <w:sz w:val="18"/>
                <w:szCs w:val="18"/>
              </w:rPr>
              <w:t>(Berry 1998d)</w:t>
            </w:r>
            <w:r w:rsidRPr="007107BF">
              <w:rPr>
                <w:rFonts w:eastAsia="Calibri" w:cs="Arial"/>
                <w:sz w:val="18"/>
                <w:szCs w:val="18"/>
              </w:rPr>
              <w:t xml:space="preserve">. Orange tortrix is an important pest on apples as well as many other fruit crops, for example avocado, in the western United States </w:t>
            </w:r>
            <w:r>
              <w:rPr>
                <w:rFonts w:eastAsia="Calibri" w:cs="Arial"/>
                <w:noProof/>
                <w:sz w:val="18"/>
                <w:szCs w:val="18"/>
              </w:rPr>
              <w:t>(Phillips et al. 2009; Walker 2004; Zalom &amp; Pickel 1988)</w:t>
            </w:r>
            <w:r w:rsidRPr="007107BF">
              <w:rPr>
                <w:rFonts w:eastAsia="Calibri" w:cs="Arial"/>
                <w:sz w:val="18"/>
                <w:szCs w:val="18"/>
              </w:rPr>
              <w:t xml:space="preserve">. In apple orchards even fairly low population densities can result in significant fruit damage making the fruit unmarketable </w:t>
            </w:r>
            <w:r>
              <w:rPr>
                <w:rFonts w:eastAsia="Calibri" w:cs="Arial"/>
                <w:noProof/>
                <w:sz w:val="18"/>
                <w:szCs w:val="18"/>
              </w:rPr>
              <w:t>(Walker &amp; Welter 2001)</w:t>
            </w:r>
            <w:r>
              <w:rPr>
                <w:rFonts w:eastAsia="Calibri" w:cs="Arial"/>
                <w:sz w:val="18"/>
                <w:szCs w:val="18"/>
              </w:rPr>
              <w:t>.</w:t>
            </w:r>
          </w:p>
        </w:tc>
        <w:tc>
          <w:tcPr>
            <w:tcW w:w="1191" w:type="dxa"/>
            <w:shd w:val="clear" w:color="auto" w:fill="auto"/>
          </w:tcPr>
          <w:p w14:paraId="4A80ED14"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Arial"/>
                <w:sz w:val="18"/>
                <w:szCs w:val="18"/>
              </w:rPr>
              <w:t>Yes</w:t>
            </w:r>
            <w:r>
              <w:rPr>
                <w:rFonts w:eastAsia="Calibri" w:cs="Arial"/>
                <w:sz w:val="18"/>
                <w:szCs w:val="18"/>
              </w:rPr>
              <w:t xml:space="preserve"> (EP)</w:t>
            </w:r>
          </w:p>
        </w:tc>
      </w:tr>
      <w:tr w:rsidR="003438A2" w:rsidRPr="007107BF" w14:paraId="573089D3" w14:textId="77777777" w:rsidTr="00C4199F">
        <w:trPr>
          <w:cantSplit/>
          <w:trHeight w:val="75"/>
          <w:jc w:val="center"/>
        </w:trPr>
        <w:tc>
          <w:tcPr>
            <w:tcW w:w="2553" w:type="dxa"/>
            <w:shd w:val="clear" w:color="auto" w:fill="FFFFFF" w:themeFill="background1"/>
          </w:tcPr>
          <w:p w14:paraId="4CA8D70E" w14:textId="77777777" w:rsidR="003438A2" w:rsidRDefault="003438A2" w:rsidP="00881E29">
            <w:pPr>
              <w:spacing w:before="60" w:after="60" w:line="240" w:lineRule="auto"/>
              <w:rPr>
                <w:rFonts w:eastAsia="Calibri" w:cs="Times New Roman"/>
                <w:sz w:val="18"/>
                <w:szCs w:val="18"/>
              </w:rPr>
            </w:pPr>
            <w:r w:rsidRPr="007107BF">
              <w:rPr>
                <w:rFonts w:eastAsia="Calibri" w:cs="Times New Roman"/>
                <w:i/>
                <w:sz w:val="18"/>
                <w:szCs w:val="18"/>
              </w:rPr>
              <w:lastRenderedPageBreak/>
              <w:t>Choreutis pariana</w:t>
            </w:r>
            <w:r w:rsidRPr="007107BF">
              <w:rPr>
                <w:rFonts w:eastAsia="Calibri" w:cs="Times New Roman"/>
                <w:sz w:val="18"/>
                <w:szCs w:val="18"/>
              </w:rPr>
              <w:t xml:space="preserve"> (Clerck, 1759)</w:t>
            </w:r>
          </w:p>
          <w:p w14:paraId="044F1B31"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 xml:space="preserve">Synonym: </w:t>
            </w:r>
            <w:r w:rsidRPr="007107BF">
              <w:rPr>
                <w:rFonts w:eastAsia="Calibri" w:cs="Times New Roman"/>
                <w:i/>
                <w:sz w:val="18"/>
                <w:szCs w:val="18"/>
              </w:rPr>
              <w:t xml:space="preserve">Eutromula pariana </w:t>
            </w:r>
            <w:r w:rsidRPr="007107BF">
              <w:rPr>
                <w:rFonts w:eastAsia="Calibri" w:cs="Times New Roman"/>
                <w:sz w:val="18"/>
                <w:szCs w:val="18"/>
              </w:rPr>
              <w:t>(Clerck, 1759)</w:t>
            </w:r>
          </w:p>
          <w:p w14:paraId="69D2D7E0"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[Choreutidae]</w:t>
            </w:r>
          </w:p>
          <w:p w14:paraId="58B0AB9A" w14:textId="77777777" w:rsidR="003438A2" w:rsidRPr="007107BF" w:rsidRDefault="003438A2" w:rsidP="00881E29">
            <w:pPr>
              <w:spacing w:before="60" w:after="60" w:line="240" w:lineRule="auto"/>
              <w:rPr>
                <w:rFonts w:eastAsia="Calibri" w:cs="Times New Roman"/>
                <w:i/>
                <w:sz w:val="18"/>
                <w:szCs w:val="18"/>
                <w:lang w:val="pt-BR"/>
              </w:rPr>
            </w:pPr>
            <w:r w:rsidRPr="007107BF">
              <w:rPr>
                <w:rFonts w:eastAsia="Calibri" w:cs="Times New Roman"/>
                <w:sz w:val="18"/>
                <w:szCs w:val="18"/>
              </w:rPr>
              <w:t>Apple-and-thorn skeletonizer</w:t>
            </w:r>
          </w:p>
        </w:tc>
        <w:tc>
          <w:tcPr>
            <w:tcW w:w="1474" w:type="dxa"/>
            <w:shd w:val="clear" w:color="auto" w:fill="FFFFFF" w:themeFill="background1"/>
          </w:tcPr>
          <w:p w14:paraId="0CB41D1F" w14:textId="77777777" w:rsidR="003438A2" w:rsidRPr="007107BF" w:rsidRDefault="003438A2" w:rsidP="00881E29">
            <w:pPr>
              <w:spacing w:before="60" w:after="60" w:line="240" w:lineRule="auto"/>
              <w:rPr>
                <w:rFonts w:eastAsia="Calibri" w:cs="Times New Roman"/>
                <w:sz w:val="18"/>
                <w:szCs w:val="18"/>
                <w:lang w:val="pt-BR"/>
              </w:rPr>
            </w:pPr>
            <w:r w:rsidRPr="007107BF">
              <w:rPr>
                <w:rFonts w:eastAsia="Calibri" w:cs="Times New Roman"/>
                <w:sz w:val="18"/>
                <w:szCs w:val="18"/>
              </w:rPr>
              <w:t xml:space="preserve">Yes. </w:t>
            </w:r>
            <w:r>
              <w:rPr>
                <w:rFonts w:eastAsia="Calibri" w:cs="Times New Roman"/>
                <w:sz w:val="18"/>
                <w:szCs w:val="18"/>
              </w:rPr>
              <w:t>Present in</w:t>
            </w:r>
            <w:r w:rsidRPr="007107BF">
              <w:rPr>
                <w:rFonts w:eastAsia="Calibri" w:cs="Times New Roman"/>
                <w:sz w:val="18"/>
                <w:szCs w:val="18"/>
              </w:rPr>
              <w:t xml:space="preserve"> OR</w:t>
            </w:r>
            <w:r>
              <w:rPr>
                <w:rFonts w:eastAsia="Calibri" w:cs="Times New Roman"/>
                <w:sz w:val="18"/>
                <w:szCs w:val="18"/>
              </w:rPr>
              <w:t xml:space="preserve"> and</w:t>
            </w:r>
            <w:r w:rsidRPr="007107BF">
              <w:rPr>
                <w:rFonts w:eastAsia="Calibri" w:cs="Times New Roman"/>
                <w:sz w:val="18"/>
                <w:szCs w:val="18"/>
              </w:rPr>
              <w:t xml:space="preserve"> WA </w:t>
            </w:r>
            <w:r>
              <w:rPr>
                <w:rFonts w:eastAsia="Calibri" w:cs="Times New Roman"/>
                <w:noProof/>
                <w:sz w:val="18"/>
                <w:szCs w:val="18"/>
              </w:rPr>
              <w:t>(APHIS 2007)</w:t>
            </w:r>
          </w:p>
        </w:tc>
        <w:tc>
          <w:tcPr>
            <w:tcW w:w="1474" w:type="dxa"/>
            <w:shd w:val="clear" w:color="auto" w:fill="FFFFFF" w:themeFill="background1"/>
          </w:tcPr>
          <w:p w14:paraId="74CDF07F" w14:textId="77777777" w:rsidR="003438A2" w:rsidRPr="007107BF" w:rsidRDefault="003438A2" w:rsidP="00881E29">
            <w:pPr>
              <w:spacing w:before="60" w:after="60" w:line="240" w:lineRule="auto"/>
              <w:rPr>
                <w:rFonts w:eastAsia="Calibri" w:cs="Times New Roman"/>
                <w:sz w:val="18"/>
                <w:szCs w:val="18"/>
              </w:rPr>
            </w:pPr>
            <w:r>
              <w:rPr>
                <w:rFonts w:eastAsia="Calibri" w:cs="Times New Roman"/>
                <w:sz w:val="18"/>
                <w:szCs w:val="18"/>
              </w:rPr>
              <w:t>No records found</w:t>
            </w:r>
          </w:p>
        </w:tc>
        <w:tc>
          <w:tcPr>
            <w:tcW w:w="2552" w:type="dxa"/>
            <w:shd w:val="clear" w:color="auto" w:fill="FFFFFF" w:themeFill="background1"/>
          </w:tcPr>
          <w:p w14:paraId="1B9027DB"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 xml:space="preserve">No. </w:t>
            </w:r>
            <w:r w:rsidRPr="00E178D0">
              <w:rPr>
                <w:rFonts w:eastAsia="Calibri" w:cs="Times New Roman"/>
                <w:sz w:val="18"/>
                <w:szCs w:val="18"/>
              </w:rPr>
              <w:t>Eggs are laid in small batches on the undersides of leaves. Larvae feed on the undersides of leaves before moving to feed on the upper leaf surface, often tying the sides together creating a ‘rolled’ effect. Feeding results in the leaves being skeletonized. Larvae pupate in the leaf rolls</w:t>
            </w:r>
            <w:r>
              <w:rPr>
                <w:rFonts w:eastAsia="Calibri" w:cs="Times New Roman"/>
                <w:sz w:val="18"/>
                <w:szCs w:val="18"/>
              </w:rPr>
              <w:t>,</w:t>
            </w:r>
            <w:r w:rsidRPr="00E178D0">
              <w:rPr>
                <w:rFonts w:eastAsia="Calibri" w:cs="Times New Roman"/>
                <w:sz w:val="18"/>
                <w:szCs w:val="18"/>
              </w:rPr>
              <w:t xml:space="preserve"> which eventually drop to the ground </w:t>
            </w:r>
            <w:r>
              <w:rPr>
                <w:rFonts w:eastAsia="Calibri" w:cs="Times New Roman"/>
                <w:noProof/>
                <w:sz w:val="18"/>
                <w:szCs w:val="18"/>
              </w:rPr>
              <w:t>(Hollingsworth 2008)</w:t>
            </w:r>
            <w:r>
              <w:rPr>
                <w:rFonts w:eastAsia="Calibri" w:cs="Times New Roman"/>
                <w:sz w:val="18"/>
                <w:szCs w:val="18"/>
              </w:rPr>
              <w:t>.</w:t>
            </w:r>
          </w:p>
        </w:tc>
        <w:tc>
          <w:tcPr>
            <w:tcW w:w="2381" w:type="dxa"/>
            <w:shd w:val="clear" w:color="auto" w:fill="FFFFFF" w:themeFill="background1"/>
          </w:tcPr>
          <w:p w14:paraId="0455CFCF"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2211" w:type="dxa"/>
            <w:shd w:val="clear" w:color="auto" w:fill="FFFFFF" w:themeFill="background1"/>
          </w:tcPr>
          <w:p w14:paraId="6B11E41B"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1191" w:type="dxa"/>
            <w:shd w:val="clear" w:color="auto" w:fill="FFFFFF" w:themeFill="background1"/>
          </w:tcPr>
          <w:p w14:paraId="2868CA95"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w:t>
            </w:r>
          </w:p>
        </w:tc>
      </w:tr>
      <w:tr w:rsidR="003438A2" w:rsidRPr="007107BF" w14:paraId="376A26F5" w14:textId="77777777" w:rsidTr="00C4199F">
        <w:trPr>
          <w:cantSplit/>
          <w:trHeight w:val="75"/>
          <w:jc w:val="center"/>
        </w:trPr>
        <w:tc>
          <w:tcPr>
            <w:tcW w:w="2553" w:type="dxa"/>
            <w:shd w:val="clear" w:color="auto" w:fill="auto"/>
          </w:tcPr>
          <w:p w14:paraId="7C24395E"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i/>
                <w:sz w:val="18"/>
                <w:szCs w:val="18"/>
              </w:rPr>
              <w:t>Choristoneura rosaceana</w:t>
            </w:r>
            <w:r w:rsidRPr="007107BF">
              <w:rPr>
                <w:rFonts w:eastAsia="Calibri" w:cs="Times New Roman"/>
                <w:sz w:val="18"/>
                <w:szCs w:val="18"/>
              </w:rPr>
              <w:t xml:space="preserve"> (Harris, 1841)</w:t>
            </w:r>
          </w:p>
          <w:p w14:paraId="14B9C390" w14:textId="77777777" w:rsidR="003438A2" w:rsidRPr="007107BF" w:rsidRDefault="003438A2" w:rsidP="00881E29">
            <w:pPr>
              <w:spacing w:before="60" w:after="60" w:line="240" w:lineRule="auto"/>
              <w:rPr>
                <w:rFonts w:eastAsia="Calibri" w:cs="Arial"/>
                <w:sz w:val="18"/>
                <w:szCs w:val="18"/>
              </w:rPr>
            </w:pPr>
            <w:r w:rsidRPr="007107BF">
              <w:rPr>
                <w:rFonts w:eastAsia="Calibri" w:cs="Arial"/>
                <w:sz w:val="18"/>
                <w:szCs w:val="18"/>
              </w:rPr>
              <w:t>[Tortricidae]</w:t>
            </w:r>
          </w:p>
          <w:p w14:paraId="35901AE5" w14:textId="77777777" w:rsidR="003438A2" w:rsidRPr="007107BF" w:rsidRDefault="003438A2" w:rsidP="00881E29">
            <w:pPr>
              <w:spacing w:before="60" w:after="60" w:line="240" w:lineRule="auto"/>
              <w:rPr>
                <w:rFonts w:eastAsia="Calibri" w:cs="Times New Roman"/>
                <w:i/>
                <w:sz w:val="18"/>
                <w:szCs w:val="18"/>
                <w:lang w:val="pt-BR"/>
              </w:rPr>
            </w:pPr>
            <w:r w:rsidRPr="007107BF">
              <w:rPr>
                <w:rFonts w:eastAsia="Calibri" w:cs="Times New Roman"/>
                <w:sz w:val="18"/>
                <w:szCs w:val="18"/>
              </w:rPr>
              <w:t>Oblique-banded leafroller</w:t>
            </w:r>
          </w:p>
        </w:tc>
        <w:tc>
          <w:tcPr>
            <w:tcW w:w="1474" w:type="dxa"/>
            <w:shd w:val="clear" w:color="auto" w:fill="auto"/>
          </w:tcPr>
          <w:p w14:paraId="746483C7" w14:textId="77777777" w:rsidR="003438A2" w:rsidRDefault="003438A2" w:rsidP="00321810">
            <w:pPr>
              <w:spacing w:before="60" w:after="60" w:line="240" w:lineRule="auto"/>
              <w:rPr>
                <w:rFonts w:eastAsia="Calibri" w:cs="Arial"/>
                <w:noProof/>
                <w:sz w:val="18"/>
                <w:szCs w:val="18"/>
              </w:rPr>
            </w:pPr>
            <w:r w:rsidRPr="007107BF">
              <w:rPr>
                <w:rFonts w:eastAsia="Calibri" w:cs="Times New Roman"/>
                <w:sz w:val="18"/>
                <w:szCs w:val="18"/>
              </w:rPr>
              <w:t xml:space="preserve">Yes. </w:t>
            </w:r>
            <w:r>
              <w:rPr>
                <w:rFonts w:eastAsia="Calibri" w:cs="Times New Roman"/>
                <w:sz w:val="18"/>
                <w:szCs w:val="18"/>
              </w:rPr>
              <w:t>Present in</w:t>
            </w:r>
            <w:r w:rsidRPr="007107BF">
              <w:rPr>
                <w:rFonts w:eastAsia="Calibri" w:cs="Times New Roman"/>
                <w:sz w:val="18"/>
                <w:szCs w:val="18"/>
              </w:rPr>
              <w:t xml:space="preserve"> OR</w:t>
            </w:r>
            <w:r>
              <w:rPr>
                <w:rFonts w:eastAsia="Calibri" w:cs="Times New Roman"/>
                <w:sz w:val="18"/>
                <w:szCs w:val="18"/>
              </w:rPr>
              <w:t xml:space="preserve"> and</w:t>
            </w:r>
            <w:r w:rsidRPr="007107BF">
              <w:rPr>
                <w:rFonts w:eastAsia="Calibri" w:cs="Times New Roman"/>
                <w:sz w:val="18"/>
                <w:szCs w:val="18"/>
              </w:rPr>
              <w:t xml:space="preserve"> WA</w:t>
            </w:r>
            <w:r>
              <w:rPr>
                <w:rFonts w:eastAsia="Calibri" w:cs="Arial"/>
                <w:noProof/>
                <w:sz w:val="18"/>
                <w:szCs w:val="18"/>
              </w:rPr>
              <w:t xml:space="preserve"> </w:t>
            </w:r>
            <w:r>
              <w:rPr>
                <w:rFonts w:eastAsia="Calibri" w:cs="Times New Roman"/>
                <w:noProof/>
                <w:sz w:val="18"/>
                <w:szCs w:val="18"/>
              </w:rPr>
              <w:t>(APHIS 2007; CABI 2022; EPPO 2018)</w:t>
            </w:r>
          </w:p>
          <w:p w14:paraId="4F205929" w14:textId="77777777" w:rsidR="003438A2" w:rsidRPr="007107BF" w:rsidRDefault="003438A2" w:rsidP="00321810">
            <w:pPr>
              <w:spacing w:before="60" w:after="60" w:line="240" w:lineRule="auto"/>
              <w:rPr>
                <w:rFonts w:eastAsia="Calibri" w:cs="Times New Roman"/>
                <w:sz w:val="18"/>
                <w:szCs w:val="18"/>
                <w:lang w:val="pt-BR"/>
              </w:rPr>
            </w:pPr>
          </w:p>
        </w:tc>
        <w:tc>
          <w:tcPr>
            <w:tcW w:w="1474" w:type="dxa"/>
            <w:shd w:val="clear" w:color="auto" w:fill="auto"/>
          </w:tcPr>
          <w:p w14:paraId="27095B14" w14:textId="77777777" w:rsidR="003438A2" w:rsidRPr="00E178D0" w:rsidRDefault="003438A2" w:rsidP="00881E29">
            <w:pPr>
              <w:spacing w:before="60" w:after="60" w:line="240" w:lineRule="auto"/>
              <w:rPr>
                <w:rFonts w:eastAsia="Calibri" w:cs="Times New Roman"/>
                <w:sz w:val="18"/>
                <w:szCs w:val="18"/>
              </w:rPr>
            </w:pPr>
            <w:r w:rsidRPr="00E178D0">
              <w:rPr>
                <w:rFonts w:eastAsia="Calibri" w:cs="Times New Roman"/>
                <w:sz w:val="18"/>
                <w:szCs w:val="18"/>
              </w:rPr>
              <w:t>No records found</w:t>
            </w:r>
          </w:p>
        </w:tc>
        <w:tc>
          <w:tcPr>
            <w:tcW w:w="2552" w:type="dxa"/>
            <w:shd w:val="clear" w:color="auto" w:fill="auto"/>
          </w:tcPr>
          <w:p w14:paraId="2CF7D84C" w14:textId="77777777" w:rsidR="003438A2" w:rsidRPr="00E178D0" w:rsidRDefault="003438A2" w:rsidP="00B528F2">
            <w:pPr>
              <w:pStyle w:val="TableText"/>
            </w:pPr>
            <w:r w:rsidRPr="00E178D0">
              <w:t>Yes. A native North American species that usually feeds on the lower surface of leaves</w:t>
            </w:r>
            <w:r>
              <w:t>,</w:t>
            </w:r>
            <w:r w:rsidRPr="00E178D0">
              <w:t xml:space="preserve"> </w:t>
            </w:r>
            <w:r>
              <w:t xml:space="preserve">and </w:t>
            </w:r>
            <w:r w:rsidRPr="00E178D0">
              <w:t xml:space="preserve">usually in groups </w:t>
            </w:r>
            <w:r>
              <w:rPr>
                <w:noProof/>
              </w:rPr>
              <w:t>(APHIS 2007; Fadamiro 2004)</w:t>
            </w:r>
            <w:r>
              <w:t>.</w:t>
            </w:r>
            <w:r w:rsidRPr="00E178D0">
              <w:t xml:space="preserve"> </w:t>
            </w:r>
            <w:r>
              <w:t>O</w:t>
            </w:r>
            <w:r w:rsidRPr="00E178D0">
              <w:t>ccasionally</w:t>
            </w:r>
            <w:r>
              <w:t>,</w:t>
            </w:r>
            <w:r w:rsidRPr="00E178D0">
              <w:t xml:space="preserve"> larvae may eat portions of young fruit</w:t>
            </w:r>
            <w:r>
              <w:t>,</w:t>
            </w:r>
            <w:r w:rsidRPr="00E178D0">
              <w:t xml:space="preserve"> causing damaged fruit to abort or </w:t>
            </w:r>
            <w:r>
              <w:t xml:space="preserve">be </w:t>
            </w:r>
            <w:r w:rsidRPr="00E178D0">
              <w:t xml:space="preserve">deeply scarred and severely deformed </w:t>
            </w:r>
            <w:r>
              <w:rPr>
                <w:noProof/>
              </w:rPr>
              <w:t>(Brunner 1993)</w:t>
            </w:r>
            <w:r w:rsidRPr="00E178D0">
              <w:t>. First instar larvae crawl to protected locations including under the calyx of a fruit after hatching</w:t>
            </w:r>
            <w:r>
              <w:t xml:space="preserve"> </w:t>
            </w:r>
            <w:r>
              <w:rPr>
                <w:noProof/>
              </w:rPr>
              <w:t>(Gilligan &amp; Epstein 2014b)</w:t>
            </w:r>
            <w:r>
              <w:t>.</w:t>
            </w:r>
          </w:p>
        </w:tc>
        <w:tc>
          <w:tcPr>
            <w:tcW w:w="2381" w:type="dxa"/>
            <w:shd w:val="clear" w:color="auto" w:fill="auto"/>
          </w:tcPr>
          <w:p w14:paraId="3B31A0C5" w14:textId="77777777" w:rsidR="003438A2" w:rsidRPr="00E178D0" w:rsidRDefault="003438A2" w:rsidP="00881E29">
            <w:pPr>
              <w:spacing w:before="60" w:after="60" w:line="240" w:lineRule="auto"/>
              <w:rPr>
                <w:rFonts w:eastAsia="Calibri" w:cs="Times New Roman"/>
                <w:sz w:val="18"/>
                <w:szCs w:val="18"/>
              </w:rPr>
            </w:pPr>
            <w:r w:rsidRPr="00E178D0">
              <w:rPr>
                <w:rFonts w:eastAsia="Calibri" w:cs="Times New Roman"/>
                <w:sz w:val="18"/>
                <w:szCs w:val="18"/>
              </w:rPr>
              <w:t xml:space="preserve">Yes. Wide host range and distributed across North America in similar environments to </w:t>
            </w:r>
            <w:r>
              <w:rPr>
                <w:rFonts w:eastAsia="Calibri" w:cs="Times New Roman"/>
                <w:sz w:val="18"/>
                <w:szCs w:val="18"/>
              </w:rPr>
              <w:t xml:space="preserve">parts of </w:t>
            </w:r>
            <w:r w:rsidRPr="00E178D0">
              <w:rPr>
                <w:rFonts w:eastAsia="Calibri" w:cs="Times New Roman"/>
                <w:sz w:val="18"/>
                <w:szCs w:val="18"/>
              </w:rPr>
              <w:t xml:space="preserve">Australia </w:t>
            </w:r>
            <w:r>
              <w:rPr>
                <w:rFonts w:eastAsia="Calibri" w:cs="Times New Roman"/>
                <w:noProof/>
                <w:sz w:val="18"/>
                <w:szCs w:val="18"/>
              </w:rPr>
              <w:t>(Bentley &amp; Day 2006; CABI 2019; Caprile et al. 2006c; Coates et al. 2009; Pickel et al. 2017; Wilkinson, Landis &amp; Gut 2004)</w:t>
            </w:r>
          </w:p>
        </w:tc>
        <w:tc>
          <w:tcPr>
            <w:tcW w:w="2211" w:type="dxa"/>
            <w:shd w:val="clear" w:color="auto" w:fill="auto"/>
          </w:tcPr>
          <w:p w14:paraId="79F17224" w14:textId="77777777" w:rsidR="003438A2" w:rsidRPr="00E178D0" w:rsidRDefault="003438A2" w:rsidP="00881E29">
            <w:pPr>
              <w:spacing w:before="60" w:after="60" w:line="240" w:lineRule="auto"/>
              <w:rPr>
                <w:rFonts w:eastAsia="Calibri" w:cs="Times New Roman"/>
                <w:sz w:val="18"/>
                <w:szCs w:val="18"/>
              </w:rPr>
            </w:pPr>
            <w:r w:rsidRPr="00E178D0">
              <w:rPr>
                <w:rFonts w:eastAsia="Calibri" w:cs="Times New Roman"/>
                <w:sz w:val="18"/>
                <w:szCs w:val="18"/>
              </w:rPr>
              <w:t xml:space="preserve">Yes. Major pest of apple worldwide </w:t>
            </w:r>
            <w:r>
              <w:rPr>
                <w:rFonts w:eastAsia="Calibri" w:cs="Times New Roman"/>
                <w:noProof/>
                <w:sz w:val="18"/>
                <w:szCs w:val="18"/>
              </w:rPr>
              <w:t>(CABI 2019)</w:t>
            </w:r>
            <w:r w:rsidRPr="00E178D0">
              <w:rPr>
                <w:rFonts w:eastAsia="Calibri" w:cs="Times New Roman"/>
                <w:sz w:val="18"/>
                <w:szCs w:val="18"/>
              </w:rPr>
              <w:t xml:space="preserve">; larval feeding results in scarring and distorted fruit reducing marketability and severe attack can result in young fruit aborting </w:t>
            </w:r>
            <w:r>
              <w:rPr>
                <w:rFonts w:eastAsia="Calibri" w:cs="Times New Roman"/>
                <w:noProof/>
                <w:sz w:val="18"/>
                <w:szCs w:val="18"/>
              </w:rPr>
              <w:t>(Bentley &amp; Day 2006; Brunner 1993; Caprile et al. 2006c; Coates et al. 2009; Pickel et al. 2017; Wilkinson, Landis &amp; Gut 2004)</w:t>
            </w:r>
            <w:r w:rsidRPr="00E178D0">
              <w:rPr>
                <w:rFonts w:eastAsia="Calibri" w:cs="Times New Roman"/>
                <w:sz w:val="18"/>
                <w:szCs w:val="18"/>
              </w:rPr>
              <w:t xml:space="preserve">. Not previously considered an important pest as cover sprays provided effective control, but insecticide resistance has dictated a need for specific control measures </w:t>
            </w:r>
            <w:r>
              <w:rPr>
                <w:rFonts w:eastAsia="Calibri" w:cs="Times New Roman"/>
                <w:noProof/>
                <w:sz w:val="18"/>
                <w:szCs w:val="18"/>
              </w:rPr>
              <w:t>(Fadamiro 2004)</w:t>
            </w:r>
            <w:r>
              <w:rPr>
                <w:rFonts w:eastAsia="Calibri" w:cs="Times New Roman"/>
                <w:sz w:val="18"/>
                <w:szCs w:val="18"/>
              </w:rPr>
              <w:t>.</w:t>
            </w:r>
          </w:p>
        </w:tc>
        <w:tc>
          <w:tcPr>
            <w:tcW w:w="1191" w:type="dxa"/>
            <w:shd w:val="clear" w:color="auto" w:fill="auto"/>
          </w:tcPr>
          <w:p w14:paraId="3EB4C158" w14:textId="77777777" w:rsidR="003438A2" w:rsidRPr="00E178D0" w:rsidRDefault="003438A2" w:rsidP="00881E29">
            <w:pPr>
              <w:spacing w:before="60" w:after="60" w:line="240" w:lineRule="auto"/>
              <w:rPr>
                <w:rFonts w:eastAsia="Calibri" w:cs="Times New Roman"/>
                <w:sz w:val="18"/>
                <w:szCs w:val="18"/>
              </w:rPr>
            </w:pPr>
            <w:r w:rsidRPr="00E178D0">
              <w:rPr>
                <w:rFonts w:eastAsia="Calibri" w:cs="Times New Roman"/>
                <w:sz w:val="18"/>
                <w:szCs w:val="18"/>
              </w:rPr>
              <w:t>Yes (EP)</w:t>
            </w:r>
          </w:p>
        </w:tc>
      </w:tr>
      <w:tr w:rsidR="003438A2" w:rsidRPr="007107BF" w14:paraId="0F8F69D9" w14:textId="77777777" w:rsidTr="00C4199F">
        <w:trPr>
          <w:cantSplit/>
          <w:trHeight w:val="75"/>
          <w:jc w:val="center"/>
        </w:trPr>
        <w:tc>
          <w:tcPr>
            <w:tcW w:w="2553" w:type="dxa"/>
            <w:shd w:val="clear" w:color="auto" w:fill="auto"/>
          </w:tcPr>
          <w:p w14:paraId="7E65649C"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i/>
                <w:sz w:val="18"/>
                <w:szCs w:val="18"/>
              </w:rPr>
              <w:lastRenderedPageBreak/>
              <w:t>Cydia pomonella</w:t>
            </w:r>
            <w:r w:rsidRPr="007107BF">
              <w:rPr>
                <w:rFonts w:eastAsia="Calibri" w:cs="Times New Roman"/>
                <w:sz w:val="18"/>
                <w:szCs w:val="18"/>
              </w:rPr>
              <w:t xml:space="preserve"> (Linnaeus, 1758)</w:t>
            </w:r>
          </w:p>
          <w:p w14:paraId="12D1AC30" w14:textId="77777777" w:rsidR="003438A2" w:rsidRPr="007107BF" w:rsidRDefault="003438A2" w:rsidP="00881E29">
            <w:pPr>
              <w:spacing w:before="60" w:after="60" w:line="240" w:lineRule="auto"/>
              <w:rPr>
                <w:rFonts w:eastAsia="Calibri" w:cs="Arial"/>
                <w:sz w:val="18"/>
                <w:szCs w:val="18"/>
              </w:rPr>
            </w:pPr>
            <w:r w:rsidRPr="007107BF">
              <w:rPr>
                <w:rFonts w:eastAsia="Calibri" w:cs="Arial"/>
                <w:sz w:val="18"/>
                <w:szCs w:val="18"/>
              </w:rPr>
              <w:t>[Tortricidae]</w:t>
            </w:r>
          </w:p>
          <w:p w14:paraId="10C75620" w14:textId="77777777" w:rsidR="003438A2" w:rsidRPr="007107BF" w:rsidRDefault="003438A2" w:rsidP="00881E29">
            <w:pPr>
              <w:spacing w:before="60" w:after="60" w:line="240" w:lineRule="auto"/>
              <w:rPr>
                <w:rFonts w:eastAsia="Calibri" w:cs="Times New Roman"/>
                <w:i/>
                <w:sz w:val="18"/>
                <w:szCs w:val="18"/>
                <w:lang w:val="pt-BR"/>
              </w:rPr>
            </w:pPr>
            <w:r w:rsidRPr="007107BF">
              <w:rPr>
                <w:rFonts w:eastAsia="Calibri" w:cs="Times New Roman"/>
                <w:sz w:val="18"/>
                <w:szCs w:val="18"/>
              </w:rPr>
              <w:t>Codling moth</w:t>
            </w:r>
          </w:p>
        </w:tc>
        <w:tc>
          <w:tcPr>
            <w:tcW w:w="1474" w:type="dxa"/>
            <w:shd w:val="clear" w:color="auto" w:fill="auto"/>
          </w:tcPr>
          <w:p w14:paraId="4A3FD54D" w14:textId="77777777" w:rsidR="003438A2" w:rsidRPr="00BC1E38" w:rsidRDefault="003438A2" w:rsidP="00960FE3">
            <w:pPr>
              <w:spacing w:before="60" w:after="60" w:line="240" w:lineRule="auto"/>
              <w:rPr>
                <w:rFonts w:eastAsia="Calibri" w:cs="Arial"/>
                <w:noProof/>
                <w:sz w:val="18"/>
                <w:szCs w:val="18"/>
              </w:rPr>
            </w:pPr>
            <w:r w:rsidRPr="007107BF">
              <w:rPr>
                <w:rFonts w:eastAsia="Calibri" w:cs="Times New Roman"/>
                <w:sz w:val="18"/>
                <w:szCs w:val="18"/>
              </w:rPr>
              <w:t xml:space="preserve">Yes. </w:t>
            </w:r>
            <w:r>
              <w:rPr>
                <w:rFonts w:eastAsia="Calibri" w:cs="Times New Roman"/>
                <w:sz w:val="18"/>
                <w:szCs w:val="18"/>
              </w:rPr>
              <w:t>Present in</w:t>
            </w:r>
            <w:r w:rsidRPr="007107BF">
              <w:rPr>
                <w:rFonts w:eastAsia="Calibri" w:cs="Times New Roman"/>
                <w:sz w:val="18"/>
                <w:szCs w:val="18"/>
              </w:rPr>
              <w:t xml:space="preserve"> ID, OR</w:t>
            </w:r>
            <w:r>
              <w:rPr>
                <w:rFonts w:eastAsia="Calibri" w:cs="Times New Roman"/>
                <w:sz w:val="18"/>
                <w:szCs w:val="18"/>
              </w:rPr>
              <w:t xml:space="preserve"> and</w:t>
            </w:r>
            <w:r w:rsidRPr="007107BF">
              <w:rPr>
                <w:rFonts w:eastAsia="Calibri" w:cs="Times New Roman"/>
                <w:sz w:val="18"/>
                <w:szCs w:val="18"/>
              </w:rPr>
              <w:t xml:space="preserve"> WA</w:t>
            </w:r>
            <w:r>
              <w:rPr>
                <w:rFonts w:eastAsia="Calibri" w:cs="Times New Roman"/>
                <w:sz w:val="18"/>
                <w:szCs w:val="18"/>
              </w:rPr>
              <w:t xml:space="preserve"> </w:t>
            </w:r>
            <w:r>
              <w:rPr>
                <w:rFonts w:eastAsia="Calibri" w:cs="Times New Roman"/>
                <w:noProof/>
                <w:sz w:val="18"/>
                <w:szCs w:val="18"/>
              </w:rPr>
              <w:t>(APHIS 2007; Brunner 2018; CABI 2019)</w:t>
            </w:r>
          </w:p>
          <w:p w14:paraId="0DE6D659" w14:textId="77777777" w:rsidR="003438A2" w:rsidRDefault="003438A2" w:rsidP="00321810">
            <w:pPr>
              <w:spacing w:before="60" w:after="60" w:line="240" w:lineRule="auto"/>
              <w:rPr>
                <w:rFonts w:eastAsia="Calibri" w:cs="Arial"/>
                <w:noProof/>
                <w:sz w:val="18"/>
                <w:szCs w:val="18"/>
              </w:rPr>
            </w:pPr>
          </w:p>
          <w:p w14:paraId="6BB9D2F8" w14:textId="77777777" w:rsidR="003438A2" w:rsidRPr="00696405" w:rsidRDefault="003438A2" w:rsidP="00321810">
            <w:pPr>
              <w:spacing w:before="60" w:after="60" w:line="240" w:lineRule="auto"/>
              <w:rPr>
                <w:rFonts w:eastAsia="Calibri" w:cs="Arial"/>
                <w:noProof/>
                <w:sz w:val="18"/>
                <w:szCs w:val="18"/>
              </w:rPr>
            </w:pPr>
          </w:p>
        </w:tc>
        <w:tc>
          <w:tcPr>
            <w:tcW w:w="1474" w:type="dxa"/>
            <w:shd w:val="clear" w:color="auto" w:fill="auto"/>
          </w:tcPr>
          <w:p w14:paraId="52DF6E9A" w14:textId="77777777" w:rsidR="003438A2" w:rsidRPr="00140EEE" w:rsidRDefault="003438A2" w:rsidP="00881E29">
            <w:pPr>
              <w:spacing w:before="60" w:after="60" w:line="240" w:lineRule="auto"/>
              <w:rPr>
                <w:rFonts w:eastAsia="Calibri" w:cs="Times New Roman"/>
                <w:sz w:val="18"/>
                <w:szCs w:val="18"/>
              </w:rPr>
            </w:pPr>
            <w:r w:rsidRPr="007107BF">
              <w:rPr>
                <w:rFonts w:eastAsia="Calibri" w:cs="Times New Roman"/>
                <w:sz w:val="18"/>
                <w:szCs w:val="18"/>
              </w:rPr>
              <w:t>Yes</w:t>
            </w:r>
            <w:r>
              <w:rPr>
                <w:rFonts w:eastAsia="Calibri" w:cs="Times New Roman"/>
                <w:sz w:val="18"/>
                <w:szCs w:val="18"/>
              </w:rPr>
              <w:t>.</w:t>
            </w:r>
            <w:r w:rsidRPr="007107BF">
              <w:rPr>
                <w:rFonts w:eastAsia="Calibri" w:cs="Times New Roman"/>
                <w:sz w:val="18"/>
                <w:szCs w:val="18"/>
              </w:rPr>
              <w:t xml:space="preserve"> Present in all states and territories</w:t>
            </w:r>
            <w:r>
              <w:rPr>
                <w:rFonts w:eastAsia="Calibri" w:cs="Times New Roman"/>
                <w:sz w:val="18"/>
                <w:szCs w:val="18"/>
              </w:rPr>
              <w:t xml:space="preserve"> except WA (Nielsen, Edwards &amp; Rangsi 1996). </w:t>
            </w:r>
            <w:r w:rsidRPr="00140EEE">
              <w:rPr>
                <w:rFonts w:eastAsia="Calibri" w:cs="Times New Roman"/>
                <w:sz w:val="18"/>
                <w:szCs w:val="18"/>
              </w:rPr>
              <w:t>Listed as a Declared Pest, Prohibited (section 12) (C1 Prohibited) for WA (Government of Western Australia 2020)</w:t>
            </w:r>
          </w:p>
        </w:tc>
        <w:tc>
          <w:tcPr>
            <w:tcW w:w="2552" w:type="dxa"/>
            <w:shd w:val="clear" w:color="auto" w:fill="auto"/>
          </w:tcPr>
          <w:p w14:paraId="60A2E32F"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 xml:space="preserve">Yes. </w:t>
            </w:r>
            <w:r>
              <w:rPr>
                <w:rFonts w:eastAsia="Calibri" w:cs="Times New Roman"/>
                <w:sz w:val="18"/>
                <w:szCs w:val="18"/>
              </w:rPr>
              <w:t xml:space="preserve">This is a pest of apples (Caprile et al. 2006a). </w:t>
            </w:r>
            <w:r w:rsidRPr="007107BF">
              <w:rPr>
                <w:rFonts w:eastAsia="Calibri" w:cs="Times New Roman"/>
                <w:sz w:val="18"/>
                <w:szCs w:val="18"/>
              </w:rPr>
              <w:t xml:space="preserve">Larvae bore internally in apple fruit </w:t>
            </w:r>
            <w:r>
              <w:rPr>
                <w:rFonts w:eastAsia="Calibri" w:cs="Times New Roman"/>
                <w:noProof/>
                <w:sz w:val="18"/>
                <w:szCs w:val="18"/>
              </w:rPr>
              <w:t>(APHIS 2007)</w:t>
            </w:r>
            <w:r>
              <w:rPr>
                <w:rFonts w:eastAsia="Calibri" w:cs="Times New Roman"/>
                <w:sz w:val="18"/>
                <w:szCs w:val="18"/>
              </w:rPr>
              <w:t>.</w:t>
            </w:r>
          </w:p>
        </w:tc>
        <w:tc>
          <w:tcPr>
            <w:tcW w:w="2381" w:type="dxa"/>
            <w:shd w:val="clear" w:color="auto" w:fill="auto"/>
          </w:tcPr>
          <w:p w14:paraId="63F268B9"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Yes. Main hosts are apple</w:t>
            </w:r>
            <w:r>
              <w:rPr>
                <w:rFonts w:eastAsia="Calibri" w:cs="Times New Roman"/>
                <w:sz w:val="18"/>
                <w:szCs w:val="18"/>
              </w:rPr>
              <w:t>s</w:t>
            </w:r>
            <w:r w:rsidRPr="007107BF">
              <w:rPr>
                <w:rFonts w:eastAsia="Calibri" w:cs="Times New Roman"/>
                <w:sz w:val="18"/>
                <w:szCs w:val="18"/>
              </w:rPr>
              <w:t xml:space="preserve"> and pear</w:t>
            </w:r>
            <w:r>
              <w:rPr>
                <w:rFonts w:eastAsia="Calibri" w:cs="Times New Roman"/>
                <w:sz w:val="18"/>
                <w:szCs w:val="18"/>
              </w:rPr>
              <w:t>s</w:t>
            </w:r>
            <w:r w:rsidRPr="007107BF">
              <w:rPr>
                <w:rFonts w:eastAsia="Calibri" w:cs="Times New Roman"/>
                <w:sz w:val="18"/>
                <w:szCs w:val="18"/>
              </w:rPr>
              <w:t xml:space="preserve">. Larvae are known to be polyphagous and </w:t>
            </w:r>
            <w:r>
              <w:rPr>
                <w:rFonts w:eastAsia="Calibri" w:cs="Times New Roman"/>
                <w:sz w:val="18"/>
                <w:szCs w:val="18"/>
              </w:rPr>
              <w:t xml:space="preserve">feed on </w:t>
            </w:r>
            <w:r w:rsidRPr="007107BF">
              <w:rPr>
                <w:rFonts w:eastAsia="Calibri" w:cs="Times New Roman"/>
                <w:sz w:val="18"/>
                <w:szCs w:val="18"/>
              </w:rPr>
              <w:t>apple (</w:t>
            </w:r>
            <w:r w:rsidRPr="007107BF">
              <w:rPr>
                <w:rFonts w:eastAsia="Calibri" w:cs="Times New Roman"/>
                <w:i/>
                <w:sz w:val="18"/>
                <w:szCs w:val="18"/>
              </w:rPr>
              <w:t>Malus</w:t>
            </w:r>
            <w:r w:rsidRPr="007107BF">
              <w:rPr>
                <w:rFonts w:eastAsia="Calibri" w:cs="Times New Roman"/>
                <w:sz w:val="18"/>
                <w:szCs w:val="18"/>
              </w:rPr>
              <w:t>)</w:t>
            </w:r>
            <w:r>
              <w:rPr>
                <w:rFonts w:eastAsia="Calibri" w:cs="Times New Roman"/>
                <w:sz w:val="18"/>
                <w:szCs w:val="18"/>
              </w:rPr>
              <w:t>,</w:t>
            </w:r>
            <w:r w:rsidRPr="007107BF">
              <w:rPr>
                <w:rFonts w:eastAsia="Calibri" w:cs="Times New Roman"/>
                <w:sz w:val="18"/>
                <w:szCs w:val="18"/>
              </w:rPr>
              <w:t xml:space="preserve"> pear (</w:t>
            </w:r>
            <w:r w:rsidRPr="007107BF">
              <w:rPr>
                <w:rFonts w:eastAsia="Calibri" w:cs="Times New Roman"/>
                <w:i/>
                <w:sz w:val="18"/>
                <w:szCs w:val="18"/>
              </w:rPr>
              <w:t>Pyrus</w:t>
            </w:r>
            <w:r w:rsidRPr="007107BF">
              <w:rPr>
                <w:rFonts w:eastAsia="Calibri" w:cs="Times New Roman"/>
                <w:sz w:val="18"/>
                <w:szCs w:val="18"/>
              </w:rPr>
              <w:t>)</w:t>
            </w:r>
            <w:r>
              <w:rPr>
                <w:rFonts w:eastAsia="Calibri" w:cs="Times New Roman"/>
                <w:sz w:val="18"/>
                <w:szCs w:val="18"/>
              </w:rPr>
              <w:t xml:space="preserve">, </w:t>
            </w:r>
            <w:r w:rsidRPr="007107BF">
              <w:rPr>
                <w:rFonts w:eastAsia="Calibri" w:cs="Times New Roman"/>
                <w:sz w:val="18"/>
                <w:szCs w:val="18"/>
              </w:rPr>
              <w:t>p</w:t>
            </w:r>
            <w:r>
              <w:rPr>
                <w:rFonts w:eastAsia="Calibri" w:cs="Times New Roman"/>
                <w:sz w:val="18"/>
                <w:szCs w:val="18"/>
              </w:rPr>
              <w:t>lum</w:t>
            </w:r>
            <w:r w:rsidRPr="007107BF">
              <w:rPr>
                <w:rFonts w:eastAsia="Calibri" w:cs="Times New Roman"/>
                <w:sz w:val="18"/>
                <w:szCs w:val="18"/>
              </w:rPr>
              <w:t xml:space="preserve"> (</w:t>
            </w:r>
            <w:r w:rsidRPr="007107BF">
              <w:rPr>
                <w:rFonts w:eastAsia="Calibri" w:cs="Times New Roman"/>
                <w:i/>
                <w:sz w:val="18"/>
                <w:szCs w:val="18"/>
              </w:rPr>
              <w:t>Prunus</w:t>
            </w:r>
            <w:r w:rsidRPr="007107BF">
              <w:rPr>
                <w:rFonts w:eastAsia="Calibri" w:cs="Times New Roman"/>
                <w:sz w:val="18"/>
                <w:szCs w:val="18"/>
              </w:rPr>
              <w:t>) and walnut (</w:t>
            </w:r>
            <w:r w:rsidRPr="007107BF">
              <w:rPr>
                <w:rFonts w:eastAsia="Calibri" w:cs="Times New Roman"/>
                <w:i/>
                <w:sz w:val="18"/>
                <w:szCs w:val="18"/>
              </w:rPr>
              <w:t>Juglans regia</w:t>
            </w:r>
            <w:r w:rsidRPr="007107BF">
              <w:rPr>
                <w:rFonts w:eastAsia="Calibri" w:cs="Times New Roman"/>
                <w:sz w:val="18"/>
                <w:szCs w:val="18"/>
              </w:rPr>
              <w:t xml:space="preserve">) </w:t>
            </w:r>
            <w:r>
              <w:rPr>
                <w:rFonts w:eastAsia="Calibri" w:cs="Times New Roman"/>
                <w:noProof/>
                <w:sz w:val="18"/>
                <w:szCs w:val="18"/>
              </w:rPr>
              <w:t>(CABI 2019)</w:t>
            </w:r>
            <w:r>
              <w:rPr>
                <w:rFonts w:eastAsia="Calibri" w:cs="Times New Roman"/>
                <w:sz w:val="18"/>
                <w:szCs w:val="18"/>
              </w:rPr>
              <w:t xml:space="preserve">. Suitable </w:t>
            </w:r>
            <w:r w:rsidRPr="007107BF">
              <w:rPr>
                <w:rFonts w:eastAsia="Calibri" w:cs="Times New Roman"/>
                <w:sz w:val="18"/>
                <w:szCs w:val="18"/>
              </w:rPr>
              <w:t>hosts are widespread in Western Australia.</w:t>
            </w:r>
            <w:r>
              <w:rPr>
                <w:rFonts w:eastAsia="Calibri" w:cs="Times New Roman"/>
                <w:sz w:val="18"/>
                <w:szCs w:val="18"/>
              </w:rPr>
              <w:t xml:space="preserve"> Several</w:t>
            </w:r>
            <w:r w:rsidRPr="007107BF">
              <w:rPr>
                <w:rFonts w:eastAsia="Calibri" w:cs="Times New Roman"/>
                <w:sz w:val="18"/>
                <w:szCs w:val="18"/>
              </w:rPr>
              <w:t xml:space="preserve"> outbreaks have occurred in Western Australia and have been successfully eradicated</w:t>
            </w:r>
            <w:r>
              <w:rPr>
                <w:rFonts w:eastAsia="Calibri" w:cs="Times New Roman"/>
                <w:sz w:val="18"/>
                <w:szCs w:val="18"/>
              </w:rPr>
              <w:t xml:space="preserve"> </w:t>
            </w:r>
            <w:r>
              <w:rPr>
                <w:rFonts w:eastAsia="Calibri" w:cs="Times New Roman"/>
                <w:noProof/>
                <w:sz w:val="18"/>
                <w:szCs w:val="18"/>
              </w:rPr>
              <w:t>(Government of Western Australia 2017)</w:t>
            </w:r>
            <w:r w:rsidRPr="007107BF">
              <w:rPr>
                <w:rFonts w:eastAsia="Calibri" w:cs="Times New Roman"/>
                <w:sz w:val="18"/>
                <w:szCs w:val="18"/>
              </w:rPr>
              <w:t>, indicating that climatic conditions are suitable for its establishment in Western Australia</w:t>
            </w:r>
            <w:r>
              <w:rPr>
                <w:rFonts w:eastAsia="Calibri" w:cs="Times New Roman"/>
                <w:sz w:val="18"/>
                <w:szCs w:val="18"/>
              </w:rPr>
              <w:t>.</w:t>
            </w:r>
          </w:p>
        </w:tc>
        <w:tc>
          <w:tcPr>
            <w:tcW w:w="2211" w:type="dxa"/>
            <w:shd w:val="clear" w:color="auto" w:fill="auto"/>
          </w:tcPr>
          <w:p w14:paraId="65A87B90" w14:textId="77777777" w:rsidR="003438A2" w:rsidRPr="00827B63" w:rsidRDefault="003438A2" w:rsidP="00881E29">
            <w:pPr>
              <w:spacing w:before="60" w:after="60" w:line="240" w:lineRule="auto"/>
              <w:rPr>
                <w:rFonts w:eastAsia="Calibri" w:cs="Times New Roman"/>
                <w:sz w:val="18"/>
                <w:szCs w:val="18"/>
              </w:rPr>
            </w:pPr>
            <w:r w:rsidRPr="00827B63">
              <w:rPr>
                <w:rFonts w:eastAsia="Calibri" w:cs="Times New Roman"/>
                <w:sz w:val="18"/>
                <w:szCs w:val="18"/>
              </w:rPr>
              <w:t>Yes. Codling moth is a well</w:t>
            </w:r>
            <w:r>
              <w:rPr>
                <w:rFonts w:eastAsia="Calibri" w:cs="Times New Roman"/>
                <w:sz w:val="18"/>
                <w:szCs w:val="18"/>
              </w:rPr>
              <w:t>-</w:t>
            </w:r>
            <w:r w:rsidRPr="00827B63">
              <w:rPr>
                <w:rFonts w:eastAsia="Calibri" w:cs="Times New Roman"/>
                <w:sz w:val="18"/>
                <w:szCs w:val="18"/>
              </w:rPr>
              <w:t>known pest of apples</w:t>
            </w:r>
            <w:r>
              <w:rPr>
                <w:rFonts w:eastAsia="Calibri" w:cs="Times New Roman"/>
                <w:sz w:val="18"/>
                <w:szCs w:val="18"/>
              </w:rPr>
              <w:t>,</w:t>
            </w:r>
            <w:r w:rsidRPr="00827B63">
              <w:rPr>
                <w:rFonts w:eastAsia="Calibri" w:cs="Times New Roman"/>
                <w:sz w:val="18"/>
                <w:szCs w:val="18"/>
              </w:rPr>
              <w:t xml:space="preserve"> as well as pear and walnut </w:t>
            </w:r>
            <w:r>
              <w:rPr>
                <w:rFonts w:eastAsia="Calibri" w:cs="Times New Roman"/>
                <w:noProof/>
                <w:sz w:val="18"/>
                <w:szCs w:val="18"/>
              </w:rPr>
              <w:t>(CABI 2019)</w:t>
            </w:r>
            <w:r w:rsidRPr="00827B63">
              <w:rPr>
                <w:rFonts w:eastAsia="Calibri" w:cs="Times New Roman"/>
                <w:sz w:val="18"/>
                <w:szCs w:val="18"/>
              </w:rPr>
              <w:t xml:space="preserve">. Larvae damage developing shoots and fruit. Severe damage can occur causing a reduction in marketability of fruit </w:t>
            </w:r>
            <w:r>
              <w:rPr>
                <w:rFonts w:eastAsia="Calibri" w:cs="Times New Roman"/>
                <w:noProof/>
                <w:sz w:val="18"/>
                <w:szCs w:val="18"/>
              </w:rPr>
              <w:t>(Caprile et al. 2006c; Lacey et al. 2006)</w:t>
            </w:r>
            <w:r>
              <w:rPr>
                <w:rFonts w:eastAsia="Calibri" w:cs="Times New Roman"/>
                <w:sz w:val="18"/>
                <w:szCs w:val="18"/>
              </w:rPr>
              <w:t>.</w:t>
            </w:r>
          </w:p>
        </w:tc>
        <w:tc>
          <w:tcPr>
            <w:tcW w:w="1191" w:type="dxa"/>
            <w:shd w:val="clear" w:color="auto" w:fill="auto"/>
          </w:tcPr>
          <w:p w14:paraId="0B9934E8"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 xml:space="preserve">Yes </w:t>
            </w:r>
            <w:r w:rsidRPr="0002607B">
              <w:rPr>
                <w:rFonts w:eastAsia="Calibri" w:cs="Times New Roman"/>
                <w:sz w:val="18"/>
                <w:szCs w:val="18"/>
              </w:rPr>
              <w:t>(</w:t>
            </w:r>
            <w:r>
              <w:rPr>
                <w:rFonts w:eastAsia="Calibri" w:cs="Times New Roman"/>
                <w:sz w:val="18"/>
                <w:szCs w:val="18"/>
              </w:rPr>
              <w:t xml:space="preserve">EP, </w:t>
            </w:r>
            <w:r w:rsidRPr="0002607B">
              <w:rPr>
                <w:rFonts w:eastAsia="Calibri" w:cs="Times New Roman"/>
                <w:sz w:val="18"/>
                <w:szCs w:val="18"/>
              </w:rPr>
              <w:t>WA)</w:t>
            </w:r>
          </w:p>
        </w:tc>
      </w:tr>
      <w:tr w:rsidR="003438A2" w:rsidRPr="007107BF" w14:paraId="45715082" w14:textId="77777777" w:rsidTr="00C4199F">
        <w:trPr>
          <w:cantSplit/>
          <w:trHeight w:val="75"/>
          <w:jc w:val="center"/>
        </w:trPr>
        <w:tc>
          <w:tcPr>
            <w:tcW w:w="2553" w:type="dxa"/>
            <w:shd w:val="clear" w:color="auto" w:fill="FFFFFF" w:themeFill="background1"/>
          </w:tcPr>
          <w:p w14:paraId="0BDC5AD7"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i/>
                <w:sz w:val="18"/>
                <w:szCs w:val="18"/>
              </w:rPr>
              <w:t>Datana ministra</w:t>
            </w:r>
            <w:r w:rsidRPr="007107BF">
              <w:rPr>
                <w:rFonts w:eastAsia="Calibri" w:cs="Times New Roman"/>
                <w:sz w:val="18"/>
                <w:szCs w:val="18"/>
              </w:rPr>
              <w:t xml:space="preserve"> (Drury, 1773)</w:t>
            </w:r>
          </w:p>
          <w:p w14:paraId="1F9595A4"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[Notodontidae]</w:t>
            </w:r>
          </w:p>
          <w:p w14:paraId="489A7C82" w14:textId="77777777" w:rsidR="003438A2" w:rsidRPr="007107BF" w:rsidRDefault="003438A2" w:rsidP="00881E29">
            <w:pPr>
              <w:spacing w:before="60" w:after="60" w:line="240" w:lineRule="auto"/>
              <w:rPr>
                <w:rFonts w:eastAsia="Calibri" w:cs="Times New Roman"/>
                <w:i/>
                <w:sz w:val="18"/>
                <w:szCs w:val="18"/>
                <w:lang w:val="pt-BR"/>
              </w:rPr>
            </w:pPr>
            <w:r w:rsidRPr="007107BF">
              <w:rPr>
                <w:rFonts w:eastAsia="Calibri" w:cs="Times New Roman"/>
                <w:sz w:val="18"/>
                <w:szCs w:val="18"/>
              </w:rPr>
              <w:t>Yellow-necked caterpillar</w:t>
            </w:r>
          </w:p>
        </w:tc>
        <w:tc>
          <w:tcPr>
            <w:tcW w:w="1474" w:type="dxa"/>
            <w:shd w:val="clear" w:color="auto" w:fill="FFFFFF" w:themeFill="background1"/>
          </w:tcPr>
          <w:p w14:paraId="69A76F73" w14:textId="77777777" w:rsidR="003438A2" w:rsidRPr="007107BF" w:rsidRDefault="003438A2" w:rsidP="00881E29">
            <w:pPr>
              <w:spacing w:before="60" w:after="60" w:line="240" w:lineRule="auto"/>
              <w:rPr>
                <w:rFonts w:eastAsia="Calibri" w:cs="Times New Roman"/>
                <w:sz w:val="18"/>
                <w:szCs w:val="18"/>
                <w:lang w:val="pt-BR"/>
              </w:rPr>
            </w:pPr>
            <w:r w:rsidRPr="007107BF">
              <w:rPr>
                <w:rFonts w:eastAsia="Calibri" w:cs="Times New Roman"/>
                <w:sz w:val="18"/>
                <w:szCs w:val="18"/>
              </w:rPr>
              <w:t xml:space="preserve">Yes. </w:t>
            </w:r>
            <w:r>
              <w:rPr>
                <w:rFonts w:eastAsia="Calibri" w:cs="Times New Roman"/>
                <w:sz w:val="18"/>
                <w:szCs w:val="18"/>
              </w:rPr>
              <w:t>Present in</w:t>
            </w:r>
            <w:r w:rsidRPr="007107BF">
              <w:rPr>
                <w:rFonts w:eastAsia="Calibri" w:cs="Times New Roman"/>
                <w:sz w:val="18"/>
                <w:szCs w:val="18"/>
              </w:rPr>
              <w:t xml:space="preserve"> OR</w:t>
            </w:r>
            <w:r>
              <w:rPr>
                <w:rFonts w:eastAsia="Calibri" w:cs="Times New Roman"/>
                <w:sz w:val="18"/>
                <w:szCs w:val="18"/>
              </w:rPr>
              <w:t xml:space="preserve"> and</w:t>
            </w:r>
            <w:r w:rsidRPr="007107BF">
              <w:rPr>
                <w:rFonts w:eastAsia="Calibri" w:cs="Times New Roman"/>
                <w:sz w:val="18"/>
                <w:szCs w:val="18"/>
              </w:rPr>
              <w:t xml:space="preserve"> WA </w:t>
            </w:r>
            <w:r>
              <w:rPr>
                <w:rFonts w:eastAsia="Calibri" w:cs="Times New Roman"/>
                <w:noProof/>
                <w:sz w:val="18"/>
                <w:szCs w:val="18"/>
              </w:rPr>
              <w:t>(APHIS 2007)</w:t>
            </w:r>
          </w:p>
        </w:tc>
        <w:tc>
          <w:tcPr>
            <w:tcW w:w="1474" w:type="dxa"/>
            <w:shd w:val="clear" w:color="auto" w:fill="FFFFFF" w:themeFill="background1"/>
          </w:tcPr>
          <w:p w14:paraId="576B8204"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records found</w:t>
            </w:r>
          </w:p>
        </w:tc>
        <w:tc>
          <w:tcPr>
            <w:tcW w:w="2552" w:type="dxa"/>
            <w:shd w:val="clear" w:color="auto" w:fill="FFFFFF" w:themeFill="background1"/>
          </w:tcPr>
          <w:p w14:paraId="5267BB3A"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Feeds on leaves</w:t>
            </w:r>
            <w:r>
              <w:rPr>
                <w:rFonts w:eastAsia="Calibri" w:cs="Times New Roman"/>
                <w:sz w:val="18"/>
                <w:szCs w:val="18"/>
              </w:rPr>
              <w:t xml:space="preserve">, </w:t>
            </w:r>
            <w:r>
              <w:rPr>
                <w:rFonts w:eastAsia="Calibri" w:cs="Times New Roman"/>
                <w:noProof/>
                <w:sz w:val="18"/>
                <w:szCs w:val="18"/>
              </w:rPr>
              <w:t>(APHIS 2007)</w:t>
            </w:r>
            <w:r>
              <w:rPr>
                <w:rFonts w:eastAsia="Calibri" w:cs="Times New Roman"/>
                <w:sz w:val="18"/>
                <w:szCs w:val="18"/>
              </w:rPr>
              <w:t xml:space="preserve"> and is not known to occur on apple fruit</w:t>
            </w:r>
            <w:r w:rsidRPr="007107BF">
              <w:rPr>
                <w:rFonts w:eastAsia="Calibri" w:cs="Times New Roman"/>
                <w:sz w:val="18"/>
                <w:szCs w:val="18"/>
              </w:rPr>
              <w:t>. Major host is round</w:t>
            </w:r>
            <w:r>
              <w:rPr>
                <w:rFonts w:eastAsia="Calibri" w:cs="Times New Roman"/>
                <w:sz w:val="18"/>
                <w:szCs w:val="18"/>
              </w:rPr>
              <w:t xml:space="preserve"> </w:t>
            </w:r>
            <w:r w:rsidRPr="007107BF">
              <w:rPr>
                <w:rFonts w:eastAsia="Calibri" w:cs="Times New Roman"/>
                <w:sz w:val="18"/>
                <w:szCs w:val="18"/>
              </w:rPr>
              <w:t>leaf service</w:t>
            </w:r>
            <w:r>
              <w:rPr>
                <w:rFonts w:eastAsia="Calibri" w:cs="Times New Roman"/>
                <w:sz w:val="18"/>
                <w:szCs w:val="18"/>
              </w:rPr>
              <w:t xml:space="preserve"> </w:t>
            </w:r>
            <w:r w:rsidRPr="007107BF">
              <w:rPr>
                <w:rFonts w:eastAsia="Calibri" w:cs="Times New Roman"/>
                <w:sz w:val="18"/>
                <w:szCs w:val="18"/>
              </w:rPr>
              <w:t>berry (</w:t>
            </w:r>
            <w:r w:rsidRPr="0002586E">
              <w:rPr>
                <w:rFonts w:eastAsia="Calibri" w:cs="Times New Roman"/>
                <w:i/>
                <w:sz w:val="18"/>
                <w:szCs w:val="18"/>
              </w:rPr>
              <w:t>Amelanchier sanguinea</w:t>
            </w:r>
            <w:r w:rsidRPr="007107BF">
              <w:rPr>
                <w:rFonts w:eastAsia="Calibri" w:cs="Times New Roman"/>
                <w:sz w:val="18"/>
                <w:szCs w:val="18"/>
              </w:rPr>
              <w:t>)</w:t>
            </w:r>
            <w:r>
              <w:rPr>
                <w:rFonts w:eastAsia="Calibri" w:cs="Times New Roman"/>
                <w:sz w:val="18"/>
                <w:szCs w:val="18"/>
              </w:rPr>
              <w:t xml:space="preserve"> </w:t>
            </w:r>
            <w:r>
              <w:rPr>
                <w:rFonts w:eastAsia="Calibri" w:cs="Times New Roman"/>
                <w:noProof/>
                <w:sz w:val="18"/>
                <w:szCs w:val="18"/>
              </w:rPr>
              <w:t>(APHIS 2007)</w:t>
            </w:r>
            <w:r>
              <w:rPr>
                <w:rFonts w:eastAsia="Calibri" w:cs="Times New Roman"/>
                <w:sz w:val="18"/>
                <w:szCs w:val="18"/>
              </w:rPr>
              <w:t xml:space="preserve">. </w:t>
            </w:r>
          </w:p>
        </w:tc>
        <w:tc>
          <w:tcPr>
            <w:tcW w:w="2381" w:type="dxa"/>
            <w:shd w:val="clear" w:color="auto" w:fill="FFFFFF" w:themeFill="background1"/>
          </w:tcPr>
          <w:p w14:paraId="70868FDC"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2211" w:type="dxa"/>
            <w:shd w:val="clear" w:color="auto" w:fill="FFFFFF" w:themeFill="background1"/>
          </w:tcPr>
          <w:p w14:paraId="7549EB6C"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1191" w:type="dxa"/>
            <w:shd w:val="clear" w:color="auto" w:fill="FFFFFF" w:themeFill="background1"/>
          </w:tcPr>
          <w:p w14:paraId="2FD97BDB"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w:t>
            </w:r>
          </w:p>
        </w:tc>
      </w:tr>
      <w:tr w:rsidR="003438A2" w:rsidRPr="00A91BBE" w14:paraId="51064C03" w14:textId="77777777" w:rsidTr="00C4199F">
        <w:trPr>
          <w:cantSplit/>
          <w:trHeight w:val="75"/>
          <w:jc w:val="center"/>
        </w:trPr>
        <w:tc>
          <w:tcPr>
            <w:tcW w:w="2553" w:type="dxa"/>
            <w:shd w:val="clear" w:color="auto" w:fill="FFFFFF" w:themeFill="background1"/>
          </w:tcPr>
          <w:p w14:paraId="272A5DCD"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i/>
                <w:sz w:val="18"/>
                <w:szCs w:val="18"/>
              </w:rPr>
              <w:t>Graphiphora augur</w:t>
            </w:r>
            <w:r w:rsidRPr="00410589">
              <w:rPr>
                <w:rFonts w:eastAsia="Calibri" w:cs="Times New Roman"/>
                <w:sz w:val="18"/>
                <w:szCs w:val="18"/>
              </w:rPr>
              <w:t xml:space="preserve"> (Fabricius, 1775)</w:t>
            </w:r>
          </w:p>
          <w:p w14:paraId="1F5D3B65" w14:textId="77777777" w:rsidR="003438A2" w:rsidRPr="00410589" w:rsidRDefault="003438A2" w:rsidP="00881E29">
            <w:pPr>
              <w:spacing w:before="60" w:after="60" w:line="240" w:lineRule="auto"/>
              <w:rPr>
                <w:rFonts w:eastAsia="Calibri" w:cs="Arial"/>
                <w:sz w:val="18"/>
                <w:szCs w:val="18"/>
              </w:rPr>
            </w:pPr>
            <w:r w:rsidRPr="00410589">
              <w:rPr>
                <w:rFonts w:eastAsia="Calibri" w:cs="Arial"/>
                <w:sz w:val="18"/>
                <w:szCs w:val="18"/>
              </w:rPr>
              <w:t>[Noctuidae]</w:t>
            </w:r>
          </w:p>
          <w:p w14:paraId="56BC54D3" w14:textId="77777777" w:rsidR="003438A2" w:rsidRPr="00410589" w:rsidRDefault="003438A2" w:rsidP="00881E29">
            <w:pPr>
              <w:spacing w:before="60" w:after="60" w:line="240" w:lineRule="auto"/>
              <w:rPr>
                <w:rFonts w:eastAsia="Calibri" w:cs="Times New Roman"/>
                <w:i/>
                <w:sz w:val="18"/>
                <w:szCs w:val="18"/>
                <w:lang w:val="pt-BR"/>
              </w:rPr>
            </w:pPr>
            <w:r w:rsidRPr="00410589">
              <w:rPr>
                <w:rFonts w:eastAsia="Calibri" w:cs="Times New Roman"/>
                <w:sz w:val="18"/>
                <w:szCs w:val="18"/>
              </w:rPr>
              <w:t>Double dart moth</w:t>
            </w:r>
          </w:p>
        </w:tc>
        <w:tc>
          <w:tcPr>
            <w:tcW w:w="1474" w:type="dxa"/>
            <w:shd w:val="clear" w:color="auto" w:fill="FFFFFF" w:themeFill="background1"/>
          </w:tcPr>
          <w:p w14:paraId="120F1944" w14:textId="77777777" w:rsidR="003438A2" w:rsidRPr="00410589" w:rsidRDefault="003438A2" w:rsidP="00881E29">
            <w:pPr>
              <w:spacing w:before="60" w:after="60" w:line="240" w:lineRule="auto"/>
              <w:rPr>
                <w:rFonts w:eastAsia="Calibri" w:cs="Times New Roman"/>
                <w:sz w:val="18"/>
                <w:szCs w:val="18"/>
                <w:lang w:val="pt-BR"/>
              </w:rPr>
            </w:pPr>
            <w:r w:rsidRPr="00410589">
              <w:rPr>
                <w:rFonts w:eastAsia="Calibri" w:cs="Times New Roman"/>
                <w:sz w:val="18"/>
                <w:szCs w:val="18"/>
              </w:rPr>
              <w:t xml:space="preserve">Yes. Present in </w:t>
            </w:r>
            <w:r w:rsidRPr="00410589">
              <w:rPr>
                <w:rFonts w:eastAsia="Calibri" w:cs="Arial"/>
                <w:sz w:val="18"/>
                <w:szCs w:val="18"/>
              </w:rPr>
              <w:t xml:space="preserve">WA </w:t>
            </w:r>
            <w:r w:rsidRPr="00410589">
              <w:rPr>
                <w:rFonts w:eastAsia="Calibri" w:cs="Arial"/>
                <w:noProof/>
                <w:sz w:val="18"/>
                <w:szCs w:val="18"/>
              </w:rPr>
              <w:t>(Loggers &amp; Shepard 2010)</w:t>
            </w:r>
            <w:r w:rsidRPr="00410589">
              <w:rPr>
                <w:rFonts w:eastAsia="Calibri" w:cs="Arial"/>
                <w:sz w:val="18"/>
                <w:szCs w:val="18"/>
              </w:rPr>
              <w:t xml:space="preserve">; reported to be rare in the interior dry regions of WA, OR and ID </w:t>
            </w:r>
            <w:r w:rsidRPr="00410589">
              <w:rPr>
                <w:rFonts w:asciiTheme="majorHAnsi" w:hAnsiTheme="majorHAnsi"/>
                <w:noProof/>
                <w:sz w:val="18"/>
                <w:szCs w:val="18"/>
                <w:lang w:val="en-US"/>
              </w:rPr>
              <w:t>(Crabo et al. 2021; Fauske 2007)</w:t>
            </w:r>
          </w:p>
        </w:tc>
        <w:tc>
          <w:tcPr>
            <w:tcW w:w="1474" w:type="dxa"/>
            <w:shd w:val="clear" w:color="auto" w:fill="FFFFFF" w:themeFill="background1"/>
          </w:tcPr>
          <w:p w14:paraId="68490DC8"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No records found</w:t>
            </w:r>
          </w:p>
        </w:tc>
        <w:tc>
          <w:tcPr>
            <w:tcW w:w="2552" w:type="dxa"/>
            <w:shd w:val="clear" w:color="auto" w:fill="FFFFFF" w:themeFill="background1"/>
          </w:tcPr>
          <w:p w14:paraId="55A2A7D1" w14:textId="77777777" w:rsidR="003438A2" w:rsidRPr="00410589" w:rsidRDefault="003438A2" w:rsidP="0048105F">
            <w:pPr>
              <w:pStyle w:val="TableText"/>
            </w:pPr>
            <w:r w:rsidRPr="00410589">
              <w:t>No. Larvae feed on leaves of many host species (</w:t>
            </w:r>
            <w:hyperlink w:anchor="_ENREF_119" w:tooltip="BugGuide, 2021 #41796" w:history="1">
              <w:r w:rsidRPr="00410589">
                <w:rPr>
                  <w:noProof/>
                </w:rPr>
                <w:t>BugGuide 2021</w:t>
              </w:r>
            </w:hyperlink>
            <w:r w:rsidRPr="00410589">
              <w:t xml:space="preserve">). There is no evidence that the species feeds on apple fruit </w:t>
            </w:r>
            <w:r w:rsidRPr="00410589">
              <w:rPr>
                <w:rFonts w:eastAsia="Calibri" w:cs="Times New Roman"/>
                <w:noProof/>
              </w:rPr>
              <w:t>(Mazzei, Reggianti &amp; Pimpinelli 2008)</w:t>
            </w:r>
          </w:p>
        </w:tc>
        <w:tc>
          <w:tcPr>
            <w:tcW w:w="2381" w:type="dxa"/>
            <w:shd w:val="clear" w:color="auto" w:fill="FFFFFF" w:themeFill="background1"/>
          </w:tcPr>
          <w:p w14:paraId="5C0CE7EC"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Assessment not required</w:t>
            </w:r>
          </w:p>
        </w:tc>
        <w:tc>
          <w:tcPr>
            <w:tcW w:w="2211" w:type="dxa"/>
            <w:shd w:val="clear" w:color="auto" w:fill="FFFFFF" w:themeFill="background1"/>
          </w:tcPr>
          <w:p w14:paraId="762A3142"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Assessment not required</w:t>
            </w:r>
          </w:p>
        </w:tc>
        <w:tc>
          <w:tcPr>
            <w:tcW w:w="1191" w:type="dxa"/>
            <w:shd w:val="clear" w:color="auto" w:fill="FFFFFF" w:themeFill="background1"/>
          </w:tcPr>
          <w:p w14:paraId="4BB099BA" w14:textId="77777777" w:rsidR="003438A2" w:rsidRPr="00A91BBE" w:rsidRDefault="003438A2" w:rsidP="00881E29">
            <w:pPr>
              <w:spacing w:before="60" w:after="60" w:line="240" w:lineRule="auto"/>
              <w:rPr>
                <w:rFonts w:eastAsia="Calibri" w:cs="Times New Roman"/>
                <w:sz w:val="18"/>
                <w:szCs w:val="18"/>
              </w:rPr>
            </w:pPr>
            <w:r w:rsidRPr="00410589">
              <w:rPr>
                <w:rFonts w:eastAsia="Calibri" w:cs="Times New Roman"/>
                <w:sz w:val="18"/>
                <w:szCs w:val="18"/>
              </w:rPr>
              <w:t>No</w:t>
            </w:r>
          </w:p>
        </w:tc>
      </w:tr>
      <w:tr w:rsidR="003438A2" w:rsidRPr="007107BF" w14:paraId="148B1CFE" w14:textId="77777777" w:rsidTr="00C4199F">
        <w:trPr>
          <w:cantSplit/>
          <w:trHeight w:val="75"/>
          <w:jc w:val="center"/>
        </w:trPr>
        <w:tc>
          <w:tcPr>
            <w:tcW w:w="2553" w:type="dxa"/>
            <w:shd w:val="clear" w:color="auto" w:fill="auto"/>
          </w:tcPr>
          <w:p w14:paraId="799EE7F4" w14:textId="77777777" w:rsidR="003438A2" w:rsidRDefault="003438A2" w:rsidP="00881E29">
            <w:pPr>
              <w:spacing w:before="60" w:after="60" w:line="240" w:lineRule="auto"/>
              <w:rPr>
                <w:rFonts w:eastAsia="Calibri" w:cs="Arial"/>
                <w:b/>
                <w:sz w:val="18"/>
                <w:szCs w:val="18"/>
                <w:vertAlign w:val="superscript"/>
              </w:rPr>
            </w:pPr>
            <w:r w:rsidRPr="007107BF">
              <w:rPr>
                <w:rFonts w:eastAsia="Calibri" w:cs="Arial"/>
                <w:i/>
                <w:sz w:val="18"/>
                <w:szCs w:val="18"/>
              </w:rPr>
              <w:lastRenderedPageBreak/>
              <w:t>Grapholita</w:t>
            </w:r>
            <w:r w:rsidRPr="007107BF">
              <w:rPr>
                <w:rFonts w:eastAsia="Calibri" w:cs="Times New Roman"/>
                <w:sz w:val="18"/>
                <w:szCs w:val="18"/>
                <w:lang w:val="en"/>
              </w:rPr>
              <w:t xml:space="preserve"> </w:t>
            </w:r>
            <w:r w:rsidRPr="00D0643B">
              <w:rPr>
                <w:rFonts w:eastAsia="Calibri" w:cs="Times New Roman"/>
                <w:iCs/>
                <w:sz w:val="18"/>
                <w:szCs w:val="18"/>
                <w:lang w:val="en"/>
              </w:rPr>
              <w:t>(</w:t>
            </w:r>
            <w:r w:rsidRPr="007107BF">
              <w:rPr>
                <w:rFonts w:eastAsia="Calibri" w:cs="Times New Roman"/>
                <w:i/>
                <w:iCs/>
                <w:sz w:val="18"/>
                <w:szCs w:val="18"/>
                <w:lang w:val="en"/>
              </w:rPr>
              <w:t>Aspila</w:t>
            </w:r>
            <w:r w:rsidRPr="00D0643B">
              <w:rPr>
                <w:rFonts w:eastAsia="Calibri" w:cs="Times New Roman"/>
                <w:iCs/>
                <w:sz w:val="18"/>
                <w:szCs w:val="18"/>
                <w:lang w:val="en"/>
              </w:rPr>
              <w:t>)</w:t>
            </w:r>
            <w:r w:rsidRPr="007107BF">
              <w:rPr>
                <w:rFonts w:eastAsia="Calibri" w:cs="Arial"/>
                <w:i/>
                <w:sz w:val="18"/>
                <w:szCs w:val="18"/>
              </w:rPr>
              <w:t xml:space="preserve"> molesta</w:t>
            </w:r>
            <w:r w:rsidRPr="007107BF">
              <w:rPr>
                <w:rFonts w:eastAsia="Calibri" w:cs="Arial"/>
                <w:sz w:val="18"/>
                <w:szCs w:val="18"/>
              </w:rPr>
              <w:t xml:space="preserve"> (Busck, 1916)</w:t>
            </w:r>
            <w:r w:rsidRPr="007107BF">
              <w:rPr>
                <w:rFonts w:eastAsia="Calibri" w:cs="Arial"/>
                <w:b/>
                <w:sz w:val="18"/>
                <w:szCs w:val="18"/>
                <w:vertAlign w:val="superscript"/>
              </w:rPr>
              <w:t>,</w:t>
            </w:r>
          </w:p>
          <w:p w14:paraId="603565D0" w14:textId="77777777" w:rsidR="003438A2" w:rsidRPr="007107BF" w:rsidRDefault="003438A2" w:rsidP="00881E29">
            <w:pPr>
              <w:spacing w:before="60" w:after="60" w:line="240" w:lineRule="auto"/>
              <w:rPr>
                <w:rFonts w:eastAsia="Calibri" w:cs="Arial"/>
                <w:i/>
                <w:sz w:val="18"/>
                <w:szCs w:val="18"/>
              </w:rPr>
            </w:pPr>
            <w:r w:rsidRPr="007107BF">
              <w:rPr>
                <w:rFonts w:eastAsia="Calibri" w:cs="Arial"/>
                <w:sz w:val="18"/>
                <w:szCs w:val="18"/>
              </w:rPr>
              <w:t xml:space="preserve">Synonym: </w:t>
            </w:r>
            <w:r w:rsidRPr="007107BF">
              <w:rPr>
                <w:rFonts w:eastAsia="Calibri" w:cs="Arial"/>
                <w:i/>
                <w:sz w:val="18"/>
                <w:szCs w:val="18"/>
              </w:rPr>
              <w:t xml:space="preserve">Cydia molesta </w:t>
            </w:r>
            <w:r w:rsidRPr="007107BF">
              <w:rPr>
                <w:rFonts w:eastAsia="Calibri" w:cs="Arial"/>
                <w:sz w:val="18"/>
                <w:szCs w:val="18"/>
              </w:rPr>
              <w:t>Busck, 1916</w:t>
            </w:r>
          </w:p>
          <w:p w14:paraId="7B8FC53C" w14:textId="77777777" w:rsidR="003438A2" w:rsidRPr="007107BF" w:rsidRDefault="003438A2" w:rsidP="00881E29">
            <w:pPr>
              <w:spacing w:before="60" w:after="60" w:line="240" w:lineRule="auto"/>
              <w:rPr>
                <w:rFonts w:eastAsia="Calibri" w:cs="Arial"/>
                <w:sz w:val="18"/>
                <w:szCs w:val="18"/>
              </w:rPr>
            </w:pPr>
            <w:r w:rsidRPr="007107BF">
              <w:rPr>
                <w:rFonts w:eastAsia="Calibri" w:cs="Arial"/>
                <w:sz w:val="18"/>
                <w:szCs w:val="18"/>
              </w:rPr>
              <w:t>[Tortricidae]</w:t>
            </w:r>
          </w:p>
          <w:p w14:paraId="558E857B" w14:textId="77777777" w:rsidR="003438A2" w:rsidRPr="007107BF" w:rsidRDefault="003438A2" w:rsidP="00881E29">
            <w:pPr>
              <w:spacing w:before="60" w:after="60" w:line="240" w:lineRule="auto"/>
              <w:rPr>
                <w:rFonts w:eastAsia="Calibri" w:cs="Times New Roman"/>
                <w:i/>
                <w:sz w:val="18"/>
                <w:szCs w:val="18"/>
                <w:lang w:val="pt-BR"/>
              </w:rPr>
            </w:pPr>
            <w:r w:rsidRPr="007107BF">
              <w:rPr>
                <w:rFonts w:eastAsia="Calibri" w:cs="Arial"/>
                <w:sz w:val="18"/>
                <w:szCs w:val="18"/>
              </w:rPr>
              <w:t xml:space="preserve">Oriental fruit moth </w:t>
            </w:r>
          </w:p>
        </w:tc>
        <w:tc>
          <w:tcPr>
            <w:tcW w:w="1474" w:type="dxa"/>
            <w:shd w:val="clear" w:color="auto" w:fill="auto"/>
          </w:tcPr>
          <w:p w14:paraId="57A3B518" w14:textId="77777777" w:rsidR="003438A2" w:rsidRDefault="003438A2" w:rsidP="00321810">
            <w:pPr>
              <w:spacing w:before="60" w:after="60" w:line="240" w:lineRule="auto"/>
              <w:rPr>
                <w:rFonts w:eastAsia="Calibri" w:cs="Arial"/>
                <w:noProof/>
                <w:sz w:val="18"/>
                <w:szCs w:val="18"/>
              </w:rPr>
            </w:pPr>
            <w:r w:rsidRPr="007107BF">
              <w:rPr>
                <w:rFonts w:eastAsia="Calibri" w:cs="Arial"/>
                <w:sz w:val="18"/>
                <w:szCs w:val="18"/>
              </w:rPr>
              <w:t xml:space="preserve">Yes. </w:t>
            </w:r>
            <w:r>
              <w:rPr>
                <w:rFonts w:eastAsia="Calibri" w:cs="Arial"/>
                <w:sz w:val="18"/>
                <w:szCs w:val="18"/>
              </w:rPr>
              <w:t>Present in</w:t>
            </w:r>
            <w:r w:rsidRPr="007107BF">
              <w:rPr>
                <w:rFonts w:eastAsia="Calibri" w:cs="Arial"/>
                <w:sz w:val="18"/>
                <w:szCs w:val="18"/>
              </w:rPr>
              <w:t xml:space="preserve"> WA</w:t>
            </w:r>
            <w:r>
              <w:rPr>
                <w:rFonts w:eastAsia="Calibri" w:cs="Arial"/>
                <w:sz w:val="18"/>
                <w:szCs w:val="18"/>
              </w:rPr>
              <w:t xml:space="preserve"> </w:t>
            </w:r>
            <w:r>
              <w:rPr>
                <w:rFonts w:eastAsia="Times New Roman" w:cs="Calibri"/>
                <w:noProof/>
                <w:color w:val="000000"/>
                <w:sz w:val="18"/>
                <w:szCs w:val="18"/>
                <w:lang w:eastAsia="en-AU"/>
              </w:rPr>
              <w:t>(Botha et al. 2006; CABI 2022)</w:t>
            </w:r>
          </w:p>
          <w:p w14:paraId="3E674BC3" w14:textId="77777777" w:rsidR="003438A2" w:rsidRPr="007107BF" w:rsidRDefault="003438A2" w:rsidP="00881E29">
            <w:pPr>
              <w:spacing w:before="60" w:after="60" w:line="240" w:lineRule="auto"/>
              <w:rPr>
                <w:rFonts w:eastAsia="Calibri" w:cs="Times New Roman"/>
                <w:sz w:val="18"/>
                <w:szCs w:val="18"/>
                <w:lang w:val="pt-BR"/>
              </w:rPr>
            </w:pPr>
          </w:p>
        </w:tc>
        <w:tc>
          <w:tcPr>
            <w:tcW w:w="1474" w:type="dxa"/>
            <w:shd w:val="clear" w:color="auto" w:fill="auto"/>
          </w:tcPr>
          <w:p w14:paraId="1BD23CDA" w14:textId="77777777" w:rsidR="003438A2" w:rsidRPr="00E23FF2" w:rsidRDefault="003438A2" w:rsidP="00881E29">
            <w:pPr>
              <w:spacing w:before="60" w:after="60" w:line="240" w:lineRule="auto"/>
              <w:rPr>
                <w:rFonts w:eastAsia="Calibri" w:cs="Arial"/>
                <w:sz w:val="18"/>
                <w:szCs w:val="18"/>
              </w:rPr>
            </w:pPr>
            <w:r w:rsidRPr="007107BF">
              <w:rPr>
                <w:rFonts w:eastAsia="Calibri" w:cs="Arial"/>
                <w:sz w:val="18"/>
                <w:szCs w:val="18"/>
              </w:rPr>
              <w:t>Yes</w:t>
            </w:r>
            <w:r>
              <w:rPr>
                <w:rFonts w:eastAsia="Calibri" w:cs="Arial"/>
                <w:sz w:val="18"/>
                <w:szCs w:val="18"/>
              </w:rPr>
              <w:t>.</w:t>
            </w:r>
            <w:r w:rsidRPr="007107BF">
              <w:rPr>
                <w:rFonts w:eastAsia="Calibri" w:cs="Arial"/>
                <w:sz w:val="18"/>
                <w:szCs w:val="18"/>
              </w:rPr>
              <w:t xml:space="preserve"> </w:t>
            </w:r>
            <w:r>
              <w:rPr>
                <w:rFonts w:eastAsia="Calibri" w:cs="Arial"/>
                <w:sz w:val="18"/>
                <w:szCs w:val="18"/>
              </w:rPr>
              <w:t xml:space="preserve">Present in </w:t>
            </w:r>
            <w:r w:rsidRPr="00E23FF2">
              <w:rPr>
                <w:rFonts w:eastAsia="Calibri" w:cs="Arial"/>
                <w:sz w:val="18"/>
                <w:szCs w:val="18"/>
              </w:rPr>
              <w:t xml:space="preserve">NSW, Qld, SA, Tas., Vic. </w:t>
            </w:r>
            <w:r>
              <w:rPr>
                <w:rFonts w:eastAsia="Calibri" w:cs="Arial"/>
                <w:noProof/>
                <w:sz w:val="18"/>
                <w:szCs w:val="18"/>
              </w:rPr>
              <w:t>(EPPO 2018; Nielsen, Edwards &amp; Rangsi 1996)</w:t>
            </w:r>
            <w:r w:rsidRPr="00E23FF2">
              <w:rPr>
                <w:rFonts w:eastAsia="Calibri" w:cs="Arial"/>
                <w:sz w:val="18"/>
                <w:szCs w:val="18"/>
              </w:rPr>
              <w:t xml:space="preserve">. Listed as a Declared Pest, Prohibited (section 12) (C1 Prohibited) for WA </w:t>
            </w:r>
            <w:r>
              <w:rPr>
                <w:rFonts w:eastAsia="Calibri" w:cs="Arial"/>
                <w:noProof/>
                <w:sz w:val="18"/>
                <w:szCs w:val="18"/>
              </w:rPr>
              <w:t>(Government of Western Australia 2020)</w:t>
            </w:r>
          </w:p>
        </w:tc>
        <w:tc>
          <w:tcPr>
            <w:tcW w:w="2552" w:type="dxa"/>
            <w:shd w:val="clear" w:color="auto" w:fill="auto"/>
          </w:tcPr>
          <w:p w14:paraId="6B7535D5"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Arial"/>
                <w:sz w:val="18"/>
                <w:szCs w:val="18"/>
              </w:rPr>
              <w:t xml:space="preserve">Yes. Eggs are laid on the underside of leaves, on stems, or smooth-skinned fruit; summer cocoons may be found on fruit, in axils of twigs, under pieces of bark, and on the ground under loose debris </w:t>
            </w:r>
            <w:r>
              <w:rPr>
                <w:rFonts w:eastAsia="Calibri" w:cs="Arial"/>
                <w:noProof/>
                <w:sz w:val="18"/>
                <w:szCs w:val="18"/>
              </w:rPr>
              <w:t>(Botha et al. 2006)</w:t>
            </w:r>
            <w:r w:rsidRPr="007107BF">
              <w:rPr>
                <w:rFonts w:eastAsia="Calibri" w:cs="Arial"/>
                <w:sz w:val="18"/>
                <w:szCs w:val="18"/>
              </w:rPr>
              <w:t xml:space="preserve">. Larvae bore into the apple fruit </w:t>
            </w:r>
            <w:r>
              <w:rPr>
                <w:rFonts w:eastAsia="Calibri" w:cs="Arial"/>
                <w:noProof/>
                <w:sz w:val="18"/>
                <w:szCs w:val="18"/>
              </w:rPr>
              <w:t>(Myers, Hull &amp; Krawczyk 2006a, b, c, 2007)</w:t>
            </w:r>
            <w:r>
              <w:rPr>
                <w:rFonts w:eastAsia="Calibri" w:cs="Arial"/>
                <w:sz w:val="18"/>
                <w:szCs w:val="18"/>
              </w:rPr>
              <w:t>.</w:t>
            </w:r>
          </w:p>
        </w:tc>
        <w:tc>
          <w:tcPr>
            <w:tcW w:w="2381" w:type="dxa"/>
            <w:shd w:val="clear" w:color="auto" w:fill="auto"/>
          </w:tcPr>
          <w:p w14:paraId="0A9F26E4"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Arial"/>
                <w:sz w:val="18"/>
                <w:szCs w:val="18"/>
              </w:rPr>
              <w:t xml:space="preserve">Yes. Wide host range, distributed globally, present in all Australian states except WA and NT </w:t>
            </w:r>
            <w:r>
              <w:rPr>
                <w:rFonts w:eastAsia="Calibri" w:cs="Arial"/>
                <w:noProof/>
                <w:sz w:val="18"/>
                <w:szCs w:val="18"/>
              </w:rPr>
              <w:t>(Barcenas, Unruh &amp; Neven 2005; Bentley &amp; Day 2006; CABI 2019; Gencsoylu et al. 2006)</w:t>
            </w:r>
          </w:p>
        </w:tc>
        <w:tc>
          <w:tcPr>
            <w:tcW w:w="2211" w:type="dxa"/>
            <w:shd w:val="clear" w:color="auto" w:fill="auto"/>
          </w:tcPr>
          <w:p w14:paraId="16A3ABB5"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Arial"/>
                <w:sz w:val="18"/>
                <w:szCs w:val="18"/>
              </w:rPr>
              <w:t xml:space="preserve">Yes. Serious international pest especially of peaches, nectarines and apricots </w:t>
            </w:r>
            <w:r>
              <w:rPr>
                <w:rFonts w:eastAsia="Calibri" w:cs="Arial"/>
                <w:noProof/>
                <w:sz w:val="18"/>
                <w:szCs w:val="18"/>
              </w:rPr>
              <w:t>(CABI 2019; Rothschild &amp; Vickers 1991)</w:t>
            </w:r>
            <w:r w:rsidRPr="007107BF">
              <w:rPr>
                <w:rFonts w:eastAsia="Calibri" w:cs="Arial"/>
                <w:sz w:val="18"/>
                <w:szCs w:val="18"/>
              </w:rPr>
              <w:t xml:space="preserve"> and in recent years its incidence on apples has increased </w:t>
            </w:r>
            <w:r>
              <w:rPr>
                <w:rFonts w:eastAsia="Calibri" w:cs="Arial"/>
                <w:noProof/>
                <w:sz w:val="18"/>
                <w:szCs w:val="18"/>
              </w:rPr>
              <w:t>(Botha et al. 2006)</w:t>
            </w:r>
            <w:r w:rsidRPr="007107BF">
              <w:rPr>
                <w:rFonts w:eastAsia="Calibri" w:cs="Arial"/>
                <w:sz w:val="18"/>
                <w:szCs w:val="18"/>
              </w:rPr>
              <w:t xml:space="preserve">. Attacks on </w:t>
            </w:r>
            <w:r>
              <w:rPr>
                <w:rFonts w:eastAsia="Calibri" w:cs="Arial"/>
                <w:sz w:val="18"/>
                <w:szCs w:val="18"/>
              </w:rPr>
              <w:t>fruit</w:t>
            </w:r>
            <w:r w:rsidRPr="007107BF">
              <w:rPr>
                <w:rFonts w:eastAsia="Calibri" w:cs="Arial"/>
                <w:sz w:val="18"/>
                <w:szCs w:val="18"/>
              </w:rPr>
              <w:t xml:space="preserve"> considerably reduce their quality and</w:t>
            </w:r>
            <w:r>
              <w:rPr>
                <w:rFonts w:eastAsia="Calibri" w:cs="Arial"/>
                <w:sz w:val="18"/>
                <w:szCs w:val="18"/>
              </w:rPr>
              <w:t>;</w:t>
            </w:r>
            <w:r w:rsidRPr="007107BF">
              <w:rPr>
                <w:rFonts w:eastAsia="Calibri" w:cs="Arial"/>
                <w:sz w:val="18"/>
                <w:szCs w:val="18"/>
              </w:rPr>
              <w:t xml:space="preserve"> therefore, their market value </w:t>
            </w:r>
            <w:r>
              <w:rPr>
                <w:rFonts w:eastAsia="Calibri" w:cs="Arial"/>
                <w:noProof/>
                <w:sz w:val="18"/>
                <w:szCs w:val="18"/>
              </w:rPr>
              <w:t>(Botha et al. 2006)</w:t>
            </w:r>
            <w:r>
              <w:rPr>
                <w:rFonts w:eastAsia="Calibri" w:cs="Arial"/>
                <w:sz w:val="18"/>
                <w:szCs w:val="18"/>
              </w:rPr>
              <w:t xml:space="preserve">. </w:t>
            </w:r>
            <w:r w:rsidRPr="007107BF">
              <w:rPr>
                <w:rFonts w:eastAsia="Calibri" w:cs="Arial"/>
                <w:sz w:val="18"/>
                <w:szCs w:val="18"/>
              </w:rPr>
              <w:t xml:space="preserve">Oriental fruit moth can cause economic damage at relatively low population densities </w:t>
            </w:r>
            <w:r>
              <w:rPr>
                <w:rFonts w:eastAsia="Calibri" w:cs="Arial"/>
                <w:noProof/>
                <w:sz w:val="18"/>
                <w:szCs w:val="18"/>
              </w:rPr>
              <w:t>(Botha et al. 2006)</w:t>
            </w:r>
            <w:r>
              <w:rPr>
                <w:rFonts w:eastAsia="Calibri" w:cs="Arial"/>
                <w:sz w:val="18"/>
                <w:szCs w:val="18"/>
              </w:rPr>
              <w:t xml:space="preserve"> and </w:t>
            </w:r>
            <w:r w:rsidRPr="007107BF">
              <w:rPr>
                <w:rFonts w:eastAsia="Calibri" w:cs="Arial"/>
                <w:sz w:val="18"/>
                <w:szCs w:val="18"/>
              </w:rPr>
              <w:t xml:space="preserve">it </w:t>
            </w:r>
            <w:r>
              <w:rPr>
                <w:rFonts w:eastAsia="Calibri" w:cs="Arial"/>
                <w:sz w:val="18"/>
                <w:szCs w:val="18"/>
              </w:rPr>
              <w:t>c</w:t>
            </w:r>
            <w:r w:rsidRPr="007107BF">
              <w:rPr>
                <w:rFonts w:eastAsia="Calibri" w:cs="Arial"/>
                <w:sz w:val="18"/>
                <w:szCs w:val="18"/>
              </w:rPr>
              <w:t>ould have significant consequences if it was introduced into Western Australia</w:t>
            </w:r>
            <w:r>
              <w:rPr>
                <w:rFonts w:eastAsia="Calibri" w:cs="Arial"/>
                <w:sz w:val="18"/>
                <w:szCs w:val="18"/>
              </w:rPr>
              <w:t>.</w:t>
            </w:r>
          </w:p>
        </w:tc>
        <w:tc>
          <w:tcPr>
            <w:tcW w:w="1191" w:type="dxa"/>
            <w:shd w:val="clear" w:color="auto" w:fill="auto"/>
          </w:tcPr>
          <w:p w14:paraId="1FFEFF0B"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Arial"/>
                <w:sz w:val="18"/>
                <w:szCs w:val="18"/>
              </w:rPr>
              <w:t xml:space="preserve">Yes </w:t>
            </w:r>
            <w:r w:rsidRPr="002C484A">
              <w:rPr>
                <w:rFonts w:eastAsia="Calibri" w:cs="Arial"/>
                <w:sz w:val="18"/>
                <w:szCs w:val="18"/>
              </w:rPr>
              <w:t>(</w:t>
            </w:r>
            <w:r>
              <w:rPr>
                <w:rFonts w:eastAsia="Calibri" w:cs="Arial"/>
                <w:sz w:val="18"/>
                <w:szCs w:val="18"/>
              </w:rPr>
              <w:t xml:space="preserve">EP, </w:t>
            </w:r>
            <w:r w:rsidRPr="002C484A">
              <w:rPr>
                <w:rFonts w:eastAsia="Calibri" w:cs="Arial"/>
                <w:sz w:val="18"/>
                <w:szCs w:val="18"/>
              </w:rPr>
              <w:t>WA)</w:t>
            </w:r>
          </w:p>
        </w:tc>
      </w:tr>
      <w:tr w:rsidR="003438A2" w:rsidRPr="007107BF" w14:paraId="7118ABAC" w14:textId="77777777" w:rsidTr="00C4199F">
        <w:trPr>
          <w:cantSplit/>
          <w:trHeight w:val="75"/>
          <w:jc w:val="center"/>
        </w:trPr>
        <w:tc>
          <w:tcPr>
            <w:tcW w:w="2553" w:type="dxa"/>
            <w:shd w:val="clear" w:color="auto" w:fill="auto"/>
          </w:tcPr>
          <w:p w14:paraId="37E40781" w14:textId="77777777" w:rsidR="003438A2" w:rsidRPr="007107BF" w:rsidRDefault="003438A2" w:rsidP="00881E29">
            <w:pPr>
              <w:spacing w:before="60" w:after="60" w:line="240" w:lineRule="auto"/>
              <w:rPr>
                <w:rFonts w:eastAsia="Calibri" w:cs="Arial"/>
                <w:sz w:val="18"/>
                <w:szCs w:val="18"/>
              </w:rPr>
            </w:pPr>
            <w:r w:rsidRPr="007107BF">
              <w:rPr>
                <w:rFonts w:eastAsia="Calibri" w:cs="Arial"/>
                <w:i/>
                <w:sz w:val="18"/>
                <w:szCs w:val="18"/>
              </w:rPr>
              <w:t>Grapholita packardi</w:t>
            </w:r>
            <w:r w:rsidRPr="007107BF">
              <w:rPr>
                <w:rFonts w:eastAsia="Calibri" w:cs="Arial"/>
                <w:sz w:val="18"/>
                <w:szCs w:val="18"/>
              </w:rPr>
              <w:t xml:space="preserve"> Zeller, 1875</w:t>
            </w:r>
          </w:p>
          <w:p w14:paraId="4200A16D" w14:textId="77777777" w:rsidR="003438A2" w:rsidRPr="007107BF" w:rsidRDefault="003438A2" w:rsidP="00881E29">
            <w:pPr>
              <w:spacing w:before="60" w:after="60" w:line="240" w:lineRule="auto"/>
              <w:rPr>
                <w:rFonts w:eastAsia="Calibri" w:cs="Arial"/>
                <w:sz w:val="18"/>
                <w:szCs w:val="18"/>
              </w:rPr>
            </w:pPr>
            <w:r w:rsidRPr="007107BF">
              <w:rPr>
                <w:rFonts w:eastAsia="Calibri" w:cs="Arial"/>
                <w:sz w:val="18"/>
                <w:szCs w:val="18"/>
              </w:rPr>
              <w:t xml:space="preserve">Synonym: </w:t>
            </w:r>
            <w:r w:rsidRPr="007107BF">
              <w:rPr>
                <w:rFonts w:eastAsia="Calibri" w:cs="Arial"/>
                <w:i/>
                <w:sz w:val="18"/>
                <w:szCs w:val="18"/>
              </w:rPr>
              <w:t xml:space="preserve">Cydia </w:t>
            </w:r>
            <w:r>
              <w:rPr>
                <w:rFonts w:eastAsia="Calibri" w:cs="Arial"/>
                <w:i/>
                <w:sz w:val="18"/>
                <w:szCs w:val="18"/>
              </w:rPr>
              <w:t>packardi</w:t>
            </w:r>
            <w:r w:rsidRPr="007107BF">
              <w:rPr>
                <w:rFonts w:eastAsia="Calibri" w:cs="Arial"/>
                <w:i/>
                <w:sz w:val="18"/>
                <w:szCs w:val="18"/>
              </w:rPr>
              <w:t xml:space="preserve"> </w:t>
            </w:r>
            <w:r w:rsidRPr="007107BF">
              <w:rPr>
                <w:rFonts w:eastAsia="Calibri" w:cs="Arial"/>
                <w:sz w:val="18"/>
                <w:szCs w:val="18"/>
              </w:rPr>
              <w:t>(Walsh, 1868)</w:t>
            </w:r>
          </w:p>
          <w:p w14:paraId="2D3DA9F7" w14:textId="77777777" w:rsidR="003438A2" w:rsidRPr="007107BF" w:rsidRDefault="003438A2" w:rsidP="00881E29">
            <w:pPr>
              <w:spacing w:before="60" w:after="60" w:line="240" w:lineRule="auto"/>
              <w:rPr>
                <w:rFonts w:eastAsia="Calibri" w:cs="Arial"/>
                <w:sz w:val="18"/>
                <w:szCs w:val="18"/>
              </w:rPr>
            </w:pPr>
            <w:r w:rsidRPr="007107BF">
              <w:rPr>
                <w:rFonts w:eastAsia="Calibri" w:cs="Arial"/>
                <w:sz w:val="18"/>
                <w:szCs w:val="18"/>
              </w:rPr>
              <w:t>[Tortricidae]</w:t>
            </w:r>
          </w:p>
          <w:p w14:paraId="31AE3AA1" w14:textId="77777777" w:rsidR="003438A2" w:rsidRPr="007107BF" w:rsidRDefault="003438A2" w:rsidP="00881E29">
            <w:pPr>
              <w:spacing w:before="60" w:after="60" w:line="240" w:lineRule="auto"/>
              <w:rPr>
                <w:rFonts w:eastAsia="Calibri" w:cs="Times New Roman"/>
                <w:i/>
                <w:color w:val="FF0000"/>
                <w:sz w:val="18"/>
                <w:szCs w:val="18"/>
                <w:lang w:val="pt-BR"/>
              </w:rPr>
            </w:pPr>
            <w:r w:rsidRPr="007107BF">
              <w:rPr>
                <w:rFonts w:eastAsia="Calibri" w:cs="Arial"/>
                <w:sz w:val="18"/>
                <w:szCs w:val="18"/>
              </w:rPr>
              <w:t>Cherry fruitworm</w:t>
            </w:r>
          </w:p>
        </w:tc>
        <w:tc>
          <w:tcPr>
            <w:tcW w:w="1474" w:type="dxa"/>
            <w:shd w:val="clear" w:color="auto" w:fill="auto"/>
          </w:tcPr>
          <w:p w14:paraId="040BFA6C" w14:textId="77777777" w:rsidR="003438A2" w:rsidRPr="007107BF" w:rsidRDefault="003438A2" w:rsidP="00321810">
            <w:pPr>
              <w:spacing w:before="60" w:after="60" w:line="240" w:lineRule="auto"/>
              <w:rPr>
                <w:rFonts w:eastAsia="Calibri" w:cs="Times New Roman"/>
                <w:color w:val="000000"/>
                <w:sz w:val="18"/>
                <w:szCs w:val="18"/>
                <w:lang w:val="pt-BR"/>
              </w:rPr>
            </w:pPr>
            <w:r w:rsidRPr="007107BF">
              <w:rPr>
                <w:rFonts w:eastAsia="Calibri" w:cs="Arial"/>
                <w:color w:val="000000"/>
                <w:sz w:val="18"/>
                <w:szCs w:val="18"/>
              </w:rPr>
              <w:t xml:space="preserve">Yes. </w:t>
            </w:r>
            <w:r>
              <w:rPr>
                <w:rFonts w:eastAsia="Calibri" w:cs="Arial"/>
                <w:color w:val="000000"/>
                <w:sz w:val="18"/>
                <w:szCs w:val="18"/>
              </w:rPr>
              <w:t>Present in</w:t>
            </w:r>
            <w:r w:rsidRPr="007107BF">
              <w:rPr>
                <w:rFonts w:eastAsia="Calibri" w:cs="Arial"/>
                <w:color w:val="000000"/>
                <w:sz w:val="18"/>
                <w:szCs w:val="18"/>
              </w:rPr>
              <w:t xml:space="preserve"> OR</w:t>
            </w:r>
            <w:r>
              <w:rPr>
                <w:rFonts w:eastAsia="Calibri" w:cs="Arial"/>
                <w:color w:val="000000"/>
                <w:sz w:val="18"/>
                <w:szCs w:val="18"/>
              </w:rPr>
              <w:t xml:space="preserve"> and</w:t>
            </w:r>
            <w:r w:rsidRPr="007107BF">
              <w:rPr>
                <w:rFonts w:eastAsia="Calibri" w:cs="Arial"/>
                <w:color w:val="000000"/>
                <w:sz w:val="18"/>
                <w:szCs w:val="18"/>
              </w:rPr>
              <w:t xml:space="preserve"> WA</w:t>
            </w:r>
            <w:r>
              <w:rPr>
                <w:rFonts w:eastAsia="Calibri" w:cs="Arial"/>
                <w:color w:val="000000"/>
                <w:sz w:val="18"/>
                <w:szCs w:val="18"/>
              </w:rPr>
              <w:t xml:space="preserve"> </w:t>
            </w:r>
            <w:r>
              <w:rPr>
                <w:rFonts w:eastAsia="Times New Roman" w:cs="Calibri"/>
                <w:noProof/>
                <w:color w:val="000000"/>
                <w:sz w:val="18"/>
                <w:szCs w:val="18"/>
                <w:lang w:eastAsia="en-AU"/>
              </w:rPr>
              <w:t>(Barcenas, Unruh &amp; Neven 2005; CABI 2022)</w:t>
            </w:r>
            <w:r>
              <w:rPr>
                <w:rFonts w:eastAsia="Times New Roman" w:cs="Calibri"/>
                <w:color w:val="000000"/>
                <w:sz w:val="18"/>
                <w:szCs w:val="18"/>
                <w:lang w:eastAsia="en-AU"/>
              </w:rPr>
              <w:t xml:space="preserve"> </w:t>
            </w:r>
          </w:p>
          <w:p w14:paraId="5A92C318" w14:textId="77777777" w:rsidR="003438A2" w:rsidRPr="007107BF" w:rsidRDefault="003438A2" w:rsidP="00881E29">
            <w:pPr>
              <w:spacing w:before="60" w:after="60" w:line="240" w:lineRule="auto"/>
              <w:rPr>
                <w:rFonts w:eastAsia="Calibri" w:cs="Times New Roman"/>
                <w:color w:val="000000"/>
                <w:sz w:val="18"/>
                <w:szCs w:val="18"/>
                <w:lang w:val="pt-BR"/>
              </w:rPr>
            </w:pPr>
          </w:p>
        </w:tc>
        <w:tc>
          <w:tcPr>
            <w:tcW w:w="1474" w:type="dxa"/>
            <w:shd w:val="clear" w:color="auto" w:fill="auto"/>
          </w:tcPr>
          <w:p w14:paraId="4B5362F5" w14:textId="77777777" w:rsidR="003438A2" w:rsidRPr="007107BF" w:rsidRDefault="003438A2" w:rsidP="00881E29">
            <w:pPr>
              <w:spacing w:before="60" w:after="60" w:line="240" w:lineRule="auto"/>
              <w:rPr>
                <w:rFonts w:eastAsia="Calibri" w:cs="Times New Roman"/>
                <w:color w:val="000000"/>
                <w:sz w:val="18"/>
                <w:szCs w:val="18"/>
              </w:rPr>
            </w:pPr>
            <w:r w:rsidRPr="007107BF">
              <w:rPr>
                <w:rFonts w:eastAsia="Calibri" w:cs="Arial"/>
                <w:color w:val="000000"/>
                <w:sz w:val="18"/>
                <w:szCs w:val="18"/>
              </w:rPr>
              <w:t xml:space="preserve">No </w:t>
            </w:r>
            <w:r w:rsidRPr="007107BF">
              <w:rPr>
                <w:rFonts w:eastAsia="Calibri" w:cs="Times New Roman"/>
                <w:color w:val="000000"/>
                <w:sz w:val="18"/>
                <w:szCs w:val="18"/>
              </w:rPr>
              <w:t>records found</w:t>
            </w:r>
          </w:p>
        </w:tc>
        <w:tc>
          <w:tcPr>
            <w:tcW w:w="2552" w:type="dxa"/>
            <w:shd w:val="clear" w:color="auto" w:fill="auto"/>
          </w:tcPr>
          <w:p w14:paraId="590838C7"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Arial"/>
                <w:sz w:val="18"/>
                <w:szCs w:val="18"/>
              </w:rPr>
              <w:t xml:space="preserve">Yes. Larvae are internal fruit feeders of apples and pears in North America </w:t>
            </w:r>
            <w:r>
              <w:rPr>
                <w:rFonts w:eastAsia="Calibri" w:cs="Arial"/>
                <w:noProof/>
                <w:sz w:val="18"/>
                <w:szCs w:val="18"/>
              </w:rPr>
              <w:t>(Barcenas, Unruh &amp; Neven 2005)</w:t>
            </w:r>
            <w:r>
              <w:rPr>
                <w:rFonts w:eastAsia="Calibri" w:cs="Arial"/>
                <w:sz w:val="18"/>
                <w:szCs w:val="18"/>
              </w:rPr>
              <w:t>.</w:t>
            </w:r>
          </w:p>
        </w:tc>
        <w:tc>
          <w:tcPr>
            <w:tcW w:w="2381" w:type="dxa"/>
            <w:shd w:val="clear" w:color="auto" w:fill="auto"/>
          </w:tcPr>
          <w:p w14:paraId="2B771A16"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Arial"/>
                <w:sz w:val="18"/>
                <w:szCs w:val="18"/>
              </w:rPr>
              <w:t>Yes. Wide host range, distributed across the</w:t>
            </w:r>
            <w:r>
              <w:rPr>
                <w:rFonts w:eastAsia="Calibri" w:cs="Arial"/>
                <w:sz w:val="18"/>
                <w:szCs w:val="18"/>
              </w:rPr>
              <w:t xml:space="preserve"> USA </w:t>
            </w:r>
            <w:r w:rsidRPr="007107BF">
              <w:rPr>
                <w:rFonts w:eastAsia="Calibri" w:cs="Arial"/>
                <w:sz w:val="18"/>
                <w:szCs w:val="18"/>
              </w:rPr>
              <w:t xml:space="preserve">and localised in Canada in environments similar to </w:t>
            </w:r>
            <w:r>
              <w:rPr>
                <w:rFonts w:eastAsia="Calibri" w:cs="Arial"/>
                <w:sz w:val="18"/>
                <w:szCs w:val="18"/>
              </w:rPr>
              <w:t xml:space="preserve">parts of </w:t>
            </w:r>
            <w:r w:rsidRPr="007107BF">
              <w:rPr>
                <w:rFonts w:eastAsia="Calibri" w:cs="Arial"/>
                <w:sz w:val="18"/>
                <w:szCs w:val="18"/>
              </w:rPr>
              <w:t>Australia</w:t>
            </w:r>
            <w:r>
              <w:rPr>
                <w:rFonts w:eastAsia="Calibri" w:cs="Arial"/>
                <w:sz w:val="18"/>
                <w:szCs w:val="18"/>
              </w:rPr>
              <w:t xml:space="preserve"> </w:t>
            </w:r>
            <w:r>
              <w:rPr>
                <w:rFonts w:eastAsia="Calibri" w:cs="Arial"/>
                <w:noProof/>
                <w:sz w:val="18"/>
                <w:szCs w:val="18"/>
              </w:rPr>
              <w:t>(Barcenas, Unruh &amp; Neven 2005; CABI 2019)</w:t>
            </w:r>
          </w:p>
        </w:tc>
        <w:tc>
          <w:tcPr>
            <w:tcW w:w="2211" w:type="dxa"/>
            <w:shd w:val="clear" w:color="auto" w:fill="auto"/>
          </w:tcPr>
          <w:p w14:paraId="13309822"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Arial"/>
                <w:sz w:val="18"/>
                <w:szCs w:val="18"/>
              </w:rPr>
              <w:t>Yes. A pest in PNW</w:t>
            </w:r>
            <w:r>
              <w:rPr>
                <w:rFonts w:eastAsia="Calibri" w:cs="Arial"/>
                <w:sz w:val="18"/>
                <w:szCs w:val="18"/>
              </w:rPr>
              <w:t>-USA</w:t>
            </w:r>
            <w:r w:rsidRPr="007107BF">
              <w:rPr>
                <w:rFonts w:eastAsia="Calibri" w:cs="Arial"/>
                <w:sz w:val="18"/>
                <w:szCs w:val="18"/>
              </w:rPr>
              <w:t xml:space="preserve"> blueberry fields that can cause up to 25</w:t>
            </w:r>
            <w:r>
              <w:rPr>
                <w:rFonts w:eastAsia="Calibri" w:cs="Arial"/>
                <w:sz w:val="18"/>
                <w:szCs w:val="18"/>
              </w:rPr>
              <w:t>%</w:t>
            </w:r>
            <w:r w:rsidRPr="007107BF">
              <w:rPr>
                <w:rFonts w:eastAsia="Calibri" w:cs="Arial"/>
                <w:sz w:val="18"/>
                <w:szCs w:val="18"/>
              </w:rPr>
              <w:t xml:space="preserve"> of the berries to be destroyed or rendered unmarketable </w:t>
            </w:r>
            <w:r>
              <w:rPr>
                <w:rFonts w:eastAsia="Calibri" w:cs="Arial"/>
                <w:noProof/>
                <w:sz w:val="18"/>
                <w:szCs w:val="18"/>
              </w:rPr>
              <w:t>(DeFrancesco 2004)</w:t>
            </w:r>
            <w:r>
              <w:rPr>
                <w:rFonts w:eastAsia="Calibri" w:cs="Arial"/>
                <w:sz w:val="18"/>
                <w:szCs w:val="18"/>
              </w:rPr>
              <w:t>.</w:t>
            </w:r>
          </w:p>
        </w:tc>
        <w:tc>
          <w:tcPr>
            <w:tcW w:w="1191" w:type="dxa"/>
            <w:shd w:val="clear" w:color="auto" w:fill="auto"/>
          </w:tcPr>
          <w:p w14:paraId="4A491788" w14:textId="77777777" w:rsidR="003438A2" w:rsidRPr="007107BF" w:rsidRDefault="003438A2" w:rsidP="00881E29">
            <w:pPr>
              <w:spacing w:before="60" w:after="60" w:line="240" w:lineRule="auto"/>
              <w:rPr>
                <w:rFonts w:eastAsia="Calibri" w:cs="Times New Roman"/>
                <w:sz w:val="18"/>
                <w:szCs w:val="18"/>
              </w:rPr>
            </w:pPr>
            <w:r w:rsidRPr="0065113C">
              <w:rPr>
                <w:rFonts w:eastAsia="Calibri" w:cs="Times New Roman"/>
                <w:sz w:val="18"/>
                <w:szCs w:val="18"/>
              </w:rPr>
              <w:t>Yes</w:t>
            </w:r>
            <w:r>
              <w:rPr>
                <w:rFonts w:eastAsia="Calibri" w:cs="Times New Roman"/>
                <w:sz w:val="18"/>
                <w:szCs w:val="18"/>
              </w:rPr>
              <w:t xml:space="preserve"> (EP)</w:t>
            </w:r>
          </w:p>
        </w:tc>
      </w:tr>
      <w:tr w:rsidR="003438A2" w:rsidRPr="007107BF" w14:paraId="794D22B1" w14:textId="77777777" w:rsidTr="00C4199F">
        <w:trPr>
          <w:cantSplit/>
          <w:trHeight w:val="75"/>
          <w:jc w:val="center"/>
        </w:trPr>
        <w:tc>
          <w:tcPr>
            <w:tcW w:w="2553" w:type="dxa"/>
            <w:shd w:val="clear" w:color="auto" w:fill="auto"/>
          </w:tcPr>
          <w:p w14:paraId="5A7EDB92"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i/>
                <w:sz w:val="18"/>
                <w:szCs w:val="18"/>
              </w:rPr>
              <w:lastRenderedPageBreak/>
              <w:t>Grapholita prunivora</w:t>
            </w:r>
            <w:r w:rsidRPr="007107BF">
              <w:rPr>
                <w:rFonts w:eastAsia="Calibri" w:cs="Times New Roman"/>
                <w:sz w:val="18"/>
                <w:szCs w:val="18"/>
              </w:rPr>
              <w:t xml:space="preserve"> (Walsh, 1868)</w:t>
            </w:r>
          </w:p>
          <w:p w14:paraId="4FBA5411"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 xml:space="preserve">Synonym: </w:t>
            </w:r>
            <w:r w:rsidRPr="007107BF">
              <w:rPr>
                <w:rFonts w:eastAsia="Calibri" w:cs="Times New Roman"/>
                <w:i/>
                <w:sz w:val="18"/>
                <w:szCs w:val="18"/>
              </w:rPr>
              <w:t>Cydia prunivora</w:t>
            </w:r>
            <w:r w:rsidRPr="007107BF">
              <w:rPr>
                <w:rFonts w:eastAsia="Calibri" w:cs="Times New Roman"/>
                <w:sz w:val="18"/>
                <w:szCs w:val="18"/>
              </w:rPr>
              <w:t xml:space="preserve"> (Walsh, 1868)</w:t>
            </w:r>
          </w:p>
          <w:p w14:paraId="3A37FCD3" w14:textId="77777777" w:rsidR="003438A2" w:rsidRPr="007107BF" w:rsidRDefault="003438A2" w:rsidP="00881E29">
            <w:pPr>
              <w:spacing w:before="60" w:after="60" w:line="240" w:lineRule="auto"/>
              <w:rPr>
                <w:rFonts w:eastAsia="Calibri" w:cs="Arial"/>
                <w:sz w:val="18"/>
                <w:szCs w:val="18"/>
              </w:rPr>
            </w:pPr>
            <w:r w:rsidRPr="007107BF">
              <w:rPr>
                <w:rFonts w:eastAsia="Calibri" w:cs="Arial"/>
                <w:sz w:val="18"/>
                <w:szCs w:val="18"/>
              </w:rPr>
              <w:t>[Tortricidae]</w:t>
            </w:r>
          </w:p>
          <w:p w14:paraId="10EAECAB" w14:textId="77777777" w:rsidR="003438A2" w:rsidRPr="007107BF" w:rsidRDefault="003438A2" w:rsidP="00881E29">
            <w:pPr>
              <w:spacing w:before="60" w:after="60" w:line="240" w:lineRule="auto"/>
              <w:rPr>
                <w:rFonts w:eastAsia="Calibri" w:cs="Times New Roman"/>
                <w:i/>
                <w:sz w:val="18"/>
                <w:szCs w:val="18"/>
                <w:lang w:val="pt-BR"/>
              </w:rPr>
            </w:pPr>
            <w:r w:rsidRPr="007107BF">
              <w:rPr>
                <w:rFonts w:eastAsia="Calibri" w:cs="Times New Roman"/>
                <w:sz w:val="18"/>
                <w:szCs w:val="18"/>
              </w:rPr>
              <w:t>Lesser appleworm</w:t>
            </w:r>
            <w:r>
              <w:rPr>
                <w:rFonts w:eastAsia="Calibri" w:cs="Times New Roman"/>
                <w:sz w:val="18"/>
                <w:szCs w:val="18"/>
              </w:rPr>
              <w:t xml:space="preserve"> or plum moth</w:t>
            </w:r>
          </w:p>
        </w:tc>
        <w:tc>
          <w:tcPr>
            <w:tcW w:w="1474" w:type="dxa"/>
            <w:shd w:val="clear" w:color="auto" w:fill="auto"/>
          </w:tcPr>
          <w:p w14:paraId="1F861093" w14:textId="77777777" w:rsidR="003438A2" w:rsidRDefault="003438A2" w:rsidP="00321810">
            <w:pPr>
              <w:spacing w:before="60" w:after="60" w:line="240" w:lineRule="auto"/>
              <w:rPr>
                <w:rFonts w:eastAsia="Calibri" w:cs="Arial"/>
                <w:noProof/>
                <w:sz w:val="18"/>
                <w:szCs w:val="18"/>
              </w:rPr>
            </w:pPr>
            <w:r w:rsidRPr="007107BF">
              <w:rPr>
                <w:rFonts w:eastAsia="Calibri" w:cs="Times New Roman"/>
                <w:sz w:val="18"/>
                <w:szCs w:val="18"/>
              </w:rPr>
              <w:t xml:space="preserve">Yes. </w:t>
            </w:r>
            <w:r>
              <w:rPr>
                <w:rFonts w:eastAsia="Calibri" w:cs="Times New Roman"/>
                <w:sz w:val="18"/>
                <w:szCs w:val="18"/>
              </w:rPr>
              <w:t>Present in</w:t>
            </w:r>
            <w:r w:rsidRPr="007107BF">
              <w:rPr>
                <w:rFonts w:eastAsia="Calibri" w:cs="Times New Roman"/>
                <w:sz w:val="18"/>
                <w:szCs w:val="18"/>
              </w:rPr>
              <w:t xml:space="preserve"> OR</w:t>
            </w:r>
            <w:r>
              <w:rPr>
                <w:rFonts w:eastAsia="Calibri" w:cs="Times New Roman"/>
                <w:sz w:val="18"/>
                <w:szCs w:val="18"/>
              </w:rPr>
              <w:t xml:space="preserve"> and</w:t>
            </w:r>
            <w:r w:rsidRPr="007107BF">
              <w:rPr>
                <w:rFonts w:eastAsia="Calibri" w:cs="Times New Roman"/>
                <w:sz w:val="18"/>
                <w:szCs w:val="18"/>
              </w:rPr>
              <w:t xml:space="preserve"> WA</w:t>
            </w:r>
            <w:r>
              <w:rPr>
                <w:rFonts w:eastAsia="Calibri" w:cs="Times New Roman"/>
                <w:sz w:val="18"/>
                <w:szCs w:val="18"/>
              </w:rPr>
              <w:t xml:space="preserve"> </w:t>
            </w:r>
            <w:r>
              <w:rPr>
                <w:rFonts w:eastAsia="Calibri" w:cs="Arial"/>
                <w:noProof/>
                <w:sz w:val="18"/>
                <w:szCs w:val="18"/>
              </w:rPr>
              <w:t>(APHIS 2007; CABI 2022)</w:t>
            </w:r>
          </w:p>
          <w:p w14:paraId="75369092" w14:textId="77777777" w:rsidR="003438A2" w:rsidRPr="007107BF" w:rsidRDefault="003438A2" w:rsidP="00881E29">
            <w:pPr>
              <w:spacing w:before="60" w:after="60" w:line="240" w:lineRule="auto"/>
              <w:rPr>
                <w:rFonts w:eastAsia="Calibri" w:cs="Times New Roman"/>
                <w:sz w:val="18"/>
                <w:szCs w:val="18"/>
                <w:lang w:val="pt-BR"/>
              </w:rPr>
            </w:pPr>
          </w:p>
        </w:tc>
        <w:tc>
          <w:tcPr>
            <w:tcW w:w="1474" w:type="dxa"/>
            <w:shd w:val="clear" w:color="auto" w:fill="auto"/>
          </w:tcPr>
          <w:p w14:paraId="49552195"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records found</w:t>
            </w:r>
          </w:p>
        </w:tc>
        <w:tc>
          <w:tcPr>
            <w:tcW w:w="2552" w:type="dxa"/>
            <w:shd w:val="clear" w:color="auto" w:fill="auto"/>
          </w:tcPr>
          <w:p w14:paraId="61F6245F"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 xml:space="preserve">Yes. Larvae bore internally in apple fruit which may result in some fruit drop; larvae pupate in the ground </w:t>
            </w:r>
            <w:r>
              <w:rPr>
                <w:rFonts w:eastAsia="Calibri" w:cs="Times New Roman"/>
                <w:noProof/>
                <w:sz w:val="18"/>
                <w:szCs w:val="18"/>
              </w:rPr>
              <w:t>(APHIS 2007)</w:t>
            </w:r>
            <w:r>
              <w:rPr>
                <w:rFonts w:eastAsia="Calibri" w:cs="Times New Roman"/>
                <w:sz w:val="18"/>
                <w:szCs w:val="18"/>
              </w:rPr>
              <w:t>.</w:t>
            </w:r>
          </w:p>
        </w:tc>
        <w:tc>
          <w:tcPr>
            <w:tcW w:w="2381" w:type="dxa"/>
            <w:shd w:val="clear" w:color="auto" w:fill="auto"/>
          </w:tcPr>
          <w:p w14:paraId="3ADE4926"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Yes. Hosts include apple (</w:t>
            </w:r>
            <w:r w:rsidRPr="007107BF">
              <w:rPr>
                <w:rFonts w:eastAsia="Calibri" w:cs="Times New Roman"/>
                <w:i/>
                <w:sz w:val="18"/>
                <w:szCs w:val="18"/>
              </w:rPr>
              <w:t>Malus</w:t>
            </w:r>
            <w:r w:rsidRPr="007107BF">
              <w:rPr>
                <w:rFonts w:eastAsia="Calibri" w:cs="Times New Roman"/>
                <w:sz w:val="18"/>
                <w:szCs w:val="18"/>
              </w:rPr>
              <w:t>), stone fruit (</w:t>
            </w:r>
            <w:r w:rsidRPr="007107BF">
              <w:rPr>
                <w:rFonts w:eastAsia="Calibri" w:cs="Times New Roman"/>
                <w:i/>
                <w:sz w:val="18"/>
                <w:szCs w:val="18"/>
              </w:rPr>
              <w:t>Prunus</w:t>
            </w:r>
            <w:r w:rsidRPr="007107BF">
              <w:rPr>
                <w:rFonts w:eastAsia="Calibri" w:cs="Times New Roman"/>
                <w:sz w:val="18"/>
                <w:szCs w:val="18"/>
              </w:rPr>
              <w:t xml:space="preserve"> spp.), service berries (</w:t>
            </w:r>
            <w:r w:rsidRPr="007107BF">
              <w:rPr>
                <w:rFonts w:eastAsia="Calibri" w:cs="Times New Roman"/>
                <w:i/>
                <w:sz w:val="18"/>
                <w:szCs w:val="18"/>
              </w:rPr>
              <w:t>Amelanchier</w:t>
            </w:r>
            <w:r w:rsidRPr="007107BF">
              <w:rPr>
                <w:rFonts w:eastAsia="Calibri" w:cs="Times New Roman"/>
                <w:sz w:val="18"/>
                <w:szCs w:val="18"/>
              </w:rPr>
              <w:t>), pears (</w:t>
            </w:r>
            <w:r w:rsidRPr="007107BF">
              <w:rPr>
                <w:rFonts w:eastAsia="Calibri" w:cs="Times New Roman"/>
                <w:i/>
                <w:sz w:val="18"/>
                <w:szCs w:val="18"/>
              </w:rPr>
              <w:t>Pyrus</w:t>
            </w:r>
            <w:r w:rsidRPr="007107BF">
              <w:rPr>
                <w:rFonts w:eastAsia="Calibri" w:cs="Times New Roman"/>
                <w:sz w:val="18"/>
                <w:szCs w:val="18"/>
              </w:rPr>
              <w:t>), roses (</w:t>
            </w:r>
            <w:r w:rsidRPr="007107BF">
              <w:rPr>
                <w:rFonts w:eastAsia="Calibri" w:cs="Times New Roman"/>
                <w:i/>
                <w:sz w:val="18"/>
                <w:szCs w:val="18"/>
              </w:rPr>
              <w:t>Rosa</w:t>
            </w:r>
            <w:r w:rsidRPr="007107BF">
              <w:rPr>
                <w:rFonts w:eastAsia="Calibri" w:cs="Times New Roman"/>
                <w:sz w:val="18"/>
                <w:szCs w:val="18"/>
              </w:rPr>
              <w:t>), hawthorns (</w:t>
            </w:r>
            <w:r w:rsidRPr="007107BF">
              <w:rPr>
                <w:rFonts w:eastAsia="Calibri" w:cs="Times New Roman"/>
                <w:i/>
                <w:sz w:val="18"/>
                <w:szCs w:val="18"/>
              </w:rPr>
              <w:t>Crataegus</w:t>
            </w:r>
            <w:r w:rsidRPr="007107BF">
              <w:rPr>
                <w:rFonts w:eastAsia="Calibri" w:cs="Times New Roman"/>
                <w:sz w:val="18"/>
                <w:szCs w:val="18"/>
              </w:rPr>
              <w:t>) and elms (</w:t>
            </w:r>
            <w:r w:rsidRPr="007107BF">
              <w:rPr>
                <w:rFonts w:eastAsia="Calibri" w:cs="Times New Roman"/>
                <w:i/>
                <w:sz w:val="18"/>
                <w:szCs w:val="18"/>
              </w:rPr>
              <w:t>Ulmus</w:t>
            </w:r>
            <w:r w:rsidRPr="007107BF">
              <w:rPr>
                <w:rFonts w:eastAsia="Calibri" w:cs="Times New Roman"/>
                <w:sz w:val="18"/>
                <w:szCs w:val="18"/>
              </w:rPr>
              <w:t>)</w:t>
            </w:r>
            <w:r>
              <w:rPr>
                <w:rFonts w:eastAsia="Calibri" w:cs="Times New Roman"/>
                <w:sz w:val="18"/>
                <w:szCs w:val="18"/>
              </w:rPr>
              <w:t>,</w:t>
            </w:r>
            <w:r w:rsidRPr="007107BF">
              <w:rPr>
                <w:rFonts w:eastAsia="Calibri" w:cs="Times New Roman"/>
                <w:sz w:val="18"/>
                <w:szCs w:val="18"/>
              </w:rPr>
              <w:t xml:space="preserve"> all of which are widespread in Australia; distributed across USA and Canada in environments similar to</w:t>
            </w:r>
            <w:r>
              <w:rPr>
                <w:rFonts w:eastAsia="Calibri" w:cs="Times New Roman"/>
                <w:sz w:val="18"/>
                <w:szCs w:val="18"/>
              </w:rPr>
              <w:t xml:space="preserve"> parts of</w:t>
            </w:r>
            <w:r w:rsidRPr="007107BF">
              <w:rPr>
                <w:rFonts w:eastAsia="Calibri" w:cs="Times New Roman"/>
                <w:sz w:val="18"/>
                <w:szCs w:val="18"/>
              </w:rPr>
              <w:t xml:space="preserve"> Australia</w:t>
            </w:r>
            <w:r>
              <w:rPr>
                <w:rFonts w:eastAsia="Calibri" w:cs="Times New Roman"/>
                <w:sz w:val="18"/>
                <w:szCs w:val="18"/>
              </w:rPr>
              <w:t xml:space="preserve"> </w:t>
            </w:r>
            <w:r>
              <w:rPr>
                <w:rFonts w:eastAsia="Calibri" w:cs="Times New Roman"/>
                <w:noProof/>
                <w:sz w:val="18"/>
                <w:szCs w:val="18"/>
              </w:rPr>
              <w:t>(Barcenas, Unruh &amp; Neven 2005; CABI 2019)</w:t>
            </w:r>
            <w:r>
              <w:rPr>
                <w:rFonts w:eastAsia="Calibri" w:cs="Times New Roman"/>
                <w:sz w:val="18"/>
                <w:szCs w:val="18"/>
              </w:rPr>
              <w:t>.</w:t>
            </w:r>
          </w:p>
        </w:tc>
        <w:tc>
          <w:tcPr>
            <w:tcW w:w="2211" w:type="dxa"/>
            <w:shd w:val="clear" w:color="auto" w:fill="auto"/>
          </w:tcPr>
          <w:p w14:paraId="7CA8FB36"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 xml:space="preserve">Yes. Larvae eat fruit by hollowing out superficial galleries under the skin, which remain intact at first, but then wrinkle, turn brown and </w:t>
            </w:r>
            <w:r>
              <w:rPr>
                <w:rFonts w:eastAsia="Calibri" w:cs="Times New Roman"/>
                <w:sz w:val="18"/>
                <w:szCs w:val="18"/>
              </w:rPr>
              <w:t>pest</w:t>
            </w:r>
            <w:r w:rsidRPr="007107BF">
              <w:rPr>
                <w:rFonts w:eastAsia="Calibri" w:cs="Times New Roman"/>
                <w:sz w:val="18"/>
                <w:szCs w:val="18"/>
              </w:rPr>
              <w:t xml:space="preserve"> excrement accumulates in the calyx end of the fruit, but they may also be found near the peduncle or around the apple </w:t>
            </w:r>
            <w:r>
              <w:rPr>
                <w:rFonts w:eastAsia="Calibri" w:cs="Times New Roman"/>
                <w:noProof/>
                <w:sz w:val="18"/>
                <w:szCs w:val="18"/>
              </w:rPr>
              <w:t>(CABI 2019)</w:t>
            </w:r>
            <w:r w:rsidRPr="007107BF">
              <w:rPr>
                <w:rFonts w:eastAsia="Calibri" w:cs="Times New Roman"/>
                <w:sz w:val="18"/>
                <w:szCs w:val="18"/>
              </w:rPr>
              <w:t>. This results in the fruit being unmarketable</w:t>
            </w:r>
            <w:r>
              <w:rPr>
                <w:rFonts w:eastAsia="Calibri" w:cs="Times New Roman"/>
                <w:sz w:val="18"/>
                <w:szCs w:val="18"/>
              </w:rPr>
              <w:t>.</w:t>
            </w:r>
          </w:p>
        </w:tc>
        <w:tc>
          <w:tcPr>
            <w:tcW w:w="1191" w:type="dxa"/>
            <w:shd w:val="clear" w:color="auto" w:fill="auto"/>
          </w:tcPr>
          <w:p w14:paraId="79BA4099" w14:textId="77777777" w:rsidR="003438A2" w:rsidRPr="007107BF" w:rsidRDefault="003438A2" w:rsidP="00881E29">
            <w:pPr>
              <w:spacing w:before="60" w:after="60" w:line="240" w:lineRule="auto"/>
              <w:rPr>
                <w:rFonts w:eastAsia="Calibri" w:cs="Times New Roman"/>
                <w:sz w:val="18"/>
                <w:szCs w:val="18"/>
              </w:rPr>
            </w:pPr>
            <w:r w:rsidRPr="0065113C">
              <w:rPr>
                <w:rFonts w:eastAsia="Calibri" w:cs="Times New Roman"/>
                <w:sz w:val="18"/>
                <w:szCs w:val="18"/>
              </w:rPr>
              <w:t>Yes</w:t>
            </w:r>
            <w:r>
              <w:rPr>
                <w:rFonts w:eastAsia="Calibri" w:cs="Times New Roman"/>
                <w:sz w:val="18"/>
                <w:szCs w:val="18"/>
              </w:rPr>
              <w:t xml:space="preserve"> (EP)</w:t>
            </w:r>
          </w:p>
        </w:tc>
      </w:tr>
      <w:tr w:rsidR="003438A2" w:rsidRPr="007107BF" w14:paraId="75E4EF00" w14:textId="77777777" w:rsidTr="00C4199F">
        <w:trPr>
          <w:cantSplit/>
          <w:trHeight w:val="75"/>
          <w:jc w:val="center"/>
        </w:trPr>
        <w:tc>
          <w:tcPr>
            <w:tcW w:w="2553" w:type="dxa"/>
            <w:shd w:val="clear" w:color="auto" w:fill="auto"/>
          </w:tcPr>
          <w:p w14:paraId="1F38DCE9" w14:textId="77777777" w:rsidR="003438A2" w:rsidRPr="009452E9" w:rsidRDefault="003438A2" w:rsidP="00881E29">
            <w:pPr>
              <w:spacing w:before="60" w:after="60" w:line="240" w:lineRule="auto"/>
              <w:rPr>
                <w:rFonts w:eastAsia="Calibri" w:cs="Arial"/>
                <w:sz w:val="18"/>
                <w:szCs w:val="18"/>
              </w:rPr>
            </w:pPr>
            <w:r w:rsidRPr="009452E9">
              <w:rPr>
                <w:rFonts w:eastAsia="Calibri" w:cs="Arial"/>
                <w:i/>
                <w:sz w:val="18"/>
                <w:szCs w:val="18"/>
              </w:rPr>
              <w:lastRenderedPageBreak/>
              <w:t>Hedya nubiferana</w:t>
            </w:r>
            <w:r w:rsidRPr="009452E9">
              <w:rPr>
                <w:rFonts w:eastAsia="Calibri" w:cs="Arial"/>
                <w:sz w:val="18"/>
                <w:szCs w:val="18"/>
              </w:rPr>
              <w:t xml:space="preserve"> (Haworth, 1811)</w:t>
            </w:r>
          </w:p>
          <w:p w14:paraId="637F8CD1" w14:textId="77777777" w:rsidR="003438A2" w:rsidRPr="009452E9" w:rsidRDefault="003438A2" w:rsidP="00881E29">
            <w:pPr>
              <w:spacing w:before="60" w:after="60" w:line="240" w:lineRule="auto"/>
              <w:rPr>
                <w:rFonts w:eastAsia="Calibri" w:cs="Arial"/>
                <w:sz w:val="18"/>
                <w:szCs w:val="18"/>
              </w:rPr>
            </w:pPr>
            <w:r w:rsidRPr="009452E9">
              <w:rPr>
                <w:rFonts w:eastAsia="Calibri" w:cs="Arial"/>
                <w:sz w:val="18"/>
                <w:szCs w:val="18"/>
              </w:rPr>
              <w:t xml:space="preserve">Synonym: </w:t>
            </w:r>
            <w:r w:rsidRPr="009452E9">
              <w:rPr>
                <w:rFonts w:eastAsia="Calibri" w:cs="Arial"/>
                <w:i/>
                <w:sz w:val="18"/>
                <w:szCs w:val="18"/>
              </w:rPr>
              <w:t xml:space="preserve">Hedya dimidioalba </w:t>
            </w:r>
            <w:r w:rsidRPr="009452E9">
              <w:rPr>
                <w:rFonts w:eastAsia="Calibri" w:cs="Arial"/>
                <w:sz w:val="18"/>
                <w:szCs w:val="18"/>
              </w:rPr>
              <w:t>(Retzius, 1783)</w:t>
            </w:r>
          </w:p>
          <w:p w14:paraId="2F4A1447" w14:textId="77777777" w:rsidR="003438A2" w:rsidRPr="009452E9" w:rsidRDefault="003438A2" w:rsidP="00881E29">
            <w:pPr>
              <w:spacing w:before="60" w:after="60" w:line="240" w:lineRule="auto"/>
              <w:rPr>
                <w:rFonts w:eastAsia="Calibri" w:cs="Arial"/>
                <w:sz w:val="18"/>
                <w:szCs w:val="18"/>
              </w:rPr>
            </w:pPr>
            <w:r w:rsidRPr="009452E9">
              <w:rPr>
                <w:rFonts w:eastAsia="Calibri" w:cs="Arial"/>
                <w:sz w:val="18"/>
                <w:szCs w:val="18"/>
              </w:rPr>
              <w:t>[Tortricidae]</w:t>
            </w:r>
          </w:p>
          <w:p w14:paraId="47F8C647" w14:textId="77777777" w:rsidR="003438A2" w:rsidRPr="009452E9" w:rsidRDefault="003438A2" w:rsidP="00881E29">
            <w:pPr>
              <w:spacing w:before="60" w:after="60" w:line="240" w:lineRule="auto"/>
              <w:rPr>
                <w:rFonts w:eastAsia="Calibri" w:cs="Times New Roman"/>
                <w:i/>
                <w:color w:val="FF0000"/>
                <w:sz w:val="18"/>
                <w:szCs w:val="18"/>
                <w:lang w:val="pt-BR"/>
              </w:rPr>
            </w:pPr>
            <w:r w:rsidRPr="009452E9">
              <w:rPr>
                <w:rFonts w:eastAsia="Calibri" w:cs="Arial"/>
                <w:sz w:val="18"/>
                <w:szCs w:val="18"/>
              </w:rPr>
              <w:t>Green budworm</w:t>
            </w:r>
          </w:p>
        </w:tc>
        <w:tc>
          <w:tcPr>
            <w:tcW w:w="1474" w:type="dxa"/>
            <w:shd w:val="clear" w:color="auto" w:fill="auto"/>
          </w:tcPr>
          <w:p w14:paraId="2DDB6D82" w14:textId="77777777" w:rsidR="003438A2" w:rsidRPr="009452E9" w:rsidRDefault="003438A2" w:rsidP="00881E29">
            <w:pPr>
              <w:spacing w:before="60" w:after="60" w:line="240" w:lineRule="auto"/>
              <w:rPr>
                <w:rFonts w:eastAsia="Calibri" w:cs="Times New Roman"/>
                <w:sz w:val="18"/>
                <w:szCs w:val="18"/>
                <w:lang w:val="pt-BR"/>
              </w:rPr>
            </w:pPr>
            <w:r w:rsidRPr="009452E9">
              <w:rPr>
                <w:rFonts w:eastAsia="Calibri" w:cs="Arial"/>
                <w:sz w:val="18"/>
                <w:szCs w:val="18"/>
              </w:rPr>
              <w:t xml:space="preserve">Yes. </w:t>
            </w:r>
            <w:r>
              <w:rPr>
                <w:rFonts w:eastAsia="Calibri" w:cs="Arial"/>
                <w:sz w:val="18"/>
                <w:szCs w:val="18"/>
              </w:rPr>
              <w:t>Present in</w:t>
            </w:r>
            <w:r w:rsidRPr="009452E9">
              <w:rPr>
                <w:rFonts w:eastAsia="Calibri" w:cs="Arial"/>
                <w:sz w:val="18"/>
                <w:szCs w:val="18"/>
              </w:rPr>
              <w:t xml:space="preserve"> WA </w:t>
            </w:r>
            <w:r>
              <w:rPr>
                <w:rFonts w:eastAsia="Calibri" w:cs="Arial"/>
                <w:noProof/>
                <w:sz w:val="18"/>
                <w:szCs w:val="18"/>
              </w:rPr>
              <w:t>(LaGasa 1996)</w:t>
            </w:r>
            <w:r w:rsidRPr="009452E9">
              <w:rPr>
                <w:rFonts w:eastAsia="Calibri" w:cs="Arial"/>
                <w:sz w:val="18"/>
                <w:szCs w:val="18"/>
              </w:rPr>
              <w:t xml:space="preserve">. </w:t>
            </w:r>
          </w:p>
        </w:tc>
        <w:tc>
          <w:tcPr>
            <w:tcW w:w="1474" w:type="dxa"/>
            <w:shd w:val="clear" w:color="auto" w:fill="auto"/>
          </w:tcPr>
          <w:p w14:paraId="5604D44A" w14:textId="77777777" w:rsidR="003438A2" w:rsidRPr="009452E9" w:rsidRDefault="003438A2" w:rsidP="00881E29">
            <w:pPr>
              <w:spacing w:before="60" w:after="60" w:line="240" w:lineRule="auto"/>
              <w:rPr>
                <w:rFonts w:eastAsia="Calibri" w:cs="Times New Roman"/>
                <w:sz w:val="18"/>
                <w:szCs w:val="18"/>
              </w:rPr>
            </w:pPr>
            <w:r w:rsidRPr="009452E9">
              <w:rPr>
                <w:rFonts w:eastAsia="Calibri" w:cs="Times New Roman"/>
                <w:sz w:val="18"/>
                <w:szCs w:val="18"/>
              </w:rPr>
              <w:t>No records found</w:t>
            </w:r>
          </w:p>
        </w:tc>
        <w:tc>
          <w:tcPr>
            <w:tcW w:w="2552" w:type="dxa"/>
            <w:shd w:val="clear" w:color="auto" w:fill="auto"/>
          </w:tcPr>
          <w:p w14:paraId="12510057" w14:textId="77777777" w:rsidR="003438A2" w:rsidRPr="009452E9" w:rsidRDefault="003438A2" w:rsidP="00321810">
            <w:pPr>
              <w:spacing w:before="60" w:after="60" w:line="240" w:lineRule="auto"/>
              <w:rPr>
                <w:rFonts w:eastAsia="Calibri" w:cs="Times New Roman"/>
                <w:sz w:val="18"/>
                <w:szCs w:val="18"/>
              </w:rPr>
            </w:pPr>
            <w:r w:rsidRPr="009452E9">
              <w:rPr>
                <w:rFonts w:eastAsia="Calibri" w:cs="Times New Roman"/>
                <w:sz w:val="18"/>
                <w:szCs w:val="18"/>
              </w:rPr>
              <w:t xml:space="preserve">No. Overwintering larvae feed on opening leaf and blossom buds and may also bore into new branch tips </w:t>
            </w:r>
            <w:r>
              <w:rPr>
                <w:rFonts w:eastAsia="Calibri" w:cs="Times New Roman"/>
                <w:noProof/>
                <w:sz w:val="18"/>
                <w:szCs w:val="18"/>
              </w:rPr>
              <w:t>(LaGasa 1996)</w:t>
            </w:r>
            <w:r w:rsidRPr="009452E9">
              <w:rPr>
                <w:rFonts w:eastAsia="Calibri" w:cs="Times New Roman"/>
                <w:sz w:val="18"/>
                <w:szCs w:val="18"/>
              </w:rPr>
              <w:t>. Eggs are usually laid on leaves</w:t>
            </w:r>
            <w:r>
              <w:rPr>
                <w:rFonts w:eastAsia="Calibri" w:cs="Times New Roman"/>
                <w:sz w:val="18"/>
                <w:szCs w:val="18"/>
              </w:rPr>
              <w:t xml:space="preserve"> and</w:t>
            </w:r>
            <w:r w:rsidRPr="00E74351">
              <w:rPr>
                <w:rFonts w:eastAsia="Calibri" w:cs="Times New Roman"/>
                <w:sz w:val="18"/>
                <w:szCs w:val="18"/>
              </w:rPr>
              <w:t xml:space="preserve"> rarely on fruit</w:t>
            </w:r>
            <w:r>
              <w:rPr>
                <w:rFonts w:eastAsia="Calibri" w:cs="Times New Roman"/>
                <w:sz w:val="18"/>
                <w:szCs w:val="18"/>
              </w:rPr>
              <w:t>,</w:t>
            </w:r>
            <w:r w:rsidRPr="00E74351">
              <w:rPr>
                <w:rFonts w:eastAsia="Calibri" w:cs="Times New Roman"/>
                <w:sz w:val="18"/>
                <w:szCs w:val="18"/>
              </w:rPr>
              <w:t xml:space="preserve"> which are seldom damaged by larval feeding </w:t>
            </w:r>
            <w:r w:rsidRPr="00E74351">
              <w:rPr>
                <w:rFonts w:eastAsia="Calibri" w:cs="Times New Roman"/>
                <w:noProof/>
                <w:sz w:val="18"/>
                <w:szCs w:val="18"/>
              </w:rPr>
              <w:t>(Ovsyannikova &amp; Grichanov 2005a)</w:t>
            </w:r>
            <w:r w:rsidRPr="00E74351">
              <w:rPr>
                <w:rFonts w:eastAsia="Calibri" w:cs="Times New Roman"/>
                <w:sz w:val="18"/>
                <w:szCs w:val="18"/>
              </w:rPr>
              <w:t>.</w:t>
            </w:r>
            <w:r w:rsidRPr="009452E9">
              <w:rPr>
                <w:rFonts w:eastAsia="Calibri" w:cs="Times New Roman"/>
                <w:sz w:val="18"/>
                <w:szCs w:val="18"/>
              </w:rPr>
              <w:t xml:space="preserve"> The caterpillar hibernates in bud axils or cracks in tree bark, and it pupates inside a cocoon in a rolled-up leaf</w:t>
            </w:r>
            <w:r>
              <w:rPr>
                <w:rFonts w:eastAsia="Calibri" w:cs="Times New Roman"/>
                <w:sz w:val="18"/>
                <w:szCs w:val="18"/>
              </w:rPr>
              <w:t xml:space="preserve"> </w:t>
            </w:r>
            <w:r>
              <w:rPr>
                <w:rFonts w:eastAsia="Times New Roman" w:cs="Calibri"/>
                <w:noProof/>
                <w:color w:val="000000"/>
                <w:sz w:val="18"/>
                <w:szCs w:val="18"/>
                <w:lang w:eastAsia="en-AU"/>
              </w:rPr>
              <w:t>(Kimber 2022)</w:t>
            </w:r>
            <w:r>
              <w:rPr>
                <w:rFonts w:eastAsia="Times New Roman" w:cs="Calibri"/>
                <w:color w:val="000000"/>
                <w:sz w:val="18"/>
                <w:szCs w:val="18"/>
                <w:lang w:eastAsia="en-AU"/>
              </w:rPr>
              <w:t>.</w:t>
            </w:r>
            <w:r w:rsidRPr="009452E9">
              <w:rPr>
                <w:rFonts w:eastAsia="Calibri" w:cs="Times New Roman"/>
                <w:sz w:val="18"/>
                <w:szCs w:val="18"/>
              </w:rPr>
              <w:t xml:space="preserve"> Young larvae may </w:t>
            </w:r>
            <w:r>
              <w:rPr>
                <w:rFonts w:eastAsia="Calibri" w:cs="Times New Roman"/>
                <w:sz w:val="18"/>
                <w:szCs w:val="18"/>
              </w:rPr>
              <w:t xml:space="preserve">feed on fruitlets causing deformation and scarring </w:t>
            </w:r>
            <w:r w:rsidRPr="00646CF1">
              <w:rPr>
                <w:rStyle w:val="TableTextChar"/>
              </w:rPr>
              <w:t>(Wiman &amp; Stoven 2022)</w:t>
            </w:r>
            <w:r w:rsidRPr="009452E9">
              <w:rPr>
                <w:rFonts w:eastAsia="Calibri" w:cs="Times New Roman"/>
                <w:sz w:val="18"/>
                <w:szCs w:val="18"/>
              </w:rPr>
              <w:t xml:space="preserve"> </w:t>
            </w:r>
            <w:r>
              <w:rPr>
                <w:rFonts w:eastAsia="Calibri" w:cs="Times New Roman"/>
                <w:sz w:val="18"/>
                <w:szCs w:val="18"/>
              </w:rPr>
              <w:t xml:space="preserve">and may </w:t>
            </w:r>
            <w:r w:rsidRPr="009452E9">
              <w:rPr>
                <w:rFonts w:eastAsia="Calibri" w:cs="Times New Roman"/>
                <w:sz w:val="18"/>
                <w:szCs w:val="18"/>
              </w:rPr>
              <w:t>nibble the skin of late apples. This pest is highly unlikely to be found on commercially produced apples, as the pest will not remain on fruit during the harvest, sorting and packing process</w:t>
            </w:r>
            <w:r>
              <w:rPr>
                <w:rFonts w:eastAsia="Calibri" w:cs="Times New Roman"/>
                <w:sz w:val="18"/>
                <w:szCs w:val="18"/>
              </w:rPr>
              <w:t>.</w:t>
            </w:r>
          </w:p>
        </w:tc>
        <w:tc>
          <w:tcPr>
            <w:tcW w:w="2381" w:type="dxa"/>
            <w:shd w:val="clear" w:color="auto" w:fill="auto"/>
          </w:tcPr>
          <w:p w14:paraId="4886BAD5" w14:textId="77777777" w:rsidR="003438A2" w:rsidRPr="009452E9" w:rsidRDefault="003438A2" w:rsidP="00881E29">
            <w:pPr>
              <w:spacing w:before="60" w:after="60" w:line="240" w:lineRule="auto"/>
              <w:rPr>
                <w:rFonts w:eastAsia="Calibri" w:cs="Times New Roman"/>
                <w:sz w:val="18"/>
                <w:szCs w:val="18"/>
              </w:rPr>
            </w:pPr>
            <w:r w:rsidRPr="009452E9">
              <w:rPr>
                <w:rFonts w:eastAsia="Calibri" w:cs="Times New Roman"/>
                <w:sz w:val="18"/>
                <w:szCs w:val="18"/>
              </w:rPr>
              <w:t>Assessment not required</w:t>
            </w:r>
            <w:r w:rsidRPr="009452E9" w:rsidDel="00987D00">
              <w:rPr>
                <w:rFonts w:eastAsia="Calibri" w:cs="Arial"/>
                <w:sz w:val="18"/>
                <w:szCs w:val="18"/>
              </w:rPr>
              <w:t xml:space="preserve"> </w:t>
            </w:r>
          </w:p>
        </w:tc>
        <w:tc>
          <w:tcPr>
            <w:tcW w:w="2211" w:type="dxa"/>
            <w:shd w:val="clear" w:color="auto" w:fill="auto"/>
          </w:tcPr>
          <w:p w14:paraId="73BA642D" w14:textId="77777777" w:rsidR="003438A2" w:rsidRPr="009452E9" w:rsidRDefault="003438A2" w:rsidP="00881E29">
            <w:pPr>
              <w:spacing w:before="60" w:after="60" w:line="240" w:lineRule="auto"/>
              <w:rPr>
                <w:rFonts w:eastAsia="Calibri" w:cs="Times New Roman"/>
                <w:sz w:val="18"/>
                <w:szCs w:val="18"/>
              </w:rPr>
            </w:pPr>
            <w:r w:rsidRPr="009452E9">
              <w:rPr>
                <w:rFonts w:eastAsia="Calibri" w:cs="Times New Roman"/>
                <w:sz w:val="18"/>
                <w:szCs w:val="18"/>
              </w:rPr>
              <w:t>Assessment not required</w:t>
            </w:r>
            <w:r w:rsidRPr="009452E9" w:rsidDel="00987D00">
              <w:rPr>
                <w:rFonts w:eastAsia="Calibri" w:cs="Arial"/>
                <w:sz w:val="18"/>
                <w:szCs w:val="18"/>
              </w:rPr>
              <w:t xml:space="preserve"> </w:t>
            </w:r>
          </w:p>
        </w:tc>
        <w:tc>
          <w:tcPr>
            <w:tcW w:w="1191" w:type="dxa"/>
            <w:shd w:val="clear" w:color="auto" w:fill="auto"/>
          </w:tcPr>
          <w:p w14:paraId="50A21AA4" w14:textId="77777777" w:rsidR="003438A2" w:rsidRPr="007107BF" w:rsidRDefault="003438A2" w:rsidP="00881E29">
            <w:pPr>
              <w:spacing w:before="60" w:after="60" w:line="240" w:lineRule="auto"/>
              <w:rPr>
                <w:rFonts w:eastAsia="Calibri" w:cs="Times New Roman"/>
                <w:sz w:val="18"/>
                <w:szCs w:val="18"/>
              </w:rPr>
            </w:pPr>
            <w:r w:rsidRPr="009452E9">
              <w:rPr>
                <w:rFonts w:eastAsia="Calibri" w:cs="Arial"/>
                <w:sz w:val="18"/>
                <w:szCs w:val="18"/>
              </w:rPr>
              <w:t>No</w:t>
            </w:r>
          </w:p>
        </w:tc>
      </w:tr>
      <w:tr w:rsidR="003438A2" w:rsidRPr="007107BF" w14:paraId="29DBEBCD" w14:textId="77777777" w:rsidTr="00C4199F">
        <w:trPr>
          <w:cantSplit/>
          <w:trHeight w:val="75"/>
          <w:jc w:val="center"/>
        </w:trPr>
        <w:tc>
          <w:tcPr>
            <w:tcW w:w="2553" w:type="dxa"/>
            <w:shd w:val="clear" w:color="auto" w:fill="FFFFFF" w:themeFill="background1"/>
          </w:tcPr>
          <w:p w14:paraId="6AB1C2A4" w14:textId="77777777" w:rsidR="003438A2" w:rsidRPr="007107BF" w:rsidRDefault="003438A2" w:rsidP="00881E29">
            <w:pPr>
              <w:spacing w:before="60" w:after="60" w:line="240" w:lineRule="auto"/>
              <w:rPr>
                <w:rFonts w:eastAsia="Calibri" w:cs="Arial"/>
                <w:sz w:val="18"/>
                <w:szCs w:val="18"/>
              </w:rPr>
            </w:pPr>
            <w:r w:rsidRPr="007107BF">
              <w:rPr>
                <w:rFonts w:eastAsia="Calibri" w:cs="Arial"/>
                <w:i/>
                <w:sz w:val="18"/>
                <w:szCs w:val="18"/>
              </w:rPr>
              <w:t>Hemithea aestivaria</w:t>
            </w:r>
            <w:r w:rsidRPr="007107BF">
              <w:rPr>
                <w:rFonts w:eastAsia="Calibri" w:cs="Arial"/>
                <w:sz w:val="18"/>
                <w:szCs w:val="18"/>
              </w:rPr>
              <w:t xml:space="preserve"> (Hübner, 1799)</w:t>
            </w:r>
          </w:p>
          <w:p w14:paraId="4085004B" w14:textId="77777777" w:rsidR="003438A2" w:rsidRPr="007107BF" w:rsidRDefault="003438A2" w:rsidP="00881E29">
            <w:pPr>
              <w:spacing w:before="60" w:after="60" w:line="240" w:lineRule="auto"/>
              <w:rPr>
                <w:rFonts w:eastAsia="Calibri" w:cs="Arial"/>
                <w:sz w:val="18"/>
                <w:szCs w:val="18"/>
              </w:rPr>
            </w:pPr>
            <w:r w:rsidRPr="007107BF">
              <w:rPr>
                <w:rFonts w:eastAsia="Calibri" w:cs="Arial"/>
                <w:sz w:val="18"/>
                <w:szCs w:val="18"/>
              </w:rPr>
              <w:t>[Geometridae]</w:t>
            </w:r>
          </w:p>
          <w:p w14:paraId="49691A9B" w14:textId="77777777" w:rsidR="003438A2" w:rsidRPr="00F94104" w:rsidRDefault="003438A2" w:rsidP="00881E29">
            <w:pPr>
              <w:spacing w:before="60" w:after="60" w:line="240" w:lineRule="auto"/>
              <w:rPr>
                <w:rFonts w:eastAsia="Calibri" w:cs="Arial"/>
                <w:sz w:val="18"/>
                <w:szCs w:val="18"/>
              </w:rPr>
            </w:pPr>
            <w:r w:rsidRPr="007107BF">
              <w:rPr>
                <w:rFonts w:eastAsia="Calibri" w:cs="Arial"/>
                <w:sz w:val="18"/>
                <w:szCs w:val="18"/>
              </w:rPr>
              <w:t>European common emerald</w:t>
            </w:r>
          </w:p>
        </w:tc>
        <w:tc>
          <w:tcPr>
            <w:tcW w:w="1474" w:type="dxa"/>
            <w:shd w:val="clear" w:color="auto" w:fill="FFFFFF" w:themeFill="background1"/>
          </w:tcPr>
          <w:p w14:paraId="602E9296" w14:textId="77777777" w:rsidR="003438A2" w:rsidRPr="007107BF" w:rsidRDefault="003438A2" w:rsidP="00881E29">
            <w:pPr>
              <w:spacing w:before="60" w:after="60" w:line="240" w:lineRule="auto"/>
              <w:rPr>
                <w:rFonts w:eastAsia="Calibri" w:cs="Times New Roman"/>
                <w:sz w:val="18"/>
                <w:szCs w:val="18"/>
                <w:lang w:val="pt-BR"/>
              </w:rPr>
            </w:pPr>
            <w:r w:rsidRPr="007107BF">
              <w:rPr>
                <w:rFonts w:eastAsia="Calibri" w:cs="Arial"/>
                <w:sz w:val="18"/>
                <w:szCs w:val="18"/>
              </w:rPr>
              <w:t xml:space="preserve">Yes. </w:t>
            </w:r>
            <w:r>
              <w:rPr>
                <w:rFonts w:eastAsia="Calibri" w:cs="Arial"/>
                <w:sz w:val="18"/>
                <w:szCs w:val="18"/>
              </w:rPr>
              <w:t>Present in</w:t>
            </w:r>
            <w:r w:rsidRPr="007107BF">
              <w:rPr>
                <w:rFonts w:eastAsia="Calibri" w:cs="Arial"/>
                <w:sz w:val="18"/>
                <w:szCs w:val="18"/>
              </w:rPr>
              <w:t xml:space="preserve"> WA </w:t>
            </w:r>
            <w:r>
              <w:rPr>
                <w:rFonts w:eastAsia="Calibri" w:cs="Arial"/>
                <w:noProof/>
                <w:sz w:val="18"/>
                <w:szCs w:val="18"/>
              </w:rPr>
              <w:t>(LaGasa 1996; Schuble 2013)</w:t>
            </w:r>
          </w:p>
        </w:tc>
        <w:tc>
          <w:tcPr>
            <w:tcW w:w="1474" w:type="dxa"/>
            <w:shd w:val="clear" w:color="auto" w:fill="FFFFFF" w:themeFill="background1"/>
          </w:tcPr>
          <w:p w14:paraId="75BA5C01"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records found</w:t>
            </w:r>
          </w:p>
        </w:tc>
        <w:tc>
          <w:tcPr>
            <w:tcW w:w="2552" w:type="dxa"/>
            <w:shd w:val="clear" w:color="auto" w:fill="FFFFFF" w:themeFill="background1"/>
          </w:tcPr>
          <w:p w14:paraId="09689890" w14:textId="77777777" w:rsidR="003438A2" w:rsidRPr="007107BF" w:rsidRDefault="003438A2" w:rsidP="00881E29">
            <w:pPr>
              <w:spacing w:before="60" w:after="60" w:line="240" w:lineRule="auto"/>
              <w:rPr>
                <w:rFonts w:eastAsia="Calibri" w:cs="Times New Roman"/>
                <w:sz w:val="18"/>
                <w:szCs w:val="18"/>
              </w:rPr>
            </w:pPr>
            <w:r w:rsidRPr="00674FB8">
              <w:rPr>
                <w:rFonts w:eastAsia="Calibri" w:cs="Times New Roman"/>
                <w:sz w:val="18"/>
                <w:szCs w:val="18"/>
              </w:rPr>
              <w:t>No. Larva</w:t>
            </w:r>
            <w:r>
              <w:rPr>
                <w:rFonts w:eastAsia="Calibri" w:cs="Times New Roman"/>
                <w:sz w:val="18"/>
                <w:szCs w:val="18"/>
              </w:rPr>
              <w:t>e feed</w:t>
            </w:r>
            <w:r w:rsidRPr="00674FB8">
              <w:rPr>
                <w:rFonts w:eastAsia="Calibri" w:cs="Times New Roman"/>
                <w:sz w:val="18"/>
                <w:szCs w:val="18"/>
              </w:rPr>
              <w:t xml:space="preserve"> on </w:t>
            </w:r>
            <w:r>
              <w:rPr>
                <w:rFonts w:eastAsia="Calibri" w:cs="Times New Roman"/>
                <w:sz w:val="18"/>
                <w:szCs w:val="18"/>
              </w:rPr>
              <w:t>a</w:t>
            </w:r>
            <w:r w:rsidRPr="00674FB8">
              <w:rPr>
                <w:rFonts w:eastAsia="Calibri" w:cs="Times New Roman"/>
                <w:sz w:val="18"/>
                <w:szCs w:val="18"/>
              </w:rPr>
              <w:t xml:space="preserve">pple leaves </w:t>
            </w:r>
            <w:r>
              <w:rPr>
                <w:rFonts w:eastAsia="Calibri" w:cs="Times New Roman"/>
                <w:noProof/>
                <w:sz w:val="18"/>
                <w:szCs w:val="18"/>
              </w:rPr>
              <w:t>(Duncan 2006; Kimber 2009; LaGasa 1996)</w:t>
            </w:r>
          </w:p>
        </w:tc>
        <w:tc>
          <w:tcPr>
            <w:tcW w:w="2381" w:type="dxa"/>
            <w:shd w:val="clear" w:color="auto" w:fill="FFFFFF" w:themeFill="background1"/>
          </w:tcPr>
          <w:p w14:paraId="0CB18C14"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2211" w:type="dxa"/>
            <w:shd w:val="clear" w:color="auto" w:fill="FFFFFF" w:themeFill="background1"/>
          </w:tcPr>
          <w:p w14:paraId="1257A4D9"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1191" w:type="dxa"/>
            <w:shd w:val="clear" w:color="auto" w:fill="FFFFFF" w:themeFill="background1"/>
          </w:tcPr>
          <w:p w14:paraId="475BDA8B"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w:t>
            </w:r>
          </w:p>
        </w:tc>
      </w:tr>
      <w:tr w:rsidR="003438A2" w:rsidRPr="007107BF" w14:paraId="78B30FEE" w14:textId="77777777" w:rsidTr="00C4199F">
        <w:trPr>
          <w:cantSplit/>
          <w:trHeight w:val="75"/>
          <w:jc w:val="center"/>
        </w:trPr>
        <w:tc>
          <w:tcPr>
            <w:tcW w:w="2553" w:type="dxa"/>
            <w:shd w:val="clear" w:color="auto" w:fill="FFFFFF" w:themeFill="background1"/>
          </w:tcPr>
          <w:p w14:paraId="74F1E120"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i/>
                <w:sz w:val="18"/>
                <w:szCs w:val="18"/>
              </w:rPr>
              <w:t xml:space="preserve">Hyalophora cecropia </w:t>
            </w:r>
            <w:r w:rsidRPr="007107BF">
              <w:rPr>
                <w:rFonts w:eastAsia="Calibri" w:cs="Times New Roman"/>
                <w:sz w:val="18"/>
                <w:szCs w:val="18"/>
              </w:rPr>
              <w:t>(Linnaeus, 1758)</w:t>
            </w:r>
          </w:p>
          <w:p w14:paraId="7E5677AA"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[Saturniidae]</w:t>
            </w:r>
          </w:p>
          <w:p w14:paraId="5639BC74" w14:textId="77777777" w:rsidR="003438A2" w:rsidRPr="007107BF" w:rsidRDefault="003438A2" w:rsidP="00881E29">
            <w:pPr>
              <w:spacing w:before="60" w:after="60" w:line="240" w:lineRule="auto"/>
              <w:rPr>
                <w:rFonts w:eastAsia="Calibri" w:cs="Times New Roman"/>
                <w:i/>
                <w:sz w:val="18"/>
                <w:szCs w:val="18"/>
                <w:lang w:val="pt-BR"/>
              </w:rPr>
            </w:pPr>
            <w:r w:rsidRPr="007107BF">
              <w:rPr>
                <w:rFonts w:eastAsia="Calibri" w:cs="Times New Roman"/>
                <w:sz w:val="18"/>
                <w:szCs w:val="18"/>
              </w:rPr>
              <w:t>Cecropia silkmoth</w:t>
            </w:r>
          </w:p>
        </w:tc>
        <w:tc>
          <w:tcPr>
            <w:tcW w:w="1474" w:type="dxa"/>
            <w:shd w:val="clear" w:color="auto" w:fill="FFFFFF" w:themeFill="background1"/>
          </w:tcPr>
          <w:p w14:paraId="7FFF862E" w14:textId="77777777" w:rsidR="003438A2" w:rsidRPr="007107BF" w:rsidRDefault="003438A2" w:rsidP="00881E29">
            <w:pPr>
              <w:spacing w:before="60" w:after="60" w:line="240" w:lineRule="auto"/>
              <w:rPr>
                <w:rFonts w:eastAsia="Calibri" w:cs="Times New Roman"/>
                <w:sz w:val="18"/>
                <w:szCs w:val="18"/>
                <w:lang w:val="pt-BR"/>
              </w:rPr>
            </w:pPr>
            <w:r w:rsidRPr="007107BF">
              <w:rPr>
                <w:rFonts w:eastAsia="Calibri" w:cs="Times New Roman"/>
                <w:sz w:val="18"/>
                <w:szCs w:val="18"/>
              </w:rPr>
              <w:t xml:space="preserve">Yes. </w:t>
            </w:r>
            <w:r>
              <w:rPr>
                <w:rFonts w:eastAsia="Calibri" w:cs="Times New Roman"/>
                <w:sz w:val="18"/>
                <w:szCs w:val="18"/>
              </w:rPr>
              <w:t>Present in</w:t>
            </w:r>
            <w:r w:rsidRPr="007107BF">
              <w:rPr>
                <w:rFonts w:eastAsia="Calibri" w:cs="Times New Roman"/>
                <w:sz w:val="18"/>
                <w:szCs w:val="18"/>
              </w:rPr>
              <w:t xml:space="preserve"> WA </w:t>
            </w:r>
            <w:r>
              <w:rPr>
                <w:rFonts w:eastAsia="Calibri" w:cs="Times New Roman"/>
                <w:noProof/>
                <w:sz w:val="18"/>
                <w:szCs w:val="18"/>
              </w:rPr>
              <w:t>(Opler, Lotts &amp; Naberhaus 2009)</w:t>
            </w:r>
          </w:p>
        </w:tc>
        <w:tc>
          <w:tcPr>
            <w:tcW w:w="1474" w:type="dxa"/>
            <w:shd w:val="clear" w:color="auto" w:fill="FFFFFF" w:themeFill="background1"/>
          </w:tcPr>
          <w:p w14:paraId="08CB7CF7"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records found</w:t>
            </w:r>
          </w:p>
        </w:tc>
        <w:tc>
          <w:tcPr>
            <w:tcW w:w="2552" w:type="dxa"/>
            <w:shd w:val="clear" w:color="auto" w:fill="FFFFFF" w:themeFill="background1"/>
          </w:tcPr>
          <w:p w14:paraId="0185B2BA" w14:textId="77777777" w:rsidR="003438A2" w:rsidRPr="00683CCB" w:rsidRDefault="003438A2" w:rsidP="00636E5C">
            <w:pPr>
              <w:pStyle w:val="TableText"/>
              <w:rPr>
                <w:color w:val="FF0000"/>
              </w:rPr>
            </w:pPr>
            <w:r w:rsidRPr="007107BF">
              <w:t>No. Eggs are laid on both sides of the leaves of small host trees or shrubs; larvae feed on the leaves of various trees and shrubs including apples (</w:t>
            </w:r>
            <w:r w:rsidRPr="001F2145">
              <w:rPr>
                <w:i/>
              </w:rPr>
              <w:t>Malus</w:t>
            </w:r>
            <w:r w:rsidRPr="000A2D87">
              <w:t>)</w:t>
            </w:r>
            <w:r>
              <w:t xml:space="preserve"> </w:t>
            </w:r>
            <w:r>
              <w:rPr>
                <w:noProof/>
              </w:rPr>
              <w:t>(Gallice 2017; Opler, Lotts &amp; Naberhaus 2009)</w:t>
            </w:r>
          </w:p>
        </w:tc>
        <w:tc>
          <w:tcPr>
            <w:tcW w:w="2381" w:type="dxa"/>
            <w:shd w:val="clear" w:color="auto" w:fill="FFFFFF" w:themeFill="background1"/>
          </w:tcPr>
          <w:p w14:paraId="01263662"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2211" w:type="dxa"/>
            <w:shd w:val="clear" w:color="auto" w:fill="FFFFFF" w:themeFill="background1"/>
          </w:tcPr>
          <w:p w14:paraId="3200F28B"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1191" w:type="dxa"/>
            <w:shd w:val="clear" w:color="auto" w:fill="FFFFFF" w:themeFill="background1"/>
          </w:tcPr>
          <w:p w14:paraId="69659286"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w:t>
            </w:r>
          </w:p>
        </w:tc>
      </w:tr>
      <w:tr w:rsidR="003438A2" w:rsidRPr="007107BF" w14:paraId="6A29B891" w14:textId="77777777" w:rsidTr="00C4199F">
        <w:trPr>
          <w:cantSplit/>
          <w:trHeight w:val="75"/>
          <w:jc w:val="center"/>
        </w:trPr>
        <w:tc>
          <w:tcPr>
            <w:tcW w:w="2553" w:type="dxa"/>
            <w:shd w:val="clear" w:color="auto" w:fill="FFFFFF" w:themeFill="background1"/>
          </w:tcPr>
          <w:p w14:paraId="08771F8A"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i/>
                <w:sz w:val="18"/>
                <w:szCs w:val="18"/>
              </w:rPr>
              <w:lastRenderedPageBreak/>
              <w:t>Hyphantria cunea</w:t>
            </w:r>
            <w:r w:rsidRPr="007107BF">
              <w:rPr>
                <w:rFonts w:eastAsia="Calibri" w:cs="Times New Roman"/>
                <w:sz w:val="18"/>
                <w:szCs w:val="18"/>
              </w:rPr>
              <w:t xml:space="preserve"> (Drury, 1770)</w:t>
            </w:r>
          </w:p>
          <w:p w14:paraId="5D01B132"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[Arctiidae]</w:t>
            </w:r>
          </w:p>
          <w:p w14:paraId="24F7B09E" w14:textId="77777777" w:rsidR="003438A2" w:rsidRPr="007107BF" w:rsidRDefault="003438A2" w:rsidP="00881E29">
            <w:pPr>
              <w:spacing w:before="60" w:after="60" w:line="240" w:lineRule="auto"/>
              <w:rPr>
                <w:rFonts w:eastAsia="Calibri" w:cs="Times New Roman"/>
                <w:i/>
                <w:sz w:val="18"/>
                <w:szCs w:val="18"/>
                <w:lang w:val="pt-BR"/>
              </w:rPr>
            </w:pPr>
            <w:r w:rsidRPr="007107BF">
              <w:rPr>
                <w:rFonts w:eastAsia="Calibri" w:cs="Times New Roman"/>
                <w:sz w:val="18"/>
                <w:szCs w:val="18"/>
              </w:rPr>
              <w:t>Fall webworm</w:t>
            </w:r>
          </w:p>
        </w:tc>
        <w:tc>
          <w:tcPr>
            <w:tcW w:w="1474" w:type="dxa"/>
            <w:shd w:val="clear" w:color="auto" w:fill="FFFFFF" w:themeFill="background1"/>
          </w:tcPr>
          <w:p w14:paraId="4D3F74FD" w14:textId="77777777" w:rsidR="003438A2" w:rsidRPr="007107BF" w:rsidRDefault="003438A2" w:rsidP="00881E29">
            <w:pPr>
              <w:spacing w:before="60" w:after="60" w:line="240" w:lineRule="auto"/>
              <w:rPr>
                <w:rFonts w:eastAsia="Calibri" w:cs="Times New Roman"/>
                <w:sz w:val="18"/>
                <w:szCs w:val="18"/>
                <w:lang w:val="pt-BR"/>
              </w:rPr>
            </w:pPr>
            <w:r w:rsidRPr="007107BF">
              <w:rPr>
                <w:rFonts w:eastAsia="Calibri" w:cs="Times New Roman"/>
                <w:sz w:val="18"/>
                <w:szCs w:val="18"/>
              </w:rPr>
              <w:t xml:space="preserve">Yes. </w:t>
            </w:r>
            <w:r>
              <w:rPr>
                <w:rFonts w:eastAsia="Calibri" w:cs="Times New Roman"/>
                <w:sz w:val="18"/>
                <w:szCs w:val="18"/>
              </w:rPr>
              <w:t>Present in</w:t>
            </w:r>
            <w:r w:rsidRPr="007107BF">
              <w:rPr>
                <w:rFonts w:eastAsia="Calibri" w:cs="Times New Roman"/>
                <w:sz w:val="18"/>
                <w:szCs w:val="18"/>
              </w:rPr>
              <w:t xml:space="preserve"> ID, OR</w:t>
            </w:r>
            <w:r>
              <w:rPr>
                <w:rFonts w:eastAsia="Calibri" w:cs="Times New Roman"/>
                <w:sz w:val="18"/>
                <w:szCs w:val="18"/>
              </w:rPr>
              <w:t xml:space="preserve"> and</w:t>
            </w:r>
            <w:r w:rsidRPr="007107BF">
              <w:rPr>
                <w:rFonts w:eastAsia="Calibri" w:cs="Times New Roman"/>
                <w:sz w:val="18"/>
                <w:szCs w:val="18"/>
              </w:rPr>
              <w:t xml:space="preserve"> WA </w:t>
            </w:r>
            <w:r>
              <w:rPr>
                <w:rFonts w:eastAsia="Calibri" w:cs="Times New Roman"/>
                <w:noProof/>
                <w:sz w:val="18"/>
                <w:szCs w:val="18"/>
              </w:rPr>
              <w:t>(APHIS 2007; CABI 2019; EPPO 2018)</w:t>
            </w:r>
          </w:p>
        </w:tc>
        <w:tc>
          <w:tcPr>
            <w:tcW w:w="1474" w:type="dxa"/>
            <w:shd w:val="clear" w:color="auto" w:fill="FFFFFF" w:themeFill="background1"/>
          </w:tcPr>
          <w:p w14:paraId="1677F4B7"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records found</w:t>
            </w:r>
          </w:p>
        </w:tc>
        <w:tc>
          <w:tcPr>
            <w:tcW w:w="2552" w:type="dxa"/>
            <w:shd w:val="clear" w:color="auto" w:fill="FFFFFF" w:themeFill="background1"/>
          </w:tcPr>
          <w:p w14:paraId="12F3CC0D" w14:textId="77777777" w:rsidR="003438A2" w:rsidRPr="007107BF" w:rsidRDefault="003438A2" w:rsidP="00E94C2A">
            <w:pPr>
              <w:pStyle w:val="TableText"/>
            </w:pPr>
            <w:r w:rsidRPr="00E94C2A">
              <w:t>No. Larvae spin webs on branches and are primarily foliage feeders, but may also feed on fruit enclosed in webs (Brunner &amp; Zack 1993). Eggs are laid on both sides of leaves</w:t>
            </w:r>
            <w:r>
              <w:t xml:space="preserve"> </w:t>
            </w:r>
            <w:r>
              <w:rPr>
                <w:noProof/>
              </w:rPr>
              <w:t>(Brunner &amp; Zack 1993)</w:t>
            </w:r>
            <w:r>
              <w:t xml:space="preserve"> </w:t>
            </w:r>
            <w:r w:rsidRPr="00E94C2A">
              <w:t>and pupation occurs in bark crevices, leaf litter or just beneath the soil surface</w:t>
            </w:r>
            <w:r>
              <w:t xml:space="preserve"> </w:t>
            </w:r>
            <w:r>
              <w:rPr>
                <w:noProof/>
              </w:rPr>
              <w:t>(Schowalter &amp; Ring 2017)</w:t>
            </w:r>
            <w:r>
              <w:t>.</w:t>
            </w:r>
            <w:r w:rsidRPr="00E94C2A">
              <w:t xml:space="preserve"> This pest is highly unlikely to be found on commercially produced apples. Damaged parts of trees are highly visible due to the presence of webbing and, as a result, damaged or infested fruit would likely be excluded from harvest. Any larvae on harvested fruit would likely be removed during packing house processes.</w:t>
            </w:r>
            <w:r w:rsidRPr="00683CCB">
              <w:t xml:space="preserve"> </w:t>
            </w:r>
          </w:p>
        </w:tc>
        <w:tc>
          <w:tcPr>
            <w:tcW w:w="2381" w:type="dxa"/>
            <w:shd w:val="clear" w:color="auto" w:fill="FFFFFF" w:themeFill="background1"/>
          </w:tcPr>
          <w:p w14:paraId="2DE7D1B6"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2211" w:type="dxa"/>
            <w:shd w:val="clear" w:color="auto" w:fill="FFFFFF" w:themeFill="background1"/>
          </w:tcPr>
          <w:p w14:paraId="3164F56E"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1191" w:type="dxa"/>
            <w:shd w:val="clear" w:color="auto" w:fill="FFFFFF" w:themeFill="background1"/>
          </w:tcPr>
          <w:p w14:paraId="09284D4A"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w:t>
            </w:r>
          </w:p>
        </w:tc>
      </w:tr>
      <w:tr w:rsidR="003438A2" w:rsidRPr="007107BF" w14:paraId="41F2AEB0" w14:textId="77777777" w:rsidTr="00C4199F">
        <w:trPr>
          <w:cantSplit/>
          <w:trHeight w:val="75"/>
          <w:jc w:val="center"/>
        </w:trPr>
        <w:tc>
          <w:tcPr>
            <w:tcW w:w="2553" w:type="dxa"/>
            <w:shd w:val="clear" w:color="auto" w:fill="auto"/>
          </w:tcPr>
          <w:p w14:paraId="5D9A84B7" w14:textId="77777777" w:rsidR="003438A2" w:rsidRPr="00C770E3" w:rsidRDefault="003438A2" w:rsidP="00881E29">
            <w:pPr>
              <w:spacing w:before="60" w:after="60" w:line="240" w:lineRule="auto"/>
              <w:rPr>
                <w:rFonts w:eastAsia="Calibri" w:cs="Times New Roman"/>
                <w:sz w:val="18"/>
                <w:szCs w:val="18"/>
              </w:rPr>
            </w:pPr>
            <w:r w:rsidRPr="00C770E3">
              <w:rPr>
                <w:rFonts w:eastAsia="Calibri" w:cs="Times New Roman"/>
                <w:i/>
                <w:sz w:val="18"/>
                <w:szCs w:val="18"/>
              </w:rPr>
              <w:t>Lacanobia subjuncta</w:t>
            </w:r>
            <w:r w:rsidRPr="00C770E3">
              <w:rPr>
                <w:rFonts w:eastAsia="Calibri" w:cs="Times New Roman"/>
                <w:sz w:val="18"/>
                <w:szCs w:val="18"/>
              </w:rPr>
              <w:t xml:space="preserve"> (Grote &amp; Robinson, 1868)</w:t>
            </w:r>
          </w:p>
          <w:p w14:paraId="0BE24BDB" w14:textId="77777777" w:rsidR="003438A2" w:rsidRPr="00C770E3" w:rsidRDefault="003438A2" w:rsidP="00881E29">
            <w:pPr>
              <w:spacing w:before="60" w:after="60" w:line="240" w:lineRule="auto"/>
              <w:rPr>
                <w:rFonts w:eastAsia="Calibri" w:cs="Arial"/>
                <w:sz w:val="18"/>
                <w:szCs w:val="18"/>
              </w:rPr>
            </w:pPr>
            <w:r w:rsidRPr="00C770E3">
              <w:rPr>
                <w:rFonts w:eastAsia="Calibri" w:cs="Arial"/>
                <w:sz w:val="18"/>
                <w:szCs w:val="18"/>
              </w:rPr>
              <w:t>[Noctuidae]</w:t>
            </w:r>
          </w:p>
          <w:p w14:paraId="0384CF34" w14:textId="77777777" w:rsidR="003438A2" w:rsidRPr="00C770E3" w:rsidRDefault="003438A2" w:rsidP="00881E29">
            <w:pPr>
              <w:spacing w:before="60" w:after="60" w:line="240" w:lineRule="auto"/>
              <w:rPr>
                <w:rFonts w:eastAsia="Calibri" w:cs="Times New Roman"/>
                <w:i/>
                <w:sz w:val="18"/>
                <w:szCs w:val="18"/>
                <w:lang w:val="pt-BR"/>
              </w:rPr>
            </w:pPr>
            <w:r w:rsidRPr="00C770E3">
              <w:rPr>
                <w:rFonts w:eastAsia="Calibri" w:cs="Times New Roman"/>
                <w:sz w:val="18"/>
                <w:szCs w:val="18"/>
              </w:rPr>
              <w:t>Lacanobia fruitworm</w:t>
            </w:r>
          </w:p>
        </w:tc>
        <w:tc>
          <w:tcPr>
            <w:tcW w:w="1474" w:type="dxa"/>
            <w:shd w:val="clear" w:color="auto" w:fill="auto"/>
          </w:tcPr>
          <w:p w14:paraId="190DABAD" w14:textId="77777777" w:rsidR="003438A2" w:rsidRPr="00C770E3" w:rsidRDefault="003438A2" w:rsidP="00321810">
            <w:pPr>
              <w:spacing w:before="60" w:after="60" w:line="240" w:lineRule="auto"/>
              <w:rPr>
                <w:rFonts w:eastAsia="Calibri" w:cs="Times New Roman"/>
                <w:sz w:val="18"/>
                <w:szCs w:val="18"/>
                <w:lang w:val="pt-BR"/>
              </w:rPr>
            </w:pPr>
            <w:r w:rsidRPr="00C770E3">
              <w:rPr>
                <w:rFonts w:eastAsia="Calibri" w:cs="Times New Roman"/>
                <w:sz w:val="18"/>
                <w:szCs w:val="18"/>
              </w:rPr>
              <w:t xml:space="preserve">Yes. </w:t>
            </w:r>
            <w:r>
              <w:rPr>
                <w:rFonts w:eastAsia="Calibri" w:cs="Times New Roman"/>
                <w:sz w:val="18"/>
                <w:szCs w:val="18"/>
              </w:rPr>
              <w:t>Present in</w:t>
            </w:r>
            <w:r w:rsidRPr="00C770E3">
              <w:rPr>
                <w:rFonts w:eastAsia="Calibri" w:cs="Times New Roman"/>
                <w:sz w:val="18"/>
                <w:szCs w:val="18"/>
              </w:rPr>
              <w:t xml:space="preserve"> </w:t>
            </w:r>
            <w:r>
              <w:rPr>
                <w:rFonts w:eastAsia="Calibri" w:cs="Times New Roman"/>
                <w:sz w:val="18"/>
                <w:szCs w:val="18"/>
              </w:rPr>
              <w:t xml:space="preserve">ID, </w:t>
            </w:r>
            <w:r w:rsidRPr="00C770E3">
              <w:rPr>
                <w:rFonts w:eastAsia="Calibri" w:cs="Times New Roman"/>
                <w:sz w:val="18"/>
                <w:szCs w:val="18"/>
              </w:rPr>
              <w:t>OR</w:t>
            </w:r>
            <w:r>
              <w:rPr>
                <w:rFonts w:eastAsia="Calibri" w:cs="Times New Roman"/>
                <w:sz w:val="18"/>
                <w:szCs w:val="18"/>
              </w:rPr>
              <w:t xml:space="preserve"> and</w:t>
            </w:r>
            <w:r w:rsidRPr="00C770E3">
              <w:rPr>
                <w:rFonts w:eastAsia="Calibri" w:cs="Times New Roman"/>
                <w:sz w:val="18"/>
                <w:szCs w:val="18"/>
              </w:rPr>
              <w:t xml:space="preserve"> WA </w:t>
            </w:r>
            <w:r>
              <w:rPr>
                <w:rFonts w:eastAsia="Calibri" w:cs="Times New Roman"/>
                <w:noProof/>
                <w:sz w:val="18"/>
                <w:szCs w:val="18"/>
              </w:rPr>
              <w:t>(APHIS 2007; Colt et al. 2001; Doerr, Brunner &amp; Jones 2005)</w:t>
            </w:r>
          </w:p>
        </w:tc>
        <w:tc>
          <w:tcPr>
            <w:tcW w:w="1474" w:type="dxa"/>
            <w:shd w:val="clear" w:color="auto" w:fill="auto"/>
          </w:tcPr>
          <w:p w14:paraId="3C7FBEA6" w14:textId="77777777" w:rsidR="003438A2" w:rsidRPr="00C770E3" w:rsidRDefault="003438A2" w:rsidP="00881E29">
            <w:pPr>
              <w:spacing w:before="60" w:after="60" w:line="240" w:lineRule="auto"/>
              <w:rPr>
                <w:rFonts w:eastAsia="Calibri" w:cs="Times New Roman"/>
                <w:sz w:val="18"/>
                <w:szCs w:val="18"/>
              </w:rPr>
            </w:pPr>
            <w:r w:rsidRPr="00C770E3">
              <w:rPr>
                <w:rFonts w:eastAsia="Calibri" w:cs="Times New Roman"/>
                <w:sz w:val="18"/>
                <w:szCs w:val="18"/>
              </w:rPr>
              <w:t>No records found</w:t>
            </w:r>
          </w:p>
        </w:tc>
        <w:tc>
          <w:tcPr>
            <w:tcW w:w="2552" w:type="dxa"/>
            <w:shd w:val="clear" w:color="auto" w:fill="auto"/>
          </w:tcPr>
          <w:p w14:paraId="0BC1C5FE"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 xml:space="preserve">Yes. Larvae feed directly on </w:t>
            </w:r>
            <w:r>
              <w:rPr>
                <w:rFonts w:eastAsia="Calibri" w:cs="Times New Roman"/>
                <w:sz w:val="18"/>
                <w:szCs w:val="18"/>
              </w:rPr>
              <w:t xml:space="preserve">apple </w:t>
            </w:r>
            <w:r w:rsidRPr="007107BF">
              <w:rPr>
                <w:rFonts w:eastAsia="Calibri" w:cs="Times New Roman"/>
                <w:sz w:val="18"/>
                <w:szCs w:val="18"/>
              </w:rPr>
              <w:t xml:space="preserve">fruit by excavating holes </w:t>
            </w:r>
            <w:r>
              <w:rPr>
                <w:rFonts w:eastAsia="Calibri" w:cs="Times New Roman"/>
                <w:noProof/>
                <w:sz w:val="18"/>
                <w:szCs w:val="18"/>
              </w:rPr>
              <w:t>(Doerr &amp; Brunner 2007)</w:t>
            </w:r>
            <w:r w:rsidRPr="007107BF">
              <w:rPr>
                <w:rFonts w:eastAsia="Calibri" w:cs="Times New Roman"/>
                <w:sz w:val="18"/>
                <w:szCs w:val="18"/>
              </w:rPr>
              <w:t>. Young larvae feed on the shoots</w:t>
            </w:r>
            <w:r>
              <w:rPr>
                <w:rFonts w:eastAsia="Calibri" w:cs="Times New Roman"/>
                <w:sz w:val="18"/>
                <w:szCs w:val="18"/>
              </w:rPr>
              <w:t>,</w:t>
            </w:r>
            <w:r w:rsidRPr="007107BF">
              <w:rPr>
                <w:rFonts w:eastAsia="Calibri" w:cs="Times New Roman"/>
                <w:sz w:val="18"/>
                <w:szCs w:val="18"/>
              </w:rPr>
              <w:t xml:space="preserve"> sometimes resulting in defoliation</w:t>
            </w:r>
            <w:r>
              <w:rPr>
                <w:rFonts w:eastAsia="Calibri" w:cs="Times New Roman"/>
                <w:sz w:val="18"/>
                <w:szCs w:val="18"/>
              </w:rPr>
              <w:t>,</w:t>
            </w:r>
            <w:r w:rsidRPr="007107BF">
              <w:rPr>
                <w:rFonts w:eastAsia="Calibri" w:cs="Times New Roman"/>
                <w:sz w:val="18"/>
                <w:szCs w:val="18"/>
              </w:rPr>
              <w:t xml:space="preserve"> while older larvae also feed on fruit </w:t>
            </w:r>
            <w:r>
              <w:rPr>
                <w:rFonts w:eastAsia="Calibri" w:cs="Times New Roman"/>
                <w:noProof/>
                <w:sz w:val="18"/>
                <w:szCs w:val="18"/>
              </w:rPr>
              <w:t>(APHIS 2007; Bell, Antonelli &amp; Daniels 2007; Riedl &amp; Hilton 2007)</w:t>
            </w:r>
            <w:r>
              <w:rPr>
                <w:rFonts w:eastAsia="Calibri" w:cs="Times New Roman"/>
                <w:sz w:val="18"/>
                <w:szCs w:val="18"/>
              </w:rPr>
              <w:t>.</w:t>
            </w:r>
          </w:p>
        </w:tc>
        <w:tc>
          <w:tcPr>
            <w:tcW w:w="2381" w:type="dxa"/>
            <w:shd w:val="clear" w:color="auto" w:fill="auto"/>
          </w:tcPr>
          <w:p w14:paraId="23D55307"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 xml:space="preserve">Yes. Wide host range feeding on a variety of plants including row crops, shrubs, </w:t>
            </w:r>
            <w:r>
              <w:rPr>
                <w:rFonts w:eastAsia="Calibri" w:cs="Times New Roman"/>
                <w:sz w:val="18"/>
                <w:szCs w:val="18"/>
              </w:rPr>
              <w:t xml:space="preserve">trees and several weed species including </w:t>
            </w:r>
            <w:r w:rsidRPr="007107BF">
              <w:rPr>
                <w:rFonts w:eastAsia="Calibri" w:cs="Times New Roman"/>
                <w:sz w:val="18"/>
                <w:szCs w:val="18"/>
              </w:rPr>
              <w:t>dandelion (</w:t>
            </w:r>
            <w:r w:rsidRPr="007107BF">
              <w:rPr>
                <w:rFonts w:eastAsia="Calibri" w:cs="Times New Roman"/>
                <w:i/>
                <w:sz w:val="18"/>
                <w:szCs w:val="18"/>
              </w:rPr>
              <w:t>Taraxacum</w:t>
            </w:r>
            <w:r w:rsidRPr="007107BF">
              <w:rPr>
                <w:rFonts w:eastAsia="Calibri" w:cs="Times New Roman"/>
                <w:sz w:val="18"/>
                <w:szCs w:val="18"/>
              </w:rPr>
              <w:t>), bindweed (</w:t>
            </w:r>
            <w:r w:rsidRPr="007107BF">
              <w:rPr>
                <w:rFonts w:eastAsia="Calibri" w:cs="Times New Roman"/>
                <w:i/>
                <w:sz w:val="18"/>
                <w:szCs w:val="18"/>
              </w:rPr>
              <w:t>Convolvulus</w:t>
            </w:r>
            <w:r w:rsidRPr="007107BF">
              <w:rPr>
                <w:rFonts w:eastAsia="Calibri" w:cs="Times New Roman"/>
                <w:sz w:val="18"/>
                <w:szCs w:val="18"/>
              </w:rPr>
              <w:t>)</w:t>
            </w:r>
            <w:r>
              <w:rPr>
                <w:rFonts w:eastAsia="Calibri" w:cs="Times New Roman"/>
                <w:sz w:val="18"/>
                <w:szCs w:val="18"/>
              </w:rPr>
              <w:t xml:space="preserve"> and </w:t>
            </w:r>
            <w:r w:rsidRPr="007107BF">
              <w:rPr>
                <w:rFonts w:eastAsia="Calibri" w:cs="Times New Roman"/>
                <w:sz w:val="18"/>
                <w:szCs w:val="18"/>
              </w:rPr>
              <w:t>mallow (</w:t>
            </w:r>
            <w:r w:rsidRPr="007107BF">
              <w:rPr>
                <w:rFonts w:eastAsia="Calibri" w:cs="Times New Roman"/>
                <w:i/>
                <w:sz w:val="18"/>
                <w:szCs w:val="18"/>
              </w:rPr>
              <w:t>Malva</w:t>
            </w:r>
            <w:r>
              <w:rPr>
                <w:rFonts w:eastAsia="Calibri" w:cs="Times New Roman"/>
                <w:sz w:val="18"/>
                <w:szCs w:val="18"/>
              </w:rPr>
              <w:t xml:space="preserve">) </w:t>
            </w:r>
            <w:r>
              <w:rPr>
                <w:rFonts w:eastAsia="Calibri" w:cs="Times New Roman"/>
                <w:noProof/>
                <w:sz w:val="18"/>
                <w:szCs w:val="18"/>
              </w:rPr>
              <w:t>(Doerr, Brunner &amp; Jones 2005; Landolt 1998)</w:t>
            </w:r>
            <w:r w:rsidRPr="007107BF">
              <w:rPr>
                <w:rFonts w:eastAsia="Calibri" w:cs="Times New Roman"/>
                <w:sz w:val="18"/>
                <w:szCs w:val="18"/>
              </w:rPr>
              <w:t xml:space="preserve">. Occurs in North America in environments similar to </w:t>
            </w:r>
            <w:r>
              <w:rPr>
                <w:rFonts w:eastAsia="Calibri" w:cs="Times New Roman"/>
                <w:sz w:val="18"/>
                <w:szCs w:val="18"/>
              </w:rPr>
              <w:t xml:space="preserve">parts of </w:t>
            </w:r>
            <w:r w:rsidRPr="007107BF">
              <w:rPr>
                <w:rFonts w:eastAsia="Calibri" w:cs="Times New Roman"/>
                <w:sz w:val="18"/>
                <w:szCs w:val="18"/>
              </w:rPr>
              <w:t>Australia</w:t>
            </w:r>
          </w:p>
        </w:tc>
        <w:tc>
          <w:tcPr>
            <w:tcW w:w="2211" w:type="dxa"/>
            <w:shd w:val="clear" w:color="auto" w:fill="auto"/>
          </w:tcPr>
          <w:p w14:paraId="49DEFE65"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Yes. Although fruit injury is incidental to foliage feeding</w:t>
            </w:r>
            <w:r>
              <w:rPr>
                <w:rFonts w:eastAsia="Calibri" w:cs="Times New Roman"/>
                <w:sz w:val="18"/>
                <w:szCs w:val="18"/>
              </w:rPr>
              <w:t>,</w:t>
            </w:r>
            <w:r w:rsidRPr="007107BF">
              <w:rPr>
                <w:rFonts w:eastAsia="Calibri" w:cs="Times New Roman"/>
                <w:sz w:val="18"/>
                <w:szCs w:val="18"/>
              </w:rPr>
              <w:t xml:space="preserve"> it can be quite severe in orchards where the densities are high </w:t>
            </w:r>
            <w:r>
              <w:rPr>
                <w:rFonts w:eastAsia="Calibri" w:cs="Times New Roman"/>
                <w:noProof/>
                <w:sz w:val="18"/>
                <w:szCs w:val="18"/>
              </w:rPr>
              <w:t>(Doerr &amp; Brunner 2007)</w:t>
            </w:r>
            <w:r w:rsidRPr="007107BF">
              <w:rPr>
                <w:rFonts w:eastAsia="Calibri" w:cs="Times New Roman"/>
                <w:sz w:val="18"/>
                <w:szCs w:val="18"/>
              </w:rPr>
              <w:t xml:space="preserve"> resulting in loss of production and reduction in fruit marketability</w:t>
            </w:r>
            <w:r>
              <w:rPr>
                <w:rFonts w:eastAsia="Calibri" w:cs="Times New Roman"/>
                <w:sz w:val="18"/>
                <w:szCs w:val="18"/>
              </w:rPr>
              <w:t>.</w:t>
            </w:r>
          </w:p>
        </w:tc>
        <w:tc>
          <w:tcPr>
            <w:tcW w:w="1191" w:type="dxa"/>
            <w:shd w:val="clear" w:color="auto" w:fill="auto"/>
          </w:tcPr>
          <w:p w14:paraId="0AD25424" w14:textId="77777777" w:rsidR="003438A2" w:rsidRPr="007107BF" w:rsidRDefault="003438A2" w:rsidP="00881E29">
            <w:pPr>
              <w:spacing w:before="60" w:after="60" w:line="240" w:lineRule="auto"/>
              <w:rPr>
                <w:rFonts w:eastAsia="Calibri" w:cs="Times New Roman"/>
                <w:sz w:val="18"/>
                <w:szCs w:val="18"/>
              </w:rPr>
            </w:pPr>
            <w:r w:rsidRPr="0065113C">
              <w:rPr>
                <w:rFonts w:eastAsia="Calibri" w:cs="Times New Roman"/>
                <w:sz w:val="18"/>
                <w:szCs w:val="18"/>
              </w:rPr>
              <w:t>Yes</w:t>
            </w:r>
            <w:r>
              <w:rPr>
                <w:rFonts w:eastAsia="Calibri" w:cs="Times New Roman"/>
                <w:sz w:val="18"/>
                <w:szCs w:val="18"/>
              </w:rPr>
              <w:t xml:space="preserve"> </w:t>
            </w:r>
          </w:p>
        </w:tc>
      </w:tr>
      <w:tr w:rsidR="003438A2" w:rsidRPr="007107BF" w14:paraId="7CE8F0B2" w14:textId="77777777" w:rsidTr="00C4199F">
        <w:trPr>
          <w:cantSplit/>
          <w:trHeight w:val="75"/>
          <w:jc w:val="center"/>
        </w:trPr>
        <w:tc>
          <w:tcPr>
            <w:tcW w:w="2553" w:type="dxa"/>
            <w:shd w:val="clear" w:color="auto" w:fill="auto"/>
          </w:tcPr>
          <w:p w14:paraId="162465F7"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i/>
                <w:sz w:val="18"/>
                <w:szCs w:val="18"/>
              </w:rPr>
              <w:lastRenderedPageBreak/>
              <w:t>Lithophane antennata</w:t>
            </w:r>
            <w:r w:rsidRPr="007107BF">
              <w:rPr>
                <w:rFonts w:eastAsia="Calibri" w:cs="Times New Roman"/>
                <w:sz w:val="18"/>
                <w:szCs w:val="18"/>
              </w:rPr>
              <w:t xml:space="preserve"> (Walker, 1858)</w:t>
            </w:r>
          </w:p>
          <w:p w14:paraId="0D6867E9" w14:textId="77777777" w:rsidR="003438A2" w:rsidRPr="007107BF" w:rsidRDefault="003438A2" w:rsidP="00881E29">
            <w:pPr>
              <w:spacing w:before="60" w:after="60" w:line="240" w:lineRule="auto"/>
              <w:rPr>
                <w:rFonts w:eastAsia="Calibri" w:cs="Arial"/>
                <w:sz w:val="18"/>
                <w:szCs w:val="18"/>
              </w:rPr>
            </w:pPr>
            <w:r w:rsidRPr="007107BF">
              <w:rPr>
                <w:rFonts w:eastAsia="Calibri" w:cs="Arial"/>
                <w:sz w:val="18"/>
                <w:szCs w:val="18"/>
              </w:rPr>
              <w:t>[Noctuidae]</w:t>
            </w:r>
          </w:p>
          <w:p w14:paraId="79670B71" w14:textId="77777777" w:rsidR="003438A2" w:rsidRPr="007107BF" w:rsidRDefault="003438A2" w:rsidP="00881E29">
            <w:pPr>
              <w:spacing w:before="60" w:after="60" w:line="240" w:lineRule="auto"/>
              <w:rPr>
                <w:rFonts w:eastAsia="Calibri" w:cs="Times New Roman"/>
                <w:i/>
                <w:sz w:val="18"/>
                <w:szCs w:val="18"/>
                <w:lang w:val="pt-BR"/>
              </w:rPr>
            </w:pPr>
            <w:r w:rsidRPr="007107BF">
              <w:rPr>
                <w:rFonts w:eastAsia="Calibri" w:cs="Times New Roman"/>
                <w:sz w:val="18"/>
                <w:szCs w:val="18"/>
              </w:rPr>
              <w:t>Green fruitworm</w:t>
            </w:r>
          </w:p>
        </w:tc>
        <w:tc>
          <w:tcPr>
            <w:tcW w:w="1474" w:type="dxa"/>
            <w:shd w:val="clear" w:color="auto" w:fill="auto"/>
          </w:tcPr>
          <w:p w14:paraId="012ED7EE" w14:textId="77777777" w:rsidR="003438A2" w:rsidRPr="007107BF" w:rsidRDefault="003438A2" w:rsidP="00881E29">
            <w:pPr>
              <w:spacing w:before="60" w:after="60" w:line="240" w:lineRule="auto"/>
              <w:rPr>
                <w:rFonts w:eastAsia="Calibri" w:cs="Times New Roman"/>
                <w:sz w:val="18"/>
                <w:szCs w:val="18"/>
                <w:lang w:val="pt-BR"/>
              </w:rPr>
            </w:pPr>
            <w:r w:rsidRPr="007107BF">
              <w:rPr>
                <w:rFonts w:eastAsia="Calibri" w:cs="Times New Roman"/>
                <w:sz w:val="18"/>
                <w:szCs w:val="18"/>
              </w:rPr>
              <w:t xml:space="preserve">Yes. </w:t>
            </w:r>
            <w:r>
              <w:rPr>
                <w:rFonts w:eastAsia="Calibri" w:cs="Times New Roman"/>
                <w:sz w:val="18"/>
                <w:szCs w:val="18"/>
              </w:rPr>
              <w:t>Present in</w:t>
            </w:r>
            <w:r w:rsidRPr="007107BF">
              <w:rPr>
                <w:rFonts w:eastAsia="Calibri" w:cs="Times New Roman"/>
                <w:sz w:val="18"/>
                <w:szCs w:val="18"/>
              </w:rPr>
              <w:t xml:space="preserve"> WA </w:t>
            </w:r>
            <w:r>
              <w:rPr>
                <w:rFonts w:eastAsia="Calibri" w:cs="Times New Roman"/>
                <w:noProof/>
                <w:sz w:val="18"/>
                <w:szCs w:val="18"/>
              </w:rPr>
              <w:t>(APHIS 2007)</w:t>
            </w:r>
          </w:p>
        </w:tc>
        <w:tc>
          <w:tcPr>
            <w:tcW w:w="1474" w:type="dxa"/>
            <w:shd w:val="clear" w:color="auto" w:fill="auto"/>
          </w:tcPr>
          <w:p w14:paraId="7D1E6BE5"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records found</w:t>
            </w:r>
          </w:p>
        </w:tc>
        <w:tc>
          <w:tcPr>
            <w:tcW w:w="2552" w:type="dxa"/>
            <w:shd w:val="clear" w:color="auto" w:fill="auto"/>
          </w:tcPr>
          <w:p w14:paraId="131E375E" w14:textId="77777777" w:rsidR="003438A2" w:rsidRPr="007107BF" w:rsidRDefault="003438A2" w:rsidP="00881E29">
            <w:pPr>
              <w:spacing w:before="60" w:after="60" w:line="240" w:lineRule="auto"/>
              <w:rPr>
                <w:rFonts w:eastAsia="Calibri" w:cs="Times New Roman"/>
                <w:sz w:val="18"/>
                <w:szCs w:val="18"/>
              </w:rPr>
            </w:pPr>
            <w:r w:rsidRPr="00240DF8">
              <w:rPr>
                <w:rFonts w:eastAsia="Calibri" w:cs="Times New Roman"/>
                <w:sz w:val="18"/>
                <w:szCs w:val="18"/>
              </w:rPr>
              <w:t xml:space="preserve">No. Larvae feed on leaves and fruit </w:t>
            </w:r>
            <w:r>
              <w:rPr>
                <w:rFonts w:eastAsia="Calibri" w:cs="Times New Roman"/>
                <w:noProof/>
                <w:sz w:val="18"/>
                <w:szCs w:val="18"/>
              </w:rPr>
              <w:t>(APHIS 2007; Riedl &amp; Hilton 2007)</w:t>
            </w:r>
            <w:r w:rsidRPr="00240DF8">
              <w:rPr>
                <w:rFonts w:eastAsia="Calibri" w:cs="Times New Roman"/>
                <w:sz w:val="18"/>
                <w:szCs w:val="18"/>
              </w:rPr>
              <w:t xml:space="preserve">. </w:t>
            </w:r>
            <w:r>
              <w:rPr>
                <w:rFonts w:eastAsia="Calibri" w:cs="Times New Roman"/>
                <w:sz w:val="18"/>
                <w:szCs w:val="18"/>
              </w:rPr>
              <w:t>T</w:t>
            </w:r>
            <w:r w:rsidRPr="00240DF8">
              <w:rPr>
                <w:rFonts w:eastAsia="Calibri" w:cs="Times New Roman"/>
                <w:sz w:val="18"/>
                <w:szCs w:val="18"/>
              </w:rPr>
              <w:t>his species overwinters as adults and lay</w:t>
            </w:r>
            <w:r>
              <w:rPr>
                <w:rFonts w:eastAsia="Calibri" w:cs="Times New Roman"/>
                <w:sz w:val="18"/>
                <w:szCs w:val="18"/>
              </w:rPr>
              <w:t>s</w:t>
            </w:r>
            <w:r w:rsidRPr="00240DF8">
              <w:rPr>
                <w:rFonts w:eastAsia="Calibri" w:cs="Times New Roman"/>
                <w:sz w:val="18"/>
                <w:szCs w:val="18"/>
              </w:rPr>
              <w:t xml:space="preserve"> eggs in the spring, with fruit feeding restricted to the later instars. Larvae drop to the soil in the first weeks of summer to pupate </w:t>
            </w:r>
            <w:r>
              <w:rPr>
                <w:rFonts w:eastAsia="Calibri" w:cs="Times New Roman"/>
                <w:noProof/>
                <w:sz w:val="18"/>
                <w:szCs w:val="18"/>
              </w:rPr>
              <w:t>(Rings 1973)</w:t>
            </w:r>
            <w:r w:rsidRPr="00240DF8">
              <w:rPr>
                <w:rFonts w:eastAsia="Calibri" w:cs="Times New Roman"/>
                <w:sz w:val="18"/>
                <w:szCs w:val="18"/>
              </w:rPr>
              <w:t xml:space="preserve">. Mature </w:t>
            </w:r>
            <w:r w:rsidRPr="007107BF">
              <w:rPr>
                <w:rFonts w:eastAsia="Calibri" w:cs="Times New Roman"/>
                <w:sz w:val="18"/>
                <w:szCs w:val="18"/>
              </w:rPr>
              <w:t>larvae can cause slight injury to apples, causing scars to form when the apple fruit matures</w:t>
            </w:r>
            <w:r>
              <w:rPr>
                <w:rFonts w:eastAsia="Calibri" w:cs="Times New Roman"/>
                <w:sz w:val="18"/>
                <w:szCs w:val="18"/>
              </w:rPr>
              <w:t>, and</w:t>
            </w:r>
            <w:r w:rsidRPr="007107BF">
              <w:rPr>
                <w:rFonts w:eastAsia="Calibri" w:cs="Times New Roman"/>
                <w:sz w:val="18"/>
                <w:szCs w:val="18"/>
              </w:rPr>
              <w:t xml:space="preserve"> may completely eat an apple and cause premature fruit-drop </w:t>
            </w:r>
            <w:r>
              <w:rPr>
                <w:rFonts w:eastAsia="Calibri" w:cs="Times New Roman"/>
                <w:noProof/>
                <w:sz w:val="18"/>
                <w:szCs w:val="18"/>
              </w:rPr>
              <w:t>(Rings 1973)</w:t>
            </w:r>
            <w:r w:rsidRPr="007107BF">
              <w:rPr>
                <w:rFonts w:eastAsia="Calibri" w:cs="Times New Roman"/>
                <w:sz w:val="18"/>
                <w:szCs w:val="18"/>
              </w:rPr>
              <w:t>.</w:t>
            </w:r>
            <w:r>
              <w:rPr>
                <w:rFonts w:eastAsia="Calibri" w:cs="Times New Roman"/>
                <w:sz w:val="18"/>
                <w:szCs w:val="18"/>
              </w:rPr>
              <w:t xml:space="preserve"> This </w:t>
            </w:r>
            <w:r w:rsidRPr="00576591">
              <w:rPr>
                <w:rFonts w:eastAsia="Calibri" w:cs="Times New Roman"/>
                <w:sz w:val="18"/>
                <w:szCs w:val="18"/>
              </w:rPr>
              <w:t>pest</w:t>
            </w:r>
            <w:r>
              <w:rPr>
                <w:rFonts w:eastAsia="Calibri" w:cs="Times New Roman"/>
                <w:sz w:val="18"/>
                <w:szCs w:val="18"/>
              </w:rPr>
              <w:t xml:space="preserve"> is</w:t>
            </w:r>
            <w:r w:rsidRPr="00576591">
              <w:rPr>
                <w:rFonts w:eastAsia="Calibri" w:cs="Times New Roman"/>
                <w:sz w:val="18"/>
                <w:szCs w:val="18"/>
              </w:rPr>
              <w:t xml:space="preserve"> highly unlikely </w:t>
            </w:r>
            <w:r>
              <w:rPr>
                <w:rFonts w:eastAsia="Calibri" w:cs="Times New Roman"/>
                <w:sz w:val="18"/>
                <w:szCs w:val="18"/>
              </w:rPr>
              <w:t xml:space="preserve">to be found on </w:t>
            </w:r>
            <w:r w:rsidRPr="00576591">
              <w:rPr>
                <w:rFonts w:eastAsia="Calibri" w:cs="Times New Roman"/>
                <w:sz w:val="18"/>
                <w:szCs w:val="18"/>
              </w:rPr>
              <w:t xml:space="preserve">commercially produced apples, as </w:t>
            </w:r>
            <w:r>
              <w:rPr>
                <w:rFonts w:eastAsia="Calibri" w:cs="Times New Roman"/>
                <w:sz w:val="18"/>
                <w:szCs w:val="18"/>
              </w:rPr>
              <w:t>infested</w:t>
            </w:r>
            <w:r w:rsidRPr="00576591">
              <w:rPr>
                <w:rFonts w:eastAsia="Calibri" w:cs="Times New Roman"/>
                <w:sz w:val="18"/>
                <w:szCs w:val="18"/>
              </w:rPr>
              <w:t xml:space="preserve"> fruit will be discarded during the harvest, sorting and packing process</w:t>
            </w:r>
            <w:r>
              <w:rPr>
                <w:rFonts w:eastAsia="Calibri" w:cs="Times New Roman"/>
                <w:sz w:val="18"/>
                <w:szCs w:val="18"/>
              </w:rPr>
              <w:t>.</w:t>
            </w:r>
          </w:p>
        </w:tc>
        <w:tc>
          <w:tcPr>
            <w:tcW w:w="2381" w:type="dxa"/>
            <w:shd w:val="clear" w:color="auto" w:fill="auto"/>
          </w:tcPr>
          <w:p w14:paraId="093EC3E1"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2211" w:type="dxa"/>
            <w:shd w:val="clear" w:color="auto" w:fill="auto"/>
          </w:tcPr>
          <w:p w14:paraId="47ED4117"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1191" w:type="dxa"/>
            <w:shd w:val="clear" w:color="auto" w:fill="auto"/>
          </w:tcPr>
          <w:p w14:paraId="73E6EB97"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w:t>
            </w:r>
          </w:p>
        </w:tc>
      </w:tr>
      <w:tr w:rsidR="003438A2" w:rsidRPr="00243E34" w14:paraId="085702A1" w14:textId="77777777" w:rsidTr="00C4199F">
        <w:trPr>
          <w:cantSplit/>
          <w:trHeight w:val="75"/>
          <w:jc w:val="center"/>
        </w:trPr>
        <w:tc>
          <w:tcPr>
            <w:tcW w:w="2553" w:type="dxa"/>
            <w:shd w:val="clear" w:color="auto" w:fill="FFFFFF" w:themeFill="background1"/>
          </w:tcPr>
          <w:p w14:paraId="0F66CBC9"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i/>
                <w:sz w:val="18"/>
                <w:szCs w:val="18"/>
              </w:rPr>
              <w:t>Lyonetia prunifoliella</w:t>
            </w:r>
            <w:r w:rsidRPr="007107BF">
              <w:rPr>
                <w:rFonts w:eastAsia="Calibri" w:cs="Times New Roman"/>
                <w:sz w:val="18"/>
                <w:szCs w:val="18"/>
              </w:rPr>
              <w:t xml:space="preserve"> Hübner, 1796</w:t>
            </w:r>
          </w:p>
          <w:p w14:paraId="75A49FE1"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 xml:space="preserve">Synonym: </w:t>
            </w:r>
            <w:r w:rsidRPr="007107BF">
              <w:rPr>
                <w:rFonts w:eastAsia="Calibri" w:cs="Times New Roman"/>
                <w:i/>
                <w:sz w:val="18"/>
                <w:szCs w:val="18"/>
              </w:rPr>
              <w:t>Lyonetia speculella</w:t>
            </w:r>
            <w:r w:rsidRPr="007107BF">
              <w:rPr>
                <w:rFonts w:eastAsia="Calibri" w:cs="Times New Roman"/>
                <w:sz w:val="18"/>
                <w:szCs w:val="18"/>
              </w:rPr>
              <w:t xml:space="preserve"> Clemens, 1862</w:t>
            </w:r>
          </w:p>
          <w:p w14:paraId="47966DFA"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[Lyonetiidae]</w:t>
            </w:r>
          </w:p>
          <w:p w14:paraId="7105F7BE" w14:textId="77777777" w:rsidR="003438A2" w:rsidRPr="007107BF" w:rsidRDefault="003438A2" w:rsidP="00881E29">
            <w:pPr>
              <w:spacing w:before="60" w:after="60" w:line="240" w:lineRule="auto"/>
              <w:rPr>
                <w:rFonts w:eastAsia="Calibri" w:cs="Times New Roman"/>
                <w:i/>
                <w:sz w:val="18"/>
                <w:szCs w:val="18"/>
                <w:lang w:val="pt-BR"/>
              </w:rPr>
            </w:pPr>
            <w:r w:rsidRPr="007107BF">
              <w:rPr>
                <w:rFonts w:eastAsia="Calibri" w:cs="Times New Roman"/>
                <w:sz w:val="18"/>
                <w:szCs w:val="18"/>
              </w:rPr>
              <w:t>Apple leaf miner</w:t>
            </w:r>
          </w:p>
        </w:tc>
        <w:tc>
          <w:tcPr>
            <w:tcW w:w="1474" w:type="dxa"/>
            <w:shd w:val="clear" w:color="auto" w:fill="FFFFFF" w:themeFill="background1"/>
          </w:tcPr>
          <w:p w14:paraId="0CFE31C2" w14:textId="77777777" w:rsidR="003438A2" w:rsidRPr="007107BF" w:rsidRDefault="003438A2" w:rsidP="00881E29">
            <w:pPr>
              <w:spacing w:before="60" w:after="60" w:line="240" w:lineRule="auto"/>
              <w:rPr>
                <w:rFonts w:eastAsia="Calibri" w:cs="Times New Roman"/>
                <w:sz w:val="18"/>
                <w:szCs w:val="18"/>
                <w:lang w:val="pt-BR"/>
              </w:rPr>
            </w:pPr>
            <w:r w:rsidRPr="007107BF">
              <w:rPr>
                <w:rFonts w:eastAsia="Calibri" w:cs="Times New Roman"/>
                <w:sz w:val="18"/>
                <w:szCs w:val="18"/>
              </w:rPr>
              <w:t xml:space="preserve">Yes. </w:t>
            </w:r>
            <w:r>
              <w:rPr>
                <w:rFonts w:eastAsia="Calibri" w:cs="Times New Roman"/>
                <w:sz w:val="18"/>
                <w:szCs w:val="18"/>
              </w:rPr>
              <w:t>Present in</w:t>
            </w:r>
            <w:r w:rsidRPr="007107BF">
              <w:rPr>
                <w:rFonts w:eastAsia="Calibri" w:cs="Times New Roman"/>
                <w:sz w:val="18"/>
                <w:szCs w:val="18"/>
              </w:rPr>
              <w:t xml:space="preserve"> WA </w:t>
            </w:r>
            <w:r>
              <w:rPr>
                <w:rFonts w:eastAsia="Calibri" w:cs="Times New Roman"/>
                <w:noProof/>
                <w:sz w:val="18"/>
                <w:szCs w:val="18"/>
              </w:rPr>
              <w:t>(Schmitt, Brown &amp; Davis 1996)</w:t>
            </w:r>
          </w:p>
        </w:tc>
        <w:tc>
          <w:tcPr>
            <w:tcW w:w="1474" w:type="dxa"/>
            <w:shd w:val="clear" w:color="auto" w:fill="FFFFFF" w:themeFill="background1"/>
          </w:tcPr>
          <w:p w14:paraId="0EC78B2A"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records found</w:t>
            </w:r>
          </w:p>
        </w:tc>
        <w:tc>
          <w:tcPr>
            <w:tcW w:w="2552" w:type="dxa"/>
            <w:shd w:val="clear" w:color="auto" w:fill="FFFFFF" w:themeFill="background1"/>
          </w:tcPr>
          <w:p w14:paraId="183279C4"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Larvae mine the leaves of various rosaceous trees including apple (</w:t>
            </w:r>
            <w:r w:rsidRPr="00694414">
              <w:rPr>
                <w:rFonts w:eastAsia="Calibri" w:cs="Times New Roman"/>
                <w:i/>
                <w:sz w:val="18"/>
                <w:szCs w:val="18"/>
              </w:rPr>
              <w:t>Malus</w:t>
            </w:r>
            <w:r w:rsidRPr="007107BF">
              <w:rPr>
                <w:rFonts w:eastAsia="Calibri" w:cs="Times New Roman"/>
                <w:sz w:val="18"/>
                <w:szCs w:val="18"/>
              </w:rPr>
              <w:t xml:space="preserve">), forming blotch mines </w:t>
            </w:r>
            <w:r>
              <w:rPr>
                <w:rFonts w:eastAsia="Calibri" w:cs="Times New Roman"/>
                <w:noProof/>
                <w:sz w:val="18"/>
                <w:szCs w:val="18"/>
              </w:rPr>
              <w:t>(Kimber 2009; Schmitt, Brown &amp; Davis 1996)</w:t>
            </w:r>
            <w:r>
              <w:rPr>
                <w:rFonts w:eastAsia="Calibri" w:cs="Times New Roman"/>
                <w:sz w:val="18"/>
                <w:szCs w:val="18"/>
              </w:rPr>
              <w:t>.</w:t>
            </w:r>
          </w:p>
        </w:tc>
        <w:tc>
          <w:tcPr>
            <w:tcW w:w="2381" w:type="dxa"/>
            <w:shd w:val="clear" w:color="auto" w:fill="FFFFFF" w:themeFill="background1"/>
          </w:tcPr>
          <w:p w14:paraId="63760DD2"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2211" w:type="dxa"/>
            <w:shd w:val="clear" w:color="auto" w:fill="FFFFFF" w:themeFill="background1"/>
          </w:tcPr>
          <w:p w14:paraId="42FD2547"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1191" w:type="dxa"/>
            <w:shd w:val="clear" w:color="auto" w:fill="FFFFFF" w:themeFill="background1"/>
          </w:tcPr>
          <w:p w14:paraId="048BF588"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w:t>
            </w:r>
          </w:p>
        </w:tc>
      </w:tr>
      <w:tr w:rsidR="003438A2" w:rsidRPr="00243E34" w14:paraId="23C46FF5" w14:textId="77777777" w:rsidTr="00C4199F">
        <w:trPr>
          <w:cantSplit/>
          <w:trHeight w:val="75"/>
          <w:jc w:val="center"/>
        </w:trPr>
        <w:tc>
          <w:tcPr>
            <w:tcW w:w="2553" w:type="dxa"/>
            <w:shd w:val="clear" w:color="auto" w:fill="FFFFFF" w:themeFill="background1"/>
          </w:tcPr>
          <w:p w14:paraId="0D0C9203"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i/>
                <w:sz w:val="18"/>
                <w:szCs w:val="18"/>
              </w:rPr>
              <w:t>Malacosoma disstria</w:t>
            </w:r>
            <w:r w:rsidRPr="007107BF">
              <w:rPr>
                <w:rFonts w:eastAsia="Calibri" w:cs="Times New Roman"/>
                <w:sz w:val="18"/>
                <w:szCs w:val="18"/>
              </w:rPr>
              <w:t xml:space="preserve"> H</w:t>
            </w:r>
            <w:r w:rsidRPr="007107BF">
              <w:rPr>
                <w:rFonts w:eastAsia="Calibri" w:cs="Arial"/>
                <w:sz w:val="18"/>
                <w:szCs w:val="18"/>
              </w:rPr>
              <w:t>ü</w:t>
            </w:r>
            <w:r w:rsidRPr="007107BF">
              <w:rPr>
                <w:rFonts w:eastAsia="Calibri" w:cs="Times New Roman"/>
                <w:sz w:val="18"/>
                <w:szCs w:val="18"/>
              </w:rPr>
              <w:t>bner, 1822</w:t>
            </w:r>
          </w:p>
          <w:p w14:paraId="364A476B" w14:textId="77777777" w:rsidR="003438A2" w:rsidRPr="007107BF" w:rsidRDefault="003438A2" w:rsidP="00881E29">
            <w:pPr>
              <w:spacing w:before="60" w:after="60" w:line="240" w:lineRule="auto"/>
              <w:rPr>
                <w:rFonts w:eastAsia="Calibri" w:cs="Arial"/>
                <w:sz w:val="18"/>
                <w:szCs w:val="18"/>
              </w:rPr>
            </w:pPr>
            <w:r w:rsidRPr="007107BF">
              <w:rPr>
                <w:rFonts w:eastAsia="Calibri" w:cs="Times New Roman"/>
                <w:sz w:val="18"/>
                <w:szCs w:val="18"/>
              </w:rPr>
              <w:t>[</w:t>
            </w:r>
            <w:r w:rsidRPr="007107BF">
              <w:rPr>
                <w:rFonts w:eastAsia="Calibri" w:cs="Arial"/>
                <w:sz w:val="18"/>
                <w:szCs w:val="18"/>
              </w:rPr>
              <w:t>Lasiocampidae]</w:t>
            </w:r>
          </w:p>
          <w:p w14:paraId="5AA2B4E7" w14:textId="77777777" w:rsidR="003438A2" w:rsidRPr="007107BF" w:rsidRDefault="003438A2" w:rsidP="00881E29">
            <w:pPr>
              <w:spacing w:before="60" w:after="60" w:line="240" w:lineRule="auto"/>
              <w:rPr>
                <w:rFonts w:eastAsia="Calibri" w:cs="Times New Roman"/>
                <w:i/>
                <w:sz w:val="18"/>
                <w:szCs w:val="18"/>
                <w:lang w:val="pt-BR"/>
              </w:rPr>
            </w:pPr>
            <w:r>
              <w:rPr>
                <w:rFonts w:eastAsia="Calibri" w:cs="Times New Roman"/>
                <w:sz w:val="18"/>
                <w:szCs w:val="18"/>
              </w:rPr>
              <w:t>Forest tent caterpillar</w:t>
            </w:r>
          </w:p>
        </w:tc>
        <w:tc>
          <w:tcPr>
            <w:tcW w:w="1474" w:type="dxa"/>
            <w:shd w:val="clear" w:color="auto" w:fill="FFFFFF" w:themeFill="background1"/>
          </w:tcPr>
          <w:p w14:paraId="2F02E460" w14:textId="77777777" w:rsidR="003438A2" w:rsidRPr="007107BF" w:rsidRDefault="003438A2" w:rsidP="00881E29">
            <w:pPr>
              <w:spacing w:before="60" w:after="60" w:line="240" w:lineRule="auto"/>
              <w:rPr>
                <w:rFonts w:eastAsia="Calibri" w:cs="Times New Roman"/>
                <w:sz w:val="18"/>
                <w:szCs w:val="18"/>
                <w:lang w:val="pt-BR"/>
              </w:rPr>
            </w:pPr>
            <w:r w:rsidRPr="007107BF">
              <w:rPr>
                <w:rFonts w:eastAsia="Calibri" w:cs="Times New Roman"/>
                <w:sz w:val="18"/>
                <w:szCs w:val="18"/>
              </w:rPr>
              <w:t xml:space="preserve">Yes. </w:t>
            </w:r>
            <w:r>
              <w:rPr>
                <w:rFonts w:eastAsia="Calibri" w:cs="Times New Roman"/>
                <w:sz w:val="18"/>
                <w:szCs w:val="18"/>
              </w:rPr>
              <w:t>Present in</w:t>
            </w:r>
            <w:r w:rsidRPr="007107BF">
              <w:rPr>
                <w:rFonts w:eastAsia="Calibri" w:cs="Times New Roman"/>
                <w:sz w:val="18"/>
                <w:szCs w:val="18"/>
              </w:rPr>
              <w:t xml:space="preserve"> OR</w:t>
            </w:r>
            <w:r>
              <w:rPr>
                <w:rFonts w:eastAsia="Calibri" w:cs="Times New Roman"/>
                <w:sz w:val="18"/>
                <w:szCs w:val="18"/>
              </w:rPr>
              <w:t xml:space="preserve"> and</w:t>
            </w:r>
            <w:r w:rsidRPr="007107BF">
              <w:rPr>
                <w:rFonts w:eastAsia="Calibri" w:cs="Times New Roman"/>
                <w:sz w:val="18"/>
                <w:szCs w:val="18"/>
              </w:rPr>
              <w:t xml:space="preserve"> WA </w:t>
            </w:r>
            <w:r>
              <w:rPr>
                <w:rFonts w:eastAsia="Calibri" w:cs="Times New Roman"/>
                <w:noProof/>
                <w:sz w:val="18"/>
                <w:szCs w:val="18"/>
              </w:rPr>
              <w:t>(APHIS 2007)</w:t>
            </w:r>
          </w:p>
        </w:tc>
        <w:tc>
          <w:tcPr>
            <w:tcW w:w="1474" w:type="dxa"/>
            <w:shd w:val="clear" w:color="auto" w:fill="FFFFFF" w:themeFill="background1"/>
          </w:tcPr>
          <w:p w14:paraId="1D000447"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records found</w:t>
            </w:r>
          </w:p>
        </w:tc>
        <w:tc>
          <w:tcPr>
            <w:tcW w:w="2552" w:type="dxa"/>
            <w:shd w:val="clear" w:color="auto" w:fill="FFFFFF" w:themeFill="background1"/>
          </w:tcPr>
          <w:p w14:paraId="24B0E39F"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Feeds on leaves and does</w:t>
            </w:r>
            <w:r>
              <w:rPr>
                <w:rFonts w:eastAsia="Calibri" w:cs="Times New Roman"/>
                <w:sz w:val="18"/>
                <w:szCs w:val="18"/>
              </w:rPr>
              <w:t xml:space="preserve"> no</w:t>
            </w:r>
            <w:r w:rsidRPr="007107BF">
              <w:rPr>
                <w:rFonts w:eastAsia="Calibri" w:cs="Times New Roman"/>
                <w:sz w:val="18"/>
                <w:szCs w:val="18"/>
              </w:rPr>
              <w:t xml:space="preserve">t overwinter on fruit </w:t>
            </w:r>
            <w:r>
              <w:rPr>
                <w:rFonts w:eastAsia="Calibri" w:cs="Times New Roman"/>
                <w:noProof/>
                <w:sz w:val="18"/>
                <w:szCs w:val="18"/>
              </w:rPr>
              <w:t>(APHIS 2007; Meeker 2020)</w:t>
            </w:r>
            <w:r>
              <w:rPr>
                <w:rFonts w:eastAsia="Calibri" w:cs="Times New Roman"/>
                <w:sz w:val="18"/>
                <w:szCs w:val="18"/>
              </w:rPr>
              <w:t xml:space="preserve"> </w:t>
            </w:r>
          </w:p>
        </w:tc>
        <w:tc>
          <w:tcPr>
            <w:tcW w:w="2381" w:type="dxa"/>
            <w:shd w:val="clear" w:color="auto" w:fill="FFFFFF" w:themeFill="background1"/>
          </w:tcPr>
          <w:p w14:paraId="31191DB5"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2211" w:type="dxa"/>
            <w:shd w:val="clear" w:color="auto" w:fill="FFFFFF" w:themeFill="background1"/>
          </w:tcPr>
          <w:p w14:paraId="2B958584"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1191" w:type="dxa"/>
            <w:shd w:val="clear" w:color="auto" w:fill="FFFFFF" w:themeFill="background1"/>
          </w:tcPr>
          <w:p w14:paraId="222FEDD9"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w:t>
            </w:r>
          </w:p>
        </w:tc>
      </w:tr>
      <w:tr w:rsidR="003438A2" w:rsidRPr="007107BF" w14:paraId="45BA4D0C" w14:textId="77777777" w:rsidTr="00C4199F">
        <w:trPr>
          <w:cantSplit/>
          <w:trHeight w:val="75"/>
          <w:jc w:val="center"/>
        </w:trPr>
        <w:tc>
          <w:tcPr>
            <w:tcW w:w="2553" w:type="dxa"/>
            <w:shd w:val="clear" w:color="auto" w:fill="FFFFFF" w:themeFill="background1"/>
          </w:tcPr>
          <w:p w14:paraId="4207C07A"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i/>
                <w:sz w:val="18"/>
                <w:szCs w:val="18"/>
              </w:rPr>
              <w:lastRenderedPageBreak/>
              <w:t>Mamestra configurata</w:t>
            </w:r>
            <w:r w:rsidRPr="007107BF">
              <w:rPr>
                <w:rFonts w:eastAsia="Calibri" w:cs="Times New Roman"/>
                <w:sz w:val="18"/>
                <w:szCs w:val="18"/>
              </w:rPr>
              <w:t xml:space="preserve"> Walker, 1856</w:t>
            </w:r>
          </w:p>
          <w:p w14:paraId="3E6FE42F" w14:textId="77777777" w:rsidR="003438A2" w:rsidRPr="007107BF" w:rsidRDefault="003438A2" w:rsidP="00881E29">
            <w:pPr>
              <w:spacing w:before="60" w:after="60" w:line="240" w:lineRule="auto"/>
              <w:rPr>
                <w:rFonts w:eastAsia="Calibri" w:cs="Arial"/>
                <w:sz w:val="18"/>
                <w:szCs w:val="18"/>
              </w:rPr>
            </w:pPr>
            <w:r w:rsidRPr="007107BF">
              <w:rPr>
                <w:rFonts w:eastAsia="Calibri" w:cs="Arial"/>
                <w:sz w:val="18"/>
                <w:szCs w:val="18"/>
              </w:rPr>
              <w:t>[Noctuidae]</w:t>
            </w:r>
          </w:p>
          <w:p w14:paraId="6591AD13" w14:textId="77777777" w:rsidR="003438A2" w:rsidRPr="007107BF" w:rsidRDefault="003438A2" w:rsidP="00881E29">
            <w:pPr>
              <w:spacing w:before="60" w:after="60" w:line="240" w:lineRule="auto"/>
              <w:rPr>
                <w:rFonts w:eastAsia="Calibri" w:cs="Times New Roman"/>
                <w:i/>
                <w:sz w:val="18"/>
                <w:szCs w:val="18"/>
                <w:lang w:val="pt-BR"/>
              </w:rPr>
            </w:pPr>
            <w:r w:rsidRPr="007107BF">
              <w:rPr>
                <w:rFonts w:eastAsia="Calibri" w:cs="Times New Roman"/>
                <w:sz w:val="18"/>
                <w:szCs w:val="18"/>
              </w:rPr>
              <w:t>Bertha armyworm</w:t>
            </w:r>
          </w:p>
        </w:tc>
        <w:tc>
          <w:tcPr>
            <w:tcW w:w="1474" w:type="dxa"/>
            <w:shd w:val="clear" w:color="auto" w:fill="FFFFFF" w:themeFill="background1"/>
          </w:tcPr>
          <w:p w14:paraId="20A98F1E" w14:textId="77777777" w:rsidR="003438A2" w:rsidRPr="007107BF" w:rsidRDefault="003438A2" w:rsidP="00881E29">
            <w:pPr>
              <w:spacing w:before="60" w:after="60" w:line="240" w:lineRule="auto"/>
              <w:rPr>
                <w:rFonts w:eastAsia="Calibri" w:cs="Times New Roman"/>
                <w:sz w:val="18"/>
                <w:szCs w:val="18"/>
                <w:lang w:val="pt-BR"/>
              </w:rPr>
            </w:pPr>
            <w:r w:rsidRPr="007107BF">
              <w:rPr>
                <w:rFonts w:eastAsia="Calibri" w:cs="Times New Roman"/>
                <w:sz w:val="18"/>
                <w:szCs w:val="18"/>
              </w:rPr>
              <w:t xml:space="preserve">Yes. </w:t>
            </w:r>
            <w:r>
              <w:rPr>
                <w:rFonts w:eastAsia="Calibri" w:cs="Times New Roman"/>
                <w:sz w:val="18"/>
                <w:szCs w:val="18"/>
              </w:rPr>
              <w:t>Present in</w:t>
            </w:r>
            <w:r w:rsidRPr="007107BF">
              <w:rPr>
                <w:rFonts w:eastAsia="Calibri" w:cs="Times New Roman"/>
                <w:sz w:val="18"/>
                <w:szCs w:val="18"/>
              </w:rPr>
              <w:t xml:space="preserve"> ID, OR</w:t>
            </w:r>
            <w:r>
              <w:rPr>
                <w:rFonts w:eastAsia="Calibri" w:cs="Times New Roman"/>
                <w:sz w:val="18"/>
                <w:szCs w:val="18"/>
              </w:rPr>
              <w:t xml:space="preserve"> and</w:t>
            </w:r>
            <w:r w:rsidRPr="007107BF">
              <w:rPr>
                <w:rFonts w:eastAsia="Calibri" w:cs="Times New Roman"/>
                <w:sz w:val="18"/>
                <w:szCs w:val="18"/>
              </w:rPr>
              <w:t xml:space="preserve"> WA </w:t>
            </w:r>
            <w:r>
              <w:rPr>
                <w:rFonts w:eastAsia="Calibri" w:cs="Times New Roman"/>
                <w:noProof/>
                <w:sz w:val="18"/>
                <w:szCs w:val="18"/>
              </w:rPr>
              <w:t>(APHIS 2007; CABI 2019)</w:t>
            </w:r>
          </w:p>
        </w:tc>
        <w:tc>
          <w:tcPr>
            <w:tcW w:w="1474" w:type="dxa"/>
            <w:shd w:val="clear" w:color="auto" w:fill="FFFFFF" w:themeFill="background1"/>
          </w:tcPr>
          <w:p w14:paraId="23E423E1"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records found</w:t>
            </w:r>
          </w:p>
        </w:tc>
        <w:tc>
          <w:tcPr>
            <w:tcW w:w="2552" w:type="dxa"/>
            <w:shd w:val="clear" w:color="auto" w:fill="FFFFFF" w:themeFill="background1"/>
          </w:tcPr>
          <w:p w14:paraId="02412823"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 xml:space="preserve">No. Eggs are laid in masses on the underside of leaves of crop plants and weeds </w:t>
            </w:r>
            <w:r>
              <w:rPr>
                <w:rFonts w:eastAsia="Calibri" w:cs="Times New Roman"/>
                <w:noProof/>
                <w:sz w:val="18"/>
                <w:szCs w:val="18"/>
              </w:rPr>
              <w:t>(Berry 1998a; Hollingsworth 2008)</w:t>
            </w:r>
            <w:r w:rsidRPr="007107BF">
              <w:rPr>
                <w:rFonts w:eastAsia="Calibri" w:cs="Times New Roman"/>
                <w:sz w:val="18"/>
                <w:szCs w:val="18"/>
              </w:rPr>
              <w:t xml:space="preserve">. Larvae feed on buds and leaves, chewing holes in buds and ragged holes </w:t>
            </w:r>
            <w:r>
              <w:rPr>
                <w:rFonts w:eastAsia="Calibri" w:cs="Times New Roman"/>
                <w:sz w:val="18"/>
                <w:szCs w:val="18"/>
              </w:rPr>
              <w:t>in</w:t>
            </w:r>
            <w:r w:rsidRPr="007107BF">
              <w:rPr>
                <w:rFonts w:eastAsia="Calibri" w:cs="Times New Roman"/>
                <w:sz w:val="18"/>
                <w:szCs w:val="18"/>
              </w:rPr>
              <w:t xml:space="preserve"> leaves</w:t>
            </w:r>
            <w:r>
              <w:rPr>
                <w:rFonts w:eastAsia="Calibri" w:cs="Times New Roman"/>
                <w:sz w:val="18"/>
                <w:szCs w:val="18"/>
              </w:rPr>
              <w:t>, and</w:t>
            </w:r>
            <w:r w:rsidRPr="007107BF">
              <w:rPr>
                <w:rFonts w:eastAsia="Calibri" w:cs="Times New Roman"/>
                <w:sz w:val="18"/>
                <w:szCs w:val="18"/>
              </w:rPr>
              <w:t xml:space="preserve"> also feed on growing tips, particularly on small apple trees or on the lower branches of large apple trees </w:t>
            </w:r>
            <w:r>
              <w:rPr>
                <w:rFonts w:eastAsia="Calibri" w:cs="Times New Roman"/>
                <w:noProof/>
                <w:sz w:val="18"/>
                <w:szCs w:val="18"/>
              </w:rPr>
              <w:t>(Berry 1998a)</w:t>
            </w:r>
            <w:r>
              <w:rPr>
                <w:rFonts w:eastAsia="Calibri" w:cs="Times New Roman"/>
                <w:sz w:val="18"/>
                <w:szCs w:val="18"/>
              </w:rPr>
              <w:t>.</w:t>
            </w:r>
          </w:p>
        </w:tc>
        <w:tc>
          <w:tcPr>
            <w:tcW w:w="2381" w:type="dxa"/>
            <w:shd w:val="clear" w:color="auto" w:fill="FFFFFF" w:themeFill="background1"/>
          </w:tcPr>
          <w:p w14:paraId="18AD7F70"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2211" w:type="dxa"/>
            <w:shd w:val="clear" w:color="auto" w:fill="FFFFFF" w:themeFill="background1"/>
          </w:tcPr>
          <w:p w14:paraId="52FEB26C"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1191" w:type="dxa"/>
            <w:shd w:val="clear" w:color="auto" w:fill="FFFFFF" w:themeFill="background1"/>
          </w:tcPr>
          <w:p w14:paraId="100FB5B3"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w:t>
            </w:r>
          </w:p>
        </w:tc>
      </w:tr>
      <w:tr w:rsidR="003438A2" w:rsidRPr="007107BF" w14:paraId="4BA61C7A" w14:textId="77777777" w:rsidTr="00C4199F">
        <w:trPr>
          <w:cantSplit/>
          <w:trHeight w:val="75"/>
          <w:jc w:val="center"/>
        </w:trPr>
        <w:tc>
          <w:tcPr>
            <w:tcW w:w="2553" w:type="dxa"/>
            <w:shd w:val="clear" w:color="auto" w:fill="auto"/>
          </w:tcPr>
          <w:p w14:paraId="172AA7F8"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i/>
                <w:sz w:val="18"/>
                <w:szCs w:val="18"/>
              </w:rPr>
              <w:t>Operophtera brumata</w:t>
            </w:r>
            <w:r w:rsidRPr="007107BF">
              <w:rPr>
                <w:rFonts w:eastAsia="Calibri" w:cs="Times New Roman"/>
                <w:sz w:val="18"/>
                <w:szCs w:val="18"/>
              </w:rPr>
              <w:t xml:space="preserve"> (Linnaeus, 1758)</w:t>
            </w:r>
          </w:p>
          <w:p w14:paraId="5A7A8A11"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[Geometridae]</w:t>
            </w:r>
          </w:p>
          <w:p w14:paraId="2A0F9820" w14:textId="77777777" w:rsidR="003438A2" w:rsidRPr="007107BF" w:rsidRDefault="003438A2" w:rsidP="00881E29">
            <w:pPr>
              <w:spacing w:before="60" w:after="60" w:line="240" w:lineRule="auto"/>
              <w:rPr>
                <w:rFonts w:eastAsia="Calibri" w:cs="Times New Roman"/>
                <w:i/>
                <w:sz w:val="18"/>
                <w:szCs w:val="18"/>
                <w:lang w:val="pt-BR"/>
              </w:rPr>
            </w:pPr>
            <w:r w:rsidRPr="007107BF">
              <w:rPr>
                <w:rFonts w:eastAsia="Calibri" w:cs="Times New Roman"/>
                <w:sz w:val="18"/>
                <w:szCs w:val="18"/>
              </w:rPr>
              <w:t>Winter moth</w:t>
            </w:r>
          </w:p>
        </w:tc>
        <w:tc>
          <w:tcPr>
            <w:tcW w:w="1474" w:type="dxa"/>
            <w:shd w:val="clear" w:color="auto" w:fill="auto"/>
          </w:tcPr>
          <w:p w14:paraId="334BD752" w14:textId="77777777" w:rsidR="003438A2" w:rsidRPr="007107BF" w:rsidRDefault="003438A2" w:rsidP="00881E29">
            <w:pPr>
              <w:spacing w:before="60" w:after="60" w:line="240" w:lineRule="auto"/>
              <w:rPr>
                <w:rFonts w:eastAsia="Calibri" w:cs="Times New Roman"/>
                <w:sz w:val="18"/>
                <w:szCs w:val="18"/>
                <w:lang w:val="pt-BR"/>
              </w:rPr>
            </w:pPr>
            <w:r w:rsidRPr="007107BF">
              <w:rPr>
                <w:rFonts w:eastAsia="Calibri" w:cs="Times New Roman"/>
                <w:sz w:val="18"/>
                <w:szCs w:val="18"/>
              </w:rPr>
              <w:t xml:space="preserve">Yes. </w:t>
            </w:r>
            <w:r>
              <w:rPr>
                <w:rFonts w:eastAsia="Calibri" w:cs="Times New Roman"/>
                <w:sz w:val="18"/>
                <w:szCs w:val="18"/>
              </w:rPr>
              <w:t>Present in</w:t>
            </w:r>
            <w:r w:rsidRPr="007107BF">
              <w:rPr>
                <w:rFonts w:eastAsia="Calibri" w:cs="Times New Roman"/>
                <w:sz w:val="18"/>
                <w:szCs w:val="18"/>
              </w:rPr>
              <w:t xml:space="preserve"> OR</w:t>
            </w:r>
            <w:r>
              <w:rPr>
                <w:rFonts w:eastAsia="Calibri" w:cs="Times New Roman"/>
                <w:sz w:val="18"/>
                <w:szCs w:val="18"/>
              </w:rPr>
              <w:t xml:space="preserve"> and</w:t>
            </w:r>
            <w:r w:rsidRPr="007107BF">
              <w:rPr>
                <w:rFonts w:eastAsia="Calibri" w:cs="Times New Roman"/>
                <w:sz w:val="18"/>
                <w:szCs w:val="18"/>
              </w:rPr>
              <w:t xml:space="preserve"> WA </w:t>
            </w:r>
            <w:r>
              <w:rPr>
                <w:rFonts w:eastAsia="Calibri" w:cs="Times New Roman"/>
                <w:noProof/>
                <w:sz w:val="18"/>
                <w:szCs w:val="18"/>
              </w:rPr>
              <w:t>(Childs, Swanson &amp; Elkinton 2007; Kimberling, Miler &amp; Penrose 1986; LaGasa 1996)</w:t>
            </w:r>
          </w:p>
        </w:tc>
        <w:tc>
          <w:tcPr>
            <w:tcW w:w="1474" w:type="dxa"/>
            <w:shd w:val="clear" w:color="auto" w:fill="auto"/>
          </w:tcPr>
          <w:p w14:paraId="7F903A81"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records found</w:t>
            </w:r>
          </w:p>
        </w:tc>
        <w:tc>
          <w:tcPr>
            <w:tcW w:w="2552" w:type="dxa"/>
            <w:shd w:val="clear" w:color="auto" w:fill="auto"/>
          </w:tcPr>
          <w:p w14:paraId="5B215F46" w14:textId="77777777" w:rsidR="003438A2" w:rsidRPr="007107BF" w:rsidRDefault="003438A2" w:rsidP="007F5DD5">
            <w:pPr>
              <w:spacing w:after="0" w:line="240" w:lineRule="auto"/>
              <w:rPr>
                <w:rFonts w:eastAsia="Calibri" w:cs="Times New Roman"/>
                <w:sz w:val="18"/>
                <w:szCs w:val="18"/>
              </w:rPr>
            </w:pPr>
            <w:r w:rsidRPr="007107BF">
              <w:rPr>
                <w:rFonts w:eastAsia="Calibri" w:cs="Times New Roman"/>
                <w:sz w:val="18"/>
                <w:szCs w:val="18"/>
              </w:rPr>
              <w:t xml:space="preserve">No. Eggs are laid in clusters on tree trunks and branches, in bark crevices, under bark scales and loose lichen. Larvae feed on </w:t>
            </w:r>
            <w:r>
              <w:rPr>
                <w:rFonts w:eastAsia="Calibri" w:cs="Times New Roman"/>
                <w:sz w:val="18"/>
                <w:szCs w:val="18"/>
              </w:rPr>
              <w:t xml:space="preserve">leaves, </w:t>
            </w:r>
            <w:r w:rsidRPr="007107BF">
              <w:rPr>
                <w:rFonts w:eastAsia="Calibri" w:cs="Times New Roman"/>
                <w:sz w:val="18"/>
                <w:szCs w:val="18"/>
              </w:rPr>
              <w:t>buds (by tunnelling into apple buds just before or at bud break), expanding leaf clusters</w:t>
            </w:r>
            <w:r>
              <w:rPr>
                <w:rFonts w:eastAsia="Calibri" w:cs="Times New Roman"/>
                <w:sz w:val="18"/>
                <w:szCs w:val="18"/>
              </w:rPr>
              <w:t xml:space="preserve"> and fruit </w:t>
            </w:r>
            <w:r>
              <w:rPr>
                <w:rFonts w:eastAsia="Times New Roman" w:cs="Calibri"/>
                <w:noProof/>
                <w:color w:val="000000"/>
                <w:sz w:val="18"/>
                <w:szCs w:val="18"/>
                <w:lang w:eastAsia="en-AU"/>
              </w:rPr>
              <w:t>(Kimber 2022)</w:t>
            </w:r>
            <w:r>
              <w:rPr>
                <w:rFonts w:eastAsia="Times New Roman" w:cs="Calibri"/>
                <w:color w:val="000000"/>
                <w:sz w:val="18"/>
                <w:szCs w:val="18"/>
                <w:lang w:eastAsia="en-AU"/>
              </w:rPr>
              <w:t xml:space="preserve"> </w:t>
            </w:r>
            <w:r>
              <w:rPr>
                <w:rFonts w:eastAsia="Calibri" w:cs="Times New Roman"/>
                <w:sz w:val="18"/>
                <w:szCs w:val="18"/>
              </w:rPr>
              <w:t xml:space="preserve">from </w:t>
            </w:r>
            <w:r w:rsidRPr="007107BF">
              <w:rPr>
                <w:rFonts w:eastAsia="Calibri" w:cs="Times New Roman"/>
                <w:sz w:val="18"/>
                <w:szCs w:val="18"/>
              </w:rPr>
              <w:t>early spring</w:t>
            </w:r>
            <w:r>
              <w:rPr>
                <w:rFonts w:eastAsia="Calibri" w:cs="Times New Roman"/>
                <w:sz w:val="18"/>
                <w:szCs w:val="18"/>
              </w:rPr>
              <w:t>.</w:t>
            </w:r>
            <w:r w:rsidRPr="007107BF">
              <w:rPr>
                <w:rFonts w:eastAsia="Calibri" w:cs="Times New Roman"/>
                <w:sz w:val="18"/>
                <w:szCs w:val="18"/>
              </w:rPr>
              <w:t xml:space="preserve"> </w:t>
            </w:r>
            <w:r>
              <w:rPr>
                <w:rFonts w:eastAsia="Calibri" w:cs="Times New Roman"/>
                <w:sz w:val="18"/>
                <w:szCs w:val="18"/>
              </w:rPr>
              <w:t>D</w:t>
            </w:r>
            <w:r w:rsidRPr="007107BF">
              <w:rPr>
                <w:rFonts w:eastAsia="Calibri" w:cs="Times New Roman"/>
                <w:sz w:val="18"/>
                <w:szCs w:val="18"/>
              </w:rPr>
              <w:t>amage to blossoms and developing fruit produces a high percentage of distorted fruit; larvae leave fruit to pupate underground before fruit reaches maturity</w:t>
            </w:r>
            <w:r>
              <w:rPr>
                <w:rFonts w:eastAsia="Calibri" w:cs="Times New Roman"/>
                <w:sz w:val="18"/>
                <w:szCs w:val="18"/>
              </w:rPr>
              <w:t xml:space="preserve"> </w:t>
            </w:r>
            <w:r>
              <w:rPr>
                <w:rFonts w:eastAsia="Calibri" w:cs="Times New Roman"/>
                <w:noProof/>
                <w:sz w:val="18"/>
                <w:szCs w:val="18"/>
              </w:rPr>
              <w:t>(Childs, Swanson &amp; Elkinton 2007; LaGasa 1996)</w:t>
            </w:r>
            <w:r w:rsidRPr="007107BF">
              <w:rPr>
                <w:rFonts w:eastAsia="Calibri" w:cs="Times New Roman"/>
                <w:sz w:val="18"/>
                <w:szCs w:val="18"/>
              </w:rPr>
              <w:t>.</w:t>
            </w:r>
            <w:r>
              <w:rPr>
                <w:rFonts w:eastAsia="Calibri" w:cs="Times New Roman"/>
                <w:sz w:val="18"/>
                <w:szCs w:val="18"/>
              </w:rPr>
              <w:t xml:space="preserve"> </w:t>
            </w:r>
            <w:r w:rsidRPr="00E648AA">
              <w:rPr>
                <w:rFonts w:eastAsia="Calibri" w:cs="Times New Roman"/>
                <w:sz w:val="18"/>
                <w:szCs w:val="18"/>
              </w:rPr>
              <w:t xml:space="preserve">This pest is highly unlikely to be found on commercially produced and processed apples, as </w:t>
            </w:r>
            <w:r>
              <w:rPr>
                <w:rFonts w:eastAsia="Calibri" w:cs="Times New Roman"/>
                <w:sz w:val="18"/>
                <w:szCs w:val="18"/>
              </w:rPr>
              <w:t>infested</w:t>
            </w:r>
            <w:r w:rsidRPr="00E648AA">
              <w:rPr>
                <w:rFonts w:eastAsia="Calibri" w:cs="Times New Roman"/>
                <w:sz w:val="18"/>
                <w:szCs w:val="18"/>
              </w:rPr>
              <w:t xml:space="preserve"> fruit will be discarded during the harve</w:t>
            </w:r>
            <w:r>
              <w:rPr>
                <w:rFonts w:eastAsia="Calibri" w:cs="Times New Roman"/>
                <w:sz w:val="18"/>
                <w:szCs w:val="18"/>
              </w:rPr>
              <w:t>st, sorting and packing process.</w:t>
            </w:r>
          </w:p>
        </w:tc>
        <w:tc>
          <w:tcPr>
            <w:tcW w:w="2381" w:type="dxa"/>
            <w:shd w:val="clear" w:color="auto" w:fill="auto"/>
          </w:tcPr>
          <w:p w14:paraId="2A50D660"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2211" w:type="dxa"/>
            <w:shd w:val="clear" w:color="auto" w:fill="auto"/>
          </w:tcPr>
          <w:p w14:paraId="7A3CE176"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1191" w:type="dxa"/>
            <w:shd w:val="clear" w:color="auto" w:fill="auto"/>
          </w:tcPr>
          <w:p w14:paraId="0CA25BBD"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w:t>
            </w:r>
          </w:p>
        </w:tc>
      </w:tr>
      <w:tr w:rsidR="003438A2" w:rsidRPr="007107BF" w14:paraId="79CF1592" w14:textId="77777777" w:rsidTr="00C4199F">
        <w:trPr>
          <w:cantSplit/>
          <w:trHeight w:val="75"/>
          <w:jc w:val="center"/>
        </w:trPr>
        <w:tc>
          <w:tcPr>
            <w:tcW w:w="2553" w:type="dxa"/>
            <w:shd w:val="clear" w:color="auto" w:fill="auto"/>
          </w:tcPr>
          <w:p w14:paraId="3E9F64B7"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i/>
                <w:sz w:val="18"/>
                <w:szCs w:val="18"/>
              </w:rPr>
              <w:lastRenderedPageBreak/>
              <w:t>Orgyia antiqua</w:t>
            </w:r>
            <w:r w:rsidRPr="007107BF">
              <w:rPr>
                <w:rFonts w:eastAsia="Calibri" w:cs="Times New Roman"/>
                <w:sz w:val="18"/>
                <w:szCs w:val="18"/>
              </w:rPr>
              <w:t xml:space="preserve"> (Linnaeus, 1758)</w:t>
            </w:r>
          </w:p>
          <w:p w14:paraId="03E785A5"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[Lymantriidae]</w:t>
            </w:r>
          </w:p>
          <w:p w14:paraId="63FEB127" w14:textId="77777777" w:rsidR="003438A2" w:rsidRPr="007107BF" w:rsidRDefault="003438A2" w:rsidP="00881E29">
            <w:pPr>
              <w:spacing w:before="60" w:after="60" w:line="240" w:lineRule="auto"/>
              <w:rPr>
                <w:rFonts w:eastAsia="Calibri" w:cs="Times New Roman"/>
                <w:i/>
                <w:sz w:val="18"/>
                <w:szCs w:val="18"/>
                <w:lang w:val="pt-BR"/>
              </w:rPr>
            </w:pPr>
            <w:r w:rsidRPr="007107BF">
              <w:rPr>
                <w:rFonts w:eastAsia="Calibri" w:cs="Times New Roman"/>
                <w:sz w:val="18"/>
                <w:szCs w:val="18"/>
              </w:rPr>
              <w:t>Rusty (European) tussock moth</w:t>
            </w:r>
          </w:p>
        </w:tc>
        <w:tc>
          <w:tcPr>
            <w:tcW w:w="1474" w:type="dxa"/>
            <w:shd w:val="clear" w:color="auto" w:fill="auto"/>
          </w:tcPr>
          <w:p w14:paraId="3CDF176F" w14:textId="77777777" w:rsidR="003438A2" w:rsidRPr="007107BF" w:rsidRDefault="003438A2" w:rsidP="00881E29">
            <w:pPr>
              <w:spacing w:before="60" w:after="60" w:line="240" w:lineRule="auto"/>
              <w:rPr>
                <w:rFonts w:eastAsia="Calibri" w:cs="Times New Roman"/>
                <w:sz w:val="18"/>
                <w:szCs w:val="18"/>
                <w:lang w:val="pt-BR"/>
              </w:rPr>
            </w:pPr>
            <w:r w:rsidRPr="007107BF">
              <w:rPr>
                <w:rFonts w:eastAsia="Calibri" w:cs="Times New Roman"/>
                <w:sz w:val="18"/>
                <w:szCs w:val="18"/>
              </w:rPr>
              <w:t xml:space="preserve">Yes. </w:t>
            </w:r>
            <w:r>
              <w:rPr>
                <w:rFonts w:eastAsia="Calibri" w:cs="Times New Roman"/>
                <w:sz w:val="18"/>
                <w:szCs w:val="18"/>
              </w:rPr>
              <w:t>Present in</w:t>
            </w:r>
            <w:r w:rsidRPr="007107BF">
              <w:rPr>
                <w:rFonts w:eastAsia="Calibri" w:cs="Times New Roman"/>
                <w:sz w:val="18"/>
                <w:szCs w:val="18"/>
              </w:rPr>
              <w:t xml:space="preserve"> OR</w:t>
            </w:r>
            <w:r>
              <w:rPr>
                <w:rFonts w:eastAsia="Calibri" w:cs="Times New Roman"/>
                <w:sz w:val="18"/>
                <w:szCs w:val="18"/>
              </w:rPr>
              <w:t xml:space="preserve"> and</w:t>
            </w:r>
            <w:r w:rsidRPr="007107BF">
              <w:rPr>
                <w:rFonts w:eastAsia="Calibri" w:cs="Times New Roman"/>
                <w:sz w:val="18"/>
                <w:szCs w:val="18"/>
              </w:rPr>
              <w:t xml:space="preserve"> WA </w:t>
            </w:r>
            <w:r>
              <w:rPr>
                <w:rFonts w:eastAsia="Calibri" w:cs="Times New Roman"/>
                <w:noProof/>
                <w:sz w:val="18"/>
                <w:szCs w:val="18"/>
              </w:rPr>
              <w:t>(APHIS 2007)</w:t>
            </w:r>
          </w:p>
        </w:tc>
        <w:tc>
          <w:tcPr>
            <w:tcW w:w="1474" w:type="dxa"/>
            <w:shd w:val="clear" w:color="auto" w:fill="auto"/>
          </w:tcPr>
          <w:p w14:paraId="5592D73D"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records found</w:t>
            </w:r>
          </w:p>
        </w:tc>
        <w:tc>
          <w:tcPr>
            <w:tcW w:w="2552" w:type="dxa"/>
            <w:shd w:val="clear" w:color="auto" w:fill="auto"/>
          </w:tcPr>
          <w:p w14:paraId="7D5817CC"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 xml:space="preserve">No. Larvae feed externally on leaves, sometimes causing complete defoliation of shrubs and trees; </w:t>
            </w:r>
            <w:r w:rsidRPr="00914595">
              <w:rPr>
                <w:rFonts w:eastAsia="Calibri" w:cs="Times New Roman"/>
                <w:sz w:val="18"/>
                <w:szCs w:val="18"/>
              </w:rPr>
              <w:t>larvae change to pupa</w:t>
            </w:r>
            <w:r>
              <w:rPr>
                <w:rFonts w:eastAsia="Calibri" w:cs="Times New Roman"/>
                <w:sz w:val="18"/>
                <w:szCs w:val="18"/>
              </w:rPr>
              <w:t>e</w:t>
            </w:r>
            <w:r w:rsidRPr="00914595">
              <w:rPr>
                <w:rFonts w:eastAsia="Calibri" w:cs="Times New Roman"/>
                <w:sz w:val="18"/>
                <w:szCs w:val="18"/>
              </w:rPr>
              <w:t xml:space="preserve"> by mid-winter and </w:t>
            </w:r>
            <w:r w:rsidRPr="007107BF">
              <w:rPr>
                <w:rFonts w:eastAsia="Calibri" w:cs="Times New Roman"/>
                <w:sz w:val="18"/>
                <w:szCs w:val="18"/>
              </w:rPr>
              <w:t xml:space="preserve">cocoons are spun </w:t>
            </w:r>
            <w:r w:rsidRPr="00914595">
              <w:rPr>
                <w:rFonts w:eastAsia="Calibri" w:cs="Times New Roman"/>
                <w:sz w:val="18"/>
                <w:szCs w:val="18"/>
              </w:rPr>
              <w:t>on twigs, branches, crevices in bark</w:t>
            </w:r>
            <w:r w:rsidRPr="007107BF">
              <w:rPr>
                <w:rFonts w:eastAsia="Calibri" w:cs="Times New Roman"/>
                <w:sz w:val="18"/>
                <w:szCs w:val="18"/>
              </w:rPr>
              <w:t xml:space="preserve"> amongst leaves, or in crevices in walls </w:t>
            </w:r>
            <w:r>
              <w:rPr>
                <w:rFonts w:eastAsia="Calibri" w:cs="Times New Roman"/>
                <w:noProof/>
                <w:sz w:val="18"/>
                <w:szCs w:val="18"/>
              </w:rPr>
              <w:t>(CABI 2019; NRC 2009)</w:t>
            </w:r>
            <w:r w:rsidRPr="00914595">
              <w:rPr>
                <w:rFonts w:eastAsia="Calibri" w:cs="Times New Roman"/>
                <w:sz w:val="18"/>
                <w:szCs w:val="18"/>
              </w:rPr>
              <w:t xml:space="preserve">. Flightless females lay their eggs, in a foamy white mass, on or near empty cocoons </w:t>
            </w:r>
            <w:r>
              <w:rPr>
                <w:rFonts w:eastAsia="Calibri" w:cs="Times New Roman"/>
                <w:noProof/>
                <w:sz w:val="18"/>
                <w:szCs w:val="18"/>
              </w:rPr>
              <w:t>(NRC 2009)</w:t>
            </w:r>
            <w:r w:rsidRPr="00914595">
              <w:rPr>
                <w:rFonts w:eastAsia="Calibri" w:cs="Times New Roman"/>
                <w:sz w:val="18"/>
                <w:szCs w:val="18"/>
              </w:rPr>
              <w:t>.</w:t>
            </w:r>
            <w:r w:rsidRPr="007107BF">
              <w:rPr>
                <w:rFonts w:eastAsia="Calibri" w:cs="Times New Roman"/>
                <w:sz w:val="18"/>
                <w:szCs w:val="18"/>
              </w:rPr>
              <w:t xml:space="preserve"> Rarely feeds on fruit and does</w:t>
            </w:r>
            <w:r>
              <w:rPr>
                <w:rFonts w:eastAsia="Calibri" w:cs="Times New Roman"/>
                <w:sz w:val="18"/>
                <w:szCs w:val="18"/>
              </w:rPr>
              <w:t xml:space="preserve"> not</w:t>
            </w:r>
            <w:r w:rsidRPr="007107BF">
              <w:rPr>
                <w:rFonts w:eastAsia="Calibri" w:cs="Times New Roman"/>
                <w:sz w:val="18"/>
                <w:szCs w:val="18"/>
              </w:rPr>
              <w:t xml:space="preserve"> overwinter on fruit </w:t>
            </w:r>
            <w:r>
              <w:rPr>
                <w:rFonts w:eastAsia="Calibri" w:cs="Times New Roman"/>
                <w:noProof/>
                <w:sz w:val="18"/>
                <w:szCs w:val="18"/>
              </w:rPr>
              <w:t>(APHIS 2007)</w:t>
            </w:r>
            <w:r>
              <w:rPr>
                <w:rFonts w:eastAsia="Calibri" w:cs="Times New Roman"/>
                <w:sz w:val="18"/>
                <w:szCs w:val="18"/>
              </w:rPr>
              <w:t>.</w:t>
            </w:r>
          </w:p>
        </w:tc>
        <w:tc>
          <w:tcPr>
            <w:tcW w:w="2381" w:type="dxa"/>
            <w:shd w:val="clear" w:color="auto" w:fill="auto"/>
          </w:tcPr>
          <w:p w14:paraId="3795E8BE"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2211" w:type="dxa"/>
            <w:shd w:val="clear" w:color="auto" w:fill="auto"/>
          </w:tcPr>
          <w:p w14:paraId="0D0E8FC7"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1191" w:type="dxa"/>
            <w:shd w:val="clear" w:color="auto" w:fill="auto"/>
          </w:tcPr>
          <w:p w14:paraId="02AE751A"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w:t>
            </w:r>
          </w:p>
        </w:tc>
      </w:tr>
      <w:tr w:rsidR="003438A2" w:rsidRPr="007107BF" w14:paraId="4AFF13F0" w14:textId="77777777" w:rsidTr="00C4199F">
        <w:trPr>
          <w:cantSplit/>
          <w:trHeight w:val="75"/>
          <w:jc w:val="center"/>
        </w:trPr>
        <w:tc>
          <w:tcPr>
            <w:tcW w:w="2553" w:type="dxa"/>
            <w:shd w:val="clear" w:color="auto" w:fill="auto"/>
          </w:tcPr>
          <w:p w14:paraId="187B8BEA"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i/>
                <w:sz w:val="18"/>
                <w:szCs w:val="18"/>
              </w:rPr>
              <w:t>Orthosia hibisci</w:t>
            </w:r>
            <w:r w:rsidRPr="007107BF">
              <w:rPr>
                <w:rFonts w:eastAsia="Calibri" w:cs="Times New Roman"/>
                <w:sz w:val="18"/>
                <w:szCs w:val="18"/>
              </w:rPr>
              <w:t xml:space="preserve"> (Guenée, 1852)</w:t>
            </w:r>
          </w:p>
          <w:p w14:paraId="56B33C97" w14:textId="77777777" w:rsidR="003438A2" w:rsidRPr="007107BF" w:rsidRDefault="003438A2" w:rsidP="00881E29">
            <w:pPr>
              <w:spacing w:before="60" w:after="60" w:line="240" w:lineRule="auto"/>
              <w:rPr>
                <w:rFonts w:eastAsia="Calibri" w:cs="Arial"/>
                <w:sz w:val="18"/>
                <w:szCs w:val="18"/>
              </w:rPr>
            </w:pPr>
            <w:r w:rsidRPr="007107BF">
              <w:rPr>
                <w:rFonts w:eastAsia="Calibri" w:cs="Arial"/>
                <w:sz w:val="18"/>
                <w:szCs w:val="18"/>
              </w:rPr>
              <w:t>[Noctuidae]</w:t>
            </w:r>
          </w:p>
          <w:p w14:paraId="3528499E" w14:textId="77777777" w:rsidR="003438A2" w:rsidRPr="007107BF" w:rsidRDefault="003438A2" w:rsidP="00881E29">
            <w:pPr>
              <w:spacing w:before="60" w:after="60" w:line="240" w:lineRule="auto"/>
              <w:rPr>
                <w:rFonts w:eastAsia="Calibri" w:cs="Times New Roman"/>
                <w:i/>
                <w:sz w:val="18"/>
                <w:szCs w:val="18"/>
                <w:lang w:val="pt-BR"/>
              </w:rPr>
            </w:pPr>
            <w:r w:rsidRPr="007107BF">
              <w:rPr>
                <w:rFonts w:eastAsia="Calibri" w:cs="Times New Roman"/>
                <w:sz w:val="18"/>
                <w:szCs w:val="18"/>
              </w:rPr>
              <w:t>Speckled green fruitworm</w:t>
            </w:r>
          </w:p>
        </w:tc>
        <w:tc>
          <w:tcPr>
            <w:tcW w:w="1474" w:type="dxa"/>
            <w:shd w:val="clear" w:color="auto" w:fill="auto"/>
          </w:tcPr>
          <w:p w14:paraId="659D074A" w14:textId="77777777" w:rsidR="003438A2" w:rsidRPr="007107BF" w:rsidRDefault="003438A2" w:rsidP="00881E29">
            <w:pPr>
              <w:spacing w:before="60" w:after="60" w:line="240" w:lineRule="auto"/>
              <w:rPr>
                <w:rFonts w:eastAsia="Calibri" w:cs="Times New Roman"/>
                <w:sz w:val="18"/>
                <w:szCs w:val="18"/>
                <w:lang w:val="pt-BR"/>
              </w:rPr>
            </w:pPr>
            <w:r w:rsidRPr="007107BF">
              <w:rPr>
                <w:rFonts w:eastAsia="Calibri" w:cs="Times New Roman"/>
                <w:sz w:val="18"/>
                <w:szCs w:val="18"/>
              </w:rPr>
              <w:t xml:space="preserve">Yes. </w:t>
            </w:r>
            <w:r>
              <w:rPr>
                <w:rFonts w:eastAsia="Calibri" w:cs="Times New Roman"/>
                <w:sz w:val="18"/>
                <w:szCs w:val="18"/>
              </w:rPr>
              <w:t>Present in</w:t>
            </w:r>
            <w:r w:rsidRPr="007107BF">
              <w:rPr>
                <w:rFonts w:eastAsia="Calibri" w:cs="Times New Roman"/>
                <w:sz w:val="18"/>
                <w:szCs w:val="18"/>
              </w:rPr>
              <w:t xml:space="preserve"> WA </w:t>
            </w:r>
            <w:r>
              <w:rPr>
                <w:rFonts w:eastAsia="Calibri" w:cs="Times New Roman"/>
                <w:noProof/>
                <w:sz w:val="18"/>
                <w:szCs w:val="18"/>
              </w:rPr>
              <w:t>(Howell 1993)</w:t>
            </w:r>
          </w:p>
        </w:tc>
        <w:tc>
          <w:tcPr>
            <w:tcW w:w="1474" w:type="dxa"/>
            <w:shd w:val="clear" w:color="auto" w:fill="auto"/>
          </w:tcPr>
          <w:p w14:paraId="542D9A5E"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records found</w:t>
            </w:r>
          </w:p>
        </w:tc>
        <w:tc>
          <w:tcPr>
            <w:tcW w:w="2552" w:type="dxa"/>
            <w:shd w:val="clear" w:color="auto" w:fill="auto"/>
          </w:tcPr>
          <w:p w14:paraId="7487E4FB" w14:textId="77777777" w:rsidR="003438A2" w:rsidRPr="007107BF" w:rsidRDefault="003438A2" w:rsidP="00881E29">
            <w:pPr>
              <w:spacing w:before="60" w:after="60" w:line="240" w:lineRule="auto"/>
              <w:rPr>
                <w:rFonts w:eastAsia="Calibri" w:cs="Times New Roman"/>
                <w:sz w:val="18"/>
                <w:szCs w:val="18"/>
              </w:rPr>
            </w:pPr>
            <w:bookmarkStart w:id="545" w:name="_Hlk105415064"/>
            <w:r w:rsidRPr="007107BF">
              <w:rPr>
                <w:rFonts w:eastAsia="Calibri" w:cs="Times New Roman"/>
                <w:sz w:val="18"/>
                <w:szCs w:val="18"/>
              </w:rPr>
              <w:t>No. Eggs</w:t>
            </w:r>
            <w:r>
              <w:rPr>
                <w:rFonts w:eastAsia="Calibri" w:cs="Times New Roman"/>
                <w:sz w:val="18"/>
                <w:szCs w:val="18"/>
              </w:rPr>
              <w:t xml:space="preserve"> are</w:t>
            </w:r>
            <w:r w:rsidRPr="007107BF">
              <w:rPr>
                <w:rFonts w:eastAsia="Calibri" w:cs="Times New Roman"/>
                <w:sz w:val="18"/>
                <w:szCs w:val="18"/>
              </w:rPr>
              <w:t xml:space="preserve"> laid on leaves</w:t>
            </w:r>
            <w:r>
              <w:rPr>
                <w:rFonts w:eastAsia="Calibri" w:cs="Times New Roman"/>
                <w:sz w:val="18"/>
                <w:szCs w:val="18"/>
              </w:rPr>
              <w:t xml:space="preserve"> and larvae are</w:t>
            </w:r>
            <w:r w:rsidRPr="007107BF">
              <w:rPr>
                <w:rFonts w:eastAsia="Calibri" w:cs="Times New Roman"/>
                <w:sz w:val="18"/>
                <w:szCs w:val="18"/>
              </w:rPr>
              <w:t xml:space="preserve"> reported to feed at first on buds, then later on flowers, leaves and fruit</w:t>
            </w:r>
            <w:r>
              <w:rPr>
                <w:rFonts w:eastAsia="Calibri" w:cs="Times New Roman"/>
                <w:sz w:val="18"/>
                <w:szCs w:val="18"/>
              </w:rPr>
              <w:t>.</w:t>
            </w:r>
            <w:r w:rsidRPr="007107BF">
              <w:rPr>
                <w:rFonts w:eastAsia="Calibri" w:cs="Times New Roman"/>
                <w:sz w:val="18"/>
                <w:szCs w:val="18"/>
              </w:rPr>
              <w:t xml:space="preserve"> </w:t>
            </w:r>
            <w:r>
              <w:rPr>
                <w:rFonts w:eastAsia="Calibri" w:cs="Times New Roman"/>
                <w:sz w:val="18"/>
                <w:szCs w:val="18"/>
              </w:rPr>
              <w:t>I</w:t>
            </w:r>
            <w:r w:rsidRPr="007107BF">
              <w:rPr>
                <w:rFonts w:eastAsia="Calibri" w:cs="Times New Roman"/>
                <w:sz w:val="18"/>
                <w:szCs w:val="18"/>
              </w:rPr>
              <w:t>n summer</w:t>
            </w:r>
            <w:r>
              <w:rPr>
                <w:rFonts w:eastAsia="Calibri" w:cs="Times New Roman"/>
                <w:sz w:val="18"/>
                <w:szCs w:val="18"/>
              </w:rPr>
              <w:t>,</w:t>
            </w:r>
            <w:r w:rsidRPr="007107BF">
              <w:rPr>
                <w:rFonts w:eastAsia="Calibri" w:cs="Times New Roman"/>
                <w:sz w:val="18"/>
                <w:szCs w:val="18"/>
              </w:rPr>
              <w:t xml:space="preserve"> mature larvae drop to the ground to pupate in the soil </w:t>
            </w:r>
            <w:r>
              <w:rPr>
                <w:rFonts w:eastAsia="Calibri" w:cs="Times New Roman"/>
                <w:noProof/>
                <w:sz w:val="18"/>
                <w:szCs w:val="18"/>
              </w:rPr>
              <w:t>(Howell 1993)</w:t>
            </w:r>
            <w:r w:rsidRPr="007107BF">
              <w:rPr>
                <w:rFonts w:eastAsia="Calibri" w:cs="Times New Roman"/>
                <w:sz w:val="18"/>
                <w:szCs w:val="18"/>
              </w:rPr>
              <w:t xml:space="preserve"> and </w:t>
            </w:r>
            <w:r>
              <w:rPr>
                <w:rFonts w:eastAsia="Calibri" w:cs="Times New Roman"/>
                <w:sz w:val="18"/>
                <w:szCs w:val="18"/>
              </w:rPr>
              <w:t xml:space="preserve">are </w:t>
            </w:r>
            <w:r w:rsidRPr="007107BF">
              <w:rPr>
                <w:rFonts w:eastAsia="Calibri" w:cs="Times New Roman"/>
                <w:sz w:val="18"/>
                <w:szCs w:val="18"/>
              </w:rPr>
              <w:t>therefore not present in fruit at harvest time</w:t>
            </w:r>
            <w:r>
              <w:rPr>
                <w:rFonts w:eastAsia="Calibri" w:cs="Times New Roman"/>
                <w:sz w:val="18"/>
                <w:szCs w:val="18"/>
              </w:rPr>
              <w:t xml:space="preserve">. </w:t>
            </w:r>
            <w:bookmarkEnd w:id="545"/>
          </w:p>
        </w:tc>
        <w:tc>
          <w:tcPr>
            <w:tcW w:w="2381" w:type="dxa"/>
            <w:shd w:val="clear" w:color="auto" w:fill="auto"/>
          </w:tcPr>
          <w:p w14:paraId="1C687369"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2211" w:type="dxa"/>
            <w:shd w:val="clear" w:color="auto" w:fill="auto"/>
          </w:tcPr>
          <w:p w14:paraId="6E20514B"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1191" w:type="dxa"/>
            <w:shd w:val="clear" w:color="auto" w:fill="auto"/>
          </w:tcPr>
          <w:p w14:paraId="68DB9564"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w:t>
            </w:r>
          </w:p>
        </w:tc>
      </w:tr>
      <w:tr w:rsidR="003438A2" w:rsidRPr="000F4778" w14:paraId="13B09B6C" w14:textId="77777777" w:rsidTr="00C4199F">
        <w:trPr>
          <w:cantSplit/>
          <w:trHeight w:val="75"/>
          <w:jc w:val="center"/>
        </w:trPr>
        <w:tc>
          <w:tcPr>
            <w:tcW w:w="2553" w:type="dxa"/>
            <w:shd w:val="clear" w:color="auto" w:fill="auto"/>
          </w:tcPr>
          <w:p w14:paraId="36ACCCA2" w14:textId="77777777" w:rsidR="003438A2" w:rsidRPr="000F4778" w:rsidRDefault="003438A2" w:rsidP="00881E29">
            <w:pPr>
              <w:spacing w:before="60" w:after="60" w:line="240" w:lineRule="auto"/>
              <w:rPr>
                <w:rFonts w:eastAsia="Calibri" w:cs="Arial"/>
                <w:sz w:val="18"/>
                <w:szCs w:val="18"/>
              </w:rPr>
            </w:pPr>
            <w:r w:rsidRPr="000F4778">
              <w:rPr>
                <w:rFonts w:eastAsia="Calibri" w:cs="Arial"/>
                <w:i/>
                <w:sz w:val="18"/>
                <w:szCs w:val="18"/>
              </w:rPr>
              <w:lastRenderedPageBreak/>
              <w:t>Pandemis cerasana</w:t>
            </w:r>
            <w:r w:rsidRPr="000F4778">
              <w:rPr>
                <w:rFonts w:eastAsia="Calibri" w:cs="Arial"/>
                <w:sz w:val="18"/>
                <w:szCs w:val="18"/>
              </w:rPr>
              <w:t xml:space="preserve"> (Hübner, 1786)</w:t>
            </w:r>
          </w:p>
          <w:p w14:paraId="1E3332A7" w14:textId="77777777" w:rsidR="003438A2" w:rsidRPr="000F4778" w:rsidRDefault="003438A2" w:rsidP="00881E29">
            <w:pPr>
              <w:spacing w:before="60" w:after="60" w:line="240" w:lineRule="auto"/>
              <w:rPr>
                <w:rFonts w:eastAsia="Calibri" w:cs="Arial"/>
                <w:sz w:val="18"/>
                <w:szCs w:val="18"/>
              </w:rPr>
            </w:pPr>
            <w:r w:rsidRPr="000F4778">
              <w:rPr>
                <w:rFonts w:eastAsia="Calibri" w:cs="Arial"/>
                <w:sz w:val="18"/>
                <w:szCs w:val="18"/>
              </w:rPr>
              <w:t xml:space="preserve">Synonym: </w:t>
            </w:r>
            <w:r w:rsidRPr="000F4778">
              <w:rPr>
                <w:rFonts w:eastAsia="Calibri" w:cs="Arial"/>
                <w:i/>
                <w:sz w:val="18"/>
                <w:szCs w:val="18"/>
              </w:rPr>
              <w:t>Pandemis ribeana</w:t>
            </w:r>
            <w:r w:rsidRPr="000F4778">
              <w:rPr>
                <w:rFonts w:eastAsia="Calibri" w:cs="Arial"/>
                <w:sz w:val="18"/>
                <w:szCs w:val="18"/>
              </w:rPr>
              <w:t xml:space="preserve"> (Hübner, 1796)</w:t>
            </w:r>
          </w:p>
          <w:p w14:paraId="2D2AF54E" w14:textId="77777777" w:rsidR="003438A2" w:rsidRPr="000F4778" w:rsidRDefault="003438A2" w:rsidP="00881E29">
            <w:pPr>
              <w:spacing w:before="60" w:after="60" w:line="240" w:lineRule="auto"/>
              <w:rPr>
                <w:rFonts w:eastAsia="Calibri" w:cs="Arial"/>
                <w:sz w:val="18"/>
                <w:szCs w:val="18"/>
              </w:rPr>
            </w:pPr>
            <w:r w:rsidRPr="000F4778">
              <w:rPr>
                <w:rFonts w:eastAsia="Calibri" w:cs="Arial"/>
                <w:sz w:val="18"/>
                <w:szCs w:val="18"/>
              </w:rPr>
              <w:t>[Tortricidae]</w:t>
            </w:r>
          </w:p>
          <w:p w14:paraId="6411737F" w14:textId="77777777" w:rsidR="003438A2" w:rsidRPr="000F4778" w:rsidRDefault="003438A2" w:rsidP="00881E29">
            <w:pPr>
              <w:spacing w:before="60" w:after="60" w:line="240" w:lineRule="auto"/>
              <w:rPr>
                <w:rFonts w:eastAsia="Calibri" w:cs="Times New Roman"/>
                <w:i/>
                <w:sz w:val="18"/>
                <w:szCs w:val="18"/>
                <w:lang w:val="pt-BR"/>
              </w:rPr>
            </w:pPr>
            <w:r w:rsidRPr="000F4778">
              <w:rPr>
                <w:rFonts w:eastAsia="Calibri" w:cs="Arial"/>
                <w:sz w:val="18"/>
                <w:szCs w:val="18"/>
              </w:rPr>
              <w:t>Barred fruit tree tortrix</w:t>
            </w:r>
          </w:p>
        </w:tc>
        <w:tc>
          <w:tcPr>
            <w:tcW w:w="1474" w:type="dxa"/>
            <w:shd w:val="clear" w:color="auto" w:fill="auto"/>
          </w:tcPr>
          <w:p w14:paraId="0C88B7E4" w14:textId="77777777" w:rsidR="003438A2" w:rsidRDefault="003438A2" w:rsidP="00321810">
            <w:pPr>
              <w:spacing w:before="60" w:after="60" w:line="240" w:lineRule="auto"/>
              <w:rPr>
                <w:rFonts w:eastAsia="Calibri" w:cs="Arial"/>
                <w:sz w:val="18"/>
                <w:szCs w:val="18"/>
              </w:rPr>
            </w:pPr>
            <w:r w:rsidRPr="000F4778">
              <w:rPr>
                <w:rFonts w:eastAsia="Calibri" w:cs="Arial"/>
                <w:sz w:val="18"/>
                <w:szCs w:val="18"/>
              </w:rPr>
              <w:t>Yes. Present in OR and WA</w:t>
            </w:r>
            <w:r>
              <w:rPr>
                <w:rFonts w:eastAsia="Calibri" w:cs="Arial"/>
                <w:sz w:val="18"/>
                <w:szCs w:val="18"/>
              </w:rPr>
              <w:t xml:space="preserve"> </w:t>
            </w:r>
            <w:r>
              <w:rPr>
                <w:rFonts w:eastAsia="Calibri" w:cs="Arial"/>
                <w:noProof/>
                <w:sz w:val="18"/>
                <w:szCs w:val="18"/>
              </w:rPr>
              <w:t>(CABI 2022; LaGasa 1996)</w:t>
            </w:r>
          </w:p>
          <w:p w14:paraId="740356C1" w14:textId="77777777" w:rsidR="003438A2" w:rsidRPr="000F4778" w:rsidRDefault="003438A2" w:rsidP="00881E29">
            <w:pPr>
              <w:spacing w:before="60" w:after="60" w:line="240" w:lineRule="auto"/>
              <w:rPr>
                <w:rFonts w:eastAsia="Calibri" w:cs="Times New Roman"/>
                <w:sz w:val="18"/>
                <w:szCs w:val="18"/>
                <w:lang w:val="pt-BR"/>
              </w:rPr>
            </w:pPr>
          </w:p>
        </w:tc>
        <w:tc>
          <w:tcPr>
            <w:tcW w:w="1474" w:type="dxa"/>
            <w:shd w:val="clear" w:color="auto" w:fill="auto"/>
          </w:tcPr>
          <w:p w14:paraId="3F241B68" w14:textId="77777777" w:rsidR="003438A2" w:rsidRPr="000F4778" w:rsidRDefault="003438A2" w:rsidP="00881E29">
            <w:pPr>
              <w:spacing w:before="60" w:after="60" w:line="240" w:lineRule="auto"/>
              <w:rPr>
                <w:rFonts w:eastAsia="Calibri" w:cs="Times New Roman"/>
                <w:sz w:val="18"/>
                <w:szCs w:val="18"/>
              </w:rPr>
            </w:pPr>
            <w:r w:rsidRPr="000F4778">
              <w:rPr>
                <w:rFonts w:eastAsia="Calibri" w:cs="Times New Roman"/>
                <w:sz w:val="18"/>
                <w:szCs w:val="18"/>
              </w:rPr>
              <w:t>No records found</w:t>
            </w:r>
          </w:p>
        </w:tc>
        <w:tc>
          <w:tcPr>
            <w:tcW w:w="2552" w:type="dxa"/>
            <w:shd w:val="clear" w:color="auto" w:fill="auto"/>
          </w:tcPr>
          <w:p w14:paraId="673C30D5" w14:textId="77777777" w:rsidR="003438A2" w:rsidRPr="00056411" w:rsidRDefault="003438A2" w:rsidP="00056411">
            <w:pPr>
              <w:pStyle w:val="TableText"/>
            </w:pPr>
            <w:r w:rsidRPr="00056411">
              <w:t xml:space="preserve">No. Larvae feed on leaves </w:t>
            </w:r>
            <w:r>
              <w:rPr>
                <w:rFonts w:eastAsia="Times New Roman" w:cs="Calibri"/>
                <w:noProof/>
                <w:color w:val="000000"/>
                <w:lang w:eastAsia="en-AU"/>
              </w:rPr>
              <w:t>(Evans 1970; Gilligan &amp; Epstein 2014a)</w:t>
            </w:r>
            <w:r w:rsidRPr="00056411">
              <w:rPr>
                <w:rFonts w:eastAsia="Times New Roman" w:cs="Calibri"/>
                <w:color w:val="000000"/>
                <w:lang w:eastAsia="en-AU"/>
              </w:rPr>
              <w:t>,</w:t>
            </w:r>
            <w:bookmarkStart w:id="546" w:name="_Hlk112182530"/>
            <w:r w:rsidRPr="00056411">
              <w:t xml:space="preserve"> </w:t>
            </w:r>
            <w:bookmarkEnd w:id="546"/>
            <w:r w:rsidRPr="00056411">
              <w:t xml:space="preserve">blossoms and immature apple fruitlets </w:t>
            </w:r>
            <w:r w:rsidRPr="00056411">
              <w:rPr>
                <w:noProof/>
              </w:rPr>
              <w:t>(LaGasa 1996)</w:t>
            </w:r>
            <w:r w:rsidRPr="00056411">
              <w:t>, and fruit in contact with leaves. In Russia, larvae have been reported feeding on rosaceous fruit, especially apple, causing damaged ovaries (</w:t>
            </w:r>
            <w:hyperlink w:anchor="_ENREF_559" w:tooltip="Ovsyannikova, 2005 #5622" w:history="1">
              <w:r w:rsidRPr="00056411">
                <w:rPr>
                  <w:noProof/>
                </w:rPr>
                <w:t>Ovsyannikova &amp; Grichanov 2005c</w:t>
              </w:r>
            </w:hyperlink>
            <w:r w:rsidRPr="00056411">
              <w:t>), which results in fruit dropping or becoming deformed or rotten. This pest is highly unlikely to be found on commercially produced apples as infested fruit will be discarded during either harvest or packing house processes.</w:t>
            </w:r>
          </w:p>
          <w:p w14:paraId="0B2A433C" w14:textId="77777777" w:rsidR="003438A2" w:rsidRPr="00056411" w:rsidRDefault="003438A2" w:rsidP="00AC0139">
            <w:pPr>
              <w:pStyle w:val="TableText"/>
              <w:rPr>
                <w:strike/>
              </w:rPr>
            </w:pPr>
          </w:p>
        </w:tc>
        <w:tc>
          <w:tcPr>
            <w:tcW w:w="2381" w:type="dxa"/>
            <w:shd w:val="clear" w:color="auto" w:fill="auto"/>
          </w:tcPr>
          <w:p w14:paraId="6F61FED4" w14:textId="77777777" w:rsidR="003438A2" w:rsidRPr="000F4778" w:rsidRDefault="003438A2" w:rsidP="00881E29">
            <w:pPr>
              <w:spacing w:before="60" w:after="60" w:line="240" w:lineRule="auto"/>
              <w:rPr>
                <w:rFonts w:eastAsia="Calibri" w:cs="Times New Roman"/>
                <w:sz w:val="18"/>
                <w:szCs w:val="18"/>
              </w:rPr>
            </w:pPr>
            <w:r w:rsidRPr="000F4778">
              <w:rPr>
                <w:rFonts w:eastAsia="Calibri" w:cs="Times New Roman"/>
                <w:sz w:val="18"/>
                <w:szCs w:val="18"/>
              </w:rPr>
              <w:t>Assessment not required</w:t>
            </w:r>
          </w:p>
        </w:tc>
        <w:tc>
          <w:tcPr>
            <w:tcW w:w="2211" w:type="dxa"/>
            <w:shd w:val="clear" w:color="auto" w:fill="auto"/>
          </w:tcPr>
          <w:p w14:paraId="1D7A0766" w14:textId="77777777" w:rsidR="003438A2" w:rsidRPr="000F4778" w:rsidRDefault="003438A2" w:rsidP="00881E29">
            <w:pPr>
              <w:spacing w:before="60" w:after="60" w:line="240" w:lineRule="auto"/>
              <w:rPr>
                <w:rFonts w:eastAsia="Calibri" w:cs="Times New Roman"/>
                <w:sz w:val="18"/>
                <w:szCs w:val="18"/>
              </w:rPr>
            </w:pPr>
            <w:r w:rsidRPr="000F4778">
              <w:rPr>
                <w:rFonts w:eastAsia="Calibri" w:cs="Times New Roman"/>
                <w:sz w:val="18"/>
                <w:szCs w:val="18"/>
              </w:rPr>
              <w:t>Assessment not required</w:t>
            </w:r>
          </w:p>
        </w:tc>
        <w:tc>
          <w:tcPr>
            <w:tcW w:w="1191" w:type="dxa"/>
            <w:shd w:val="clear" w:color="auto" w:fill="auto"/>
          </w:tcPr>
          <w:p w14:paraId="6D7A9B9C" w14:textId="77777777" w:rsidR="003438A2" w:rsidRPr="000F4778" w:rsidRDefault="003438A2" w:rsidP="00881E29">
            <w:pPr>
              <w:spacing w:before="60" w:after="60" w:line="240" w:lineRule="auto"/>
              <w:rPr>
                <w:rFonts w:eastAsia="Calibri" w:cs="Times New Roman"/>
                <w:sz w:val="18"/>
                <w:szCs w:val="18"/>
              </w:rPr>
            </w:pPr>
            <w:r w:rsidRPr="000F4778">
              <w:rPr>
                <w:rFonts w:eastAsia="Calibri" w:cs="Times New Roman"/>
                <w:sz w:val="18"/>
                <w:szCs w:val="18"/>
              </w:rPr>
              <w:t>No</w:t>
            </w:r>
          </w:p>
        </w:tc>
      </w:tr>
      <w:tr w:rsidR="003438A2" w:rsidRPr="000D7EBC" w14:paraId="442215D5" w14:textId="77777777" w:rsidTr="00C4199F">
        <w:trPr>
          <w:cantSplit/>
          <w:trHeight w:val="75"/>
          <w:jc w:val="center"/>
        </w:trPr>
        <w:tc>
          <w:tcPr>
            <w:tcW w:w="2553" w:type="dxa"/>
            <w:shd w:val="clear" w:color="auto" w:fill="auto"/>
          </w:tcPr>
          <w:p w14:paraId="79473980" w14:textId="77777777" w:rsidR="003438A2" w:rsidRPr="000D7EBC" w:rsidRDefault="003438A2" w:rsidP="00881E29">
            <w:pPr>
              <w:spacing w:before="60" w:after="60" w:line="240" w:lineRule="auto"/>
              <w:rPr>
                <w:rFonts w:eastAsia="Calibri" w:cs="Arial"/>
                <w:sz w:val="18"/>
                <w:szCs w:val="18"/>
              </w:rPr>
            </w:pPr>
            <w:r w:rsidRPr="000D7EBC">
              <w:rPr>
                <w:rFonts w:eastAsia="Calibri" w:cs="Arial"/>
                <w:i/>
                <w:sz w:val="18"/>
                <w:szCs w:val="18"/>
              </w:rPr>
              <w:lastRenderedPageBreak/>
              <w:t xml:space="preserve">Pandemis heparana </w:t>
            </w:r>
            <w:r w:rsidRPr="000D7EBC">
              <w:rPr>
                <w:rFonts w:eastAsia="Calibri" w:cs="Arial"/>
                <w:sz w:val="18"/>
                <w:szCs w:val="18"/>
              </w:rPr>
              <w:t>(Denis &amp; Schiffermüller, 1775)</w:t>
            </w:r>
          </w:p>
          <w:p w14:paraId="3C75D757" w14:textId="77777777" w:rsidR="003438A2" w:rsidRPr="000D7EBC" w:rsidRDefault="003438A2" w:rsidP="00881E29">
            <w:pPr>
              <w:spacing w:before="60" w:after="60" w:line="240" w:lineRule="auto"/>
              <w:rPr>
                <w:rFonts w:eastAsia="Calibri" w:cs="Arial"/>
                <w:sz w:val="18"/>
                <w:szCs w:val="18"/>
              </w:rPr>
            </w:pPr>
            <w:r w:rsidRPr="000D7EBC">
              <w:rPr>
                <w:rFonts w:eastAsia="Calibri" w:cs="Arial"/>
                <w:sz w:val="18"/>
                <w:szCs w:val="18"/>
              </w:rPr>
              <w:t>[Tortricidae]</w:t>
            </w:r>
          </w:p>
          <w:p w14:paraId="0FD2F78E" w14:textId="77777777" w:rsidR="003438A2" w:rsidRPr="000D7EBC" w:rsidRDefault="003438A2" w:rsidP="00881E29">
            <w:pPr>
              <w:spacing w:before="60" w:after="60" w:line="240" w:lineRule="auto"/>
              <w:rPr>
                <w:rFonts w:eastAsia="Calibri" w:cs="Times New Roman"/>
                <w:i/>
                <w:sz w:val="18"/>
                <w:szCs w:val="18"/>
                <w:lang w:val="pt-BR"/>
              </w:rPr>
            </w:pPr>
            <w:r w:rsidRPr="000D7EBC">
              <w:rPr>
                <w:rFonts w:eastAsia="Calibri" w:cs="Arial"/>
                <w:sz w:val="18"/>
                <w:szCs w:val="18"/>
              </w:rPr>
              <w:t>Dark fruit tree tortrix</w:t>
            </w:r>
          </w:p>
        </w:tc>
        <w:tc>
          <w:tcPr>
            <w:tcW w:w="1474" w:type="dxa"/>
            <w:shd w:val="clear" w:color="auto" w:fill="auto"/>
          </w:tcPr>
          <w:p w14:paraId="2B6FB8FC" w14:textId="77777777" w:rsidR="003438A2" w:rsidRPr="000D7EBC" w:rsidRDefault="003438A2" w:rsidP="00881E29">
            <w:pPr>
              <w:spacing w:before="60" w:after="60" w:line="240" w:lineRule="auto"/>
              <w:rPr>
                <w:rFonts w:eastAsia="Calibri" w:cs="Times New Roman"/>
                <w:sz w:val="18"/>
                <w:szCs w:val="18"/>
                <w:lang w:val="pt-BR"/>
              </w:rPr>
            </w:pPr>
            <w:r w:rsidRPr="000D7EBC">
              <w:rPr>
                <w:rFonts w:eastAsia="Calibri" w:cs="Arial"/>
                <w:sz w:val="18"/>
                <w:szCs w:val="18"/>
              </w:rPr>
              <w:t xml:space="preserve">Yes. </w:t>
            </w:r>
            <w:r>
              <w:rPr>
                <w:rFonts w:eastAsia="Calibri" w:cs="Arial"/>
                <w:sz w:val="18"/>
                <w:szCs w:val="18"/>
              </w:rPr>
              <w:t>Present in</w:t>
            </w:r>
            <w:r w:rsidRPr="000D7EBC">
              <w:rPr>
                <w:rFonts w:eastAsia="Calibri" w:cs="Arial"/>
                <w:sz w:val="18"/>
                <w:szCs w:val="18"/>
              </w:rPr>
              <w:t xml:space="preserve"> WA </w:t>
            </w:r>
            <w:r>
              <w:rPr>
                <w:rFonts w:eastAsia="Calibri" w:cs="Arial"/>
                <w:noProof/>
                <w:sz w:val="18"/>
                <w:szCs w:val="18"/>
              </w:rPr>
              <w:t>(LaGasa 1996)</w:t>
            </w:r>
            <w:r>
              <w:rPr>
                <w:rFonts w:eastAsia="Calibri" w:cs="Arial"/>
                <w:sz w:val="18"/>
                <w:szCs w:val="18"/>
              </w:rPr>
              <w:t xml:space="preserve"> </w:t>
            </w:r>
          </w:p>
        </w:tc>
        <w:tc>
          <w:tcPr>
            <w:tcW w:w="1474" w:type="dxa"/>
            <w:shd w:val="clear" w:color="auto" w:fill="auto"/>
          </w:tcPr>
          <w:p w14:paraId="78187070" w14:textId="77777777" w:rsidR="003438A2" w:rsidRPr="000D7EBC" w:rsidRDefault="003438A2" w:rsidP="00881E29">
            <w:pPr>
              <w:spacing w:before="60" w:after="60" w:line="240" w:lineRule="auto"/>
              <w:rPr>
                <w:rFonts w:eastAsia="Calibri" w:cs="Times New Roman"/>
                <w:sz w:val="18"/>
                <w:szCs w:val="18"/>
              </w:rPr>
            </w:pPr>
            <w:r w:rsidRPr="000D7EBC">
              <w:rPr>
                <w:rFonts w:eastAsia="Calibri" w:cs="Arial"/>
                <w:sz w:val="18"/>
                <w:szCs w:val="18"/>
              </w:rPr>
              <w:t>No</w:t>
            </w:r>
            <w:r>
              <w:rPr>
                <w:rFonts w:eastAsia="Calibri" w:cs="Arial"/>
                <w:sz w:val="18"/>
                <w:szCs w:val="18"/>
              </w:rPr>
              <w:t xml:space="preserve"> </w:t>
            </w:r>
            <w:r w:rsidRPr="000D7EBC">
              <w:rPr>
                <w:rFonts w:eastAsia="Calibri" w:cs="Times New Roman"/>
                <w:sz w:val="18"/>
                <w:szCs w:val="18"/>
              </w:rPr>
              <w:t>records found</w:t>
            </w:r>
          </w:p>
        </w:tc>
        <w:tc>
          <w:tcPr>
            <w:tcW w:w="2552" w:type="dxa"/>
            <w:shd w:val="clear" w:color="auto" w:fill="auto"/>
          </w:tcPr>
          <w:p w14:paraId="5C9E712C" w14:textId="77777777" w:rsidR="003438A2" w:rsidRPr="000D7EBC" w:rsidRDefault="003438A2" w:rsidP="00321810">
            <w:pPr>
              <w:spacing w:before="60" w:after="60" w:line="240" w:lineRule="auto"/>
              <w:rPr>
                <w:rFonts w:eastAsia="Calibri" w:cs="Times New Roman"/>
                <w:noProof/>
                <w:sz w:val="18"/>
                <w:szCs w:val="18"/>
              </w:rPr>
            </w:pPr>
            <w:r w:rsidRPr="000D7EBC">
              <w:rPr>
                <w:rFonts w:eastAsia="Calibri" w:cs="Arial"/>
                <w:sz w:val="18"/>
                <w:szCs w:val="18"/>
              </w:rPr>
              <w:t xml:space="preserve">No. Eggs are laid on the upper side of the leaves </w:t>
            </w:r>
            <w:r>
              <w:rPr>
                <w:rFonts w:eastAsia="Calibri" w:cs="Arial"/>
                <w:noProof/>
                <w:sz w:val="18"/>
                <w:szCs w:val="18"/>
              </w:rPr>
              <w:t>(Ovsyannikova &amp; Grichanov 2005b)</w:t>
            </w:r>
            <w:r w:rsidRPr="000D7EBC">
              <w:rPr>
                <w:rFonts w:eastAsia="Calibri" w:cs="Arial"/>
                <w:sz w:val="18"/>
                <w:szCs w:val="18"/>
              </w:rPr>
              <w:t xml:space="preserve">. Larvae mostly feed on leaves, but flower and fruit feeding can cause </w:t>
            </w:r>
            <w:r>
              <w:rPr>
                <w:rFonts w:eastAsia="Calibri" w:cs="Arial"/>
                <w:sz w:val="18"/>
                <w:szCs w:val="18"/>
              </w:rPr>
              <w:t xml:space="preserve">fruit </w:t>
            </w:r>
            <w:r w:rsidRPr="000D7EBC">
              <w:rPr>
                <w:rFonts w:eastAsia="Calibri" w:cs="Arial"/>
                <w:sz w:val="18"/>
                <w:szCs w:val="18"/>
              </w:rPr>
              <w:t xml:space="preserve">loss or blemished fruit </w:t>
            </w:r>
            <w:r>
              <w:rPr>
                <w:rFonts w:eastAsia="Calibri" w:cs="Arial"/>
                <w:noProof/>
                <w:sz w:val="18"/>
                <w:szCs w:val="18"/>
              </w:rPr>
              <w:t>(LaGasa 1996)</w:t>
            </w:r>
            <w:r w:rsidRPr="000D7EBC">
              <w:rPr>
                <w:rFonts w:eastAsia="Calibri" w:cs="Arial"/>
                <w:sz w:val="18"/>
                <w:szCs w:val="18"/>
              </w:rPr>
              <w:t xml:space="preserve">. </w:t>
            </w:r>
            <w:r w:rsidRPr="000D7EBC">
              <w:rPr>
                <w:sz w:val="18"/>
                <w:szCs w:val="18"/>
              </w:rPr>
              <w:t xml:space="preserve">Although this moth species was assessed as on the fruit pathway for Fuji apples from Japan </w:t>
            </w:r>
            <w:r>
              <w:rPr>
                <w:noProof/>
                <w:sz w:val="18"/>
                <w:szCs w:val="18"/>
              </w:rPr>
              <w:t>(AQIS 1998a)</w:t>
            </w:r>
            <w:r>
              <w:rPr>
                <w:sz w:val="18"/>
                <w:szCs w:val="18"/>
              </w:rPr>
              <w:t xml:space="preserve"> </w:t>
            </w:r>
            <w:r w:rsidRPr="000D7EBC">
              <w:rPr>
                <w:sz w:val="18"/>
                <w:szCs w:val="18"/>
              </w:rPr>
              <w:t xml:space="preserve">and ya pear from China </w:t>
            </w:r>
            <w:r>
              <w:rPr>
                <w:noProof/>
                <w:sz w:val="18"/>
                <w:szCs w:val="18"/>
              </w:rPr>
              <w:t>(AQIS 1998b)</w:t>
            </w:r>
            <w:r w:rsidRPr="000D7EBC">
              <w:rPr>
                <w:sz w:val="18"/>
                <w:szCs w:val="18"/>
              </w:rPr>
              <w:t>, the China apple risk analysis considered that the larvae are unlikely to be on the pathway of mature apple fruit bec</w:t>
            </w:r>
            <w:r>
              <w:rPr>
                <w:sz w:val="18"/>
                <w:szCs w:val="18"/>
              </w:rPr>
              <w:t>ause they mainly feed on leave</w:t>
            </w:r>
            <w:r w:rsidRPr="000E5451">
              <w:rPr>
                <w:rFonts w:eastAsia="Calibri" w:cs="Times New Roman"/>
                <w:sz w:val="18"/>
                <w:szCs w:val="18"/>
              </w:rPr>
              <w:t>s</w:t>
            </w:r>
            <w:r>
              <w:rPr>
                <w:rFonts w:eastAsia="Calibri" w:cs="Times New Roman"/>
                <w:sz w:val="18"/>
                <w:szCs w:val="18"/>
              </w:rPr>
              <w:t>.</w:t>
            </w:r>
            <w:r w:rsidRPr="000E5451">
              <w:rPr>
                <w:rFonts w:eastAsia="Calibri" w:cs="Times New Roman"/>
                <w:sz w:val="18"/>
                <w:szCs w:val="18"/>
              </w:rPr>
              <w:t xml:space="preserve"> </w:t>
            </w:r>
            <w:r w:rsidRPr="000E5451">
              <w:rPr>
                <w:sz w:val="18"/>
                <w:szCs w:val="18"/>
              </w:rPr>
              <w:t>The young larvae live in small webbings, usually against a vein on the leaf underside. The older larvae spin several leaves together</w:t>
            </w:r>
            <w:r>
              <w:rPr>
                <w:sz w:val="18"/>
                <w:szCs w:val="18"/>
              </w:rPr>
              <w:t xml:space="preserve"> and</w:t>
            </w:r>
            <w:r w:rsidRPr="000E5451">
              <w:rPr>
                <w:sz w:val="18"/>
                <w:szCs w:val="18"/>
              </w:rPr>
              <w:t xml:space="preserve"> </w:t>
            </w:r>
            <w:r>
              <w:rPr>
                <w:sz w:val="18"/>
                <w:szCs w:val="18"/>
              </w:rPr>
              <w:t>feed on fruit</w:t>
            </w:r>
            <w:r w:rsidRPr="000E5451">
              <w:rPr>
                <w:sz w:val="18"/>
                <w:szCs w:val="18"/>
              </w:rPr>
              <w:t xml:space="preserve"> superficially, causing shallow irregular </w:t>
            </w:r>
            <w:r>
              <w:rPr>
                <w:sz w:val="18"/>
                <w:szCs w:val="18"/>
              </w:rPr>
              <w:t xml:space="preserve">russet marks </w:t>
            </w:r>
            <w:r>
              <w:rPr>
                <w:rFonts w:eastAsia="Calibri" w:cs="Times New Roman"/>
                <w:noProof/>
                <w:sz w:val="18"/>
                <w:szCs w:val="18"/>
              </w:rPr>
              <w:t>(CABI 2022).</w:t>
            </w:r>
          </w:p>
        </w:tc>
        <w:tc>
          <w:tcPr>
            <w:tcW w:w="2381" w:type="dxa"/>
            <w:shd w:val="clear" w:color="auto" w:fill="auto"/>
          </w:tcPr>
          <w:p w14:paraId="456881D2" w14:textId="77777777" w:rsidR="003438A2" w:rsidRPr="000D7EBC" w:rsidRDefault="003438A2" w:rsidP="00881E29">
            <w:pPr>
              <w:spacing w:before="60" w:after="60" w:line="240" w:lineRule="auto"/>
              <w:rPr>
                <w:rFonts w:eastAsia="Calibri" w:cs="Times New Roman"/>
                <w:sz w:val="18"/>
                <w:szCs w:val="18"/>
              </w:rPr>
            </w:pPr>
            <w:r w:rsidRPr="000D7EBC">
              <w:rPr>
                <w:rFonts w:eastAsia="Calibri" w:cs="Times New Roman"/>
                <w:sz w:val="18"/>
                <w:szCs w:val="18"/>
              </w:rPr>
              <w:t>Assessment not required</w:t>
            </w:r>
            <w:r w:rsidRPr="000D7EBC">
              <w:rPr>
                <w:rFonts w:eastAsia="Calibri" w:cs="Arial"/>
                <w:sz w:val="18"/>
                <w:szCs w:val="18"/>
              </w:rPr>
              <w:t xml:space="preserve"> </w:t>
            </w:r>
          </w:p>
        </w:tc>
        <w:tc>
          <w:tcPr>
            <w:tcW w:w="2211" w:type="dxa"/>
            <w:shd w:val="clear" w:color="auto" w:fill="auto"/>
          </w:tcPr>
          <w:p w14:paraId="55493126" w14:textId="77777777" w:rsidR="003438A2" w:rsidRPr="000D7EBC" w:rsidRDefault="003438A2" w:rsidP="00881E29">
            <w:pPr>
              <w:spacing w:before="60" w:after="60" w:line="240" w:lineRule="auto"/>
              <w:rPr>
                <w:rFonts w:eastAsia="Calibri" w:cs="Times New Roman"/>
                <w:sz w:val="18"/>
                <w:szCs w:val="18"/>
              </w:rPr>
            </w:pPr>
            <w:r w:rsidRPr="000D7EBC">
              <w:rPr>
                <w:rFonts w:eastAsia="Calibri" w:cs="Times New Roman"/>
                <w:sz w:val="18"/>
                <w:szCs w:val="18"/>
              </w:rPr>
              <w:t>Assessment not required</w:t>
            </w:r>
          </w:p>
        </w:tc>
        <w:tc>
          <w:tcPr>
            <w:tcW w:w="1191" w:type="dxa"/>
            <w:shd w:val="clear" w:color="auto" w:fill="auto"/>
          </w:tcPr>
          <w:p w14:paraId="73EF732A" w14:textId="77777777" w:rsidR="003438A2" w:rsidRPr="000D7EBC" w:rsidRDefault="003438A2" w:rsidP="00881E29">
            <w:pPr>
              <w:spacing w:before="60" w:after="60" w:line="240" w:lineRule="auto"/>
              <w:rPr>
                <w:rFonts w:eastAsia="Calibri" w:cs="Times New Roman"/>
                <w:sz w:val="18"/>
                <w:szCs w:val="18"/>
              </w:rPr>
            </w:pPr>
            <w:r w:rsidRPr="000D7EBC">
              <w:rPr>
                <w:rFonts w:eastAsia="Calibri" w:cs="Arial"/>
                <w:sz w:val="18"/>
                <w:szCs w:val="18"/>
              </w:rPr>
              <w:t>No</w:t>
            </w:r>
          </w:p>
        </w:tc>
      </w:tr>
      <w:tr w:rsidR="003438A2" w:rsidRPr="007107BF" w14:paraId="554E44AA" w14:textId="77777777" w:rsidTr="00C4199F">
        <w:trPr>
          <w:cantSplit/>
          <w:trHeight w:val="75"/>
          <w:jc w:val="center"/>
        </w:trPr>
        <w:tc>
          <w:tcPr>
            <w:tcW w:w="2553" w:type="dxa"/>
            <w:shd w:val="clear" w:color="auto" w:fill="auto"/>
          </w:tcPr>
          <w:p w14:paraId="6AAC64B8"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i/>
                <w:sz w:val="18"/>
                <w:szCs w:val="18"/>
              </w:rPr>
              <w:lastRenderedPageBreak/>
              <w:t>Pandemis pyrusana</w:t>
            </w:r>
            <w:r w:rsidRPr="007107BF">
              <w:rPr>
                <w:rFonts w:eastAsia="Calibri" w:cs="Times New Roman"/>
                <w:sz w:val="18"/>
                <w:szCs w:val="18"/>
              </w:rPr>
              <w:t xml:space="preserve"> Kearfott, 1907</w:t>
            </w:r>
          </w:p>
          <w:p w14:paraId="72A0C699" w14:textId="77777777" w:rsidR="003438A2" w:rsidRPr="007107BF" w:rsidRDefault="003438A2" w:rsidP="00881E29">
            <w:pPr>
              <w:spacing w:before="60" w:after="60" w:line="240" w:lineRule="auto"/>
              <w:rPr>
                <w:rFonts w:eastAsia="Calibri" w:cs="Arial"/>
                <w:sz w:val="18"/>
                <w:szCs w:val="18"/>
              </w:rPr>
            </w:pPr>
            <w:r w:rsidRPr="007107BF">
              <w:rPr>
                <w:rFonts w:eastAsia="Calibri" w:cs="Arial"/>
                <w:sz w:val="18"/>
                <w:szCs w:val="18"/>
              </w:rPr>
              <w:t>[Tortricidae]</w:t>
            </w:r>
          </w:p>
          <w:p w14:paraId="1CEFE108" w14:textId="77777777" w:rsidR="003438A2" w:rsidRPr="007107BF" w:rsidRDefault="003438A2" w:rsidP="00881E29">
            <w:pPr>
              <w:spacing w:before="60" w:after="60" w:line="240" w:lineRule="auto"/>
              <w:rPr>
                <w:rFonts w:eastAsia="Calibri" w:cs="Times New Roman"/>
                <w:i/>
                <w:sz w:val="18"/>
                <w:szCs w:val="18"/>
                <w:lang w:val="pt-BR"/>
              </w:rPr>
            </w:pPr>
            <w:r w:rsidRPr="007107BF">
              <w:rPr>
                <w:rFonts w:eastAsia="Calibri" w:cs="Times New Roman"/>
                <w:sz w:val="18"/>
                <w:szCs w:val="18"/>
              </w:rPr>
              <w:t>Pandemis leafroller</w:t>
            </w:r>
          </w:p>
        </w:tc>
        <w:tc>
          <w:tcPr>
            <w:tcW w:w="1474" w:type="dxa"/>
            <w:shd w:val="clear" w:color="auto" w:fill="auto"/>
          </w:tcPr>
          <w:p w14:paraId="3998B6B7" w14:textId="77777777" w:rsidR="003438A2" w:rsidRPr="007107BF" w:rsidRDefault="003438A2" w:rsidP="00881E29">
            <w:pPr>
              <w:spacing w:before="60" w:after="60" w:line="240" w:lineRule="auto"/>
              <w:rPr>
                <w:rFonts w:eastAsia="Calibri" w:cs="Times New Roman"/>
                <w:sz w:val="18"/>
                <w:szCs w:val="18"/>
                <w:lang w:val="pt-BR"/>
              </w:rPr>
            </w:pPr>
            <w:r w:rsidRPr="007107BF">
              <w:rPr>
                <w:rFonts w:eastAsia="Calibri" w:cs="Times New Roman"/>
                <w:sz w:val="18"/>
                <w:szCs w:val="18"/>
              </w:rPr>
              <w:t xml:space="preserve">Yes. </w:t>
            </w:r>
            <w:r>
              <w:rPr>
                <w:rFonts w:eastAsia="Calibri" w:cs="Times New Roman"/>
                <w:sz w:val="18"/>
                <w:szCs w:val="18"/>
              </w:rPr>
              <w:t>Present in</w:t>
            </w:r>
            <w:r w:rsidRPr="007107BF">
              <w:rPr>
                <w:rFonts w:eastAsia="Calibri" w:cs="Times New Roman"/>
                <w:sz w:val="18"/>
                <w:szCs w:val="18"/>
              </w:rPr>
              <w:t xml:space="preserve"> ID, OR</w:t>
            </w:r>
            <w:r>
              <w:rPr>
                <w:rFonts w:eastAsia="Calibri" w:cs="Times New Roman"/>
                <w:sz w:val="18"/>
                <w:szCs w:val="18"/>
              </w:rPr>
              <w:t xml:space="preserve"> and</w:t>
            </w:r>
            <w:r w:rsidRPr="007107BF">
              <w:rPr>
                <w:rFonts w:eastAsia="Calibri" w:cs="Times New Roman"/>
                <w:sz w:val="18"/>
                <w:szCs w:val="18"/>
              </w:rPr>
              <w:t xml:space="preserve"> WA </w:t>
            </w:r>
            <w:r>
              <w:rPr>
                <w:rFonts w:eastAsia="Calibri" w:cs="Times New Roman"/>
                <w:noProof/>
                <w:sz w:val="18"/>
                <w:szCs w:val="18"/>
              </w:rPr>
              <w:t>(APHIS 2007; Unruh et al. 2012)</w:t>
            </w:r>
          </w:p>
        </w:tc>
        <w:tc>
          <w:tcPr>
            <w:tcW w:w="1474" w:type="dxa"/>
            <w:shd w:val="clear" w:color="auto" w:fill="auto"/>
          </w:tcPr>
          <w:p w14:paraId="32A656E9" w14:textId="77777777" w:rsidR="003438A2" w:rsidRPr="00447887" w:rsidRDefault="003438A2" w:rsidP="00881E29">
            <w:pPr>
              <w:spacing w:before="60" w:after="60" w:line="240" w:lineRule="auto"/>
              <w:rPr>
                <w:rFonts w:eastAsia="Calibri" w:cs="Times New Roman"/>
                <w:sz w:val="18"/>
                <w:szCs w:val="18"/>
              </w:rPr>
            </w:pPr>
            <w:r w:rsidRPr="00447887">
              <w:rPr>
                <w:rFonts w:eastAsia="Calibri" w:cs="Times New Roman"/>
                <w:sz w:val="18"/>
                <w:szCs w:val="18"/>
              </w:rPr>
              <w:t>No records found</w:t>
            </w:r>
          </w:p>
        </w:tc>
        <w:tc>
          <w:tcPr>
            <w:tcW w:w="2552" w:type="dxa"/>
            <w:shd w:val="clear" w:color="auto" w:fill="auto"/>
          </w:tcPr>
          <w:p w14:paraId="3260E69D" w14:textId="77777777" w:rsidR="003438A2" w:rsidRPr="00447887" w:rsidRDefault="003438A2" w:rsidP="008614CB">
            <w:pPr>
              <w:pStyle w:val="TableText"/>
            </w:pPr>
            <w:r w:rsidRPr="00447887">
              <w:t xml:space="preserve">Yes. A historical pest of apples and reported from various stone fruit. Principally a leaf feeder, that also causes damage to </w:t>
            </w:r>
            <w:r>
              <w:t>fruit</w:t>
            </w:r>
            <w:r w:rsidRPr="00447887">
              <w:t xml:space="preserve"> </w:t>
            </w:r>
            <w:r>
              <w:rPr>
                <w:noProof/>
              </w:rPr>
              <w:t>(Berry 1998c)</w:t>
            </w:r>
            <w:r w:rsidRPr="00447887">
              <w:t xml:space="preserve">. Some larvae may eat portions of young fruit causing damaged fruit to abort or become deeply scarred and severely deformed </w:t>
            </w:r>
            <w:r>
              <w:rPr>
                <w:noProof/>
              </w:rPr>
              <w:t>(Brunner 1993)</w:t>
            </w:r>
            <w:r w:rsidRPr="00447887">
              <w:t>. Eggs</w:t>
            </w:r>
            <w:r>
              <w:t xml:space="preserve"> are</w:t>
            </w:r>
            <w:r w:rsidRPr="00447887">
              <w:t xml:space="preserve"> laid in masses on the upper </w:t>
            </w:r>
            <w:r>
              <w:t>surfaces of leaves and on fruit, and</w:t>
            </w:r>
            <w:r w:rsidRPr="00447887">
              <w:t xml:space="preserve"> economic damage is caused by feeding between clusters of fruit </w:t>
            </w:r>
            <w:r>
              <w:rPr>
                <w:noProof/>
              </w:rPr>
              <w:t>(Gilligan &amp; Epstein 2014a)</w:t>
            </w:r>
            <w:r>
              <w:t>.</w:t>
            </w:r>
          </w:p>
        </w:tc>
        <w:tc>
          <w:tcPr>
            <w:tcW w:w="2381" w:type="dxa"/>
            <w:shd w:val="clear" w:color="auto" w:fill="auto"/>
          </w:tcPr>
          <w:p w14:paraId="4A7BD0D4" w14:textId="77777777" w:rsidR="003438A2" w:rsidRPr="008616A5" w:rsidRDefault="003438A2" w:rsidP="00881E29">
            <w:pPr>
              <w:spacing w:before="60" w:after="60" w:line="240" w:lineRule="auto"/>
              <w:rPr>
                <w:rFonts w:eastAsia="Calibri" w:cs="Times New Roman"/>
                <w:sz w:val="18"/>
                <w:szCs w:val="18"/>
              </w:rPr>
            </w:pPr>
            <w:r w:rsidRPr="008616A5">
              <w:rPr>
                <w:rFonts w:eastAsia="Calibri" w:cs="Times New Roman"/>
                <w:sz w:val="18"/>
                <w:szCs w:val="18"/>
              </w:rPr>
              <w:t>Yes. Wide host range including wild plants such as cottonwood (</w:t>
            </w:r>
            <w:r w:rsidRPr="008616A5">
              <w:rPr>
                <w:rFonts w:eastAsia="Calibri" w:cs="Times New Roman"/>
                <w:i/>
                <w:sz w:val="18"/>
                <w:szCs w:val="18"/>
              </w:rPr>
              <w:t>Populus</w:t>
            </w:r>
            <w:r w:rsidRPr="008616A5">
              <w:rPr>
                <w:rFonts w:eastAsia="Calibri" w:cs="Times New Roman"/>
                <w:sz w:val="18"/>
                <w:szCs w:val="18"/>
              </w:rPr>
              <w:t xml:space="preserve"> spp.), rose (</w:t>
            </w:r>
            <w:r w:rsidRPr="008616A5">
              <w:rPr>
                <w:rFonts w:eastAsia="Calibri" w:cs="Times New Roman"/>
                <w:i/>
                <w:sz w:val="18"/>
                <w:szCs w:val="18"/>
              </w:rPr>
              <w:t>Rosa</w:t>
            </w:r>
            <w:r w:rsidRPr="008616A5">
              <w:rPr>
                <w:rFonts w:eastAsia="Calibri" w:cs="Times New Roman"/>
                <w:sz w:val="18"/>
                <w:szCs w:val="18"/>
              </w:rPr>
              <w:t>), willow (</w:t>
            </w:r>
            <w:r w:rsidRPr="008616A5">
              <w:rPr>
                <w:rFonts w:eastAsia="Calibri" w:cs="Times New Roman"/>
                <w:i/>
                <w:sz w:val="18"/>
                <w:szCs w:val="18"/>
              </w:rPr>
              <w:t>Salix</w:t>
            </w:r>
            <w:r w:rsidRPr="008616A5">
              <w:rPr>
                <w:rFonts w:eastAsia="Calibri" w:cs="Times New Roman"/>
                <w:sz w:val="18"/>
                <w:szCs w:val="18"/>
              </w:rPr>
              <w:t>), dogwood (</w:t>
            </w:r>
            <w:r w:rsidRPr="008616A5">
              <w:rPr>
                <w:rFonts w:eastAsia="Calibri" w:cs="Times New Roman"/>
                <w:i/>
                <w:sz w:val="18"/>
                <w:szCs w:val="18"/>
              </w:rPr>
              <w:t>Cornus</w:t>
            </w:r>
            <w:r w:rsidRPr="008616A5">
              <w:rPr>
                <w:rFonts w:eastAsia="Calibri" w:cs="Times New Roman"/>
                <w:sz w:val="18"/>
                <w:szCs w:val="18"/>
              </w:rPr>
              <w:t>), hawthorn (</w:t>
            </w:r>
            <w:r w:rsidRPr="008616A5">
              <w:rPr>
                <w:rFonts w:eastAsia="Calibri" w:cs="Times New Roman"/>
                <w:i/>
                <w:sz w:val="18"/>
                <w:szCs w:val="18"/>
              </w:rPr>
              <w:t>Crataegus</w:t>
            </w:r>
            <w:r w:rsidRPr="008616A5">
              <w:rPr>
                <w:rFonts w:eastAsia="Calibri" w:cs="Times New Roman"/>
                <w:sz w:val="18"/>
                <w:szCs w:val="18"/>
              </w:rPr>
              <w:t>), antelope brush (</w:t>
            </w:r>
            <w:r w:rsidRPr="008616A5">
              <w:rPr>
                <w:rFonts w:eastAsia="Calibri" w:cs="Times New Roman"/>
                <w:i/>
                <w:sz w:val="18"/>
                <w:szCs w:val="18"/>
              </w:rPr>
              <w:t>Purshia glandulosa</w:t>
            </w:r>
            <w:r w:rsidRPr="008616A5">
              <w:rPr>
                <w:rFonts w:eastAsia="Calibri" w:cs="Times New Roman"/>
                <w:sz w:val="18"/>
                <w:szCs w:val="18"/>
              </w:rPr>
              <w:t>), big-leaf maple (</w:t>
            </w:r>
            <w:r w:rsidRPr="008616A5">
              <w:rPr>
                <w:rFonts w:eastAsia="Calibri" w:cs="Times New Roman"/>
                <w:i/>
                <w:sz w:val="18"/>
                <w:szCs w:val="18"/>
              </w:rPr>
              <w:t>Acer macrophyllum</w:t>
            </w:r>
            <w:r w:rsidRPr="008616A5">
              <w:rPr>
                <w:rFonts w:eastAsia="Calibri" w:cs="Times New Roman"/>
                <w:sz w:val="18"/>
                <w:szCs w:val="18"/>
              </w:rPr>
              <w:t>), chokecherry (</w:t>
            </w:r>
            <w:r w:rsidRPr="008616A5">
              <w:rPr>
                <w:rFonts w:eastAsia="Calibri" w:cs="Times New Roman"/>
                <w:i/>
                <w:sz w:val="18"/>
                <w:szCs w:val="18"/>
              </w:rPr>
              <w:t>Prunus virginiana</w:t>
            </w:r>
            <w:r w:rsidRPr="008616A5">
              <w:rPr>
                <w:rFonts w:eastAsia="Calibri" w:cs="Times New Roman"/>
                <w:sz w:val="18"/>
                <w:szCs w:val="18"/>
              </w:rPr>
              <w:t>), lupine (</w:t>
            </w:r>
            <w:r w:rsidRPr="008616A5">
              <w:rPr>
                <w:rFonts w:eastAsia="Calibri" w:cs="Times New Roman"/>
                <w:i/>
                <w:sz w:val="18"/>
                <w:szCs w:val="18"/>
              </w:rPr>
              <w:t>Lupinus</w:t>
            </w:r>
            <w:r w:rsidRPr="008616A5">
              <w:rPr>
                <w:rFonts w:eastAsia="Calibri" w:cs="Times New Roman"/>
                <w:sz w:val="18"/>
                <w:szCs w:val="18"/>
              </w:rPr>
              <w:t>) and alder (</w:t>
            </w:r>
            <w:r w:rsidRPr="008616A5">
              <w:rPr>
                <w:rFonts w:eastAsia="Calibri" w:cs="Times New Roman"/>
                <w:i/>
                <w:sz w:val="18"/>
                <w:szCs w:val="18"/>
              </w:rPr>
              <w:t>Alnus</w:t>
            </w:r>
            <w:r w:rsidRPr="008616A5">
              <w:rPr>
                <w:rFonts w:eastAsia="Calibri" w:cs="Times New Roman"/>
                <w:sz w:val="18"/>
                <w:szCs w:val="18"/>
              </w:rPr>
              <w:t>)</w:t>
            </w:r>
            <w:r>
              <w:rPr>
                <w:rFonts w:eastAsia="Calibri" w:cs="Times New Roman"/>
                <w:sz w:val="18"/>
                <w:szCs w:val="18"/>
              </w:rPr>
              <w:t>,</w:t>
            </w:r>
            <w:r w:rsidRPr="008616A5">
              <w:rPr>
                <w:rFonts w:eastAsia="Calibri" w:cs="Times New Roman"/>
                <w:sz w:val="18"/>
                <w:szCs w:val="18"/>
              </w:rPr>
              <w:t xml:space="preserve"> as well as apple (</w:t>
            </w:r>
            <w:r w:rsidRPr="008616A5">
              <w:rPr>
                <w:rFonts w:eastAsia="Calibri" w:cs="Times New Roman"/>
                <w:i/>
                <w:sz w:val="18"/>
                <w:szCs w:val="18"/>
              </w:rPr>
              <w:t>Malus</w:t>
            </w:r>
            <w:r w:rsidRPr="008616A5">
              <w:rPr>
                <w:rFonts w:eastAsia="Calibri" w:cs="Times New Roman"/>
                <w:sz w:val="18"/>
                <w:szCs w:val="18"/>
              </w:rPr>
              <w:t>) and cherry (</w:t>
            </w:r>
            <w:r w:rsidRPr="008616A5">
              <w:rPr>
                <w:rFonts w:eastAsia="Calibri" w:cs="Times New Roman"/>
                <w:i/>
                <w:sz w:val="18"/>
                <w:szCs w:val="18"/>
              </w:rPr>
              <w:t>Prunus</w:t>
            </w:r>
            <w:r w:rsidRPr="008616A5">
              <w:rPr>
                <w:rFonts w:eastAsia="Calibri" w:cs="Times New Roman"/>
                <w:sz w:val="18"/>
                <w:szCs w:val="18"/>
              </w:rPr>
              <w:t xml:space="preserve"> spp.) </w:t>
            </w:r>
            <w:r>
              <w:rPr>
                <w:rFonts w:eastAsia="Calibri" w:cs="Times New Roman"/>
                <w:noProof/>
                <w:sz w:val="18"/>
                <w:szCs w:val="18"/>
              </w:rPr>
              <w:t>(Brunner 1993)</w:t>
            </w:r>
            <w:r>
              <w:rPr>
                <w:rFonts w:eastAsia="Calibri" w:cs="Times New Roman"/>
                <w:sz w:val="18"/>
                <w:szCs w:val="18"/>
              </w:rPr>
              <w:t>. W</w:t>
            </w:r>
            <w:r w:rsidRPr="008616A5">
              <w:rPr>
                <w:rFonts w:eastAsia="Calibri" w:cs="Times New Roman"/>
                <w:sz w:val="18"/>
                <w:szCs w:val="18"/>
              </w:rPr>
              <w:t xml:space="preserve">idely distributed across North America in environments similar to </w:t>
            </w:r>
            <w:r>
              <w:rPr>
                <w:rFonts w:eastAsia="Calibri" w:cs="Times New Roman"/>
                <w:sz w:val="18"/>
                <w:szCs w:val="18"/>
              </w:rPr>
              <w:t xml:space="preserve">parts of </w:t>
            </w:r>
            <w:r w:rsidRPr="008616A5">
              <w:rPr>
                <w:rFonts w:eastAsia="Calibri" w:cs="Times New Roman"/>
                <w:sz w:val="18"/>
                <w:szCs w:val="18"/>
              </w:rPr>
              <w:t>Australia</w:t>
            </w:r>
            <w:r>
              <w:rPr>
                <w:rFonts w:eastAsia="Calibri" w:cs="Times New Roman"/>
                <w:sz w:val="18"/>
                <w:szCs w:val="18"/>
              </w:rPr>
              <w:t xml:space="preserve"> </w:t>
            </w:r>
            <w:r>
              <w:rPr>
                <w:rFonts w:eastAsia="Calibri" w:cs="Times New Roman"/>
                <w:noProof/>
                <w:sz w:val="18"/>
                <w:szCs w:val="18"/>
              </w:rPr>
              <w:t>(Caprile et al. 2006c; Jones et al. 2005)</w:t>
            </w:r>
            <w:r>
              <w:rPr>
                <w:rFonts w:eastAsia="Calibri" w:cs="Times New Roman"/>
                <w:sz w:val="18"/>
                <w:szCs w:val="18"/>
              </w:rPr>
              <w:t>.</w:t>
            </w:r>
          </w:p>
        </w:tc>
        <w:tc>
          <w:tcPr>
            <w:tcW w:w="2211" w:type="dxa"/>
            <w:shd w:val="clear" w:color="auto" w:fill="auto"/>
          </w:tcPr>
          <w:p w14:paraId="0B072CE9" w14:textId="77777777" w:rsidR="003438A2" w:rsidRPr="008616A5" w:rsidRDefault="003438A2" w:rsidP="00881E29">
            <w:pPr>
              <w:spacing w:before="60" w:after="60" w:line="240" w:lineRule="auto"/>
              <w:rPr>
                <w:rFonts w:eastAsia="Calibri" w:cs="Times New Roman"/>
                <w:sz w:val="18"/>
                <w:szCs w:val="18"/>
              </w:rPr>
            </w:pPr>
            <w:r w:rsidRPr="008616A5">
              <w:rPr>
                <w:rFonts w:eastAsia="Calibri" w:cs="Times New Roman"/>
                <w:sz w:val="18"/>
                <w:szCs w:val="18"/>
              </w:rPr>
              <w:t>Yes. Larvae eat fruit leaving holes in fruit and leaves</w:t>
            </w:r>
            <w:r>
              <w:rPr>
                <w:rFonts w:eastAsia="Calibri" w:cs="Times New Roman"/>
                <w:sz w:val="18"/>
                <w:szCs w:val="18"/>
              </w:rPr>
              <w:t>,</w:t>
            </w:r>
            <w:r w:rsidRPr="008616A5">
              <w:rPr>
                <w:rFonts w:eastAsia="Calibri" w:cs="Times New Roman"/>
                <w:sz w:val="18"/>
                <w:szCs w:val="18"/>
              </w:rPr>
              <w:t xml:space="preserve"> causing reduction in fruit marketab</w:t>
            </w:r>
            <w:r>
              <w:rPr>
                <w:rFonts w:eastAsia="Calibri" w:cs="Times New Roman"/>
                <w:sz w:val="18"/>
                <w:szCs w:val="18"/>
              </w:rPr>
              <w:t>i</w:t>
            </w:r>
            <w:r w:rsidRPr="008616A5">
              <w:rPr>
                <w:rFonts w:eastAsia="Calibri" w:cs="Times New Roman"/>
                <w:sz w:val="18"/>
                <w:szCs w:val="18"/>
              </w:rPr>
              <w:t xml:space="preserve">lity. It is a key pest of apple </w:t>
            </w:r>
            <w:r>
              <w:rPr>
                <w:rFonts w:eastAsia="Calibri" w:cs="Times New Roman"/>
                <w:noProof/>
                <w:sz w:val="18"/>
                <w:szCs w:val="18"/>
              </w:rPr>
              <w:t>(Caprile et al. 2006c; Dunley et al. 2006; Jones et al. 2005)</w:t>
            </w:r>
            <w:r>
              <w:rPr>
                <w:rFonts w:eastAsia="Calibri" w:cs="Times New Roman"/>
                <w:sz w:val="18"/>
                <w:szCs w:val="18"/>
              </w:rPr>
              <w:t>.</w:t>
            </w:r>
          </w:p>
        </w:tc>
        <w:tc>
          <w:tcPr>
            <w:tcW w:w="1191" w:type="dxa"/>
            <w:shd w:val="clear" w:color="auto" w:fill="auto"/>
          </w:tcPr>
          <w:p w14:paraId="2D529C98" w14:textId="77777777" w:rsidR="003438A2" w:rsidRPr="008616A5" w:rsidRDefault="003438A2" w:rsidP="00881E29">
            <w:pPr>
              <w:spacing w:before="60" w:after="60" w:line="240" w:lineRule="auto"/>
              <w:rPr>
                <w:rFonts w:eastAsia="Calibri" w:cs="Times New Roman"/>
                <w:sz w:val="18"/>
                <w:szCs w:val="18"/>
              </w:rPr>
            </w:pPr>
            <w:r w:rsidRPr="008616A5">
              <w:rPr>
                <w:rFonts w:eastAsia="Calibri" w:cs="Times New Roman"/>
                <w:sz w:val="18"/>
                <w:szCs w:val="18"/>
              </w:rPr>
              <w:t>Yes (EP)</w:t>
            </w:r>
          </w:p>
        </w:tc>
      </w:tr>
      <w:tr w:rsidR="003438A2" w:rsidRPr="007107BF" w14:paraId="6FAC930B" w14:textId="77777777" w:rsidTr="00C4199F">
        <w:trPr>
          <w:cantSplit/>
          <w:trHeight w:val="75"/>
          <w:jc w:val="center"/>
        </w:trPr>
        <w:tc>
          <w:tcPr>
            <w:tcW w:w="2553" w:type="dxa"/>
            <w:shd w:val="clear" w:color="auto" w:fill="auto"/>
          </w:tcPr>
          <w:p w14:paraId="36AD189B"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i/>
                <w:sz w:val="18"/>
                <w:szCs w:val="18"/>
              </w:rPr>
              <w:t xml:space="preserve">Pasiphila rectangulata </w:t>
            </w:r>
            <w:r w:rsidRPr="00410589">
              <w:rPr>
                <w:rFonts w:eastAsia="Calibri" w:cs="Times New Roman"/>
                <w:sz w:val="18"/>
                <w:szCs w:val="18"/>
              </w:rPr>
              <w:t>(Linnaeus, 1758)</w:t>
            </w:r>
          </w:p>
          <w:p w14:paraId="2995CCE6"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 xml:space="preserve">Synonym: </w:t>
            </w:r>
            <w:r w:rsidRPr="00410589">
              <w:rPr>
                <w:rFonts w:eastAsia="Calibri" w:cs="Times New Roman"/>
                <w:i/>
                <w:sz w:val="18"/>
                <w:szCs w:val="18"/>
              </w:rPr>
              <w:t xml:space="preserve">Chloroclystis rectangulata </w:t>
            </w:r>
            <w:r w:rsidRPr="00410589">
              <w:rPr>
                <w:rFonts w:eastAsia="Calibri" w:cs="Times New Roman"/>
                <w:sz w:val="18"/>
                <w:szCs w:val="18"/>
              </w:rPr>
              <w:t>(Linnaeus, 1758)</w:t>
            </w:r>
          </w:p>
          <w:p w14:paraId="72E25E2E"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[Geometridae]</w:t>
            </w:r>
          </w:p>
          <w:p w14:paraId="7144079D" w14:textId="77777777" w:rsidR="003438A2" w:rsidRPr="00410589" w:rsidRDefault="003438A2" w:rsidP="00881E29">
            <w:pPr>
              <w:spacing w:before="60" w:after="60" w:line="240" w:lineRule="auto"/>
              <w:rPr>
                <w:rFonts w:eastAsia="Calibri" w:cs="Times New Roman"/>
                <w:i/>
                <w:sz w:val="18"/>
                <w:szCs w:val="18"/>
                <w:lang w:val="pt-BR"/>
              </w:rPr>
            </w:pPr>
            <w:r w:rsidRPr="00410589">
              <w:rPr>
                <w:rFonts w:eastAsia="Calibri" w:cs="Times New Roman"/>
                <w:sz w:val="18"/>
                <w:szCs w:val="18"/>
              </w:rPr>
              <w:t>Green pug moth</w:t>
            </w:r>
          </w:p>
        </w:tc>
        <w:tc>
          <w:tcPr>
            <w:tcW w:w="1474" w:type="dxa"/>
            <w:shd w:val="clear" w:color="auto" w:fill="auto"/>
          </w:tcPr>
          <w:p w14:paraId="59E50A72" w14:textId="77777777" w:rsidR="003438A2" w:rsidRPr="00410589" w:rsidRDefault="003438A2" w:rsidP="003311A7">
            <w:pPr>
              <w:pStyle w:val="TableText"/>
              <w:rPr>
                <w:rFonts w:eastAsia="Calibri" w:cs="Times New Roman"/>
                <w:szCs w:val="18"/>
                <w:lang w:val="pt-BR"/>
              </w:rPr>
            </w:pPr>
            <w:r w:rsidRPr="00410589">
              <w:rPr>
                <w:rFonts w:eastAsia="Calibri" w:cs="Times New Roman"/>
                <w:szCs w:val="18"/>
              </w:rPr>
              <w:t xml:space="preserve">Yes. Present in WA </w:t>
            </w:r>
            <w:r w:rsidRPr="00410589">
              <w:rPr>
                <w:rFonts w:eastAsia="Calibri" w:cs="Times New Roman"/>
                <w:noProof/>
                <w:szCs w:val="18"/>
              </w:rPr>
              <w:t>(Ferguson &amp; Mello 1996; LaGasa 1996, 2008)</w:t>
            </w:r>
            <w:r w:rsidRPr="00410589">
              <w:rPr>
                <w:rFonts w:eastAsia="Calibri" w:cs="Arial"/>
                <w:szCs w:val="18"/>
              </w:rPr>
              <w:t xml:space="preserve"> </w:t>
            </w:r>
          </w:p>
        </w:tc>
        <w:tc>
          <w:tcPr>
            <w:tcW w:w="1474" w:type="dxa"/>
            <w:shd w:val="clear" w:color="auto" w:fill="auto"/>
          </w:tcPr>
          <w:p w14:paraId="42CE8D5B"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No records found</w:t>
            </w:r>
          </w:p>
        </w:tc>
        <w:tc>
          <w:tcPr>
            <w:tcW w:w="2552" w:type="dxa"/>
            <w:shd w:val="clear" w:color="auto" w:fill="auto"/>
          </w:tcPr>
          <w:p w14:paraId="0911C304" w14:textId="77777777" w:rsidR="003438A2" w:rsidRPr="00410589" w:rsidRDefault="003438A2" w:rsidP="003311A7">
            <w:pPr>
              <w:pStyle w:val="TableText"/>
            </w:pPr>
            <w:r w:rsidRPr="00410589">
              <w:t xml:space="preserve">No. Larvae eat buds, flowers and leaves of apple in spring. Damage to blossoms causes considerable deformation of fruit </w:t>
            </w:r>
            <w:r w:rsidRPr="00410589">
              <w:rPr>
                <w:noProof/>
              </w:rPr>
              <w:t>(Ferguson &amp; Mello 1996; LaGasa 1996; Maier 2007b)</w:t>
            </w:r>
            <w:r w:rsidRPr="00410589">
              <w:t>. This pest is highly unlikely to be found on commercially produced and processed apples, as infested fruit will be discarded during the harvest, sorting and packing process.</w:t>
            </w:r>
          </w:p>
        </w:tc>
        <w:tc>
          <w:tcPr>
            <w:tcW w:w="2381" w:type="dxa"/>
            <w:shd w:val="clear" w:color="auto" w:fill="auto"/>
          </w:tcPr>
          <w:p w14:paraId="09731399"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Assessment not required</w:t>
            </w:r>
          </w:p>
        </w:tc>
        <w:tc>
          <w:tcPr>
            <w:tcW w:w="2211" w:type="dxa"/>
            <w:shd w:val="clear" w:color="auto" w:fill="auto"/>
          </w:tcPr>
          <w:p w14:paraId="1EC38F54"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Assessment not required</w:t>
            </w:r>
          </w:p>
        </w:tc>
        <w:tc>
          <w:tcPr>
            <w:tcW w:w="1191" w:type="dxa"/>
            <w:shd w:val="clear" w:color="auto" w:fill="auto"/>
          </w:tcPr>
          <w:p w14:paraId="4F5E4C93" w14:textId="77777777" w:rsidR="003438A2" w:rsidRPr="007107BF" w:rsidRDefault="003438A2" w:rsidP="00881E29">
            <w:pPr>
              <w:spacing w:before="60" w:after="60" w:line="240" w:lineRule="auto"/>
              <w:rPr>
                <w:rFonts w:eastAsia="Calibri" w:cs="Times New Roman"/>
                <w:sz w:val="18"/>
                <w:szCs w:val="18"/>
              </w:rPr>
            </w:pPr>
            <w:r w:rsidRPr="00410589">
              <w:rPr>
                <w:rFonts w:eastAsia="Calibri" w:cs="Times New Roman"/>
                <w:sz w:val="18"/>
                <w:szCs w:val="18"/>
              </w:rPr>
              <w:t>No</w:t>
            </w:r>
          </w:p>
        </w:tc>
      </w:tr>
      <w:tr w:rsidR="003438A2" w:rsidRPr="007107BF" w14:paraId="7A6F31C3" w14:textId="77777777" w:rsidTr="00C4199F">
        <w:trPr>
          <w:cantSplit/>
          <w:trHeight w:val="75"/>
          <w:jc w:val="center"/>
        </w:trPr>
        <w:tc>
          <w:tcPr>
            <w:tcW w:w="2553" w:type="dxa"/>
            <w:shd w:val="clear" w:color="auto" w:fill="auto"/>
          </w:tcPr>
          <w:p w14:paraId="4A91FF90" w14:textId="77777777" w:rsidR="003438A2" w:rsidRPr="007107BF" w:rsidRDefault="003438A2" w:rsidP="00881E29">
            <w:pPr>
              <w:spacing w:before="60" w:after="60" w:line="240" w:lineRule="auto"/>
              <w:rPr>
                <w:rFonts w:eastAsia="Calibri" w:cs="Arial"/>
                <w:sz w:val="18"/>
                <w:szCs w:val="18"/>
              </w:rPr>
            </w:pPr>
            <w:r w:rsidRPr="007107BF">
              <w:rPr>
                <w:rFonts w:eastAsia="Calibri" w:cs="Arial"/>
                <w:i/>
                <w:sz w:val="18"/>
                <w:szCs w:val="18"/>
              </w:rPr>
              <w:lastRenderedPageBreak/>
              <w:t xml:space="preserve">Peridroma saucia </w:t>
            </w:r>
            <w:r w:rsidRPr="007107BF">
              <w:rPr>
                <w:rFonts w:eastAsia="Calibri" w:cs="Arial"/>
                <w:sz w:val="18"/>
                <w:szCs w:val="18"/>
              </w:rPr>
              <w:t>(Hübner, 1808)</w:t>
            </w:r>
          </w:p>
          <w:p w14:paraId="5E0606CF" w14:textId="77777777" w:rsidR="003438A2" w:rsidRPr="007107BF" w:rsidRDefault="003438A2" w:rsidP="00881E29">
            <w:pPr>
              <w:spacing w:before="60" w:after="60" w:line="240" w:lineRule="auto"/>
              <w:rPr>
                <w:rFonts w:eastAsia="Calibri" w:cs="Arial"/>
                <w:sz w:val="18"/>
                <w:szCs w:val="18"/>
              </w:rPr>
            </w:pPr>
            <w:r w:rsidRPr="007107BF">
              <w:rPr>
                <w:rFonts w:eastAsia="Calibri" w:cs="Arial"/>
                <w:iCs/>
                <w:sz w:val="18"/>
                <w:szCs w:val="18"/>
              </w:rPr>
              <w:t xml:space="preserve">Synonym: </w:t>
            </w:r>
            <w:r w:rsidRPr="007107BF">
              <w:rPr>
                <w:rFonts w:eastAsia="Calibri" w:cs="Arial"/>
                <w:i/>
                <w:iCs/>
                <w:sz w:val="18"/>
                <w:szCs w:val="18"/>
              </w:rPr>
              <w:t xml:space="preserve">Lycophotia saucia </w:t>
            </w:r>
            <w:r w:rsidRPr="007107BF">
              <w:rPr>
                <w:rFonts w:eastAsia="Calibri" w:cs="Arial"/>
                <w:sz w:val="18"/>
                <w:szCs w:val="18"/>
              </w:rPr>
              <w:t>Hübner, 1808</w:t>
            </w:r>
          </w:p>
          <w:p w14:paraId="284028B0" w14:textId="77777777" w:rsidR="003438A2" w:rsidRPr="007107BF" w:rsidRDefault="003438A2" w:rsidP="00881E29">
            <w:pPr>
              <w:spacing w:before="60" w:after="60" w:line="240" w:lineRule="auto"/>
              <w:rPr>
                <w:rFonts w:eastAsia="Calibri" w:cs="Arial"/>
                <w:sz w:val="18"/>
                <w:szCs w:val="18"/>
              </w:rPr>
            </w:pPr>
            <w:r w:rsidRPr="007107BF">
              <w:rPr>
                <w:rFonts w:eastAsia="Calibri" w:cs="Arial"/>
                <w:sz w:val="18"/>
                <w:szCs w:val="18"/>
              </w:rPr>
              <w:t>[Noctuidae]</w:t>
            </w:r>
          </w:p>
          <w:p w14:paraId="4065BA95" w14:textId="77777777" w:rsidR="003438A2" w:rsidRPr="007107BF" w:rsidRDefault="003438A2" w:rsidP="00881E29">
            <w:pPr>
              <w:spacing w:before="60" w:after="60" w:line="240" w:lineRule="auto"/>
              <w:rPr>
                <w:rFonts w:eastAsia="Calibri" w:cs="Times New Roman"/>
                <w:i/>
                <w:sz w:val="18"/>
                <w:szCs w:val="18"/>
                <w:lang w:val="pt-BR"/>
              </w:rPr>
            </w:pPr>
            <w:r w:rsidRPr="007107BF">
              <w:rPr>
                <w:rFonts w:eastAsia="Calibri" w:cs="Arial"/>
                <w:sz w:val="18"/>
                <w:szCs w:val="18"/>
              </w:rPr>
              <w:t>Pearly underwing moth</w:t>
            </w:r>
            <w:r>
              <w:rPr>
                <w:rFonts w:eastAsia="Calibri" w:cs="Arial"/>
                <w:sz w:val="18"/>
                <w:szCs w:val="18"/>
              </w:rPr>
              <w:t xml:space="preserve">; </w:t>
            </w:r>
            <w:r w:rsidRPr="007A252F">
              <w:rPr>
                <w:rFonts w:eastAsia="Calibri" w:cs="Arial"/>
                <w:sz w:val="18"/>
                <w:szCs w:val="18"/>
              </w:rPr>
              <w:t>variegated cutworm</w:t>
            </w:r>
          </w:p>
        </w:tc>
        <w:tc>
          <w:tcPr>
            <w:tcW w:w="1474" w:type="dxa"/>
            <w:shd w:val="clear" w:color="auto" w:fill="auto"/>
          </w:tcPr>
          <w:p w14:paraId="19B3CD62" w14:textId="77777777" w:rsidR="003438A2" w:rsidRDefault="003438A2" w:rsidP="00321810">
            <w:pPr>
              <w:spacing w:before="60" w:after="60" w:line="240" w:lineRule="auto"/>
              <w:rPr>
                <w:rFonts w:eastAsia="Calibri" w:cs="Arial"/>
                <w:sz w:val="18"/>
                <w:szCs w:val="18"/>
              </w:rPr>
            </w:pPr>
            <w:r w:rsidRPr="007107BF">
              <w:rPr>
                <w:rFonts w:eastAsia="Calibri" w:cs="Arial"/>
                <w:sz w:val="18"/>
                <w:szCs w:val="18"/>
              </w:rPr>
              <w:t xml:space="preserve">Yes. </w:t>
            </w:r>
            <w:r>
              <w:rPr>
                <w:rFonts w:eastAsia="Calibri" w:cs="Arial"/>
                <w:sz w:val="18"/>
                <w:szCs w:val="18"/>
              </w:rPr>
              <w:t>Present in</w:t>
            </w:r>
            <w:r w:rsidRPr="007107BF">
              <w:rPr>
                <w:rFonts w:eastAsia="Calibri" w:cs="Arial"/>
                <w:sz w:val="18"/>
                <w:szCs w:val="18"/>
              </w:rPr>
              <w:t xml:space="preserve"> OR </w:t>
            </w:r>
            <w:r>
              <w:rPr>
                <w:rFonts w:eastAsia="Calibri" w:cs="Arial"/>
                <w:sz w:val="18"/>
                <w:szCs w:val="18"/>
              </w:rPr>
              <w:t xml:space="preserve">and </w:t>
            </w:r>
            <w:r w:rsidRPr="007107BF">
              <w:rPr>
                <w:rFonts w:eastAsia="Calibri" w:cs="Arial"/>
                <w:sz w:val="18"/>
                <w:szCs w:val="18"/>
              </w:rPr>
              <w:t xml:space="preserve">WA) </w:t>
            </w:r>
            <w:r>
              <w:rPr>
                <w:rFonts w:eastAsia="Calibri" w:cs="Arial"/>
                <w:noProof/>
                <w:sz w:val="18"/>
                <w:szCs w:val="18"/>
              </w:rPr>
              <w:t>(CABI 2019; Rock 1975; West &amp; Miller 1989)</w:t>
            </w:r>
          </w:p>
          <w:p w14:paraId="21DAE79E" w14:textId="77777777" w:rsidR="003438A2" w:rsidRPr="007107BF" w:rsidRDefault="003438A2" w:rsidP="00881E29">
            <w:pPr>
              <w:spacing w:before="60" w:after="60" w:line="240" w:lineRule="auto"/>
              <w:rPr>
                <w:rFonts w:eastAsia="Calibri" w:cs="Times New Roman"/>
                <w:sz w:val="18"/>
                <w:szCs w:val="18"/>
                <w:lang w:val="pt-BR"/>
              </w:rPr>
            </w:pPr>
          </w:p>
        </w:tc>
        <w:tc>
          <w:tcPr>
            <w:tcW w:w="1474" w:type="dxa"/>
            <w:shd w:val="clear" w:color="auto" w:fill="auto"/>
          </w:tcPr>
          <w:p w14:paraId="65F46905"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records found</w:t>
            </w:r>
          </w:p>
        </w:tc>
        <w:tc>
          <w:tcPr>
            <w:tcW w:w="2552" w:type="dxa"/>
            <w:shd w:val="clear" w:color="auto" w:fill="auto"/>
          </w:tcPr>
          <w:p w14:paraId="6C6DCFBD" w14:textId="77777777" w:rsidR="003438A2" w:rsidRPr="007107BF" w:rsidRDefault="003438A2" w:rsidP="00881E29">
            <w:pPr>
              <w:spacing w:before="60" w:after="60" w:line="240" w:lineRule="auto"/>
              <w:rPr>
                <w:rFonts w:eastAsia="Calibri" w:cs="Times New Roman"/>
                <w:sz w:val="18"/>
                <w:szCs w:val="18"/>
              </w:rPr>
            </w:pPr>
            <w:r w:rsidRPr="00AD569C">
              <w:rPr>
                <w:rFonts w:eastAsia="Calibri" w:cs="Times New Roman"/>
                <w:sz w:val="18"/>
                <w:szCs w:val="18"/>
              </w:rPr>
              <w:t xml:space="preserve">No. Eggs are laid on foliage and on stems of plants or tree trunks. Larvae are inactive during the day and remain under surface debris or loose dirt at the base of host plants and pupate </w:t>
            </w:r>
            <w:r>
              <w:rPr>
                <w:rFonts w:eastAsia="Calibri" w:cs="Times New Roman"/>
                <w:noProof/>
                <w:sz w:val="18"/>
                <w:szCs w:val="18"/>
              </w:rPr>
              <w:t>(Mau &amp; Martin Kessing 2007)</w:t>
            </w:r>
            <w:r w:rsidRPr="00AD569C">
              <w:rPr>
                <w:rFonts w:eastAsia="Calibri" w:cs="Times New Roman"/>
                <w:sz w:val="18"/>
                <w:szCs w:val="18"/>
              </w:rPr>
              <w:t xml:space="preserve">. Larvae have been reported feeding on apple fruit </w:t>
            </w:r>
            <w:r>
              <w:rPr>
                <w:rFonts w:eastAsia="Calibri" w:cs="Times New Roman"/>
                <w:noProof/>
                <w:sz w:val="18"/>
                <w:szCs w:val="18"/>
              </w:rPr>
              <w:t>(Rock 1975)</w:t>
            </w:r>
            <w:r>
              <w:rPr>
                <w:rFonts w:eastAsia="Calibri" w:cs="Times New Roman"/>
                <w:sz w:val="18"/>
                <w:szCs w:val="18"/>
              </w:rPr>
              <w:t>;</w:t>
            </w:r>
            <w:r w:rsidRPr="00AD569C">
              <w:rPr>
                <w:rFonts w:eastAsia="Calibri" w:cs="Times New Roman"/>
                <w:sz w:val="18"/>
                <w:szCs w:val="18"/>
              </w:rPr>
              <w:t xml:space="preserve"> however, they are one of the few cutworm species that are known to climb the host plant to feed </w:t>
            </w:r>
            <w:r>
              <w:rPr>
                <w:rFonts w:eastAsia="Calibri" w:cs="Times New Roman"/>
                <w:sz w:val="18"/>
                <w:szCs w:val="18"/>
              </w:rPr>
              <w:t xml:space="preserve">only </w:t>
            </w:r>
            <w:r w:rsidRPr="00AD569C">
              <w:rPr>
                <w:rFonts w:eastAsia="Calibri" w:cs="Times New Roman"/>
                <w:sz w:val="18"/>
                <w:szCs w:val="18"/>
              </w:rPr>
              <w:t xml:space="preserve">during the night </w:t>
            </w:r>
            <w:r>
              <w:rPr>
                <w:rFonts w:eastAsia="Calibri" w:cs="Times New Roman"/>
                <w:noProof/>
                <w:sz w:val="18"/>
                <w:szCs w:val="18"/>
              </w:rPr>
              <w:t>(Mau &amp; Martin Kessing 2007; NCSU 1982)</w:t>
            </w:r>
            <w:r w:rsidRPr="00AD569C">
              <w:rPr>
                <w:rFonts w:eastAsia="Calibri" w:cs="Times New Roman"/>
                <w:sz w:val="18"/>
                <w:szCs w:val="18"/>
              </w:rPr>
              <w:t xml:space="preserve">. </w:t>
            </w:r>
            <w:r>
              <w:rPr>
                <w:rFonts w:eastAsia="Calibri" w:cs="Times New Roman"/>
                <w:sz w:val="18"/>
                <w:szCs w:val="18"/>
              </w:rPr>
              <w:t>Therefore, this pest will not be present on fruit when they are harvested during the day.</w:t>
            </w:r>
          </w:p>
        </w:tc>
        <w:tc>
          <w:tcPr>
            <w:tcW w:w="2381" w:type="dxa"/>
            <w:shd w:val="clear" w:color="auto" w:fill="auto"/>
          </w:tcPr>
          <w:p w14:paraId="4BC76737"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2211" w:type="dxa"/>
            <w:shd w:val="clear" w:color="auto" w:fill="auto"/>
          </w:tcPr>
          <w:p w14:paraId="3BCF9600"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1191" w:type="dxa"/>
            <w:shd w:val="clear" w:color="auto" w:fill="auto"/>
          </w:tcPr>
          <w:p w14:paraId="25BA62DB"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w:t>
            </w:r>
          </w:p>
        </w:tc>
      </w:tr>
      <w:tr w:rsidR="003438A2" w:rsidRPr="007107BF" w14:paraId="2C36DF5C" w14:textId="77777777" w:rsidTr="00C4199F">
        <w:trPr>
          <w:cantSplit/>
          <w:trHeight w:val="75"/>
          <w:jc w:val="center"/>
        </w:trPr>
        <w:tc>
          <w:tcPr>
            <w:tcW w:w="2553" w:type="dxa"/>
            <w:shd w:val="clear" w:color="auto" w:fill="auto"/>
          </w:tcPr>
          <w:p w14:paraId="16D50D9D" w14:textId="77777777" w:rsidR="003438A2" w:rsidRPr="007107BF" w:rsidRDefault="003438A2" w:rsidP="00881E29">
            <w:pPr>
              <w:spacing w:before="60" w:after="60" w:line="240" w:lineRule="auto"/>
              <w:rPr>
                <w:rFonts w:eastAsia="Calibri" w:cs="Arial"/>
                <w:sz w:val="18"/>
                <w:szCs w:val="18"/>
              </w:rPr>
            </w:pPr>
            <w:r w:rsidRPr="007107BF">
              <w:rPr>
                <w:rFonts w:eastAsia="Calibri" w:cs="Arial"/>
                <w:i/>
                <w:sz w:val="18"/>
                <w:szCs w:val="18"/>
              </w:rPr>
              <w:t xml:space="preserve">Phyllonorycter blancardella </w:t>
            </w:r>
            <w:r w:rsidRPr="007107BF">
              <w:rPr>
                <w:rFonts w:eastAsia="Calibri" w:cs="Arial"/>
                <w:sz w:val="18"/>
                <w:szCs w:val="18"/>
              </w:rPr>
              <w:t>(Fabricius, 1781)</w:t>
            </w:r>
          </w:p>
          <w:p w14:paraId="0677F89C" w14:textId="77777777" w:rsidR="003438A2" w:rsidRPr="007107BF" w:rsidRDefault="003438A2" w:rsidP="00881E29">
            <w:pPr>
              <w:spacing w:before="60" w:after="60" w:line="240" w:lineRule="auto"/>
              <w:rPr>
                <w:rFonts w:eastAsia="Calibri" w:cs="Arial"/>
                <w:sz w:val="18"/>
                <w:szCs w:val="18"/>
              </w:rPr>
            </w:pPr>
            <w:r w:rsidRPr="007107BF">
              <w:rPr>
                <w:rFonts w:eastAsia="Calibri" w:cs="Arial"/>
                <w:sz w:val="18"/>
                <w:szCs w:val="18"/>
              </w:rPr>
              <w:t xml:space="preserve">Synonym: </w:t>
            </w:r>
            <w:r w:rsidRPr="007107BF">
              <w:rPr>
                <w:rFonts w:eastAsia="Calibri" w:cs="Arial"/>
                <w:i/>
                <w:sz w:val="18"/>
                <w:szCs w:val="18"/>
              </w:rPr>
              <w:t xml:space="preserve">Lithocolletis blancardella </w:t>
            </w:r>
            <w:r w:rsidRPr="007107BF">
              <w:rPr>
                <w:rFonts w:eastAsia="Calibri" w:cs="Arial"/>
                <w:sz w:val="18"/>
                <w:szCs w:val="18"/>
              </w:rPr>
              <w:t>(Fabricius, 1781)</w:t>
            </w:r>
          </w:p>
          <w:p w14:paraId="43893178" w14:textId="77777777" w:rsidR="003438A2" w:rsidRPr="007107BF" w:rsidRDefault="003438A2" w:rsidP="00881E29">
            <w:pPr>
              <w:spacing w:before="60" w:after="60" w:line="240" w:lineRule="auto"/>
              <w:rPr>
                <w:rFonts w:eastAsia="Calibri" w:cs="Arial"/>
                <w:i/>
                <w:sz w:val="18"/>
                <w:szCs w:val="18"/>
              </w:rPr>
            </w:pPr>
            <w:r w:rsidRPr="007107BF">
              <w:rPr>
                <w:rFonts w:eastAsia="Calibri" w:cs="Arial"/>
                <w:sz w:val="18"/>
                <w:szCs w:val="18"/>
              </w:rPr>
              <w:t>[Gracillariidae]</w:t>
            </w:r>
          </w:p>
          <w:p w14:paraId="013B964C" w14:textId="77777777" w:rsidR="003438A2" w:rsidRPr="007107BF" w:rsidRDefault="003438A2" w:rsidP="00881E29">
            <w:pPr>
              <w:spacing w:before="60" w:after="60" w:line="240" w:lineRule="auto"/>
              <w:rPr>
                <w:rFonts w:eastAsia="Calibri" w:cs="Times New Roman"/>
                <w:i/>
                <w:sz w:val="18"/>
                <w:szCs w:val="18"/>
                <w:lang w:val="pt-BR"/>
              </w:rPr>
            </w:pPr>
            <w:r w:rsidRPr="007107BF">
              <w:rPr>
                <w:rFonts w:eastAsia="Calibri" w:cs="Arial"/>
                <w:sz w:val="18"/>
                <w:szCs w:val="18"/>
              </w:rPr>
              <w:t>Spotted tentiform leafminer</w:t>
            </w:r>
          </w:p>
        </w:tc>
        <w:tc>
          <w:tcPr>
            <w:tcW w:w="1474" w:type="dxa"/>
            <w:shd w:val="clear" w:color="auto" w:fill="auto"/>
          </w:tcPr>
          <w:p w14:paraId="6601A2F2" w14:textId="77777777" w:rsidR="003438A2" w:rsidRPr="007107BF" w:rsidRDefault="003438A2" w:rsidP="00881E29">
            <w:pPr>
              <w:spacing w:before="60" w:after="60" w:line="240" w:lineRule="auto"/>
              <w:rPr>
                <w:rFonts w:eastAsia="Calibri" w:cs="Times New Roman"/>
                <w:sz w:val="18"/>
                <w:szCs w:val="18"/>
                <w:lang w:val="pt-BR"/>
              </w:rPr>
            </w:pPr>
            <w:r w:rsidRPr="007107BF">
              <w:rPr>
                <w:rFonts w:eastAsia="Calibri" w:cs="Arial"/>
                <w:sz w:val="18"/>
                <w:szCs w:val="18"/>
              </w:rPr>
              <w:t xml:space="preserve">Yes. </w:t>
            </w:r>
            <w:r>
              <w:rPr>
                <w:rFonts w:eastAsia="Calibri" w:cs="Arial"/>
                <w:sz w:val="18"/>
                <w:szCs w:val="18"/>
              </w:rPr>
              <w:t>Present in</w:t>
            </w:r>
            <w:r w:rsidRPr="007107BF">
              <w:rPr>
                <w:rFonts w:eastAsia="Calibri" w:cs="Arial"/>
                <w:sz w:val="18"/>
                <w:szCs w:val="18"/>
              </w:rPr>
              <w:t xml:space="preserve"> OR</w:t>
            </w:r>
            <w:r>
              <w:rPr>
                <w:rFonts w:eastAsia="Calibri" w:cs="Arial"/>
                <w:sz w:val="18"/>
                <w:szCs w:val="18"/>
              </w:rPr>
              <w:t xml:space="preserve"> and</w:t>
            </w:r>
            <w:r w:rsidRPr="007107BF">
              <w:rPr>
                <w:rFonts w:eastAsia="Calibri" w:cs="Arial"/>
                <w:sz w:val="18"/>
                <w:szCs w:val="18"/>
              </w:rPr>
              <w:t xml:space="preserve"> WA </w:t>
            </w:r>
            <w:r>
              <w:rPr>
                <w:rFonts w:eastAsia="Calibri" w:cs="Arial"/>
                <w:noProof/>
                <w:sz w:val="18"/>
                <w:szCs w:val="18"/>
              </w:rPr>
              <w:t>(Landry &amp; Wagner 1995)</w:t>
            </w:r>
          </w:p>
        </w:tc>
        <w:tc>
          <w:tcPr>
            <w:tcW w:w="1474" w:type="dxa"/>
            <w:shd w:val="clear" w:color="auto" w:fill="auto"/>
          </w:tcPr>
          <w:p w14:paraId="67D506BD"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records found</w:t>
            </w:r>
          </w:p>
        </w:tc>
        <w:tc>
          <w:tcPr>
            <w:tcW w:w="2552" w:type="dxa"/>
            <w:shd w:val="clear" w:color="auto" w:fill="auto"/>
          </w:tcPr>
          <w:p w14:paraId="72706A62" w14:textId="6A44FCD1" w:rsidR="003438A2" w:rsidRPr="007107BF" w:rsidRDefault="003438A2" w:rsidP="00321810">
            <w:pPr>
              <w:spacing w:before="60" w:after="60" w:line="240" w:lineRule="auto"/>
              <w:rPr>
                <w:rFonts w:eastAsia="Calibri" w:cs="Times New Roman"/>
                <w:sz w:val="18"/>
                <w:szCs w:val="18"/>
              </w:rPr>
            </w:pPr>
            <w:r w:rsidRPr="000D115B">
              <w:rPr>
                <w:rFonts w:eastAsia="Calibri" w:cs="Times New Roman"/>
                <w:sz w:val="18"/>
                <w:szCs w:val="18"/>
              </w:rPr>
              <w:t>No. Larvae are leaf miners of apple (</w:t>
            </w:r>
            <w:r w:rsidRPr="009840E8">
              <w:rPr>
                <w:rFonts w:eastAsia="Calibri" w:cs="Times New Roman"/>
                <w:i/>
                <w:sz w:val="18"/>
                <w:szCs w:val="18"/>
              </w:rPr>
              <w:t xml:space="preserve">Malus </w:t>
            </w:r>
            <w:r w:rsidRPr="000D115B">
              <w:rPr>
                <w:rFonts w:eastAsia="Calibri" w:cs="Times New Roman"/>
                <w:sz w:val="18"/>
                <w:szCs w:val="18"/>
              </w:rPr>
              <w:t xml:space="preserve">spp.) </w:t>
            </w:r>
            <w:r>
              <w:rPr>
                <w:rFonts w:eastAsia="Calibri" w:cs="Times New Roman"/>
                <w:noProof/>
                <w:sz w:val="18"/>
                <w:szCs w:val="18"/>
              </w:rPr>
              <w:t>(Landry &amp; Wagner 1995)</w:t>
            </w:r>
            <w:r w:rsidRPr="000D115B">
              <w:rPr>
                <w:rFonts w:eastAsia="Calibri" w:cs="Times New Roman"/>
                <w:sz w:val="18"/>
                <w:szCs w:val="18"/>
              </w:rPr>
              <w:t>. The eggs are laid on the underside of leaves and the larvae feed on leaves</w:t>
            </w:r>
            <w:r>
              <w:rPr>
                <w:rFonts w:eastAsia="Calibri" w:cs="Times New Roman"/>
                <w:sz w:val="18"/>
                <w:szCs w:val="18"/>
              </w:rPr>
              <w:t xml:space="preserve"> </w:t>
            </w:r>
            <w:r>
              <w:rPr>
                <w:rFonts w:eastAsia="Times New Roman" w:cs="Calibri"/>
                <w:noProof/>
                <w:color w:val="000000"/>
                <w:sz w:val="18"/>
                <w:szCs w:val="18"/>
                <w:lang w:eastAsia="en-AU"/>
              </w:rPr>
              <w:t>(BugGuide 2022)</w:t>
            </w:r>
            <w:r>
              <w:rPr>
                <w:rFonts w:eastAsia="Times New Roman" w:cs="Calibri"/>
                <w:color w:val="000000"/>
                <w:sz w:val="18"/>
                <w:szCs w:val="18"/>
                <w:lang w:eastAsia="en-AU"/>
              </w:rPr>
              <w:t xml:space="preserve">. </w:t>
            </w:r>
            <w:r w:rsidRPr="000D115B">
              <w:rPr>
                <w:rFonts w:eastAsia="Calibri" w:cs="Times New Roman"/>
                <w:sz w:val="18"/>
                <w:szCs w:val="18"/>
              </w:rPr>
              <w:t>The pest may also feed on</w:t>
            </w:r>
            <w:r>
              <w:rPr>
                <w:rFonts w:eastAsia="Calibri" w:cs="Times New Roman"/>
                <w:sz w:val="18"/>
                <w:szCs w:val="18"/>
              </w:rPr>
              <w:t xml:space="preserve"> </w:t>
            </w:r>
            <w:r w:rsidRPr="000D115B">
              <w:rPr>
                <w:rFonts w:eastAsia="Calibri" w:cs="Times New Roman"/>
                <w:sz w:val="18"/>
                <w:szCs w:val="18"/>
              </w:rPr>
              <w:t>fruit causing premature dro</w:t>
            </w:r>
            <w:r>
              <w:rPr>
                <w:rFonts w:eastAsia="Calibri" w:cs="Times New Roman"/>
                <w:sz w:val="18"/>
                <w:szCs w:val="18"/>
              </w:rPr>
              <w:t xml:space="preserve">p </w:t>
            </w:r>
            <w:r>
              <w:rPr>
                <w:rFonts w:eastAsia="Calibri" w:cs="Times New Roman"/>
                <w:noProof/>
                <w:sz w:val="18"/>
                <w:szCs w:val="18"/>
              </w:rPr>
              <w:t>(CABI 2022)</w:t>
            </w:r>
            <w:r w:rsidR="007B4790">
              <w:rPr>
                <w:rFonts w:eastAsia="Calibri" w:cs="Times New Roman"/>
                <w:noProof/>
                <w:sz w:val="18"/>
                <w:szCs w:val="18"/>
              </w:rPr>
              <w:t>.</w:t>
            </w:r>
            <w:r>
              <w:rPr>
                <w:rFonts w:eastAsia="Calibri" w:cs="Times New Roman"/>
                <w:noProof/>
                <w:sz w:val="18"/>
                <w:szCs w:val="18"/>
              </w:rPr>
              <w:t xml:space="preserve"> </w:t>
            </w:r>
          </w:p>
        </w:tc>
        <w:tc>
          <w:tcPr>
            <w:tcW w:w="2381" w:type="dxa"/>
            <w:shd w:val="clear" w:color="auto" w:fill="auto"/>
          </w:tcPr>
          <w:p w14:paraId="5DAE16C1"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2211" w:type="dxa"/>
            <w:shd w:val="clear" w:color="auto" w:fill="auto"/>
          </w:tcPr>
          <w:p w14:paraId="7AABCC57"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1191" w:type="dxa"/>
            <w:shd w:val="clear" w:color="auto" w:fill="auto"/>
          </w:tcPr>
          <w:p w14:paraId="2BCB2AD4"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w:t>
            </w:r>
          </w:p>
        </w:tc>
      </w:tr>
      <w:tr w:rsidR="003438A2" w:rsidRPr="007107BF" w14:paraId="159A718A" w14:textId="77777777" w:rsidTr="00C4199F">
        <w:trPr>
          <w:cantSplit/>
          <w:trHeight w:val="75"/>
          <w:jc w:val="center"/>
        </w:trPr>
        <w:tc>
          <w:tcPr>
            <w:tcW w:w="2553" w:type="dxa"/>
            <w:shd w:val="clear" w:color="auto" w:fill="FFFFFF" w:themeFill="background1"/>
          </w:tcPr>
          <w:p w14:paraId="502385D1"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i/>
                <w:sz w:val="18"/>
                <w:szCs w:val="18"/>
              </w:rPr>
              <w:t>Phyllonorycter elmaella</w:t>
            </w:r>
            <w:r w:rsidRPr="007107BF">
              <w:rPr>
                <w:rFonts w:eastAsia="Calibri" w:cs="Times New Roman"/>
                <w:sz w:val="18"/>
                <w:szCs w:val="18"/>
              </w:rPr>
              <w:t xml:space="preserve"> Doganlar &amp; Mutuura, 1980</w:t>
            </w:r>
          </w:p>
          <w:p w14:paraId="7DD18202" w14:textId="77777777" w:rsidR="003438A2" w:rsidRPr="007107BF" w:rsidRDefault="003438A2" w:rsidP="00881E29">
            <w:pPr>
              <w:spacing w:before="60" w:after="60" w:line="240" w:lineRule="auto"/>
              <w:rPr>
                <w:rFonts w:eastAsia="Calibri" w:cs="Arial"/>
                <w:i/>
                <w:sz w:val="18"/>
                <w:szCs w:val="18"/>
              </w:rPr>
            </w:pPr>
            <w:r w:rsidRPr="007107BF">
              <w:rPr>
                <w:rFonts w:eastAsia="Calibri" w:cs="Arial"/>
                <w:sz w:val="18"/>
                <w:szCs w:val="18"/>
              </w:rPr>
              <w:t>[Gracillariidae]</w:t>
            </w:r>
          </w:p>
          <w:p w14:paraId="697573D2" w14:textId="77777777" w:rsidR="003438A2" w:rsidRPr="007107BF" w:rsidRDefault="003438A2" w:rsidP="00881E29">
            <w:pPr>
              <w:spacing w:before="60" w:after="60" w:line="240" w:lineRule="auto"/>
              <w:rPr>
                <w:rFonts w:eastAsia="Calibri" w:cs="Times New Roman"/>
                <w:i/>
                <w:sz w:val="18"/>
                <w:szCs w:val="18"/>
                <w:lang w:val="pt-BR"/>
              </w:rPr>
            </w:pPr>
            <w:r w:rsidRPr="007107BF">
              <w:rPr>
                <w:rFonts w:eastAsia="Calibri" w:cs="Times New Roman"/>
                <w:sz w:val="18"/>
                <w:szCs w:val="18"/>
              </w:rPr>
              <w:t>Western tentiform leafminer</w:t>
            </w:r>
          </w:p>
        </w:tc>
        <w:tc>
          <w:tcPr>
            <w:tcW w:w="1474" w:type="dxa"/>
            <w:shd w:val="clear" w:color="auto" w:fill="FFFFFF" w:themeFill="background1"/>
          </w:tcPr>
          <w:p w14:paraId="59E92B1C" w14:textId="77777777" w:rsidR="003438A2" w:rsidRPr="007107BF" w:rsidRDefault="003438A2" w:rsidP="00881E29">
            <w:pPr>
              <w:spacing w:before="60" w:after="60" w:line="240" w:lineRule="auto"/>
              <w:rPr>
                <w:rFonts w:eastAsia="Calibri" w:cs="Times New Roman"/>
                <w:sz w:val="18"/>
                <w:szCs w:val="18"/>
                <w:lang w:val="pt-BR"/>
              </w:rPr>
            </w:pPr>
            <w:r w:rsidRPr="007107BF">
              <w:rPr>
                <w:rFonts w:eastAsia="Calibri" w:cs="Times New Roman"/>
                <w:sz w:val="18"/>
                <w:szCs w:val="18"/>
              </w:rPr>
              <w:t xml:space="preserve">Yes. </w:t>
            </w:r>
            <w:r>
              <w:rPr>
                <w:rFonts w:eastAsia="Calibri" w:cs="Times New Roman"/>
                <w:sz w:val="18"/>
                <w:szCs w:val="18"/>
              </w:rPr>
              <w:t>Present in</w:t>
            </w:r>
            <w:r w:rsidRPr="007107BF">
              <w:rPr>
                <w:rFonts w:eastAsia="Calibri" w:cs="Times New Roman"/>
                <w:sz w:val="18"/>
                <w:szCs w:val="18"/>
              </w:rPr>
              <w:t xml:space="preserve"> ID, OR</w:t>
            </w:r>
            <w:r>
              <w:rPr>
                <w:rFonts w:eastAsia="Calibri" w:cs="Times New Roman"/>
                <w:sz w:val="18"/>
                <w:szCs w:val="18"/>
              </w:rPr>
              <w:t xml:space="preserve"> and</w:t>
            </w:r>
            <w:r w:rsidRPr="007107BF">
              <w:rPr>
                <w:rFonts w:eastAsia="Calibri" w:cs="Times New Roman"/>
                <w:sz w:val="18"/>
                <w:szCs w:val="18"/>
              </w:rPr>
              <w:t xml:space="preserve"> WA </w:t>
            </w:r>
            <w:r>
              <w:rPr>
                <w:rFonts w:eastAsia="Calibri" w:cs="Times New Roman"/>
                <w:noProof/>
                <w:sz w:val="18"/>
                <w:szCs w:val="18"/>
              </w:rPr>
              <w:t>(APHIS 2007; Beers, Brunner &amp; Barrett 2007; Landry &amp; Wagner 1995)</w:t>
            </w:r>
          </w:p>
        </w:tc>
        <w:tc>
          <w:tcPr>
            <w:tcW w:w="1474" w:type="dxa"/>
            <w:shd w:val="clear" w:color="auto" w:fill="FFFFFF" w:themeFill="background1"/>
          </w:tcPr>
          <w:p w14:paraId="6127B99F"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records found</w:t>
            </w:r>
          </w:p>
        </w:tc>
        <w:tc>
          <w:tcPr>
            <w:tcW w:w="2552" w:type="dxa"/>
            <w:shd w:val="clear" w:color="auto" w:fill="FFFFFF" w:themeFill="background1"/>
          </w:tcPr>
          <w:p w14:paraId="4C08EA8B"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Eggs are laid on the undersides of leaves</w:t>
            </w:r>
            <w:r>
              <w:rPr>
                <w:rFonts w:eastAsia="Calibri" w:cs="Times New Roman"/>
                <w:sz w:val="18"/>
                <w:szCs w:val="18"/>
              </w:rPr>
              <w:t>;</w:t>
            </w:r>
            <w:r w:rsidRPr="007107BF">
              <w:rPr>
                <w:rFonts w:eastAsia="Calibri" w:cs="Times New Roman"/>
                <w:sz w:val="18"/>
                <w:szCs w:val="18"/>
              </w:rPr>
              <w:t xml:space="preserve"> larvae mine apple leaves and pupate in fallen leaves </w:t>
            </w:r>
            <w:r>
              <w:rPr>
                <w:rFonts w:eastAsia="Calibri" w:cs="Times New Roman"/>
                <w:noProof/>
                <w:sz w:val="18"/>
                <w:szCs w:val="18"/>
              </w:rPr>
              <w:t>(Beers, Brunner &amp; Barrett 2007; Simone 2004)</w:t>
            </w:r>
            <w:r>
              <w:rPr>
                <w:rFonts w:eastAsia="Calibri" w:cs="Times New Roman"/>
                <w:sz w:val="18"/>
                <w:szCs w:val="18"/>
              </w:rPr>
              <w:t>. L</w:t>
            </w:r>
            <w:r w:rsidRPr="007107BF">
              <w:rPr>
                <w:rFonts w:eastAsia="Calibri" w:cs="Times New Roman"/>
                <w:sz w:val="18"/>
                <w:szCs w:val="18"/>
              </w:rPr>
              <w:t xml:space="preserve">arvae do not feed on apple fruit </w:t>
            </w:r>
            <w:r>
              <w:rPr>
                <w:rFonts w:eastAsia="Calibri" w:cs="Times New Roman"/>
                <w:noProof/>
                <w:sz w:val="18"/>
                <w:szCs w:val="18"/>
              </w:rPr>
              <w:t>(APHIS 2007)</w:t>
            </w:r>
            <w:r>
              <w:rPr>
                <w:rFonts w:eastAsia="Calibri" w:cs="Times New Roman"/>
                <w:sz w:val="18"/>
                <w:szCs w:val="18"/>
              </w:rPr>
              <w:t>.</w:t>
            </w:r>
          </w:p>
        </w:tc>
        <w:tc>
          <w:tcPr>
            <w:tcW w:w="2381" w:type="dxa"/>
            <w:shd w:val="clear" w:color="auto" w:fill="FFFFFF" w:themeFill="background1"/>
          </w:tcPr>
          <w:p w14:paraId="0D1AB1E9"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2211" w:type="dxa"/>
            <w:shd w:val="clear" w:color="auto" w:fill="FFFFFF" w:themeFill="background1"/>
          </w:tcPr>
          <w:p w14:paraId="54280233"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1191" w:type="dxa"/>
            <w:shd w:val="clear" w:color="auto" w:fill="FFFFFF" w:themeFill="background1"/>
          </w:tcPr>
          <w:p w14:paraId="1DE92E1B"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w:t>
            </w:r>
          </w:p>
        </w:tc>
      </w:tr>
      <w:tr w:rsidR="003438A2" w:rsidRPr="007107BF" w14:paraId="00A52E59" w14:textId="77777777" w:rsidTr="00C4199F">
        <w:trPr>
          <w:cantSplit/>
          <w:trHeight w:val="75"/>
          <w:jc w:val="center"/>
        </w:trPr>
        <w:tc>
          <w:tcPr>
            <w:tcW w:w="2553" w:type="dxa"/>
            <w:shd w:val="clear" w:color="auto" w:fill="FFFFFF" w:themeFill="background1"/>
          </w:tcPr>
          <w:p w14:paraId="610289A8"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i/>
                <w:sz w:val="18"/>
                <w:szCs w:val="18"/>
              </w:rPr>
              <w:lastRenderedPageBreak/>
              <w:t>Phyllonorycter mespilella</w:t>
            </w:r>
            <w:r w:rsidRPr="007107BF">
              <w:rPr>
                <w:rFonts w:eastAsia="Calibri" w:cs="Times New Roman"/>
                <w:sz w:val="18"/>
                <w:szCs w:val="18"/>
              </w:rPr>
              <w:t xml:space="preserve"> (Hübner, 1805)</w:t>
            </w:r>
          </w:p>
          <w:p w14:paraId="3967D9A8" w14:textId="77777777" w:rsidR="003438A2" w:rsidRPr="007107BF" w:rsidRDefault="003438A2" w:rsidP="00881E29">
            <w:pPr>
              <w:spacing w:before="60" w:after="60" w:line="240" w:lineRule="auto"/>
              <w:rPr>
                <w:rFonts w:eastAsia="Calibri" w:cs="Arial"/>
                <w:i/>
                <w:sz w:val="18"/>
                <w:szCs w:val="18"/>
              </w:rPr>
            </w:pPr>
            <w:r w:rsidRPr="007107BF">
              <w:rPr>
                <w:rFonts w:eastAsia="Calibri" w:cs="Arial"/>
                <w:sz w:val="18"/>
                <w:szCs w:val="18"/>
              </w:rPr>
              <w:t>[Gracillariidae]</w:t>
            </w:r>
          </w:p>
          <w:p w14:paraId="6015E3E3" w14:textId="77777777" w:rsidR="003438A2" w:rsidRPr="007107BF" w:rsidRDefault="003438A2" w:rsidP="00881E29">
            <w:pPr>
              <w:spacing w:before="60" w:after="60" w:line="240" w:lineRule="auto"/>
              <w:rPr>
                <w:rFonts w:eastAsia="Calibri" w:cs="Times New Roman"/>
                <w:i/>
                <w:sz w:val="18"/>
                <w:szCs w:val="18"/>
                <w:lang w:val="pt-BR"/>
              </w:rPr>
            </w:pPr>
            <w:r w:rsidRPr="007107BF">
              <w:rPr>
                <w:rFonts w:eastAsia="Calibri" w:cs="Times New Roman"/>
                <w:sz w:val="18"/>
                <w:szCs w:val="18"/>
              </w:rPr>
              <w:t>Apple leafmining moth</w:t>
            </w:r>
          </w:p>
        </w:tc>
        <w:tc>
          <w:tcPr>
            <w:tcW w:w="1474" w:type="dxa"/>
            <w:shd w:val="clear" w:color="auto" w:fill="FFFFFF" w:themeFill="background1"/>
          </w:tcPr>
          <w:p w14:paraId="42D45DD9" w14:textId="77777777" w:rsidR="003438A2" w:rsidRPr="007107BF" w:rsidRDefault="003438A2" w:rsidP="00881E29">
            <w:pPr>
              <w:spacing w:before="60" w:after="60" w:line="240" w:lineRule="auto"/>
              <w:rPr>
                <w:rFonts w:eastAsia="Calibri" w:cs="Times New Roman"/>
                <w:sz w:val="18"/>
                <w:szCs w:val="18"/>
                <w:lang w:val="pt-BR"/>
              </w:rPr>
            </w:pPr>
            <w:r w:rsidRPr="007107BF">
              <w:rPr>
                <w:rFonts w:eastAsia="Calibri" w:cs="Times New Roman"/>
                <w:sz w:val="18"/>
                <w:szCs w:val="18"/>
              </w:rPr>
              <w:t xml:space="preserve">Yes. </w:t>
            </w:r>
            <w:r>
              <w:rPr>
                <w:rFonts w:eastAsia="Calibri" w:cs="Times New Roman"/>
                <w:sz w:val="18"/>
                <w:szCs w:val="18"/>
              </w:rPr>
              <w:t>Present in</w:t>
            </w:r>
            <w:r w:rsidRPr="007107BF">
              <w:rPr>
                <w:rFonts w:eastAsia="Calibri" w:cs="Times New Roman"/>
                <w:sz w:val="18"/>
                <w:szCs w:val="18"/>
              </w:rPr>
              <w:t xml:space="preserve"> OR</w:t>
            </w:r>
            <w:r>
              <w:rPr>
                <w:rFonts w:eastAsia="Calibri" w:cs="Times New Roman"/>
                <w:sz w:val="18"/>
                <w:szCs w:val="18"/>
              </w:rPr>
              <w:t xml:space="preserve"> and</w:t>
            </w:r>
            <w:r w:rsidRPr="007107BF">
              <w:rPr>
                <w:rFonts w:eastAsia="Calibri" w:cs="Times New Roman"/>
                <w:sz w:val="18"/>
                <w:szCs w:val="18"/>
              </w:rPr>
              <w:t xml:space="preserve"> WA </w:t>
            </w:r>
            <w:r>
              <w:rPr>
                <w:rFonts w:eastAsia="Calibri" w:cs="Times New Roman"/>
                <w:noProof/>
                <w:sz w:val="18"/>
                <w:szCs w:val="18"/>
              </w:rPr>
              <w:t>(Landry &amp; Wagner 1995; Varela et al. 1997)</w:t>
            </w:r>
          </w:p>
        </w:tc>
        <w:tc>
          <w:tcPr>
            <w:tcW w:w="1474" w:type="dxa"/>
            <w:shd w:val="clear" w:color="auto" w:fill="FFFFFF" w:themeFill="background1"/>
          </w:tcPr>
          <w:p w14:paraId="68211443"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records found</w:t>
            </w:r>
          </w:p>
        </w:tc>
        <w:tc>
          <w:tcPr>
            <w:tcW w:w="2552" w:type="dxa"/>
            <w:shd w:val="clear" w:color="auto" w:fill="FFFFFF" w:themeFill="background1"/>
          </w:tcPr>
          <w:p w14:paraId="581344A7"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Larvae mine the leaves of various apple cultivars and crabapples (</w:t>
            </w:r>
            <w:r w:rsidRPr="007107BF">
              <w:rPr>
                <w:rFonts w:eastAsia="Calibri" w:cs="Times New Roman"/>
                <w:i/>
                <w:sz w:val="18"/>
                <w:szCs w:val="18"/>
              </w:rPr>
              <w:t xml:space="preserve">Malus </w:t>
            </w:r>
            <w:r w:rsidRPr="007107BF">
              <w:rPr>
                <w:rFonts w:eastAsia="Calibri" w:cs="Times New Roman"/>
                <w:sz w:val="18"/>
                <w:szCs w:val="18"/>
              </w:rPr>
              <w:t xml:space="preserve">spp.) </w:t>
            </w:r>
            <w:r>
              <w:rPr>
                <w:rFonts w:eastAsia="Calibri" w:cs="Times New Roman"/>
                <w:noProof/>
                <w:sz w:val="18"/>
                <w:szCs w:val="18"/>
              </w:rPr>
              <w:t>(Meristem Land and Science 2002)</w:t>
            </w:r>
            <w:r w:rsidRPr="007107BF">
              <w:rPr>
                <w:rFonts w:eastAsia="Calibri" w:cs="Times New Roman"/>
                <w:sz w:val="18"/>
                <w:szCs w:val="18"/>
              </w:rPr>
              <w:t xml:space="preserve"> and other rosaceous plants </w:t>
            </w:r>
            <w:r>
              <w:rPr>
                <w:rFonts w:eastAsia="Calibri" w:cs="Times New Roman"/>
                <w:noProof/>
                <w:sz w:val="18"/>
                <w:szCs w:val="18"/>
              </w:rPr>
              <w:t>(Borden, Lange &amp; Madsen 1953; Landry &amp; Wagner 1995)</w:t>
            </w:r>
            <w:r>
              <w:rPr>
                <w:rFonts w:eastAsia="Calibri" w:cs="Times New Roman"/>
                <w:sz w:val="18"/>
                <w:szCs w:val="18"/>
              </w:rPr>
              <w:t>.</w:t>
            </w:r>
          </w:p>
        </w:tc>
        <w:tc>
          <w:tcPr>
            <w:tcW w:w="2381" w:type="dxa"/>
            <w:shd w:val="clear" w:color="auto" w:fill="FFFFFF" w:themeFill="background1"/>
          </w:tcPr>
          <w:p w14:paraId="763D8D3C"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2211" w:type="dxa"/>
            <w:shd w:val="clear" w:color="auto" w:fill="FFFFFF" w:themeFill="background1"/>
          </w:tcPr>
          <w:p w14:paraId="32603D72"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1191" w:type="dxa"/>
            <w:shd w:val="clear" w:color="auto" w:fill="FFFFFF" w:themeFill="background1"/>
          </w:tcPr>
          <w:p w14:paraId="312201A0"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w:t>
            </w:r>
          </w:p>
        </w:tc>
      </w:tr>
      <w:tr w:rsidR="003438A2" w:rsidRPr="007107BF" w14:paraId="11E0032B" w14:textId="77777777" w:rsidTr="00C4199F">
        <w:trPr>
          <w:cantSplit/>
          <w:trHeight w:val="75"/>
          <w:jc w:val="center"/>
        </w:trPr>
        <w:tc>
          <w:tcPr>
            <w:tcW w:w="2553" w:type="dxa"/>
            <w:shd w:val="clear" w:color="auto" w:fill="auto"/>
          </w:tcPr>
          <w:p w14:paraId="5BEFA9ED"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i/>
                <w:sz w:val="18"/>
                <w:szCs w:val="18"/>
              </w:rPr>
              <w:t>Platynota stultana</w:t>
            </w:r>
            <w:r w:rsidRPr="007107BF">
              <w:rPr>
                <w:rFonts w:eastAsia="Calibri" w:cs="Times New Roman"/>
                <w:sz w:val="18"/>
                <w:szCs w:val="18"/>
              </w:rPr>
              <w:t xml:space="preserve"> Walsingham, 1884</w:t>
            </w:r>
          </w:p>
          <w:p w14:paraId="1456DFA3" w14:textId="77777777" w:rsidR="003438A2" w:rsidRPr="007107BF" w:rsidRDefault="003438A2" w:rsidP="00881E29">
            <w:pPr>
              <w:spacing w:before="60" w:after="60" w:line="240" w:lineRule="auto"/>
              <w:rPr>
                <w:rFonts w:eastAsia="Calibri" w:cs="Arial"/>
                <w:sz w:val="18"/>
                <w:szCs w:val="18"/>
              </w:rPr>
            </w:pPr>
            <w:r w:rsidRPr="007107BF">
              <w:rPr>
                <w:rFonts w:eastAsia="Calibri" w:cs="Arial"/>
                <w:sz w:val="18"/>
                <w:szCs w:val="18"/>
              </w:rPr>
              <w:t>[Tortricidae]</w:t>
            </w:r>
          </w:p>
          <w:p w14:paraId="63CE3CCA" w14:textId="77777777" w:rsidR="003438A2" w:rsidRPr="007107BF" w:rsidRDefault="003438A2" w:rsidP="00881E29">
            <w:pPr>
              <w:spacing w:before="60" w:after="60" w:line="240" w:lineRule="auto"/>
              <w:rPr>
                <w:rFonts w:eastAsia="Calibri" w:cs="Times New Roman"/>
                <w:i/>
                <w:sz w:val="18"/>
                <w:szCs w:val="18"/>
                <w:lang w:val="pt-BR"/>
              </w:rPr>
            </w:pPr>
            <w:r w:rsidRPr="007107BF">
              <w:rPr>
                <w:rFonts w:eastAsia="Calibri" w:cs="Times New Roman"/>
                <w:sz w:val="18"/>
                <w:szCs w:val="18"/>
              </w:rPr>
              <w:t>Omnivorous leafroller</w:t>
            </w:r>
          </w:p>
        </w:tc>
        <w:tc>
          <w:tcPr>
            <w:tcW w:w="1474" w:type="dxa"/>
            <w:shd w:val="clear" w:color="auto" w:fill="auto"/>
          </w:tcPr>
          <w:p w14:paraId="79FF03A5" w14:textId="77777777" w:rsidR="003438A2" w:rsidRPr="007107BF" w:rsidRDefault="003438A2" w:rsidP="00881E29">
            <w:pPr>
              <w:spacing w:before="60" w:after="60" w:line="240" w:lineRule="auto"/>
              <w:rPr>
                <w:rFonts w:eastAsia="Calibri" w:cs="Times New Roman"/>
                <w:sz w:val="18"/>
                <w:szCs w:val="18"/>
                <w:lang w:val="pt-BR"/>
              </w:rPr>
            </w:pPr>
            <w:r>
              <w:rPr>
                <w:rFonts w:eastAsia="Calibri" w:cs="Times New Roman"/>
                <w:sz w:val="18"/>
                <w:szCs w:val="18"/>
              </w:rPr>
              <w:t>No</w:t>
            </w:r>
            <w:r w:rsidRPr="007107BF">
              <w:rPr>
                <w:rFonts w:eastAsia="Calibri" w:cs="Times New Roman"/>
                <w:sz w:val="18"/>
                <w:szCs w:val="18"/>
              </w:rPr>
              <w:t>. Present in CA, AZ, AR, FL, HI, IL, MD, MA, MI, PA, TX</w:t>
            </w:r>
            <w:r>
              <w:rPr>
                <w:rFonts w:eastAsia="Calibri" w:cs="Times New Roman"/>
                <w:sz w:val="18"/>
                <w:szCs w:val="18"/>
              </w:rPr>
              <w:t xml:space="preserve"> and </w:t>
            </w:r>
            <w:r w:rsidRPr="007107BF">
              <w:rPr>
                <w:rFonts w:eastAsia="Calibri" w:cs="Times New Roman"/>
                <w:sz w:val="18"/>
                <w:szCs w:val="18"/>
              </w:rPr>
              <w:t xml:space="preserve">VA </w:t>
            </w:r>
            <w:r>
              <w:rPr>
                <w:rFonts w:eastAsia="Calibri" w:cs="Times New Roman"/>
                <w:noProof/>
                <w:sz w:val="18"/>
                <w:szCs w:val="18"/>
              </w:rPr>
              <w:t>(CABI 2019; Flaherty et al. 1992; Gilligan, Brown &amp; Hoddle 2011; Korycinska &amp; Eyre 2013)</w:t>
            </w:r>
          </w:p>
        </w:tc>
        <w:tc>
          <w:tcPr>
            <w:tcW w:w="1474" w:type="dxa"/>
            <w:shd w:val="clear" w:color="auto" w:fill="auto"/>
          </w:tcPr>
          <w:p w14:paraId="473BD138"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records found</w:t>
            </w:r>
          </w:p>
        </w:tc>
        <w:tc>
          <w:tcPr>
            <w:tcW w:w="2552" w:type="dxa"/>
            <w:shd w:val="clear" w:color="auto" w:fill="auto"/>
          </w:tcPr>
          <w:p w14:paraId="5CD629FC"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 xml:space="preserve">Assessment not required </w:t>
            </w:r>
          </w:p>
        </w:tc>
        <w:tc>
          <w:tcPr>
            <w:tcW w:w="2381" w:type="dxa"/>
            <w:shd w:val="clear" w:color="auto" w:fill="auto"/>
          </w:tcPr>
          <w:p w14:paraId="1F157DD1"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2211" w:type="dxa"/>
            <w:shd w:val="clear" w:color="auto" w:fill="auto"/>
          </w:tcPr>
          <w:p w14:paraId="16888987"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1191" w:type="dxa"/>
            <w:shd w:val="clear" w:color="auto" w:fill="auto"/>
          </w:tcPr>
          <w:p w14:paraId="0F10C847"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w:t>
            </w:r>
          </w:p>
        </w:tc>
      </w:tr>
      <w:tr w:rsidR="003438A2" w:rsidRPr="007107BF" w14:paraId="739DD45C" w14:textId="77777777" w:rsidTr="00C4199F">
        <w:trPr>
          <w:cantSplit/>
          <w:trHeight w:val="75"/>
          <w:jc w:val="center"/>
        </w:trPr>
        <w:tc>
          <w:tcPr>
            <w:tcW w:w="2553" w:type="dxa"/>
            <w:shd w:val="clear" w:color="auto" w:fill="FFFFFF" w:themeFill="background1"/>
          </w:tcPr>
          <w:p w14:paraId="59E64503"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i/>
                <w:sz w:val="18"/>
                <w:szCs w:val="18"/>
              </w:rPr>
              <w:t>Recurvaria nanella</w:t>
            </w:r>
            <w:r w:rsidRPr="007107BF">
              <w:rPr>
                <w:rFonts w:eastAsia="Calibri" w:cs="Times New Roman"/>
                <w:sz w:val="18"/>
                <w:szCs w:val="18"/>
              </w:rPr>
              <w:t xml:space="preserve"> (Denis &amp; Schiffermüller, 1775)</w:t>
            </w:r>
          </w:p>
          <w:p w14:paraId="71F26D5D"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[Gelechiidae]</w:t>
            </w:r>
          </w:p>
          <w:p w14:paraId="7C5A6A7D" w14:textId="77777777" w:rsidR="003438A2" w:rsidRPr="007107BF" w:rsidRDefault="003438A2" w:rsidP="00881E29">
            <w:pPr>
              <w:spacing w:before="60" w:after="60" w:line="240" w:lineRule="auto"/>
              <w:rPr>
                <w:rFonts w:eastAsia="Calibri" w:cs="Times New Roman"/>
                <w:i/>
                <w:sz w:val="18"/>
                <w:szCs w:val="18"/>
                <w:lang w:val="pt-BR"/>
              </w:rPr>
            </w:pPr>
            <w:r w:rsidRPr="007107BF">
              <w:rPr>
                <w:rFonts w:eastAsia="Calibri" w:cs="Times New Roman"/>
                <w:sz w:val="18"/>
                <w:szCs w:val="18"/>
              </w:rPr>
              <w:t>Lesser bud moth</w:t>
            </w:r>
          </w:p>
        </w:tc>
        <w:tc>
          <w:tcPr>
            <w:tcW w:w="1474" w:type="dxa"/>
            <w:shd w:val="clear" w:color="auto" w:fill="FFFFFF" w:themeFill="background1"/>
          </w:tcPr>
          <w:p w14:paraId="33B43838" w14:textId="77777777" w:rsidR="003438A2" w:rsidRPr="007107BF" w:rsidRDefault="003438A2" w:rsidP="00881E29">
            <w:pPr>
              <w:spacing w:before="60" w:after="60" w:line="240" w:lineRule="auto"/>
              <w:rPr>
                <w:rFonts w:eastAsia="Calibri" w:cs="Times New Roman"/>
                <w:sz w:val="18"/>
                <w:szCs w:val="18"/>
                <w:lang w:val="pt-BR"/>
              </w:rPr>
            </w:pPr>
            <w:r w:rsidRPr="007107BF">
              <w:rPr>
                <w:rFonts w:eastAsia="Calibri" w:cs="Times New Roman"/>
                <w:sz w:val="18"/>
                <w:szCs w:val="18"/>
              </w:rPr>
              <w:t xml:space="preserve">Yes. </w:t>
            </w:r>
            <w:r>
              <w:rPr>
                <w:rFonts w:eastAsia="Calibri" w:cs="Times New Roman"/>
                <w:sz w:val="18"/>
                <w:szCs w:val="18"/>
              </w:rPr>
              <w:t>Present in</w:t>
            </w:r>
            <w:r w:rsidRPr="007107BF">
              <w:rPr>
                <w:rFonts w:eastAsia="Calibri" w:cs="Times New Roman"/>
                <w:sz w:val="18"/>
                <w:szCs w:val="18"/>
              </w:rPr>
              <w:t xml:space="preserve"> WA </w:t>
            </w:r>
            <w:r>
              <w:rPr>
                <w:rFonts w:eastAsia="Calibri" w:cs="Times New Roman"/>
                <w:noProof/>
                <w:sz w:val="18"/>
                <w:szCs w:val="18"/>
              </w:rPr>
              <w:t>(LaGasa 1996)</w:t>
            </w:r>
          </w:p>
        </w:tc>
        <w:tc>
          <w:tcPr>
            <w:tcW w:w="1474" w:type="dxa"/>
            <w:shd w:val="clear" w:color="auto" w:fill="FFFFFF" w:themeFill="background1"/>
          </w:tcPr>
          <w:p w14:paraId="23DD8B18"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records found</w:t>
            </w:r>
          </w:p>
        </w:tc>
        <w:tc>
          <w:tcPr>
            <w:tcW w:w="2552" w:type="dxa"/>
            <w:shd w:val="clear" w:color="auto" w:fill="FFFFFF" w:themeFill="background1"/>
          </w:tcPr>
          <w:p w14:paraId="052DEDE4"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Larvae of this pest feed on leaves and blossoms of apple (</w:t>
            </w:r>
            <w:r w:rsidRPr="007107BF">
              <w:rPr>
                <w:rFonts w:eastAsia="Calibri" w:cs="Times New Roman"/>
                <w:i/>
                <w:sz w:val="18"/>
                <w:szCs w:val="18"/>
              </w:rPr>
              <w:t>Malus</w:t>
            </w:r>
            <w:r>
              <w:rPr>
                <w:rFonts w:eastAsia="Calibri" w:cs="Times New Roman"/>
                <w:sz w:val="18"/>
                <w:szCs w:val="18"/>
              </w:rPr>
              <w:t>)</w:t>
            </w:r>
            <w:r w:rsidRPr="007107BF">
              <w:rPr>
                <w:rFonts w:eastAsia="Calibri" w:cs="Times New Roman"/>
                <w:sz w:val="18"/>
                <w:szCs w:val="18"/>
              </w:rPr>
              <w:t xml:space="preserve"> in early spring </w:t>
            </w:r>
            <w:r>
              <w:rPr>
                <w:rFonts w:eastAsia="Calibri" w:cs="Times New Roman"/>
                <w:noProof/>
                <w:sz w:val="18"/>
                <w:szCs w:val="18"/>
              </w:rPr>
              <w:t>(Kimber 2009; LaGasa 1996)</w:t>
            </w:r>
            <w:r>
              <w:rPr>
                <w:rFonts w:eastAsia="Calibri" w:cs="Times New Roman"/>
                <w:sz w:val="18"/>
                <w:szCs w:val="18"/>
              </w:rPr>
              <w:t xml:space="preserve">. </w:t>
            </w:r>
          </w:p>
        </w:tc>
        <w:tc>
          <w:tcPr>
            <w:tcW w:w="2381" w:type="dxa"/>
            <w:shd w:val="clear" w:color="auto" w:fill="FFFFFF" w:themeFill="background1"/>
          </w:tcPr>
          <w:p w14:paraId="4E0BF2F5"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2211" w:type="dxa"/>
            <w:shd w:val="clear" w:color="auto" w:fill="FFFFFF" w:themeFill="background1"/>
          </w:tcPr>
          <w:p w14:paraId="3B748482"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1191" w:type="dxa"/>
            <w:shd w:val="clear" w:color="auto" w:fill="FFFFFF" w:themeFill="background1"/>
          </w:tcPr>
          <w:p w14:paraId="000C5176"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w:t>
            </w:r>
          </w:p>
        </w:tc>
      </w:tr>
      <w:tr w:rsidR="003438A2" w:rsidRPr="007107BF" w14:paraId="409CA6BB" w14:textId="77777777" w:rsidTr="00C4199F">
        <w:trPr>
          <w:cantSplit/>
          <w:trHeight w:val="75"/>
          <w:jc w:val="center"/>
        </w:trPr>
        <w:tc>
          <w:tcPr>
            <w:tcW w:w="2553" w:type="dxa"/>
            <w:shd w:val="clear" w:color="auto" w:fill="auto"/>
          </w:tcPr>
          <w:p w14:paraId="08E8CBFB"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i/>
                <w:sz w:val="18"/>
                <w:szCs w:val="18"/>
              </w:rPr>
              <w:lastRenderedPageBreak/>
              <w:t>Rhopobota naevana</w:t>
            </w:r>
            <w:r w:rsidRPr="007107BF">
              <w:rPr>
                <w:rFonts w:eastAsia="Calibri" w:cs="Times New Roman"/>
                <w:sz w:val="18"/>
                <w:szCs w:val="18"/>
              </w:rPr>
              <w:t xml:space="preserve"> (Hübner, 1814)</w:t>
            </w:r>
          </w:p>
          <w:p w14:paraId="65E6155A"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 xml:space="preserve">Synonym: </w:t>
            </w:r>
            <w:r w:rsidRPr="007107BF">
              <w:rPr>
                <w:rFonts w:eastAsia="Calibri" w:cs="Times New Roman"/>
                <w:i/>
                <w:sz w:val="18"/>
                <w:szCs w:val="18"/>
              </w:rPr>
              <w:t>Rhopobota unipunctana</w:t>
            </w:r>
            <w:r w:rsidRPr="007107BF">
              <w:rPr>
                <w:rFonts w:eastAsia="Calibri" w:cs="Times New Roman"/>
                <w:sz w:val="18"/>
                <w:szCs w:val="18"/>
              </w:rPr>
              <w:t xml:space="preserve"> (Haworth, 1811)</w:t>
            </w:r>
          </w:p>
          <w:p w14:paraId="46CE0E3D" w14:textId="77777777" w:rsidR="003438A2" w:rsidRPr="007107BF" w:rsidRDefault="003438A2" w:rsidP="00881E29">
            <w:pPr>
              <w:spacing w:before="60" w:after="60" w:line="240" w:lineRule="auto"/>
              <w:rPr>
                <w:rFonts w:eastAsia="Calibri" w:cs="Arial"/>
                <w:sz w:val="18"/>
                <w:szCs w:val="18"/>
              </w:rPr>
            </w:pPr>
            <w:r w:rsidRPr="007107BF">
              <w:rPr>
                <w:rFonts w:eastAsia="Calibri" w:cs="Arial"/>
                <w:sz w:val="18"/>
                <w:szCs w:val="18"/>
              </w:rPr>
              <w:t>[Tortricidae]</w:t>
            </w:r>
          </w:p>
          <w:p w14:paraId="6A050D41" w14:textId="77777777" w:rsidR="003438A2" w:rsidRPr="007107BF" w:rsidRDefault="003438A2" w:rsidP="00881E29">
            <w:pPr>
              <w:spacing w:before="60" w:after="60" w:line="240" w:lineRule="auto"/>
              <w:rPr>
                <w:rFonts w:eastAsia="Calibri" w:cs="Times New Roman"/>
                <w:i/>
                <w:sz w:val="18"/>
                <w:szCs w:val="18"/>
                <w:lang w:val="pt-BR"/>
              </w:rPr>
            </w:pPr>
            <w:r w:rsidRPr="007107BF">
              <w:rPr>
                <w:rFonts w:eastAsia="Calibri" w:cs="Times New Roman"/>
                <w:sz w:val="18"/>
                <w:szCs w:val="18"/>
              </w:rPr>
              <w:t>Blackheaded fireworm moth; Holly bud moth</w:t>
            </w:r>
          </w:p>
        </w:tc>
        <w:tc>
          <w:tcPr>
            <w:tcW w:w="1474" w:type="dxa"/>
            <w:shd w:val="clear" w:color="auto" w:fill="auto"/>
          </w:tcPr>
          <w:p w14:paraId="5EDA614F" w14:textId="77777777" w:rsidR="003438A2" w:rsidRPr="007107BF" w:rsidRDefault="003438A2" w:rsidP="00881E29">
            <w:pPr>
              <w:spacing w:before="60" w:after="60" w:line="240" w:lineRule="auto"/>
              <w:rPr>
                <w:rFonts w:eastAsia="Calibri" w:cs="Times New Roman"/>
                <w:sz w:val="18"/>
                <w:szCs w:val="18"/>
                <w:lang w:val="pt-BR"/>
              </w:rPr>
            </w:pPr>
            <w:r w:rsidRPr="007107BF">
              <w:rPr>
                <w:rFonts w:eastAsia="Calibri" w:cs="Times New Roman"/>
                <w:sz w:val="18"/>
                <w:szCs w:val="18"/>
              </w:rPr>
              <w:t xml:space="preserve">Yes. </w:t>
            </w:r>
            <w:r>
              <w:rPr>
                <w:rFonts w:eastAsia="Calibri" w:cs="Times New Roman"/>
                <w:sz w:val="18"/>
                <w:szCs w:val="18"/>
              </w:rPr>
              <w:t>Present in</w:t>
            </w:r>
            <w:r w:rsidRPr="007107BF">
              <w:rPr>
                <w:rFonts w:eastAsia="Calibri" w:cs="Times New Roman"/>
                <w:sz w:val="18"/>
                <w:szCs w:val="18"/>
              </w:rPr>
              <w:t xml:space="preserve"> OR </w:t>
            </w:r>
            <w:r>
              <w:rPr>
                <w:rFonts w:eastAsia="Calibri" w:cs="Times New Roman"/>
                <w:noProof/>
                <w:sz w:val="18"/>
                <w:szCs w:val="18"/>
              </w:rPr>
              <w:t>(Rosetta &amp; Young 2007)</w:t>
            </w:r>
            <w:r>
              <w:rPr>
                <w:rFonts w:eastAsia="Calibri" w:cs="Times New Roman"/>
                <w:sz w:val="18"/>
                <w:szCs w:val="18"/>
              </w:rPr>
              <w:t xml:space="preserve"> </w:t>
            </w:r>
          </w:p>
        </w:tc>
        <w:tc>
          <w:tcPr>
            <w:tcW w:w="1474" w:type="dxa"/>
            <w:shd w:val="clear" w:color="auto" w:fill="auto"/>
          </w:tcPr>
          <w:p w14:paraId="7AD406B6"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records found</w:t>
            </w:r>
          </w:p>
        </w:tc>
        <w:tc>
          <w:tcPr>
            <w:tcW w:w="2552" w:type="dxa"/>
            <w:shd w:val="clear" w:color="auto" w:fill="auto"/>
          </w:tcPr>
          <w:p w14:paraId="33126D5A"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 xml:space="preserve">No. Eggs are laid singly on the smooth bark of trunks and branches of host trees or on the underside of holly leaves; larvae feed in a webbed shelter of young leaves as well as unopened and opened flowers; </w:t>
            </w:r>
            <w:r>
              <w:rPr>
                <w:rFonts w:eastAsia="Calibri" w:cs="Times New Roman"/>
                <w:sz w:val="18"/>
                <w:szCs w:val="18"/>
              </w:rPr>
              <w:t xml:space="preserve">and </w:t>
            </w:r>
            <w:r w:rsidRPr="007107BF">
              <w:rPr>
                <w:rFonts w:eastAsia="Calibri" w:cs="Times New Roman"/>
                <w:sz w:val="18"/>
                <w:szCs w:val="18"/>
              </w:rPr>
              <w:t>larvae pupate in a cocoon spun in a folded leaf or amongst dead leaves or debris on the ground</w:t>
            </w:r>
            <w:r>
              <w:rPr>
                <w:rFonts w:eastAsia="Calibri" w:cs="Times New Roman"/>
                <w:sz w:val="18"/>
                <w:szCs w:val="18"/>
              </w:rPr>
              <w:t xml:space="preserve"> </w:t>
            </w:r>
            <w:r>
              <w:rPr>
                <w:noProof/>
                <w:sz w:val="18"/>
                <w:szCs w:val="18"/>
              </w:rPr>
              <w:t>(Meijerman &amp; Ulenberg 2000)</w:t>
            </w:r>
            <w:r>
              <w:rPr>
                <w:sz w:val="18"/>
                <w:szCs w:val="18"/>
              </w:rPr>
              <w:t xml:space="preserve">. </w:t>
            </w:r>
            <w:r>
              <w:rPr>
                <w:rFonts w:eastAsia="Calibri" w:cs="Times New Roman"/>
                <w:sz w:val="18"/>
                <w:szCs w:val="18"/>
              </w:rPr>
              <w:t>N</w:t>
            </w:r>
            <w:r w:rsidRPr="007107BF">
              <w:rPr>
                <w:rFonts w:eastAsia="Calibri" w:cs="Times New Roman"/>
                <w:sz w:val="18"/>
                <w:szCs w:val="18"/>
              </w:rPr>
              <w:t>o evidence found to suggest that this pest is associated with apple fruit in the PNW</w:t>
            </w:r>
            <w:r>
              <w:rPr>
                <w:rFonts w:eastAsia="Calibri" w:cs="Times New Roman"/>
                <w:sz w:val="18"/>
                <w:szCs w:val="18"/>
              </w:rPr>
              <w:t>-USA.</w:t>
            </w:r>
          </w:p>
        </w:tc>
        <w:tc>
          <w:tcPr>
            <w:tcW w:w="2381" w:type="dxa"/>
            <w:shd w:val="clear" w:color="auto" w:fill="auto"/>
          </w:tcPr>
          <w:p w14:paraId="64F9EBA3"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2211" w:type="dxa"/>
            <w:shd w:val="clear" w:color="auto" w:fill="auto"/>
          </w:tcPr>
          <w:p w14:paraId="62D1B32A"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1191" w:type="dxa"/>
            <w:shd w:val="clear" w:color="auto" w:fill="auto"/>
          </w:tcPr>
          <w:p w14:paraId="21D34221"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w:t>
            </w:r>
          </w:p>
        </w:tc>
      </w:tr>
      <w:tr w:rsidR="003438A2" w:rsidRPr="007107BF" w14:paraId="225B613E" w14:textId="77777777" w:rsidTr="00C4199F">
        <w:trPr>
          <w:cantSplit/>
          <w:trHeight w:val="75"/>
          <w:jc w:val="center"/>
        </w:trPr>
        <w:tc>
          <w:tcPr>
            <w:tcW w:w="2553" w:type="dxa"/>
            <w:shd w:val="clear" w:color="auto" w:fill="auto"/>
          </w:tcPr>
          <w:p w14:paraId="54B53D5B"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i/>
                <w:sz w:val="18"/>
                <w:szCs w:val="18"/>
              </w:rPr>
              <w:lastRenderedPageBreak/>
              <w:t>Spilonota ocellana</w:t>
            </w:r>
            <w:r w:rsidRPr="007107BF">
              <w:rPr>
                <w:rFonts w:eastAsia="Calibri" w:cs="Times New Roman"/>
                <w:sz w:val="18"/>
                <w:szCs w:val="18"/>
              </w:rPr>
              <w:t xml:space="preserve"> (Denis &amp; Schifferm</w:t>
            </w:r>
            <w:r w:rsidRPr="007107BF">
              <w:rPr>
                <w:rFonts w:eastAsia="Calibri" w:cs="Arial"/>
                <w:sz w:val="18"/>
                <w:szCs w:val="18"/>
              </w:rPr>
              <w:t>ü</w:t>
            </w:r>
            <w:r w:rsidRPr="007107BF">
              <w:rPr>
                <w:rFonts w:eastAsia="Calibri" w:cs="Times New Roman"/>
                <w:sz w:val="18"/>
                <w:szCs w:val="18"/>
              </w:rPr>
              <w:t>ller, 1775)</w:t>
            </w:r>
          </w:p>
          <w:p w14:paraId="47FFBBB4"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[Tortricidae]</w:t>
            </w:r>
          </w:p>
          <w:p w14:paraId="38D0B498" w14:textId="77777777" w:rsidR="003438A2" w:rsidRPr="007107BF" w:rsidRDefault="003438A2" w:rsidP="00881E29">
            <w:pPr>
              <w:spacing w:before="60" w:after="60" w:line="240" w:lineRule="auto"/>
              <w:rPr>
                <w:rFonts w:eastAsia="Calibri" w:cs="Times New Roman"/>
                <w:i/>
                <w:sz w:val="18"/>
                <w:szCs w:val="18"/>
                <w:lang w:val="pt-BR"/>
              </w:rPr>
            </w:pPr>
            <w:r w:rsidRPr="007107BF">
              <w:rPr>
                <w:rFonts w:eastAsia="Calibri" w:cs="Times New Roman"/>
                <w:sz w:val="18"/>
                <w:szCs w:val="18"/>
              </w:rPr>
              <w:t>Eyespotted bud moth</w:t>
            </w:r>
          </w:p>
        </w:tc>
        <w:tc>
          <w:tcPr>
            <w:tcW w:w="1474" w:type="dxa"/>
            <w:shd w:val="clear" w:color="auto" w:fill="auto"/>
          </w:tcPr>
          <w:p w14:paraId="39ACFAA5" w14:textId="77777777" w:rsidR="003438A2" w:rsidRPr="007107BF" w:rsidRDefault="003438A2" w:rsidP="00881E29">
            <w:pPr>
              <w:spacing w:before="60" w:after="60" w:line="240" w:lineRule="auto"/>
              <w:rPr>
                <w:rFonts w:eastAsia="Calibri" w:cs="Times New Roman"/>
                <w:sz w:val="18"/>
                <w:szCs w:val="18"/>
                <w:lang w:val="pt-BR"/>
              </w:rPr>
            </w:pPr>
            <w:r w:rsidRPr="007107BF">
              <w:rPr>
                <w:rFonts w:eastAsia="Calibri" w:cs="Times New Roman"/>
                <w:sz w:val="18"/>
                <w:szCs w:val="18"/>
              </w:rPr>
              <w:t xml:space="preserve">Yes. </w:t>
            </w:r>
            <w:r>
              <w:rPr>
                <w:rFonts w:eastAsia="Calibri" w:cs="Times New Roman"/>
                <w:sz w:val="18"/>
                <w:szCs w:val="18"/>
              </w:rPr>
              <w:t>Present in</w:t>
            </w:r>
            <w:r w:rsidRPr="007107BF">
              <w:rPr>
                <w:rFonts w:eastAsia="Calibri" w:cs="Times New Roman"/>
                <w:sz w:val="18"/>
                <w:szCs w:val="18"/>
              </w:rPr>
              <w:t xml:space="preserve"> OR</w:t>
            </w:r>
            <w:r>
              <w:rPr>
                <w:rFonts w:eastAsia="Calibri" w:cs="Times New Roman"/>
                <w:sz w:val="18"/>
                <w:szCs w:val="18"/>
              </w:rPr>
              <w:t xml:space="preserve"> and</w:t>
            </w:r>
            <w:r w:rsidRPr="007107BF">
              <w:rPr>
                <w:rFonts w:eastAsia="Calibri" w:cs="Times New Roman"/>
                <w:sz w:val="18"/>
                <w:szCs w:val="18"/>
              </w:rPr>
              <w:t xml:space="preserve"> WA) </w:t>
            </w:r>
            <w:r>
              <w:rPr>
                <w:rFonts w:eastAsia="Calibri" w:cs="Times New Roman"/>
                <w:noProof/>
                <w:sz w:val="18"/>
                <w:szCs w:val="18"/>
              </w:rPr>
              <w:t>(APHIS 2007)</w:t>
            </w:r>
          </w:p>
        </w:tc>
        <w:tc>
          <w:tcPr>
            <w:tcW w:w="1474" w:type="dxa"/>
            <w:shd w:val="clear" w:color="auto" w:fill="auto"/>
          </w:tcPr>
          <w:p w14:paraId="3C185419"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records found</w:t>
            </w:r>
          </w:p>
        </w:tc>
        <w:tc>
          <w:tcPr>
            <w:tcW w:w="2552" w:type="dxa"/>
            <w:shd w:val="clear" w:color="auto" w:fill="auto"/>
          </w:tcPr>
          <w:p w14:paraId="0C5F19DA"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 xml:space="preserve">No. Moths oviposit on leaves and young shoots; </w:t>
            </w:r>
            <w:r>
              <w:rPr>
                <w:rFonts w:eastAsia="Calibri" w:cs="Times New Roman"/>
                <w:sz w:val="18"/>
                <w:szCs w:val="18"/>
              </w:rPr>
              <w:t>larvae</w:t>
            </w:r>
            <w:r w:rsidRPr="007107BF">
              <w:rPr>
                <w:rFonts w:eastAsia="Calibri" w:cs="Times New Roman"/>
                <w:sz w:val="18"/>
                <w:szCs w:val="18"/>
              </w:rPr>
              <w:t xml:space="preserve"> bore into leaves and fruit buds; </w:t>
            </w:r>
            <w:r>
              <w:rPr>
                <w:rFonts w:eastAsia="Calibri" w:cs="Times New Roman"/>
                <w:sz w:val="18"/>
                <w:szCs w:val="18"/>
              </w:rPr>
              <w:t xml:space="preserve">and </w:t>
            </w:r>
            <w:r w:rsidRPr="007107BF">
              <w:rPr>
                <w:rFonts w:eastAsia="Calibri" w:cs="Times New Roman"/>
                <w:sz w:val="18"/>
                <w:szCs w:val="18"/>
              </w:rPr>
              <w:t>high populations may cause fruit drop or scarring due to fruit feeding</w:t>
            </w:r>
            <w:r>
              <w:rPr>
                <w:rFonts w:eastAsia="Calibri" w:cs="Times New Roman"/>
                <w:sz w:val="18"/>
                <w:szCs w:val="18"/>
              </w:rPr>
              <w:t>, but</w:t>
            </w:r>
            <w:r w:rsidRPr="007107BF">
              <w:rPr>
                <w:rFonts w:eastAsia="Calibri" w:cs="Times New Roman"/>
                <w:sz w:val="18"/>
                <w:szCs w:val="18"/>
              </w:rPr>
              <w:t xml:space="preserve"> damage is considered superficial and unimportant </w:t>
            </w:r>
            <w:r>
              <w:rPr>
                <w:rFonts w:eastAsia="Calibri" w:cs="Times New Roman"/>
                <w:noProof/>
                <w:sz w:val="18"/>
                <w:szCs w:val="18"/>
              </w:rPr>
              <w:t>(CABI 2019; Swain 2016)</w:t>
            </w:r>
            <w:r w:rsidRPr="007107BF">
              <w:rPr>
                <w:rFonts w:eastAsia="Calibri" w:cs="Times New Roman"/>
                <w:sz w:val="18"/>
                <w:szCs w:val="18"/>
              </w:rPr>
              <w:t xml:space="preserve">. A silken feeding tube may be spun to the surface of apple fruit </w:t>
            </w:r>
            <w:r>
              <w:rPr>
                <w:rFonts w:eastAsia="Calibri" w:cs="Times New Roman"/>
                <w:noProof/>
                <w:sz w:val="18"/>
                <w:szCs w:val="18"/>
              </w:rPr>
              <w:t>(APHIS 2007)</w:t>
            </w:r>
            <w:r w:rsidRPr="007107BF">
              <w:rPr>
                <w:rFonts w:eastAsia="Calibri" w:cs="Times New Roman"/>
                <w:sz w:val="18"/>
                <w:szCs w:val="18"/>
              </w:rPr>
              <w:t xml:space="preserve"> so the larvae may also feed on the fruit surface producing shallow feeding excavations </w:t>
            </w:r>
            <w:r>
              <w:rPr>
                <w:rFonts w:eastAsia="Calibri" w:cs="Times New Roman"/>
                <w:noProof/>
                <w:sz w:val="18"/>
                <w:szCs w:val="18"/>
              </w:rPr>
              <w:t>(Swain 2016)</w:t>
            </w:r>
            <w:r w:rsidRPr="007107BF">
              <w:rPr>
                <w:rFonts w:eastAsia="Calibri" w:cs="Times New Roman"/>
                <w:sz w:val="18"/>
                <w:szCs w:val="18"/>
              </w:rPr>
              <w:t>.</w:t>
            </w:r>
            <w:r>
              <w:rPr>
                <w:rFonts w:eastAsia="Calibri" w:cs="Times New Roman"/>
                <w:sz w:val="18"/>
                <w:szCs w:val="18"/>
              </w:rPr>
              <w:t xml:space="preserve"> This pest </w:t>
            </w:r>
            <w:r w:rsidRPr="00F030D1">
              <w:rPr>
                <w:rFonts w:eastAsia="Calibri" w:cs="Times New Roman"/>
                <w:sz w:val="18"/>
                <w:szCs w:val="18"/>
              </w:rPr>
              <w:t xml:space="preserve">was assessed as associated with fruit in the IRAs for Fuji apples from Japan </w:t>
            </w:r>
            <w:r>
              <w:rPr>
                <w:rFonts w:eastAsia="Calibri" w:cs="Times New Roman"/>
                <w:noProof/>
                <w:sz w:val="18"/>
                <w:szCs w:val="18"/>
              </w:rPr>
              <w:t>(AQIS 1998a)</w:t>
            </w:r>
            <w:r w:rsidRPr="00F030D1">
              <w:rPr>
                <w:rFonts w:eastAsia="Calibri" w:cs="Times New Roman"/>
                <w:sz w:val="18"/>
                <w:szCs w:val="18"/>
              </w:rPr>
              <w:t xml:space="preserve"> and pears from China </w:t>
            </w:r>
            <w:r>
              <w:rPr>
                <w:rFonts w:eastAsia="Calibri" w:cs="Times New Roman"/>
                <w:noProof/>
                <w:sz w:val="18"/>
                <w:szCs w:val="18"/>
              </w:rPr>
              <w:t>(AQIS 1998b)</w:t>
            </w:r>
            <w:r w:rsidRPr="00F030D1">
              <w:rPr>
                <w:rFonts w:eastAsia="Calibri" w:cs="Times New Roman"/>
                <w:sz w:val="18"/>
                <w:szCs w:val="18"/>
              </w:rPr>
              <w:fldChar w:fldCharType="begin" w:fldLock="1"/>
            </w:r>
            <w:r w:rsidRPr="00F030D1">
              <w:rPr>
                <w:rFonts w:eastAsia="Calibri" w:cs="Times New Roman"/>
                <w:sz w:val="18"/>
                <w:szCs w:val="18"/>
              </w:rPr>
              <w:instrText xml:space="preserve"> QUOTE "" </w:instrText>
            </w:r>
            <w:r w:rsidRPr="00F030D1">
              <w:rPr>
                <w:rFonts w:eastAsia="Calibri" w:cs="Times New Roman"/>
                <w:sz w:val="18"/>
                <w:szCs w:val="18"/>
              </w:rPr>
              <w:fldChar w:fldCharType="begin" w:fldLock="1"/>
            </w:r>
            <w:r w:rsidRPr="00F030D1">
              <w:rPr>
                <w:rFonts w:eastAsia="Calibri" w:cs="Times New Roman"/>
                <w:sz w:val="18"/>
                <w:szCs w:val="18"/>
              </w:rPr>
              <w:instrText xml:space="preserve"> ADDIN PROCITE ÿ\11\05‘\19\02\00\00\00\00\01\00\00\01\00\00\00EJ:\5CPlant\5CPublications\5CProject C Publications\5CProject_C_References.pdt\0CAFFA 2003 #1\01\02\00\04\00àà\00\00\00ëH\00È=\14\00\14\00\00\00\01\00\00\00\00\00\00\00\00\00\00\00\10\00\00\00\00\00\00\00\08\00\00\00\00\00\00ºI_</w:instrText>
            </w:r>
            <w:r w:rsidRPr="00F030D1">
              <w:rPr>
                <w:rFonts w:eastAsia="Calibri" w:cs="Cambria"/>
                <w:sz w:val="18"/>
                <w:szCs w:val="18"/>
              </w:rPr>
              <w:instrText></w:instrText>
            </w:r>
            <w:r w:rsidRPr="00F030D1">
              <w:rPr>
                <w:rFonts w:eastAsia="Calibri" w:cs="Times New Roman"/>
                <w:sz w:val="18"/>
                <w:szCs w:val="18"/>
              </w:rPr>
              <w:instrText xml:space="preserve">†Ë\00\01\00\00\00\01\00\00\00\00\00\00\00tò\12\00€ÖX\00ÿÿÿÿ </w:instrText>
            </w:r>
            <w:r w:rsidRPr="00F030D1">
              <w:rPr>
                <w:rFonts w:eastAsia="Calibri" w:cs="Times New Roman"/>
                <w:sz w:val="18"/>
                <w:szCs w:val="18"/>
              </w:rPr>
              <w:fldChar w:fldCharType="end"/>
            </w:r>
            <w:r w:rsidRPr="00F030D1">
              <w:rPr>
                <w:rFonts w:eastAsia="Calibri" w:cs="Times New Roman"/>
                <w:sz w:val="18"/>
                <w:szCs w:val="18"/>
              </w:rPr>
              <w:fldChar w:fldCharType="end"/>
            </w:r>
            <w:r w:rsidRPr="00F030D1">
              <w:rPr>
                <w:rFonts w:eastAsia="Calibri" w:cs="Times New Roman"/>
                <w:sz w:val="18"/>
                <w:szCs w:val="18"/>
              </w:rPr>
              <w:t xml:space="preserve">. However, </w:t>
            </w:r>
            <w:r>
              <w:rPr>
                <w:rFonts w:eastAsia="Calibri" w:cs="Times New Roman"/>
                <w:sz w:val="18"/>
                <w:szCs w:val="18"/>
              </w:rPr>
              <w:t>the China apple IRA</w:t>
            </w:r>
            <w:r w:rsidRPr="00F030D1">
              <w:rPr>
                <w:rFonts w:eastAsia="Calibri" w:cs="Times New Roman"/>
                <w:sz w:val="18"/>
                <w:szCs w:val="18"/>
              </w:rPr>
              <w:t xml:space="preserve"> considered that this species is unlikely </w:t>
            </w:r>
            <w:r>
              <w:rPr>
                <w:rFonts w:eastAsia="Calibri" w:cs="Times New Roman"/>
                <w:sz w:val="18"/>
                <w:szCs w:val="18"/>
              </w:rPr>
              <w:t xml:space="preserve">to be </w:t>
            </w:r>
            <w:r w:rsidRPr="00F030D1">
              <w:rPr>
                <w:rFonts w:eastAsia="Calibri" w:cs="Times New Roman"/>
                <w:sz w:val="18"/>
                <w:szCs w:val="18"/>
              </w:rPr>
              <w:t xml:space="preserve">on </w:t>
            </w:r>
            <w:r>
              <w:rPr>
                <w:rFonts w:eastAsia="Calibri" w:cs="Times New Roman"/>
                <w:sz w:val="18"/>
                <w:szCs w:val="18"/>
              </w:rPr>
              <w:t xml:space="preserve">the </w:t>
            </w:r>
            <w:r w:rsidRPr="00F030D1">
              <w:rPr>
                <w:rFonts w:eastAsia="Calibri" w:cs="Times New Roman"/>
                <w:sz w:val="18"/>
                <w:szCs w:val="18"/>
              </w:rPr>
              <w:t>pathway</w:t>
            </w:r>
            <w:r>
              <w:rPr>
                <w:rFonts w:eastAsia="Calibri" w:cs="Times New Roman"/>
                <w:sz w:val="18"/>
                <w:szCs w:val="18"/>
              </w:rPr>
              <w:t>.</w:t>
            </w:r>
          </w:p>
        </w:tc>
        <w:tc>
          <w:tcPr>
            <w:tcW w:w="2381" w:type="dxa"/>
            <w:shd w:val="clear" w:color="auto" w:fill="auto"/>
          </w:tcPr>
          <w:p w14:paraId="376F80B6"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2211" w:type="dxa"/>
            <w:shd w:val="clear" w:color="auto" w:fill="auto"/>
          </w:tcPr>
          <w:p w14:paraId="4BA988A7"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1191" w:type="dxa"/>
            <w:shd w:val="clear" w:color="auto" w:fill="auto"/>
          </w:tcPr>
          <w:p w14:paraId="41EC53E5"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w:t>
            </w:r>
          </w:p>
        </w:tc>
      </w:tr>
      <w:tr w:rsidR="003438A2" w:rsidRPr="007107BF" w14:paraId="695410D4" w14:textId="77777777" w:rsidTr="00C4199F">
        <w:trPr>
          <w:cantSplit/>
          <w:trHeight w:val="75"/>
          <w:jc w:val="center"/>
        </w:trPr>
        <w:tc>
          <w:tcPr>
            <w:tcW w:w="2553" w:type="dxa"/>
            <w:shd w:val="clear" w:color="auto" w:fill="auto"/>
          </w:tcPr>
          <w:p w14:paraId="26AE5454" w14:textId="77777777" w:rsidR="003438A2" w:rsidRPr="007107BF" w:rsidRDefault="003438A2" w:rsidP="00881E29">
            <w:pPr>
              <w:spacing w:before="60" w:after="60" w:line="240" w:lineRule="auto"/>
              <w:rPr>
                <w:rFonts w:eastAsia="Calibri" w:cs="Arial"/>
                <w:sz w:val="18"/>
                <w:szCs w:val="18"/>
              </w:rPr>
            </w:pPr>
            <w:bookmarkStart w:id="547" w:name="_Hlk107577250"/>
            <w:r w:rsidRPr="007107BF">
              <w:rPr>
                <w:rFonts w:eastAsia="Calibri" w:cs="Arial"/>
                <w:i/>
                <w:sz w:val="18"/>
                <w:szCs w:val="18"/>
              </w:rPr>
              <w:t>Spodoptera frugiperda</w:t>
            </w:r>
            <w:r w:rsidRPr="007107BF">
              <w:rPr>
                <w:rFonts w:eastAsia="Calibri" w:cs="Arial"/>
                <w:sz w:val="18"/>
                <w:szCs w:val="18"/>
              </w:rPr>
              <w:t xml:space="preserve"> </w:t>
            </w:r>
            <w:bookmarkEnd w:id="547"/>
            <w:r w:rsidRPr="007107BF">
              <w:rPr>
                <w:rFonts w:eastAsia="Calibri" w:cs="Arial"/>
                <w:sz w:val="18"/>
                <w:szCs w:val="18"/>
              </w:rPr>
              <w:t>(J.E. Smith, 1797)</w:t>
            </w:r>
          </w:p>
          <w:p w14:paraId="08E5D4F7" w14:textId="77777777" w:rsidR="003438A2" w:rsidRPr="007107BF" w:rsidRDefault="003438A2" w:rsidP="00881E29">
            <w:pPr>
              <w:spacing w:before="60" w:after="60" w:line="240" w:lineRule="auto"/>
              <w:rPr>
                <w:rFonts w:eastAsia="Calibri" w:cs="Arial"/>
                <w:sz w:val="18"/>
                <w:szCs w:val="18"/>
              </w:rPr>
            </w:pPr>
            <w:r w:rsidRPr="007107BF">
              <w:rPr>
                <w:rFonts w:eastAsia="Calibri" w:cs="Arial"/>
                <w:sz w:val="18"/>
                <w:szCs w:val="18"/>
              </w:rPr>
              <w:t xml:space="preserve">Synonym: </w:t>
            </w:r>
            <w:r w:rsidRPr="007107BF">
              <w:rPr>
                <w:rFonts w:eastAsia="Calibri" w:cs="Arial"/>
                <w:i/>
                <w:sz w:val="18"/>
                <w:szCs w:val="18"/>
              </w:rPr>
              <w:t xml:space="preserve">Laphygma frugiperda </w:t>
            </w:r>
            <w:r w:rsidRPr="007107BF">
              <w:rPr>
                <w:rFonts w:eastAsia="Calibri" w:cs="Arial"/>
                <w:sz w:val="18"/>
                <w:szCs w:val="18"/>
              </w:rPr>
              <w:t>(J.E. Smith, 1797)</w:t>
            </w:r>
          </w:p>
          <w:p w14:paraId="7427AEEA" w14:textId="77777777" w:rsidR="003438A2" w:rsidRPr="007107BF" w:rsidRDefault="003438A2" w:rsidP="00881E29">
            <w:pPr>
              <w:spacing w:before="60" w:after="60" w:line="240" w:lineRule="auto"/>
              <w:rPr>
                <w:rFonts w:eastAsia="Calibri" w:cs="Arial"/>
                <w:sz w:val="18"/>
                <w:szCs w:val="18"/>
              </w:rPr>
            </w:pPr>
            <w:r w:rsidRPr="007107BF">
              <w:rPr>
                <w:rFonts w:eastAsia="Calibri" w:cs="Arial"/>
                <w:sz w:val="18"/>
                <w:szCs w:val="18"/>
              </w:rPr>
              <w:t>[Noctuidae]</w:t>
            </w:r>
          </w:p>
          <w:p w14:paraId="316E4723" w14:textId="77777777" w:rsidR="003438A2" w:rsidRPr="007107BF" w:rsidRDefault="003438A2" w:rsidP="00881E29">
            <w:pPr>
              <w:spacing w:before="60" w:after="60" w:line="240" w:lineRule="auto"/>
              <w:rPr>
                <w:rFonts w:eastAsia="Calibri" w:cs="Times New Roman"/>
                <w:i/>
                <w:sz w:val="18"/>
                <w:szCs w:val="18"/>
                <w:lang w:val="pt-BR"/>
              </w:rPr>
            </w:pPr>
            <w:r w:rsidRPr="007107BF">
              <w:rPr>
                <w:rFonts w:eastAsia="Calibri" w:cs="Arial"/>
                <w:sz w:val="18"/>
                <w:szCs w:val="18"/>
              </w:rPr>
              <w:t>Fall armyworm</w:t>
            </w:r>
          </w:p>
        </w:tc>
        <w:tc>
          <w:tcPr>
            <w:tcW w:w="1474" w:type="dxa"/>
            <w:shd w:val="clear" w:color="auto" w:fill="auto"/>
          </w:tcPr>
          <w:p w14:paraId="6EABD491" w14:textId="77777777" w:rsidR="003438A2" w:rsidRPr="007107BF" w:rsidRDefault="003438A2" w:rsidP="00881E29">
            <w:pPr>
              <w:spacing w:before="60" w:after="60" w:line="240" w:lineRule="auto"/>
              <w:rPr>
                <w:rFonts w:eastAsia="Calibri" w:cs="Times New Roman"/>
                <w:sz w:val="18"/>
                <w:szCs w:val="18"/>
                <w:lang w:val="pt-BR"/>
              </w:rPr>
            </w:pPr>
            <w:r>
              <w:rPr>
                <w:rFonts w:eastAsia="Calibri" w:cs="Arial"/>
                <w:sz w:val="18"/>
                <w:szCs w:val="18"/>
              </w:rPr>
              <w:t>No</w:t>
            </w:r>
            <w:r w:rsidRPr="007107BF">
              <w:rPr>
                <w:rFonts w:eastAsia="Calibri" w:cs="Arial"/>
                <w:sz w:val="18"/>
                <w:szCs w:val="18"/>
              </w:rPr>
              <w:t xml:space="preserve">. </w:t>
            </w:r>
            <w:r>
              <w:rPr>
                <w:rFonts w:eastAsia="Calibri" w:cs="Arial"/>
                <w:sz w:val="18"/>
                <w:szCs w:val="18"/>
              </w:rPr>
              <w:t>Present in a</w:t>
            </w:r>
            <w:r w:rsidRPr="007107BF">
              <w:rPr>
                <w:rFonts w:eastAsia="Calibri" w:cs="Arial"/>
                <w:sz w:val="18"/>
                <w:szCs w:val="18"/>
              </w:rPr>
              <w:t xml:space="preserve">ll states except AK, HI, ID, NV, </w:t>
            </w:r>
            <w:r w:rsidRPr="00F25A13">
              <w:rPr>
                <w:rFonts w:eastAsia="Calibri" w:cs="Arial"/>
                <w:sz w:val="18"/>
                <w:szCs w:val="18"/>
              </w:rPr>
              <w:t>OR</w:t>
            </w:r>
            <w:r w:rsidRPr="007107BF">
              <w:rPr>
                <w:rFonts w:eastAsia="Calibri" w:cs="Arial"/>
                <w:sz w:val="18"/>
                <w:szCs w:val="18"/>
              </w:rPr>
              <w:t xml:space="preserve">, UT, VT, WA </w:t>
            </w:r>
            <w:r>
              <w:rPr>
                <w:rFonts w:eastAsia="Calibri" w:cs="Arial"/>
                <w:noProof/>
                <w:sz w:val="18"/>
                <w:szCs w:val="18"/>
              </w:rPr>
              <w:t>(CABI 2019; EPPO 2018)</w:t>
            </w:r>
            <w:r w:rsidRPr="007107BF">
              <w:rPr>
                <w:rFonts w:eastAsia="Calibri" w:cs="Arial"/>
                <w:sz w:val="18"/>
                <w:szCs w:val="18"/>
              </w:rPr>
              <w:t xml:space="preserve"> </w:t>
            </w:r>
          </w:p>
        </w:tc>
        <w:tc>
          <w:tcPr>
            <w:tcW w:w="1474" w:type="dxa"/>
            <w:shd w:val="clear" w:color="auto" w:fill="auto"/>
          </w:tcPr>
          <w:p w14:paraId="5106AA1F" w14:textId="77777777" w:rsidR="003438A2" w:rsidRPr="007107BF" w:rsidRDefault="003438A2" w:rsidP="00321810">
            <w:pPr>
              <w:spacing w:before="60" w:after="60" w:line="240" w:lineRule="auto"/>
              <w:rPr>
                <w:rFonts w:eastAsia="Calibri" w:cs="Times New Roman"/>
                <w:noProof/>
                <w:sz w:val="18"/>
                <w:szCs w:val="18"/>
              </w:rPr>
            </w:pPr>
            <w:r>
              <w:rPr>
                <w:rFonts w:eastAsia="Calibri" w:cs="Times New Roman"/>
                <w:sz w:val="18"/>
                <w:szCs w:val="18"/>
              </w:rPr>
              <w:t xml:space="preserve">Yes. Present in all the states and territories </w:t>
            </w:r>
            <w:r>
              <w:rPr>
                <w:rFonts w:eastAsia="Calibri" w:cs="Times New Roman"/>
                <w:noProof/>
                <w:sz w:val="18"/>
                <w:szCs w:val="18"/>
              </w:rPr>
              <w:t>(CABI 2022)</w:t>
            </w:r>
            <w:r w:rsidRPr="007107BF">
              <w:rPr>
                <w:rFonts w:eastAsia="Calibri" w:cs="Times New Roman"/>
                <w:noProof/>
                <w:sz w:val="18"/>
                <w:szCs w:val="18"/>
              </w:rPr>
              <w:t xml:space="preserve"> </w:t>
            </w:r>
          </w:p>
        </w:tc>
        <w:tc>
          <w:tcPr>
            <w:tcW w:w="2552" w:type="dxa"/>
            <w:shd w:val="clear" w:color="auto" w:fill="auto"/>
          </w:tcPr>
          <w:p w14:paraId="07B95363"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2381" w:type="dxa"/>
            <w:shd w:val="clear" w:color="auto" w:fill="auto"/>
          </w:tcPr>
          <w:p w14:paraId="6BC0B48F"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2211" w:type="dxa"/>
            <w:shd w:val="clear" w:color="auto" w:fill="auto"/>
          </w:tcPr>
          <w:p w14:paraId="5ADBC99C"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1191" w:type="dxa"/>
            <w:shd w:val="clear" w:color="auto" w:fill="auto"/>
          </w:tcPr>
          <w:p w14:paraId="3CD242A9"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w:t>
            </w:r>
          </w:p>
        </w:tc>
      </w:tr>
      <w:tr w:rsidR="003438A2" w:rsidRPr="007107BF" w14:paraId="6E097928" w14:textId="77777777" w:rsidTr="00C4199F">
        <w:trPr>
          <w:cantSplit/>
          <w:trHeight w:val="75"/>
          <w:jc w:val="center"/>
        </w:trPr>
        <w:tc>
          <w:tcPr>
            <w:tcW w:w="2553" w:type="dxa"/>
            <w:shd w:val="clear" w:color="auto" w:fill="auto"/>
          </w:tcPr>
          <w:p w14:paraId="59168123" w14:textId="77777777" w:rsidR="003438A2" w:rsidRPr="007107BF" w:rsidRDefault="003438A2" w:rsidP="00881E29">
            <w:pPr>
              <w:spacing w:before="60" w:after="60" w:line="240" w:lineRule="auto"/>
              <w:rPr>
                <w:rFonts w:eastAsia="Calibri" w:cs="Arial"/>
                <w:sz w:val="18"/>
                <w:szCs w:val="18"/>
              </w:rPr>
            </w:pPr>
            <w:r w:rsidRPr="007107BF">
              <w:rPr>
                <w:rFonts w:eastAsia="Calibri" w:cs="Arial"/>
                <w:i/>
                <w:sz w:val="18"/>
                <w:szCs w:val="18"/>
              </w:rPr>
              <w:t xml:space="preserve">Swammerdamia pyrella </w:t>
            </w:r>
            <w:r w:rsidRPr="007107BF">
              <w:rPr>
                <w:rFonts w:eastAsia="Calibri" w:cs="Arial"/>
                <w:sz w:val="18"/>
                <w:szCs w:val="18"/>
              </w:rPr>
              <w:t>(Villers, 1789)</w:t>
            </w:r>
          </w:p>
          <w:p w14:paraId="4F64F9AD" w14:textId="77777777" w:rsidR="003438A2" w:rsidRPr="007107BF" w:rsidRDefault="003438A2" w:rsidP="00881E29">
            <w:pPr>
              <w:spacing w:before="60" w:after="60" w:line="240" w:lineRule="auto"/>
              <w:rPr>
                <w:rFonts w:eastAsia="Calibri" w:cs="Arial"/>
                <w:sz w:val="18"/>
                <w:szCs w:val="18"/>
              </w:rPr>
            </w:pPr>
            <w:r w:rsidRPr="007107BF">
              <w:rPr>
                <w:rFonts w:eastAsia="Calibri" w:cs="Arial"/>
                <w:sz w:val="18"/>
                <w:szCs w:val="18"/>
              </w:rPr>
              <w:t xml:space="preserve">Synonym: </w:t>
            </w:r>
            <w:r w:rsidRPr="007107BF">
              <w:rPr>
                <w:rFonts w:eastAsia="Calibri" w:cs="Arial"/>
                <w:i/>
                <w:sz w:val="18"/>
                <w:szCs w:val="18"/>
              </w:rPr>
              <w:t>Swammerdamia pelicaria</w:t>
            </w:r>
            <w:r w:rsidRPr="007107BF">
              <w:rPr>
                <w:rFonts w:eastAsia="Calibri" w:cs="Arial"/>
                <w:sz w:val="18"/>
                <w:szCs w:val="18"/>
              </w:rPr>
              <w:t xml:space="preserve"> (Retzius, 1783)</w:t>
            </w:r>
          </w:p>
          <w:p w14:paraId="6FCB3324" w14:textId="77777777" w:rsidR="003438A2" w:rsidRPr="007107BF" w:rsidRDefault="003438A2" w:rsidP="00881E29">
            <w:pPr>
              <w:spacing w:before="60" w:after="60" w:line="240" w:lineRule="auto"/>
              <w:rPr>
                <w:rFonts w:eastAsia="Calibri" w:cs="Times New Roman"/>
                <w:i/>
                <w:sz w:val="18"/>
                <w:szCs w:val="18"/>
                <w:lang w:val="pt-BR"/>
              </w:rPr>
            </w:pPr>
            <w:r w:rsidRPr="007107BF">
              <w:rPr>
                <w:rFonts w:eastAsia="Calibri" w:cs="Arial"/>
                <w:sz w:val="18"/>
                <w:szCs w:val="18"/>
              </w:rPr>
              <w:t>[Yponomeutidae]</w:t>
            </w:r>
          </w:p>
        </w:tc>
        <w:tc>
          <w:tcPr>
            <w:tcW w:w="1474" w:type="dxa"/>
            <w:shd w:val="clear" w:color="auto" w:fill="auto"/>
          </w:tcPr>
          <w:p w14:paraId="6175EF5A" w14:textId="77777777" w:rsidR="003438A2" w:rsidRPr="00BD6A1E" w:rsidRDefault="003438A2" w:rsidP="00703155">
            <w:pPr>
              <w:rPr>
                <w:sz w:val="18"/>
                <w:szCs w:val="18"/>
              </w:rPr>
            </w:pPr>
            <w:r w:rsidRPr="007107BF">
              <w:rPr>
                <w:rFonts w:eastAsia="Calibri" w:cs="Arial"/>
                <w:sz w:val="18"/>
                <w:szCs w:val="18"/>
              </w:rPr>
              <w:t xml:space="preserve">Yes. </w:t>
            </w:r>
            <w:r>
              <w:rPr>
                <w:rFonts w:eastAsia="Calibri" w:cs="Arial"/>
                <w:sz w:val="18"/>
                <w:szCs w:val="18"/>
              </w:rPr>
              <w:t>Present in</w:t>
            </w:r>
            <w:r w:rsidRPr="007107BF">
              <w:rPr>
                <w:rFonts w:eastAsia="Calibri" w:cs="Arial"/>
                <w:sz w:val="18"/>
                <w:szCs w:val="18"/>
              </w:rPr>
              <w:t xml:space="preserve"> WA</w:t>
            </w:r>
            <w:r>
              <w:rPr>
                <w:rFonts w:eastAsia="Calibri" w:cs="Arial"/>
                <w:sz w:val="18"/>
                <w:szCs w:val="18"/>
              </w:rPr>
              <w:t xml:space="preserve"> </w:t>
            </w:r>
            <w:r>
              <w:rPr>
                <w:rFonts w:eastAsia="Calibri" w:cs="Arial"/>
                <w:noProof/>
                <w:sz w:val="18"/>
                <w:szCs w:val="18"/>
              </w:rPr>
              <w:t>(LaGasa 1996, 2008)</w:t>
            </w:r>
          </w:p>
          <w:p w14:paraId="046C3288" w14:textId="77777777" w:rsidR="003438A2" w:rsidRPr="007107BF" w:rsidRDefault="003438A2" w:rsidP="00881E29">
            <w:pPr>
              <w:spacing w:before="60" w:after="60" w:line="240" w:lineRule="auto"/>
              <w:rPr>
                <w:rFonts w:eastAsia="Calibri" w:cs="Times New Roman"/>
                <w:sz w:val="18"/>
                <w:szCs w:val="18"/>
                <w:lang w:val="pt-BR"/>
              </w:rPr>
            </w:pPr>
          </w:p>
        </w:tc>
        <w:tc>
          <w:tcPr>
            <w:tcW w:w="1474" w:type="dxa"/>
            <w:shd w:val="clear" w:color="auto" w:fill="auto"/>
          </w:tcPr>
          <w:p w14:paraId="45DB2EEC"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records found</w:t>
            </w:r>
          </w:p>
        </w:tc>
        <w:tc>
          <w:tcPr>
            <w:tcW w:w="2552" w:type="dxa"/>
            <w:shd w:val="clear" w:color="auto" w:fill="auto"/>
          </w:tcPr>
          <w:p w14:paraId="04A3F153"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Arial"/>
                <w:sz w:val="18"/>
                <w:szCs w:val="18"/>
              </w:rPr>
              <w:t xml:space="preserve">No. Larvae feed on the upper surface of apple and hawthorn leaves during early to late summer </w:t>
            </w:r>
            <w:r>
              <w:rPr>
                <w:rFonts w:eastAsia="Calibri" w:cs="Arial"/>
                <w:noProof/>
                <w:sz w:val="18"/>
                <w:szCs w:val="18"/>
              </w:rPr>
              <w:t>(Kimber 2009; LaGasa 1996)</w:t>
            </w:r>
            <w:r>
              <w:rPr>
                <w:rFonts w:eastAsia="Calibri" w:cs="Arial"/>
                <w:sz w:val="18"/>
                <w:szCs w:val="18"/>
              </w:rPr>
              <w:t>.</w:t>
            </w:r>
          </w:p>
        </w:tc>
        <w:tc>
          <w:tcPr>
            <w:tcW w:w="2381" w:type="dxa"/>
            <w:shd w:val="clear" w:color="auto" w:fill="auto"/>
          </w:tcPr>
          <w:p w14:paraId="206DAB9C"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2211" w:type="dxa"/>
            <w:shd w:val="clear" w:color="auto" w:fill="auto"/>
          </w:tcPr>
          <w:p w14:paraId="2A5D4AD4"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1191" w:type="dxa"/>
            <w:shd w:val="clear" w:color="auto" w:fill="auto"/>
          </w:tcPr>
          <w:p w14:paraId="580C619C"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w:t>
            </w:r>
          </w:p>
        </w:tc>
      </w:tr>
      <w:tr w:rsidR="003438A2" w:rsidRPr="007107BF" w14:paraId="3A4CBBEE" w14:textId="77777777" w:rsidTr="00C4199F">
        <w:trPr>
          <w:cantSplit/>
          <w:trHeight w:val="75"/>
          <w:jc w:val="center"/>
        </w:trPr>
        <w:tc>
          <w:tcPr>
            <w:tcW w:w="2553" w:type="dxa"/>
            <w:shd w:val="clear" w:color="auto" w:fill="auto"/>
          </w:tcPr>
          <w:p w14:paraId="7C79EB6A" w14:textId="77777777" w:rsidR="003438A2" w:rsidRPr="007107BF" w:rsidRDefault="003438A2" w:rsidP="00881E29">
            <w:pPr>
              <w:spacing w:before="60" w:after="60" w:line="240" w:lineRule="auto"/>
              <w:rPr>
                <w:rFonts w:eastAsia="Calibri" w:cs="Arial"/>
                <w:sz w:val="18"/>
                <w:szCs w:val="18"/>
              </w:rPr>
            </w:pPr>
            <w:r w:rsidRPr="007107BF">
              <w:rPr>
                <w:rFonts w:eastAsia="Calibri" w:cs="Arial"/>
                <w:i/>
                <w:sz w:val="18"/>
                <w:szCs w:val="18"/>
              </w:rPr>
              <w:lastRenderedPageBreak/>
              <w:t>Tischeria malifoliella</w:t>
            </w:r>
            <w:r w:rsidRPr="007107BF">
              <w:rPr>
                <w:rFonts w:eastAsia="Calibri" w:cs="Arial"/>
                <w:sz w:val="18"/>
                <w:szCs w:val="18"/>
              </w:rPr>
              <w:t xml:space="preserve"> Clemens, 1860</w:t>
            </w:r>
          </w:p>
          <w:p w14:paraId="6C493352" w14:textId="77777777" w:rsidR="003438A2" w:rsidRPr="007107BF" w:rsidRDefault="003438A2" w:rsidP="00881E29">
            <w:pPr>
              <w:spacing w:before="60" w:after="60" w:line="240" w:lineRule="auto"/>
              <w:rPr>
                <w:rFonts w:eastAsia="Calibri" w:cs="Arial"/>
                <w:sz w:val="18"/>
                <w:szCs w:val="18"/>
              </w:rPr>
            </w:pPr>
            <w:r w:rsidRPr="007107BF">
              <w:rPr>
                <w:rFonts w:eastAsia="Calibri" w:cs="Arial"/>
                <w:sz w:val="18"/>
                <w:szCs w:val="18"/>
              </w:rPr>
              <w:t>[Tischeriidae]</w:t>
            </w:r>
          </w:p>
          <w:p w14:paraId="4F42CDB2" w14:textId="77777777" w:rsidR="003438A2" w:rsidRPr="007107BF" w:rsidRDefault="003438A2" w:rsidP="00881E29">
            <w:pPr>
              <w:spacing w:before="60" w:after="60" w:line="240" w:lineRule="auto"/>
              <w:rPr>
                <w:rFonts w:eastAsia="Calibri" w:cs="Arial"/>
                <w:i/>
                <w:sz w:val="18"/>
                <w:szCs w:val="18"/>
              </w:rPr>
            </w:pPr>
            <w:r w:rsidRPr="007107BF">
              <w:rPr>
                <w:rFonts w:eastAsia="Calibri" w:cs="Arial"/>
                <w:sz w:val="18"/>
                <w:szCs w:val="18"/>
              </w:rPr>
              <w:t>Appleleaf trumpet miner</w:t>
            </w:r>
          </w:p>
        </w:tc>
        <w:tc>
          <w:tcPr>
            <w:tcW w:w="1474" w:type="dxa"/>
            <w:shd w:val="clear" w:color="auto" w:fill="auto"/>
          </w:tcPr>
          <w:p w14:paraId="50D9F7B6" w14:textId="77777777" w:rsidR="003438A2" w:rsidRPr="007107BF" w:rsidRDefault="003438A2" w:rsidP="00881E29">
            <w:pPr>
              <w:spacing w:before="60" w:after="60" w:line="240" w:lineRule="auto"/>
              <w:rPr>
                <w:rFonts w:eastAsia="Calibri" w:cs="Arial"/>
                <w:sz w:val="18"/>
                <w:szCs w:val="18"/>
              </w:rPr>
            </w:pPr>
            <w:r>
              <w:rPr>
                <w:rFonts w:eastAsia="Calibri" w:cs="Arial"/>
                <w:sz w:val="18"/>
                <w:szCs w:val="18"/>
              </w:rPr>
              <w:t>No</w:t>
            </w:r>
            <w:r w:rsidRPr="007107BF">
              <w:rPr>
                <w:rFonts w:eastAsia="Calibri" w:cs="Arial"/>
                <w:sz w:val="18"/>
                <w:szCs w:val="18"/>
              </w:rPr>
              <w:t xml:space="preserve">. </w:t>
            </w:r>
            <w:r>
              <w:rPr>
                <w:rFonts w:eastAsia="Calibri" w:cs="Times New Roman"/>
                <w:sz w:val="18"/>
                <w:szCs w:val="18"/>
              </w:rPr>
              <w:t>Present</w:t>
            </w:r>
            <w:r>
              <w:rPr>
                <w:rFonts w:eastAsia="Calibri" w:cs="Arial"/>
                <w:sz w:val="18"/>
                <w:szCs w:val="18"/>
              </w:rPr>
              <w:t xml:space="preserve"> </w:t>
            </w:r>
            <w:r w:rsidRPr="007107BF">
              <w:rPr>
                <w:rFonts w:eastAsia="Calibri" w:cs="Arial"/>
                <w:sz w:val="18"/>
                <w:szCs w:val="18"/>
              </w:rPr>
              <w:t>in eastern</w:t>
            </w:r>
            <w:r>
              <w:rPr>
                <w:rFonts w:eastAsia="Calibri" w:cs="Arial"/>
                <w:sz w:val="18"/>
                <w:szCs w:val="18"/>
              </w:rPr>
              <w:t xml:space="preserve"> USA </w:t>
            </w:r>
            <w:r>
              <w:rPr>
                <w:rFonts w:eastAsia="Calibri" w:cs="Arial"/>
                <w:noProof/>
                <w:sz w:val="18"/>
                <w:szCs w:val="18"/>
              </w:rPr>
              <w:t>(Byers 2006)</w:t>
            </w:r>
            <w:r>
              <w:rPr>
                <w:rFonts w:eastAsia="Calibri" w:cs="Arial"/>
                <w:sz w:val="18"/>
                <w:szCs w:val="18"/>
              </w:rPr>
              <w:t xml:space="preserve"> </w:t>
            </w:r>
          </w:p>
        </w:tc>
        <w:tc>
          <w:tcPr>
            <w:tcW w:w="1474" w:type="dxa"/>
            <w:shd w:val="clear" w:color="auto" w:fill="auto"/>
          </w:tcPr>
          <w:p w14:paraId="5500D6FC"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records found</w:t>
            </w:r>
          </w:p>
        </w:tc>
        <w:tc>
          <w:tcPr>
            <w:tcW w:w="2552" w:type="dxa"/>
            <w:shd w:val="clear" w:color="auto" w:fill="auto"/>
          </w:tcPr>
          <w:p w14:paraId="1C446188" w14:textId="77777777" w:rsidR="003438A2" w:rsidRPr="007107BF" w:rsidRDefault="003438A2" w:rsidP="00881E29">
            <w:pPr>
              <w:spacing w:before="60" w:after="60" w:line="240" w:lineRule="auto"/>
              <w:rPr>
                <w:rFonts w:eastAsia="Calibri" w:cs="Arial"/>
                <w:sz w:val="18"/>
                <w:szCs w:val="18"/>
              </w:rPr>
            </w:pPr>
            <w:r w:rsidRPr="007107BF">
              <w:rPr>
                <w:rFonts w:eastAsia="Calibri" w:cs="Times New Roman"/>
                <w:sz w:val="18"/>
                <w:szCs w:val="18"/>
              </w:rPr>
              <w:t>Assessment not required</w:t>
            </w:r>
            <w:r w:rsidRPr="007107BF">
              <w:rPr>
                <w:rFonts w:eastAsia="Calibri" w:cs="Arial"/>
                <w:sz w:val="18"/>
                <w:szCs w:val="18"/>
              </w:rPr>
              <w:t xml:space="preserve">. </w:t>
            </w:r>
          </w:p>
        </w:tc>
        <w:tc>
          <w:tcPr>
            <w:tcW w:w="2381" w:type="dxa"/>
            <w:shd w:val="clear" w:color="auto" w:fill="auto"/>
          </w:tcPr>
          <w:p w14:paraId="065E6C09"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2211" w:type="dxa"/>
            <w:shd w:val="clear" w:color="auto" w:fill="auto"/>
          </w:tcPr>
          <w:p w14:paraId="6F634FA3"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1191" w:type="dxa"/>
            <w:shd w:val="clear" w:color="auto" w:fill="auto"/>
          </w:tcPr>
          <w:p w14:paraId="4FF30D29"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w:t>
            </w:r>
          </w:p>
        </w:tc>
      </w:tr>
      <w:tr w:rsidR="003438A2" w:rsidRPr="007107BF" w14:paraId="5CB4E51A" w14:textId="77777777" w:rsidTr="00C4199F">
        <w:trPr>
          <w:cantSplit/>
          <w:trHeight w:val="75"/>
          <w:jc w:val="center"/>
        </w:trPr>
        <w:tc>
          <w:tcPr>
            <w:tcW w:w="2553" w:type="dxa"/>
            <w:shd w:val="clear" w:color="auto" w:fill="auto"/>
          </w:tcPr>
          <w:p w14:paraId="2CD271BA" w14:textId="77777777" w:rsidR="003438A2" w:rsidRPr="007107BF" w:rsidRDefault="003438A2" w:rsidP="00881E29">
            <w:pPr>
              <w:spacing w:before="60" w:after="60" w:line="240" w:lineRule="auto"/>
              <w:rPr>
                <w:rFonts w:eastAsia="Calibri" w:cs="Arial"/>
                <w:sz w:val="18"/>
                <w:szCs w:val="18"/>
              </w:rPr>
            </w:pPr>
            <w:r w:rsidRPr="007107BF">
              <w:rPr>
                <w:rFonts w:eastAsia="Calibri" w:cs="Arial"/>
                <w:i/>
                <w:sz w:val="18"/>
                <w:szCs w:val="18"/>
              </w:rPr>
              <w:t>Xestia c-nigrum</w:t>
            </w:r>
            <w:r w:rsidRPr="007107BF">
              <w:rPr>
                <w:rFonts w:eastAsia="Calibri" w:cs="Arial"/>
                <w:sz w:val="18"/>
                <w:szCs w:val="18"/>
              </w:rPr>
              <w:t xml:space="preserve"> (Linnaeus, 1758)</w:t>
            </w:r>
          </w:p>
          <w:p w14:paraId="2061C55D" w14:textId="77777777" w:rsidR="003438A2" w:rsidRPr="007107BF" w:rsidRDefault="003438A2" w:rsidP="00881E29">
            <w:pPr>
              <w:spacing w:before="60" w:after="60" w:line="240" w:lineRule="auto"/>
              <w:rPr>
                <w:rFonts w:eastAsia="Calibri" w:cs="Arial"/>
                <w:i/>
                <w:sz w:val="18"/>
                <w:szCs w:val="18"/>
              </w:rPr>
            </w:pPr>
            <w:r w:rsidRPr="007107BF">
              <w:rPr>
                <w:rFonts w:eastAsia="Calibri" w:cs="Arial"/>
                <w:sz w:val="18"/>
                <w:szCs w:val="18"/>
              </w:rPr>
              <w:t xml:space="preserve">Synonym: </w:t>
            </w:r>
            <w:r w:rsidRPr="007107BF">
              <w:rPr>
                <w:rFonts w:eastAsia="Calibri" w:cs="Arial"/>
                <w:i/>
                <w:sz w:val="18"/>
                <w:szCs w:val="18"/>
              </w:rPr>
              <w:t xml:space="preserve">Amathes c-nigrum </w:t>
            </w:r>
            <w:r w:rsidRPr="007107BF">
              <w:rPr>
                <w:rFonts w:eastAsia="Calibri" w:cs="Arial"/>
                <w:sz w:val="18"/>
                <w:szCs w:val="18"/>
              </w:rPr>
              <w:t>(Linnaeus, 1758)</w:t>
            </w:r>
          </w:p>
          <w:p w14:paraId="61DD3DA0" w14:textId="77777777" w:rsidR="003438A2" w:rsidRPr="007107BF" w:rsidRDefault="003438A2" w:rsidP="00881E29">
            <w:pPr>
              <w:spacing w:before="60" w:after="60" w:line="240" w:lineRule="auto"/>
              <w:rPr>
                <w:rFonts w:eastAsia="Calibri" w:cs="Arial"/>
                <w:sz w:val="18"/>
                <w:szCs w:val="18"/>
              </w:rPr>
            </w:pPr>
            <w:r w:rsidRPr="007107BF">
              <w:rPr>
                <w:rFonts w:eastAsia="Calibri" w:cs="Arial"/>
                <w:sz w:val="18"/>
                <w:szCs w:val="18"/>
              </w:rPr>
              <w:t>[Noctuidae]</w:t>
            </w:r>
          </w:p>
          <w:p w14:paraId="7F920FD8" w14:textId="77777777" w:rsidR="003438A2" w:rsidRPr="007107BF" w:rsidRDefault="003438A2" w:rsidP="00881E29">
            <w:pPr>
              <w:spacing w:before="60" w:after="60" w:line="240" w:lineRule="auto"/>
              <w:rPr>
                <w:rFonts w:eastAsia="Calibri" w:cs="Arial"/>
                <w:i/>
                <w:sz w:val="18"/>
                <w:szCs w:val="18"/>
              </w:rPr>
            </w:pPr>
            <w:r w:rsidRPr="007107BF">
              <w:rPr>
                <w:rFonts w:eastAsia="Calibri" w:cs="Arial"/>
                <w:sz w:val="18"/>
                <w:szCs w:val="18"/>
              </w:rPr>
              <w:t>Spotted cutworm; Setaceous Hebrew character</w:t>
            </w:r>
          </w:p>
        </w:tc>
        <w:tc>
          <w:tcPr>
            <w:tcW w:w="1474" w:type="dxa"/>
            <w:shd w:val="clear" w:color="auto" w:fill="auto"/>
          </w:tcPr>
          <w:p w14:paraId="2176C0D0" w14:textId="77777777" w:rsidR="003438A2" w:rsidRPr="007107BF" w:rsidRDefault="003438A2" w:rsidP="00881E29">
            <w:pPr>
              <w:spacing w:before="60" w:after="60" w:line="240" w:lineRule="auto"/>
              <w:rPr>
                <w:rFonts w:eastAsia="Calibri" w:cs="Arial"/>
                <w:sz w:val="18"/>
                <w:szCs w:val="18"/>
              </w:rPr>
            </w:pPr>
            <w:r w:rsidRPr="007107BF">
              <w:rPr>
                <w:rFonts w:eastAsia="Calibri" w:cs="Arial"/>
                <w:sz w:val="18"/>
                <w:szCs w:val="18"/>
              </w:rPr>
              <w:t xml:space="preserve">Yes. </w:t>
            </w:r>
            <w:r>
              <w:rPr>
                <w:rFonts w:eastAsia="Calibri" w:cs="Arial"/>
                <w:sz w:val="18"/>
                <w:szCs w:val="18"/>
              </w:rPr>
              <w:t>Present in</w:t>
            </w:r>
            <w:r w:rsidRPr="007107BF">
              <w:rPr>
                <w:rFonts w:eastAsia="Calibri" w:cs="Arial"/>
                <w:sz w:val="18"/>
                <w:szCs w:val="18"/>
              </w:rPr>
              <w:t xml:space="preserve"> ID, OR</w:t>
            </w:r>
            <w:r>
              <w:rPr>
                <w:rFonts w:eastAsia="Calibri" w:cs="Arial"/>
                <w:sz w:val="18"/>
                <w:szCs w:val="18"/>
              </w:rPr>
              <w:t xml:space="preserve"> and</w:t>
            </w:r>
            <w:r w:rsidRPr="007107BF">
              <w:rPr>
                <w:rFonts w:eastAsia="Calibri" w:cs="Arial"/>
                <w:sz w:val="18"/>
                <w:szCs w:val="18"/>
              </w:rPr>
              <w:t xml:space="preserve"> WA </w:t>
            </w:r>
            <w:r>
              <w:rPr>
                <w:rFonts w:eastAsia="Calibri" w:cs="Arial"/>
                <w:noProof/>
                <w:sz w:val="18"/>
                <w:szCs w:val="18"/>
              </w:rPr>
              <w:t>(CABI 2019; Howell 1979; Howell &amp; George 1979; Landolt 2000; Landolt &amp; Hammond 2001)</w:t>
            </w:r>
          </w:p>
        </w:tc>
        <w:tc>
          <w:tcPr>
            <w:tcW w:w="1474" w:type="dxa"/>
            <w:shd w:val="clear" w:color="auto" w:fill="auto"/>
          </w:tcPr>
          <w:p w14:paraId="63CFC267"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records found</w:t>
            </w:r>
          </w:p>
        </w:tc>
        <w:tc>
          <w:tcPr>
            <w:tcW w:w="2552" w:type="dxa"/>
            <w:shd w:val="clear" w:color="auto" w:fill="auto"/>
          </w:tcPr>
          <w:p w14:paraId="3461D744" w14:textId="77777777" w:rsidR="003438A2" w:rsidRPr="007107BF" w:rsidRDefault="003438A2" w:rsidP="00881E29">
            <w:pPr>
              <w:spacing w:before="60" w:after="60" w:line="240" w:lineRule="auto"/>
              <w:rPr>
                <w:rFonts w:eastAsia="Calibri" w:cs="Times New Roman"/>
                <w:sz w:val="18"/>
                <w:szCs w:val="18"/>
              </w:rPr>
            </w:pPr>
            <w:r w:rsidRPr="00E602F1">
              <w:rPr>
                <w:rFonts w:eastAsia="Calibri" w:cs="Times New Roman"/>
                <w:sz w:val="18"/>
                <w:szCs w:val="18"/>
              </w:rPr>
              <w:t xml:space="preserve">No. Larvae feed on buds and leaves, chewing holes in buds and ragged holes in leaves as well as the growing tips on small trees or in high density plantings </w:t>
            </w:r>
            <w:r>
              <w:rPr>
                <w:rFonts w:eastAsia="Calibri" w:cs="Times New Roman"/>
                <w:noProof/>
                <w:sz w:val="18"/>
                <w:szCs w:val="18"/>
              </w:rPr>
              <w:t>(Hollingsworth 2008)</w:t>
            </w:r>
            <w:r w:rsidRPr="00E602F1">
              <w:rPr>
                <w:rFonts w:eastAsia="Calibri" w:cs="Times New Roman"/>
                <w:sz w:val="18"/>
                <w:szCs w:val="18"/>
              </w:rPr>
              <w:t xml:space="preserve">. Larvae graze on the surface of fruit in the growing season </w:t>
            </w:r>
            <w:r>
              <w:rPr>
                <w:rFonts w:eastAsia="Calibri" w:cs="Times New Roman"/>
                <w:noProof/>
                <w:sz w:val="18"/>
                <w:szCs w:val="18"/>
              </w:rPr>
              <w:t>(Howell &amp; George 1979)</w:t>
            </w:r>
            <w:r w:rsidRPr="00E602F1">
              <w:rPr>
                <w:rFonts w:eastAsia="Calibri" w:cs="Times New Roman"/>
                <w:sz w:val="18"/>
                <w:szCs w:val="18"/>
              </w:rPr>
              <w:t xml:space="preserve">. Larvae feed at night, and then descend to the ground to hide during the day </w:t>
            </w:r>
            <w:r>
              <w:rPr>
                <w:rFonts w:eastAsia="Calibri" w:cs="Times New Roman"/>
                <w:noProof/>
                <w:sz w:val="18"/>
                <w:szCs w:val="18"/>
              </w:rPr>
              <w:t>(CABI 2019)</w:t>
            </w:r>
            <w:r w:rsidRPr="00E602F1">
              <w:rPr>
                <w:rFonts w:eastAsia="Calibri" w:cs="Times New Roman"/>
                <w:sz w:val="18"/>
                <w:szCs w:val="18"/>
              </w:rPr>
              <w:t xml:space="preserve">. </w:t>
            </w:r>
            <w:r>
              <w:rPr>
                <w:rFonts w:eastAsia="Calibri" w:cs="Times New Roman"/>
                <w:sz w:val="18"/>
                <w:szCs w:val="18"/>
              </w:rPr>
              <w:t>Therefore, this pest will not be present on fruit when they are harvested during the day.</w:t>
            </w:r>
          </w:p>
        </w:tc>
        <w:tc>
          <w:tcPr>
            <w:tcW w:w="2381" w:type="dxa"/>
            <w:shd w:val="clear" w:color="auto" w:fill="auto"/>
          </w:tcPr>
          <w:p w14:paraId="288C0A1F" w14:textId="77777777" w:rsidR="003438A2" w:rsidRPr="007107BF" w:rsidRDefault="003438A2" w:rsidP="00881E29">
            <w:pPr>
              <w:spacing w:before="60" w:after="60" w:line="240" w:lineRule="auto"/>
              <w:rPr>
                <w:rFonts w:eastAsia="Calibri" w:cs="Arial"/>
                <w:sz w:val="18"/>
                <w:szCs w:val="18"/>
              </w:rPr>
            </w:pPr>
            <w:r w:rsidRPr="007107BF">
              <w:rPr>
                <w:rFonts w:eastAsia="Calibri" w:cs="Times New Roman"/>
                <w:sz w:val="18"/>
                <w:szCs w:val="18"/>
              </w:rPr>
              <w:t>Assessment not required</w:t>
            </w:r>
          </w:p>
        </w:tc>
        <w:tc>
          <w:tcPr>
            <w:tcW w:w="2211" w:type="dxa"/>
            <w:shd w:val="clear" w:color="auto" w:fill="auto"/>
          </w:tcPr>
          <w:p w14:paraId="1F6D0681"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1191" w:type="dxa"/>
            <w:shd w:val="clear" w:color="auto" w:fill="auto"/>
          </w:tcPr>
          <w:p w14:paraId="349F4207"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w:t>
            </w:r>
          </w:p>
        </w:tc>
      </w:tr>
      <w:tr w:rsidR="003438A2" w:rsidRPr="007107BF" w14:paraId="4ECA6457" w14:textId="77777777" w:rsidTr="00C4199F">
        <w:trPr>
          <w:cantSplit/>
          <w:trHeight w:val="75"/>
          <w:jc w:val="center"/>
        </w:trPr>
        <w:tc>
          <w:tcPr>
            <w:tcW w:w="2553" w:type="dxa"/>
            <w:shd w:val="clear" w:color="auto" w:fill="auto"/>
          </w:tcPr>
          <w:p w14:paraId="22C5F921" w14:textId="77777777" w:rsidR="003438A2" w:rsidRPr="007107BF" w:rsidRDefault="003438A2" w:rsidP="00881E29">
            <w:pPr>
              <w:spacing w:before="60" w:after="60" w:line="240" w:lineRule="auto"/>
              <w:rPr>
                <w:rFonts w:eastAsia="Calibri" w:cs="Arial"/>
                <w:sz w:val="18"/>
                <w:szCs w:val="18"/>
              </w:rPr>
            </w:pPr>
            <w:r w:rsidRPr="007107BF">
              <w:rPr>
                <w:rFonts w:eastAsia="Calibri" w:cs="Arial"/>
                <w:i/>
                <w:sz w:val="18"/>
                <w:szCs w:val="18"/>
              </w:rPr>
              <w:t>Yponomeuta malinellus</w:t>
            </w:r>
            <w:r w:rsidRPr="007107BF">
              <w:rPr>
                <w:rFonts w:eastAsia="Calibri" w:cs="Arial"/>
                <w:sz w:val="18"/>
                <w:szCs w:val="18"/>
              </w:rPr>
              <w:t xml:space="preserve"> (Zeller, 1838)</w:t>
            </w:r>
          </w:p>
          <w:p w14:paraId="1FF322EF" w14:textId="77777777" w:rsidR="003438A2" w:rsidRDefault="003438A2" w:rsidP="00881E29">
            <w:pPr>
              <w:spacing w:before="60" w:after="60" w:line="240" w:lineRule="auto"/>
              <w:rPr>
                <w:rFonts w:eastAsia="Calibri" w:cs="Arial"/>
                <w:iCs/>
                <w:sz w:val="18"/>
                <w:szCs w:val="18"/>
              </w:rPr>
            </w:pPr>
            <w:r w:rsidRPr="007107BF">
              <w:rPr>
                <w:rFonts w:eastAsia="Calibri" w:cs="Arial"/>
                <w:sz w:val="18"/>
                <w:szCs w:val="18"/>
              </w:rPr>
              <w:t xml:space="preserve">Synonym: </w:t>
            </w:r>
            <w:r w:rsidRPr="007107BF">
              <w:rPr>
                <w:rFonts w:eastAsia="Calibri" w:cs="Arial"/>
                <w:i/>
                <w:iCs/>
                <w:sz w:val="18"/>
                <w:szCs w:val="18"/>
              </w:rPr>
              <w:t xml:space="preserve">Hyponomeuta malinellus </w:t>
            </w:r>
            <w:r w:rsidRPr="007107BF">
              <w:rPr>
                <w:rFonts w:eastAsia="Calibri" w:cs="Arial"/>
                <w:iCs/>
                <w:sz w:val="18"/>
                <w:szCs w:val="18"/>
              </w:rPr>
              <w:t>(Zeller, 1838)</w:t>
            </w:r>
          </w:p>
          <w:p w14:paraId="4D8FEA4A" w14:textId="77777777" w:rsidR="003438A2" w:rsidRPr="007107BF" w:rsidRDefault="003438A2" w:rsidP="00881E29">
            <w:pPr>
              <w:spacing w:before="60" w:after="60" w:line="240" w:lineRule="auto"/>
              <w:rPr>
                <w:rFonts w:eastAsia="Calibri" w:cs="Arial"/>
                <w:sz w:val="18"/>
                <w:szCs w:val="18"/>
              </w:rPr>
            </w:pPr>
            <w:r w:rsidRPr="007107BF">
              <w:rPr>
                <w:rFonts w:eastAsia="Calibri" w:cs="Arial"/>
                <w:sz w:val="18"/>
                <w:szCs w:val="18"/>
              </w:rPr>
              <w:t>[Yponomeutidae]</w:t>
            </w:r>
          </w:p>
          <w:p w14:paraId="251BECF4" w14:textId="77777777" w:rsidR="003438A2" w:rsidRPr="007107BF" w:rsidRDefault="003438A2" w:rsidP="00881E29">
            <w:pPr>
              <w:spacing w:before="60" w:after="60" w:line="240" w:lineRule="auto"/>
              <w:rPr>
                <w:rFonts w:eastAsia="Calibri" w:cs="Arial"/>
                <w:i/>
                <w:sz w:val="18"/>
                <w:szCs w:val="18"/>
              </w:rPr>
            </w:pPr>
            <w:r w:rsidRPr="007107BF">
              <w:rPr>
                <w:rFonts w:eastAsia="Calibri" w:cs="Arial"/>
                <w:sz w:val="18"/>
                <w:szCs w:val="18"/>
              </w:rPr>
              <w:t>Apple ermine moth</w:t>
            </w:r>
          </w:p>
        </w:tc>
        <w:tc>
          <w:tcPr>
            <w:tcW w:w="1474" w:type="dxa"/>
            <w:shd w:val="clear" w:color="auto" w:fill="auto"/>
          </w:tcPr>
          <w:p w14:paraId="3B5E1ED6" w14:textId="77777777" w:rsidR="003438A2" w:rsidRPr="00BD6A1E" w:rsidRDefault="003438A2" w:rsidP="00137F7A">
            <w:pPr>
              <w:rPr>
                <w:sz w:val="18"/>
                <w:szCs w:val="18"/>
              </w:rPr>
            </w:pPr>
            <w:r w:rsidRPr="007107BF">
              <w:rPr>
                <w:rFonts w:eastAsia="Calibri" w:cs="Arial"/>
                <w:sz w:val="18"/>
                <w:szCs w:val="18"/>
              </w:rPr>
              <w:t xml:space="preserve">Yes. </w:t>
            </w:r>
            <w:r>
              <w:rPr>
                <w:rFonts w:eastAsia="Calibri" w:cs="Arial"/>
                <w:sz w:val="18"/>
                <w:szCs w:val="18"/>
              </w:rPr>
              <w:t>Present in</w:t>
            </w:r>
            <w:r w:rsidRPr="007107BF">
              <w:rPr>
                <w:rFonts w:eastAsia="Calibri" w:cs="Arial"/>
                <w:sz w:val="18"/>
                <w:szCs w:val="18"/>
              </w:rPr>
              <w:t xml:space="preserve"> OR</w:t>
            </w:r>
            <w:r>
              <w:rPr>
                <w:rFonts w:eastAsia="Calibri" w:cs="Arial"/>
                <w:sz w:val="18"/>
                <w:szCs w:val="18"/>
              </w:rPr>
              <w:t xml:space="preserve"> and</w:t>
            </w:r>
            <w:r w:rsidRPr="007107BF">
              <w:rPr>
                <w:rFonts w:eastAsia="Calibri" w:cs="Arial"/>
                <w:sz w:val="18"/>
                <w:szCs w:val="18"/>
              </w:rPr>
              <w:t xml:space="preserve"> WA</w:t>
            </w:r>
            <w:r>
              <w:rPr>
                <w:rFonts w:eastAsia="Calibri" w:cs="Arial"/>
                <w:sz w:val="18"/>
                <w:szCs w:val="18"/>
              </w:rPr>
              <w:t xml:space="preserve"> </w:t>
            </w:r>
            <w:r>
              <w:rPr>
                <w:rFonts w:eastAsia="Calibri" w:cs="Arial"/>
                <w:noProof/>
                <w:sz w:val="18"/>
                <w:szCs w:val="18"/>
              </w:rPr>
              <w:t>(LaGasa 1996, 2008; Unruh et al. 2003)</w:t>
            </w:r>
          </w:p>
          <w:p w14:paraId="24D1DB8C" w14:textId="77777777" w:rsidR="003438A2" w:rsidRPr="007107BF" w:rsidRDefault="003438A2" w:rsidP="00881E29">
            <w:pPr>
              <w:spacing w:before="60" w:after="60" w:line="240" w:lineRule="auto"/>
              <w:rPr>
                <w:rFonts w:eastAsia="Calibri" w:cs="Arial"/>
                <w:sz w:val="18"/>
                <w:szCs w:val="18"/>
              </w:rPr>
            </w:pPr>
          </w:p>
        </w:tc>
        <w:tc>
          <w:tcPr>
            <w:tcW w:w="1474" w:type="dxa"/>
            <w:shd w:val="clear" w:color="auto" w:fill="auto"/>
          </w:tcPr>
          <w:p w14:paraId="21E0619A"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records found</w:t>
            </w:r>
          </w:p>
        </w:tc>
        <w:tc>
          <w:tcPr>
            <w:tcW w:w="2552" w:type="dxa"/>
            <w:shd w:val="clear" w:color="auto" w:fill="auto"/>
          </w:tcPr>
          <w:p w14:paraId="380D1F52" w14:textId="77777777" w:rsidR="003438A2" w:rsidRPr="007107BF" w:rsidRDefault="003438A2" w:rsidP="00881E29">
            <w:pPr>
              <w:spacing w:before="60" w:after="60" w:line="240" w:lineRule="auto"/>
              <w:rPr>
                <w:rFonts w:eastAsia="Calibri" w:cs="Times New Roman"/>
                <w:sz w:val="18"/>
                <w:szCs w:val="18"/>
              </w:rPr>
            </w:pPr>
            <w:r w:rsidRPr="00B13148">
              <w:rPr>
                <w:rFonts w:eastAsia="Calibri" w:cs="Times New Roman"/>
                <w:sz w:val="18"/>
                <w:szCs w:val="18"/>
              </w:rPr>
              <w:t xml:space="preserve">No. Eggs are laid on the bark of apple trees </w:t>
            </w:r>
            <w:r>
              <w:rPr>
                <w:rFonts w:eastAsia="Calibri" w:cs="Times New Roman"/>
                <w:noProof/>
                <w:sz w:val="18"/>
                <w:szCs w:val="18"/>
              </w:rPr>
              <w:t>(Antonelli, LaGasa &amp; Bay 1989)</w:t>
            </w:r>
            <w:r w:rsidRPr="00B13148">
              <w:rPr>
                <w:rFonts w:eastAsia="Calibri" w:cs="Times New Roman"/>
                <w:sz w:val="18"/>
                <w:szCs w:val="18"/>
              </w:rPr>
              <w:t>. The web spinning larvae feed on apple leaves in spring</w:t>
            </w:r>
            <w:r>
              <w:rPr>
                <w:rFonts w:eastAsia="Calibri" w:cs="Times New Roman"/>
                <w:sz w:val="18"/>
                <w:szCs w:val="18"/>
              </w:rPr>
              <w:t>, and</w:t>
            </w:r>
            <w:r w:rsidRPr="00B13148">
              <w:rPr>
                <w:rFonts w:eastAsia="Calibri" w:cs="Times New Roman"/>
                <w:sz w:val="18"/>
                <w:szCs w:val="18"/>
              </w:rPr>
              <w:t xml:space="preserve"> fruit may also be deformed where </w:t>
            </w:r>
            <w:r>
              <w:rPr>
                <w:rFonts w:eastAsia="Calibri" w:cs="Times New Roman"/>
                <w:sz w:val="18"/>
                <w:szCs w:val="18"/>
              </w:rPr>
              <w:t>they</w:t>
            </w:r>
            <w:r w:rsidRPr="00B13148">
              <w:rPr>
                <w:rFonts w:eastAsia="Calibri" w:cs="Times New Roman"/>
                <w:sz w:val="18"/>
                <w:szCs w:val="18"/>
              </w:rPr>
              <w:t xml:space="preserve"> come in contact with larval webs </w:t>
            </w:r>
            <w:r>
              <w:rPr>
                <w:rFonts w:eastAsia="Calibri" w:cs="Times New Roman"/>
                <w:noProof/>
                <w:sz w:val="18"/>
                <w:szCs w:val="18"/>
              </w:rPr>
              <w:t>(Kimber 2009; LaGasa 1996)</w:t>
            </w:r>
            <w:r w:rsidRPr="00B13148">
              <w:rPr>
                <w:rFonts w:eastAsia="Calibri" w:cs="Times New Roman"/>
                <w:sz w:val="18"/>
                <w:szCs w:val="18"/>
              </w:rPr>
              <w:t xml:space="preserve">. Pupal cocoons are arranged in a web beneath a leaf or twig </w:t>
            </w:r>
            <w:r>
              <w:rPr>
                <w:rFonts w:eastAsia="Calibri" w:cs="Times New Roman"/>
                <w:noProof/>
                <w:sz w:val="18"/>
                <w:szCs w:val="18"/>
              </w:rPr>
              <w:t>(Kimber 2009)</w:t>
            </w:r>
            <w:r w:rsidRPr="00B13148">
              <w:rPr>
                <w:rFonts w:eastAsia="Calibri" w:cs="Times New Roman"/>
                <w:sz w:val="18"/>
                <w:szCs w:val="18"/>
              </w:rPr>
              <w:t xml:space="preserve">. </w:t>
            </w:r>
            <w:r>
              <w:rPr>
                <w:rFonts w:eastAsia="Calibri" w:cs="Times New Roman"/>
                <w:sz w:val="18"/>
                <w:szCs w:val="18"/>
              </w:rPr>
              <w:t>Infested or</w:t>
            </w:r>
            <w:r w:rsidRPr="00E648AA">
              <w:rPr>
                <w:rFonts w:eastAsia="Calibri" w:cs="Times New Roman"/>
                <w:sz w:val="18"/>
                <w:szCs w:val="18"/>
              </w:rPr>
              <w:t xml:space="preserve"> damaged fruit will be discarded during the harvest, sorting and packing process</w:t>
            </w:r>
            <w:r>
              <w:rPr>
                <w:rFonts w:eastAsia="Calibri" w:cs="Times New Roman"/>
                <w:sz w:val="18"/>
                <w:szCs w:val="18"/>
              </w:rPr>
              <w:t>.</w:t>
            </w:r>
          </w:p>
        </w:tc>
        <w:tc>
          <w:tcPr>
            <w:tcW w:w="2381" w:type="dxa"/>
            <w:shd w:val="clear" w:color="auto" w:fill="auto"/>
          </w:tcPr>
          <w:p w14:paraId="6A77667A" w14:textId="77777777" w:rsidR="003438A2" w:rsidRPr="007107BF" w:rsidRDefault="003438A2" w:rsidP="00881E29">
            <w:pPr>
              <w:spacing w:before="60" w:after="60" w:line="240" w:lineRule="auto"/>
              <w:rPr>
                <w:rFonts w:eastAsia="Calibri" w:cs="Arial"/>
                <w:sz w:val="18"/>
                <w:szCs w:val="18"/>
              </w:rPr>
            </w:pPr>
            <w:r w:rsidRPr="007107BF">
              <w:rPr>
                <w:rFonts w:eastAsia="Calibri" w:cs="Times New Roman"/>
                <w:sz w:val="18"/>
                <w:szCs w:val="18"/>
              </w:rPr>
              <w:t>Assessment not required</w:t>
            </w:r>
          </w:p>
        </w:tc>
        <w:tc>
          <w:tcPr>
            <w:tcW w:w="2211" w:type="dxa"/>
            <w:shd w:val="clear" w:color="auto" w:fill="auto"/>
          </w:tcPr>
          <w:p w14:paraId="01A3406C"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1191" w:type="dxa"/>
            <w:shd w:val="clear" w:color="auto" w:fill="auto"/>
          </w:tcPr>
          <w:p w14:paraId="6EEB2A80"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w:t>
            </w:r>
          </w:p>
        </w:tc>
      </w:tr>
      <w:tr w:rsidR="003438A2" w:rsidRPr="007107BF" w14:paraId="4247DB3C" w14:textId="77777777" w:rsidTr="00C4199F">
        <w:trPr>
          <w:cantSplit/>
          <w:trHeight w:val="75"/>
          <w:jc w:val="center"/>
        </w:trPr>
        <w:tc>
          <w:tcPr>
            <w:tcW w:w="2553" w:type="dxa"/>
            <w:shd w:val="clear" w:color="auto" w:fill="FFFFFF" w:themeFill="background1"/>
          </w:tcPr>
          <w:p w14:paraId="45783BF1" w14:textId="77777777" w:rsidR="003438A2" w:rsidRPr="007107BF" w:rsidRDefault="003438A2" w:rsidP="00881E29">
            <w:pPr>
              <w:spacing w:before="60" w:after="60" w:line="240" w:lineRule="auto"/>
              <w:rPr>
                <w:rFonts w:eastAsia="Calibri" w:cs="Arial"/>
                <w:sz w:val="18"/>
                <w:szCs w:val="18"/>
              </w:rPr>
            </w:pPr>
            <w:r w:rsidRPr="007107BF">
              <w:rPr>
                <w:rFonts w:eastAsia="Calibri" w:cs="Arial"/>
                <w:i/>
                <w:sz w:val="18"/>
                <w:szCs w:val="18"/>
              </w:rPr>
              <w:lastRenderedPageBreak/>
              <w:t>Yponomeuta padella</w:t>
            </w:r>
            <w:r w:rsidRPr="007107BF">
              <w:rPr>
                <w:rFonts w:eastAsia="Calibri" w:cs="Arial"/>
                <w:sz w:val="18"/>
                <w:szCs w:val="18"/>
              </w:rPr>
              <w:t xml:space="preserve"> (Linnaeus, 1758)</w:t>
            </w:r>
          </w:p>
          <w:p w14:paraId="30A05A54" w14:textId="77777777" w:rsidR="003438A2" w:rsidRPr="007107BF" w:rsidRDefault="003438A2" w:rsidP="00881E29">
            <w:pPr>
              <w:spacing w:before="60" w:after="60" w:line="240" w:lineRule="auto"/>
              <w:rPr>
                <w:rFonts w:eastAsia="Calibri" w:cs="Arial"/>
                <w:sz w:val="18"/>
                <w:szCs w:val="18"/>
              </w:rPr>
            </w:pPr>
            <w:r w:rsidRPr="007107BF">
              <w:rPr>
                <w:rFonts w:eastAsia="Calibri" w:cs="Arial"/>
                <w:sz w:val="18"/>
                <w:szCs w:val="18"/>
              </w:rPr>
              <w:t>[Yponomeutidae]</w:t>
            </w:r>
          </w:p>
          <w:p w14:paraId="12B610D3" w14:textId="77777777" w:rsidR="003438A2" w:rsidRPr="007107BF" w:rsidRDefault="003438A2" w:rsidP="00881E29">
            <w:pPr>
              <w:spacing w:before="60" w:after="60" w:line="240" w:lineRule="auto"/>
              <w:rPr>
                <w:rFonts w:eastAsia="Calibri" w:cs="Arial"/>
                <w:i/>
                <w:sz w:val="18"/>
                <w:szCs w:val="18"/>
              </w:rPr>
            </w:pPr>
            <w:r w:rsidRPr="007107BF">
              <w:rPr>
                <w:rFonts w:eastAsia="Calibri" w:cs="Arial"/>
                <w:sz w:val="18"/>
                <w:szCs w:val="18"/>
              </w:rPr>
              <w:t>Cherry ermine moth; Orchard ermine</w:t>
            </w:r>
          </w:p>
        </w:tc>
        <w:tc>
          <w:tcPr>
            <w:tcW w:w="1474" w:type="dxa"/>
            <w:shd w:val="clear" w:color="auto" w:fill="FFFFFF" w:themeFill="background1"/>
          </w:tcPr>
          <w:p w14:paraId="6DB02CFD" w14:textId="77777777" w:rsidR="003438A2" w:rsidRPr="007107BF" w:rsidRDefault="003438A2" w:rsidP="00881E29">
            <w:pPr>
              <w:spacing w:before="60" w:after="60" w:line="240" w:lineRule="auto"/>
              <w:rPr>
                <w:rFonts w:eastAsia="Calibri" w:cs="Arial"/>
                <w:sz w:val="18"/>
                <w:szCs w:val="18"/>
              </w:rPr>
            </w:pPr>
            <w:r w:rsidRPr="007107BF">
              <w:rPr>
                <w:rFonts w:eastAsia="Calibri" w:cs="Arial"/>
                <w:sz w:val="18"/>
                <w:szCs w:val="18"/>
              </w:rPr>
              <w:t xml:space="preserve">Yes. </w:t>
            </w:r>
            <w:r>
              <w:rPr>
                <w:rFonts w:eastAsia="Calibri" w:cs="Arial"/>
                <w:sz w:val="18"/>
                <w:szCs w:val="18"/>
              </w:rPr>
              <w:t>Present in</w:t>
            </w:r>
            <w:r w:rsidRPr="007107BF">
              <w:rPr>
                <w:rFonts w:eastAsia="Calibri" w:cs="Arial"/>
                <w:sz w:val="18"/>
                <w:szCs w:val="18"/>
              </w:rPr>
              <w:t xml:space="preserve"> WA </w:t>
            </w:r>
            <w:r>
              <w:rPr>
                <w:rFonts w:eastAsia="Calibri" w:cs="Arial"/>
                <w:noProof/>
                <w:sz w:val="18"/>
                <w:szCs w:val="18"/>
              </w:rPr>
              <w:t>(LaGasa 1996)</w:t>
            </w:r>
          </w:p>
        </w:tc>
        <w:tc>
          <w:tcPr>
            <w:tcW w:w="1474" w:type="dxa"/>
            <w:shd w:val="clear" w:color="auto" w:fill="FFFFFF" w:themeFill="background1"/>
          </w:tcPr>
          <w:p w14:paraId="1ABAEAE9"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records found</w:t>
            </w:r>
          </w:p>
        </w:tc>
        <w:tc>
          <w:tcPr>
            <w:tcW w:w="2552" w:type="dxa"/>
            <w:shd w:val="clear" w:color="auto" w:fill="FFFFFF" w:themeFill="background1"/>
          </w:tcPr>
          <w:p w14:paraId="0FD2B002" w14:textId="77777777" w:rsidR="003438A2" w:rsidRPr="00C566A8" w:rsidRDefault="003438A2" w:rsidP="00C566A8">
            <w:pPr>
              <w:pStyle w:val="TableText"/>
            </w:pPr>
            <w:r w:rsidRPr="00AA794F">
              <w:t xml:space="preserve">No. This species is univoltine </w:t>
            </w:r>
            <w:r w:rsidRPr="00AA794F">
              <w:rPr>
                <w:noProof/>
              </w:rPr>
              <w:t>(Noma et al. 2010; Purdue University 2013)</w:t>
            </w:r>
            <w:r w:rsidRPr="00AA794F">
              <w:t>. Adults, eggs and overwintering first instar larvae are the only life stages that would be present in apple orchards at the time of harvest, but none of these life stages would be likely to be present on fruit. Female moths lay eggs in autumn on twigs and branches of hosts, which hatch into the overwintering first instar larval stage. Between spring and early summer, larvae feed gregariously under loose webs on buds, leaves and sometimes developing fruit. Pupation occurs in cocoons within the webbing and adults emerge in summer.</w:t>
            </w:r>
          </w:p>
        </w:tc>
        <w:tc>
          <w:tcPr>
            <w:tcW w:w="2381" w:type="dxa"/>
            <w:shd w:val="clear" w:color="auto" w:fill="FFFFFF" w:themeFill="background1"/>
          </w:tcPr>
          <w:p w14:paraId="20B6FB85" w14:textId="77777777" w:rsidR="003438A2" w:rsidRPr="007107BF" w:rsidRDefault="003438A2" w:rsidP="00881E29">
            <w:pPr>
              <w:spacing w:before="60" w:after="60" w:line="240" w:lineRule="auto"/>
              <w:rPr>
                <w:rFonts w:eastAsia="Calibri" w:cs="Arial"/>
                <w:sz w:val="18"/>
                <w:szCs w:val="18"/>
              </w:rPr>
            </w:pPr>
            <w:r w:rsidRPr="007107BF">
              <w:rPr>
                <w:rFonts w:eastAsia="Calibri" w:cs="Times New Roman"/>
                <w:sz w:val="18"/>
                <w:szCs w:val="18"/>
              </w:rPr>
              <w:t>Assessment not required</w:t>
            </w:r>
          </w:p>
        </w:tc>
        <w:tc>
          <w:tcPr>
            <w:tcW w:w="2211" w:type="dxa"/>
            <w:shd w:val="clear" w:color="auto" w:fill="FFFFFF" w:themeFill="background1"/>
          </w:tcPr>
          <w:p w14:paraId="26DBD909"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1191" w:type="dxa"/>
            <w:shd w:val="clear" w:color="auto" w:fill="FFFFFF" w:themeFill="background1"/>
          </w:tcPr>
          <w:p w14:paraId="5B21FF31"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w:t>
            </w:r>
          </w:p>
        </w:tc>
      </w:tr>
      <w:tr w:rsidR="003438A2" w:rsidRPr="0008027A" w14:paraId="2AC7FC05" w14:textId="77777777" w:rsidTr="00C4199F">
        <w:trPr>
          <w:cantSplit/>
          <w:trHeight w:val="75"/>
          <w:jc w:val="center"/>
        </w:trPr>
        <w:tc>
          <w:tcPr>
            <w:tcW w:w="13836" w:type="dxa"/>
            <w:gridSpan w:val="7"/>
            <w:shd w:val="clear" w:color="auto" w:fill="auto"/>
          </w:tcPr>
          <w:p w14:paraId="59B25DDE" w14:textId="77777777" w:rsidR="003438A2" w:rsidRPr="0008027A" w:rsidRDefault="003438A2" w:rsidP="00881E29">
            <w:pPr>
              <w:keepNext/>
              <w:spacing w:before="60" w:after="60" w:line="240" w:lineRule="auto"/>
              <w:rPr>
                <w:rFonts w:eastAsia="Calibri" w:cs="Times New Roman"/>
                <w:b/>
                <w:sz w:val="18"/>
                <w:szCs w:val="18"/>
              </w:rPr>
            </w:pPr>
            <w:r w:rsidRPr="0008027A">
              <w:rPr>
                <w:rFonts w:eastAsia="Calibri" w:cs="Arial"/>
                <w:b/>
                <w:sz w:val="18"/>
                <w:szCs w:val="18"/>
              </w:rPr>
              <w:lastRenderedPageBreak/>
              <w:t>Thysanoptera</w:t>
            </w:r>
          </w:p>
        </w:tc>
      </w:tr>
      <w:tr w:rsidR="003438A2" w:rsidRPr="007107BF" w14:paraId="6A266E69" w14:textId="77777777" w:rsidTr="00C4199F">
        <w:trPr>
          <w:cantSplit/>
          <w:trHeight w:val="75"/>
          <w:jc w:val="center"/>
        </w:trPr>
        <w:tc>
          <w:tcPr>
            <w:tcW w:w="2553" w:type="dxa"/>
            <w:shd w:val="clear" w:color="auto" w:fill="auto"/>
          </w:tcPr>
          <w:p w14:paraId="551C14A5" w14:textId="77777777" w:rsidR="003438A2" w:rsidRPr="004157F0" w:rsidRDefault="003438A2" w:rsidP="00881E29">
            <w:pPr>
              <w:spacing w:before="60" w:after="60" w:line="240" w:lineRule="auto"/>
              <w:rPr>
                <w:rFonts w:eastAsia="Calibri" w:cs="Times New Roman"/>
                <w:sz w:val="18"/>
                <w:szCs w:val="18"/>
              </w:rPr>
            </w:pPr>
            <w:r w:rsidRPr="004157F0">
              <w:rPr>
                <w:rFonts w:eastAsia="Calibri" w:cs="Times New Roman"/>
                <w:i/>
                <w:sz w:val="18"/>
                <w:szCs w:val="18"/>
              </w:rPr>
              <w:t xml:space="preserve">Frankliniella occidentalis </w:t>
            </w:r>
            <w:r w:rsidRPr="004157F0">
              <w:rPr>
                <w:rFonts w:eastAsia="Calibri" w:cs="Times New Roman"/>
                <w:sz w:val="18"/>
                <w:szCs w:val="18"/>
              </w:rPr>
              <w:t>(Pergande, 1895)</w:t>
            </w:r>
          </w:p>
          <w:p w14:paraId="3150ED10" w14:textId="77777777" w:rsidR="003438A2" w:rsidRPr="004157F0" w:rsidRDefault="003438A2" w:rsidP="00881E29">
            <w:pPr>
              <w:spacing w:before="60" w:after="60" w:line="240" w:lineRule="auto"/>
              <w:rPr>
                <w:rFonts w:eastAsia="Calibri" w:cs="Times New Roman"/>
                <w:sz w:val="18"/>
                <w:szCs w:val="18"/>
              </w:rPr>
            </w:pPr>
            <w:r w:rsidRPr="004157F0">
              <w:rPr>
                <w:rFonts w:eastAsia="Calibri" w:cs="Times New Roman"/>
                <w:sz w:val="18"/>
                <w:szCs w:val="18"/>
              </w:rPr>
              <w:t xml:space="preserve">Synonyms: </w:t>
            </w:r>
            <w:r w:rsidRPr="004157F0">
              <w:rPr>
                <w:rFonts w:eastAsia="Calibri" w:cs="Times New Roman"/>
                <w:i/>
                <w:sz w:val="18"/>
                <w:szCs w:val="18"/>
              </w:rPr>
              <w:t>Euthrips tritici californicus</w:t>
            </w:r>
            <w:r w:rsidRPr="004157F0">
              <w:rPr>
                <w:rFonts w:eastAsia="Calibri" w:cs="Times New Roman"/>
                <w:sz w:val="18"/>
                <w:szCs w:val="18"/>
              </w:rPr>
              <w:t xml:space="preserve"> Moulton, 1911; </w:t>
            </w:r>
            <w:r w:rsidRPr="004157F0">
              <w:rPr>
                <w:rFonts w:eastAsia="Calibri" w:cs="Times New Roman"/>
                <w:i/>
                <w:sz w:val="18"/>
                <w:szCs w:val="18"/>
              </w:rPr>
              <w:t>Frankliniella tritici maculata</w:t>
            </w:r>
            <w:r w:rsidRPr="004157F0">
              <w:rPr>
                <w:rFonts w:eastAsia="Calibri" w:cs="Times New Roman"/>
                <w:sz w:val="18"/>
                <w:szCs w:val="18"/>
              </w:rPr>
              <w:t xml:space="preserve"> Priesner, 1925; </w:t>
            </w:r>
            <w:r w:rsidRPr="004157F0">
              <w:rPr>
                <w:rFonts w:eastAsia="Calibri" w:cs="Times New Roman"/>
                <w:i/>
                <w:sz w:val="18"/>
                <w:szCs w:val="18"/>
              </w:rPr>
              <w:t xml:space="preserve">Frankliniella tritici moultoni </w:t>
            </w:r>
            <w:r w:rsidRPr="004157F0">
              <w:rPr>
                <w:rFonts w:eastAsia="Calibri" w:cs="Times New Roman"/>
                <w:sz w:val="18"/>
                <w:szCs w:val="18"/>
              </w:rPr>
              <w:t>Hood, 1914.</w:t>
            </w:r>
          </w:p>
          <w:p w14:paraId="08A3409A" w14:textId="77777777" w:rsidR="003438A2" w:rsidRPr="004157F0" w:rsidRDefault="003438A2" w:rsidP="00881E29">
            <w:pPr>
              <w:spacing w:before="60" w:after="60" w:line="240" w:lineRule="auto"/>
              <w:rPr>
                <w:rFonts w:eastAsia="Calibri" w:cs="Times New Roman"/>
                <w:sz w:val="18"/>
                <w:szCs w:val="18"/>
              </w:rPr>
            </w:pPr>
            <w:r w:rsidRPr="004157F0">
              <w:rPr>
                <w:rFonts w:eastAsia="Calibri" w:cs="Times New Roman"/>
                <w:sz w:val="18"/>
                <w:szCs w:val="18"/>
              </w:rPr>
              <w:t>[Thripidae]</w:t>
            </w:r>
          </w:p>
          <w:p w14:paraId="79F219DA" w14:textId="77777777" w:rsidR="003438A2" w:rsidRPr="004157F0" w:rsidRDefault="003438A2" w:rsidP="00881E29">
            <w:pPr>
              <w:spacing w:before="60" w:after="60" w:line="240" w:lineRule="auto"/>
              <w:rPr>
                <w:rFonts w:eastAsia="Calibri" w:cs="Arial"/>
                <w:i/>
                <w:sz w:val="18"/>
                <w:szCs w:val="18"/>
              </w:rPr>
            </w:pPr>
            <w:r w:rsidRPr="004157F0">
              <w:rPr>
                <w:rFonts w:eastAsia="Calibri" w:cs="Times New Roman"/>
                <w:sz w:val="18"/>
                <w:szCs w:val="18"/>
              </w:rPr>
              <w:t>Western flower thrips</w:t>
            </w:r>
          </w:p>
        </w:tc>
        <w:tc>
          <w:tcPr>
            <w:tcW w:w="1474" w:type="dxa"/>
            <w:shd w:val="clear" w:color="auto" w:fill="auto"/>
          </w:tcPr>
          <w:p w14:paraId="57D6AC17" w14:textId="77777777" w:rsidR="003438A2" w:rsidRDefault="003438A2" w:rsidP="00321810">
            <w:pPr>
              <w:spacing w:before="60" w:after="60" w:line="240" w:lineRule="auto"/>
              <w:rPr>
                <w:rFonts w:eastAsia="Calibri" w:cs="Times New Roman"/>
                <w:noProof/>
                <w:sz w:val="18"/>
                <w:szCs w:val="18"/>
              </w:rPr>
            </w:pPr>
            <w:r w:rsidRPr="004157F0">
              <w:rPr>
                <w:rFonts w:eastAsia="Calibri" w:cs="Times New Roman"/>
                <w:sz w:val="18"/>
                <w:szCs w:val="18"/>
              </w:rPr>
              <w:t xml:space="preserve">Yes. </w:t>
            </w:r>
            <w:r>
              <w:rPr>
                <w:rFonts w:eastAsia="Calibri" w:cs="Times New Roman"/>
                <w:sz w:val="18"/>
                <w:szCs w:val="18"/>
              </w:rPr>
              <w:t>Present in</w:t>
            </w:r>
            <w:r w:rsidRPr="004157F0">
              <w:rPr>
                <w:rFonts w:eastAsia="Calibri" w:cs="Times New Roman"/>
                <w:sz w:val="18"/>
                <w:szCs w:val="18"/>
              </w:rPr>
              <w:t xml:space="preserve"> ID, OR</w:t>
            </w:r>
            <w:r>
              <w:rPr>
                <w:rFonts w:eastAsia="Calibri" w:cs="Times New Roman"/>
                <w:sz w:val="18"/>
                <w:szCs w:val="18"/>
              </w:rPr>
              <w:t xml:space="preserve"> and</w:t>
            </w:r>
            <w:r w:rsidRPr="004157F0">
              <w:rPr>
                <w:rFonts w:eastAsia="Calibri" w:cs="Times New Roman"/>
                <w:sz w:val="18"/>
                <w:szCs w:val="18"/>
              </w:rPr>
              <w:t xml:space="preserve"> WA</w:t>
            </w:r>
            <w:r>
              <w:rPr>
                <w:rFonts w:eastAsia="Calibri" w:cs="Times New Roman"/>
                <w:sz w:val="18"/>
                <w:szCs w:val="18"/>
              </w:rPr>
              <w:t xml:space="preserve"> </w:t>
            </w:r>
            <w:r>
              <w:rPr>
                <w:rFonts w:eastAsia="Calibri" w:cs="Times New Roman"/>
                <w:noProof/>
                <w:sz w:val="18"/>
                <w:szCs w:val="18"/>
              </w:rPr>
              <w:t>(CABI 2022)</w:t>
            </w:r>
          </w:p>
          <w:p w14:paraId="6194DDC6" w14:textId="77777777" w:rsidR="003438A2" w:rsidRPr="00787781" w:rsidRDefault="003438A2" w:rsidP="00321810">
            <w:pPr>
              <w:spacing w:before="60" w:after="60" w:line="240" w:lineRule="auto"/>
              <w:rPr>
                <w:rFonts w:eastAsia="Times New Roman" w:cs="Calibri"/>
                <w:color w:val="000000"/>
                <w:sz w:val="18"/>
                <w:szCs w:val="18"/>
                <w:lang w:eastAsia="en-AU"/>
              </w:rPr>
            </w:pPr>
            <w:r w:rsidRPr="004157F0">
              <w:rPr>
                <w:rFonts w:eastAsia="Calibri" w:cs="Times New Roman"/>
                <w:sz w:val="18"/>
                <w:szCs w:val="18"/>
              </w:rPr>
              <w:t xml:space="preserve"> </w:t>
            </w:r>
          </w:p>
        </w:tc>
        <w:tc>
          <w:tcPr>
            <w:tcW w:w="1474" w:type="dxa"/>
            <w:shd w:val="clear" w:color="auto" w:fill="auto"/>
          </w:tcPr>
          <w:p w14:paraId="270CD298" w14:textId="77777777" w:rsidR="003438A2" w:rsidRPr="004157F0" w:rsidRDefault="003438A2" w:rsidP="00881E29">
            <w:pPr>
              <w:spacing w:before="60" w:after="60" w:line="240" w:lineRule="auto"/>
              <w:rPr>
                <w:rFonts w:eastAsia="Calibri" w:cs="Times New Roman"/>
                <w:sz w:val="18"/>
                <w:szCs w:val="18"/>
              </w:rPr>
            </w:pPr>
            <w:r>
              <w:rPr>
                <w:rFonts w:eastAsia="Calibri" w:cs="Times New Roman"/>
                <w:sz w:val="18"/>
                <w:szCs w:val="18"/>
              </w:rPr>
              <w:t xml:space="preserve">Yes. Occurs in every state and ACT </w:t>
            </w:r>
            <w:r>
              <w:rPr>
                <w:rFonts w:eastAsia="Calibri" w:cs="Times New Roman"/>
                <w:noProof/>
                <w:sz w:val="18"/>
                <w:szCs w:val="18"/>
              </w:rPr>
              <w:t>(Government of Western Australia 2020; Mound 2008)</w:t>
            </w:r>
            <w:r w:rsidRPr="004157F0">
              <w:rPr>
                <w:rFonts w:eastAsia="Calibri" w:cs="Times New Roman"/>
                <w:sz w:val="18"/>
                <w:szCs w:val="18"/>
              </w:rPr>
              <w:t xml:space="preserve"> but absent from NT </w:t>
            </w:r>
            <w:r>
              <w:rPr>
                <w:rFonts w:eastAsia="Calibri" w:cs="Times New Roman"/>
                <w:noProof/>
                <w:sz w:val="18"/>
                <w:szCs w:val="18"/>
              </w:rPr>
              <w:t>(DRDPIFR NT 2008)</w:t>
            </w:r>
            <w:r w:rsidRPr="004157F0">
              <w:rPr>
                <w:rFonts w:eastAsia="Calibri" w:cs="Times New Roman"/>
                <w:sz w:val="18"/>
                <w:szCs w:val="18"/>
              </w:rPr>
              <w:t xml:space="preserve"> and under official control in Tasmania </w:t>
            </w:r>
            <w:r>
              <w:rPr>
                <w:rFonts w:eastAsia="Calibri" w:cs="Times New Roman"/>
                <w:noProof/>
                <w:sz w:val="18"/>
                <w:szCs w:val="18"/>
              </w:rPr>
              <w:t>(DPIW Tasmania 2008b)</w:t>
            </w:r>
          </w:p>
        </w:tc>
        <w:tc>
          <w:tcPr>
            <w:tcW w:w="2552" w:type="dxa"/>
            <w:shd w:val="clear" w:color="auto" w:fill="auto"/>
          </w:tcPr>
          <w:p w14:paraId="31F7C6A5" w14:textId="77777777" w:rsidR="003438A2" w:rsidRPr="00F87034" w:rsidRDefault="003438A2" w:rsidP="00881E29">
            <w:pPr>
              <w:spacing w:before="60" w:after="60" w:line="240" w:lineRule="auto"/>
              <w:rPr>
                <w:rFonts w:eastAsia="Calibri" w:cs="Times New Roman"/>
                <w:sz w:val="18"/>
                <w:szCs w:val="18"/>
              </w:rPr>
            </w:pPr>
            <w:r w:rsidRPr="00F87034">
              <w:rPr>
                <w:rFonts w:eastAsia="Calibri" w:cs="Times New Roman"/>
                <w:sz w:val="18"/>
                <w:szCs w:val="18"/>
              </w:rPr>
              <w:t xml:space="preserve">Yes. Affects leaves, and inflorescences of the plants </w:t>
            </w:r>
            <w:r>
              <w:rPr>
                <w:rFonts w:eastAsia="Calibri" w:cs="Times New Roman"/>
                <w:noProof/>
                <w:sz w:val="18"/>
                <w:szCs w:val="18"/>
              </w:rPr>
              <w:t>(Frantz &amp; Fasulo 2008a)</w:t>
            </w:r>
            <w:r w:rsidRPr="00F87034">
              <w:rPr>
                <w:rFonts w:eastAsia="Calibri" w:cs="Times New Roman"/>
                <w:sz w:val="18"/>
                <w:szCs w:val="18"/>
              </w:rPr>
              <w:t xml:space="preserve">. It is associated with apple and can be associated with fruit </w:t>
            </w:r>
            <w:r>
              <w:rPr>
                <w:rFonts w:eastAsia="Calibri" w:cs="Times New Roman"/>
                <w:noProof/>
                <w:sz w:val="18"/>
                <w:szCs w:val="18"/>
              </w:rPr>
              <w:t>(CABI 2020b)</w:t>
            </w:r>
            <w:r>
              <w:rPr>
                <w:rFonts w:eastAsia="Calibri" w:cs="Times New Roman"/>
                <w:sz w:val="18"/>
                <w:szCs w:val="18"/>
              </w:rPr>
              <w:t>.</w:t>
            </w:r>
          </w:p>
        </w:tc>
        <w:tc>
          <w:tcPr>
            <w:tcW w:w="2381" w:type="dxa"/>
            <w:shd w:val="clear" w:color="auto" w:fill="auto"/>
          </w:tcPr>
          <w:p w14:paraId="098C6EFA" w14:textId="77777777" w:rsidR="003438A2" w:rsidRPr="00AB695D" w:rsidRDefault="003438A2" w:rsidP="00AB695D">
            <w:pPr>
              <w:pStyle w:val="TableText"/>
              <w:rPr>
                <w:color w:val="000000" w:themeColor="text1"/>
              </w:rPr>
            </w:pPr>
            <w:r w:rsidRPr="004157F0">
              <w:t>Yes. A very broad host range including apple (</w:t>
            </w:r>
            <w:r w:rsidRPr="00056D48">
              <w:rPr>
                <w:i/>
              </w:rPr>
              <w:t>Malus</w:t>
            </w:r>
            <w:r>
              <w:t xml:space="preserve">), </w:t>
            </w:r>
            <w:r w:rsidRPr="00241491">
              <w:rPr>
                <w:i/>
              </w:rPr>
              <w:t>Geranium</w:t>
            </w:r>
            <w:r w:rsidRPr="004157F0">
              <w:t xml:space="preserve"> (Geraniaceae), </w:t>
            </w:r>
            <w:r w:rsidRPr="00222054">
              <w:rPr>
                <w:i/>
              </w:rPr>
              <w:t>Chrysanthemum</w:t>
            </w:r>
            <w:r w:rsidRPr="004157F0">
              <w:t>, cotton (</w:t>
            </w:r>
            <w:r w:rsidRPr="00056D48">
              <w:rPr>
                <w:i/>
              </w:rPr>
              <w:t>Gossypium)</w:t>
            </w:r>
            <w:r w:rsidRPr="004157F0">
              <w:t>, grapes (</w:t>
            </w:r>
            <w:r w:rsidRPr="00A96C99">
              <w:rPr>
                <w:i/>
              </w:rPr>
              <w:t>Vitis vinifera</w:t>
            </w:r>
            <w:r>
              <w:t>) and c</w:t>
            </w:r>
            <w:r w:rsidRPr="004157F0">
              <w:t>itrus</w:t>
            </w:r>
            <w:r>
              <w:t xml:space="preserve"> </w:t>
            </w:r>
            <w:r>
              <w:rPr>
                <w:noProof/>
              </w:rPr>
              <w:t>(CABI 2022; Frantz &amp; Fasulo 2008a)</w:t>
            </w:r>
            <w:r w:rsidRPr="006C5F3C">
              <w:t>.</w:t>
            </w:r>
            <w:r>
              <w:rPr>
                <w:color w:val="000000" w:themeColor="text1"/>
              </w:rPr>
              <w:t xml:space="preserve"> </w:t>
            </w:r>
            <w:r w:rsidRPr="004157F0">
              <w:t xml:space="preserve">High reproductive rate with more than one generation per year </w:t>
            </w:r>
            <w:r>
              <w:rPr>
                <w:noProof/>
              </w:rPr>
              <w:t>(McDonald, Bale &amp; Walters 1998)</w:t>
            </w:r>
            <w:r w:rsidRPr="004157F0">
              <w:t xml:space="preserve"> and capable of unassisted flight </w:t>
            </w:r>
            <w:r>
              <w:rPr>
                <w:noProof/>
              </w:rPr>
              <w:t>(Pearsall 2002)</w:t>
            </w:r>
          </w:p>
        </w:tc>
        <w:tc>
          <w:tcPr>
            <w:tcW w:w="2211" w:type="dxa"/>
            <w:shd w:val="clear" w:color="auto" w:fill="auto"/>
          </w:tcPr>
          <w:p w14:paraId="6B8A27C9" w14:textId="77777777" w:rsidR="003438A2" w:rsidRPr="006C5F3C" w:rsidRDefault="003438A2" w:rsidP="009D43EA">
            <w:pPr>
              <w:pStyle w:val="TableText"/>
              <w:rPr>
                <w:color w:val="000000" w:themeColor="text1"/>
              </w:rPr>
            </w:pPr>
            <w:r w:rsidRPr="004157F0">
              <w:t xml:space="preserve">Yes. A pest of several economically important crop species and a known vector of </w:t>
            </w:r>
            <w:r w:rsidRPr="00850D2B">
              <w:rPr>
                <w:i/>
              </w:rPr>
              <w:t>Tomato spotted wilt virus</w:t>
            </w:r>
            <w:r w:rsidRPr="004157F0">
              <w:t xml:space="preserve"> (TSWV)</w:t>
            </w:r>
            <w:r>
              <w:t xml:space="preserve"> </w:t>
            </w:r>
            <w:r>
              <w:rPr>
                <w:noProof/>
              </w:rPr>
              <w:t>(CABI 2022; Frantz &amp; Fasulo 2008a)</w:t>
            </w:r>
            <w:r w:rsidRPr="006C5F3C">
              <w:t>.</w:t>
            </w:r>
          </w:p>
          <w:p w14:paraId="2E25485A" w14:textId="77777777" w:rsidR="003438A2" w:rsidRPr="004157F0" w:rsidRDefault="003438A2" w:rsidP="00881E29">
            <w:pPr>
              <w:spacing w:before="60" w:after="60" w:line="240" w:lineRule="auto"/>
              <w:rPr>
                <w:rFonts w:eastAsia="Calibri" w:cs="Times New Roman"/>
                <w:sz w:val="18"/>
                <w:szCs w:val="18"/>
              </w:rPr>
            </w:pPr>
          </w:p>
        </w:tc>
        <w:tc>
          <w:tcPr>
            <w:tcW w:w="1191" w:type="dxa"/>
            <w:shd w:val="clear" w:color="auto" w:fill="auto"/>
          </w:tcPr>
          <w:p w14:paraId="675561C3" w14:textId="77777777" w:rsidR="003438A2" w:rsidRPr="008D7F57" w:rsidRDefault="003438A2" w:rsidP="00321810">
            <w:pPr>
              <w:spacing w:before="60" w:after="60" w:line="240" w:lineRule="auto"/>
              <w:rPr>
                <w:sz w:val="18"/>
                <w:szCs w:val="18"/>
              </w:rPr>
            </w:pPr>
            <w:r w:rsidRPr="008D7F57">
              <w:rPr>
                <w:sz w:val="18"/>
                <w:szCs w:val="18"/>
              </w:rPr>
              <w:t xml:space="preserve">Yes. Thrips group PRA applied (RA) </w:t>
            </w:r>
            <w:r>
              <w:rPr>
                <w:noProof/>
                <w:sz w:val="18"/>
                <w:szCs w:val="18"/>
              </w:rPr>
              <w:t>(DAWR 2017)</w:t>
            </w:r>
          </w:p>
          <w:p w14:paraId="5194511A" w14:textId="77777777" w:rsidR="003438A2" w:rsidRPr="008D7F57" w:rsidRDefault="003438A2" w:rsidP="00321810">
            <w:pPr>
              <w:spacing w:before="60" w:after="60" w:line="240" w:lineRule="auto"/>
              <w:rPr>
                <w:sz w:val="18"/>
                <w:szCs w:val="18"/>
              </w:rPr>
            </w:pPr>
          </w:p>
          <w:p w14:paraId="41F8356D" w14:textId="77777777" w:rsidR="003438A2" w:rsidRPr="008D7F57" w:rsidRDefault="003438A2" w:rsidP="00881E29">
            <w:pPr>
              <w:spacing w:before="60" w:after="60" w:line="240" w:lineRule="auto"/>
              <w:rPr>
                <w:rFonts w:eastAsia="Calibri" w:cs="Times New Roman"/>
                <w:sz w:val="18"/>
                <w:szCs w:val="18"/>
              </w:rPr>
            </w:pPr>
          </w:p>
        </w:tc>
      </w:tr>
      <w:tr w:rsidR="003438A2" w:rsidRPr="007107BF" w14:paraId="03ACFE5C" w14:textId="77777777" w:rsidTr="00C4199F">
        <w:trPr>
          <w:cantSplit/>
          <w:trHeight w:val="75"/>
          <w:jc w:val="center"/>
        </w:trPr>
        <w:tc>
          <w:tcPr>
            <w:tcW w:w="2553" w:type="dxa"/>
            <w:shd w:val="clear" w:color="auto" w:fill="auto"/>
          </w:tcPr>
          <w:p w14:paraId="5F66ADD9"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i/>
                <w:sz w:val="18"/>
                <w:szCs w:val="18"/>
              </w:rPr>
              <w:t>Frankliniella tritici</w:t>
            </w:r>
            <w:r>
              <w:rPr>
                <w:rFonts w:eastAsia="Calibri" w:cs="Times New Roman"/>
                <w:i/>
                <w:sz w:val="18"/>
                <w:szCs w:val="18"/>
              </w:rPr>
              <w:t xml:space="preserve"> </w:t>
            </w:r>
            <w:r w:rsidRPr="007107BF">
              <w:rPr>
                <w:rFonts w:eastAsia="Calibri" w:cs="Times New Roman"/>
                <w:sz w:val="18"/>
                <w:szCs w:val="18"/>
              </w:rPr>
              <w:t>(Fitch, 1855)</w:t>
            </w:r>
          </w:p>
          <w:p w14:paraId="012859C5"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[Thripidae]</w:t>
            </w:r>
          </w:p>
          <w:p w14:paraId="04087851" w14:textId="77777777" w:rsidR="003438A2" w:rsidRPr="007107BF" w:rsidRDefault="003438A2" w:rsidP="00881E29">
            <w:pPr>
              <w:spacing w:before="60" w:after="60" w:line="240" w:lineRule="auto"/>
              <w:rPr>
                <w:rFonts w:eastAsia="Calibri" w:cs="Arial"/>
                <w:i/>
                <w:sz w:val="18"/>
                <w:szCs w:val="18"/>
              </w:rPr>
            </w:pPr>
            <w:r w:rsidRPr="007107BF">
              <w:rPr>
                <w:rFonts w:eastAsia="Calibri" w:cs="Times New Roman"/>
                <w:sz w:val="18"/>
                <w:szCs w:val="18"/>
              </w:rPr>
              <w:t>Eastern flower thrips</w:t>
            </w:r>
          </w:p>
        </w:tc>
        <w:tc>
          <w:tcPr>
            <w:tcW w:w="1474" w:type="dxa"/>
            <w:shd w:val="clear" w:color="auto" w:fill="auto"/>
          </w:tcPr>
          <w:p w14:paraId="53FC732C" w14:textId="77777777" w:rsidR="003438A2" w:rsidRPr="00C522C3" w:rsidRDefault="003438A2" w:rsidP="00881E29">
            <w:pPr>
              <w:spacing w:before="60" w:after="60" w:line="240" w:lineRule="auto"/>
              <w:rPr>
                <w:rFonts w:eastAsia="Calibri" w:cs="Times New Roman"/>
                <w:sz w:val="18"/>
                <w:szCs w:val="18"/>
              </w:rPr>
            </w:pPr>
            <w:r w:rsidRPr="007107BF">
              <w:rPr>
                <w:rFonts w:eastAsia="Calibri" w:cs="Times New Roman"/>
                <w:sz w:val="18"/>
                <w:szCs w:val="18"/>
              </w:rPr>
              <w:t xml:space="preserve">Yes. </w:t>
            </w:r>
            <w:r>
              <w:rPr>
                <w:rFonts w:eastAsia="Calibri" w:cs="Times New Roman"/>
                <w:sz w:val="18"/>
                <w:szCs w:val="18"/>
              </w:rPr>
              <w:t xml:space="preserve">Present in ID, OR and WA </w:t>
            </w:r>
            <w:r>
              <w:rPr>
                <w:rFonts w:eastAsia="Calibri" w:cs="Times New Roman"/>
                <w:noProof/>
                <w:sz w:val="18"/>
                <w:szCs w:val="18"/>
              </w:rPr>
              <w:t>(APHIS 2007)</w:t>
            </w:r>
            <w:r>
              <w:rPr>
                <w:rFonts w:eastAsia="Calibri" w:cs="Times New Roman"/>
                <w:sz w:val="18"/>
                <w:szCs w:val="18"/>
              </w:rPr>
              <w:t xml:space="preserve"> Also present in CA </w:t>
            </w:r>
            <w:r>
              <w:rPr>
                <w:rFonts w:eastAsia="Calibri" w:cs="Times New Roman"/>
                <w:noProof/>
                <w:sz w:val="18"/>
                <w:szCs w:val="18"/>
              </w:rPr>
              <w:t>(University of California 2012)</w:t>
            </w:r>
            <w:r>
              <w:rPr>
                <w:rFonts w:eastAsia="Calibri" w:cs="Times New Roman"/>
                <w:sz w:val="18"/>
                <w:szCs w:val="18"/>
              </w:rPr>
              <w:t xml:space="preserve"> </w:t>
            </w:r>
            <w:r>
              <w:rPr>
                <w:rFonts w:eastAsia="Calibri" w:cs="Times New Roman"/>
                <w:noProof/>
                <w:sz w:val="18"/>
                <w:szCs w:val="18"/>
              </w:rPr>
              <w:t>(APHIS)</w:t>
            </w:r>
          </w:p>
        </w:tc>
        <w:tc>
          <w:tcPr>
            <w:tcW w:w="1474" w:type="dxa"/>
            <w:shd w:val="clear" w:color="auto" w:fill="auto"/>
          </w:tcPr>
          <w:p w14:paraId="16DB49B8" w14:textId="77777777" w:rsidR="003438A2" w:rsidRPr="007107BF" w:rsidRDefault="003438A2" w:rsidP="00881E29">
            <w:pPr>
              <w:spacing w:before="60" w:after="60" w:line="240" w:lineRule="auto"/>
              <w:rPr>
                <w:rFonts w:eastAsia="Calibri" w:cs="Times New Roman"/>
                <w:sz w:val="18"/>
                <w:szCs w:val="18"/>
              </w:rPr>
            </w:pPr>
            <w:r>
              <w:rPr>
                <w:rFonts w:eastAsia="Calibri" w:cs="Times New Roman"/>
                <w:sz w:val="18"/>
                <w:szCs w:val="18"/>
              </w:rPr>
              <w:t>No records found</w:t>
            </w:r>
          </w:p>
        </w:tc>
        <w:tc>
          <w:tcPr>
            <w:tcW w:w="2552" w:type="dxa"/>
            <w:shd w:val="clear" w:color="auto" w:fill="auto"/>
          </w:tcPr>
          <w:p w14:paraId="75A7CD31" w14:textId="77777777" w:rsidR="003438A2" w:rsidRPr="007107BF" w:rsidRDefault="003438A2" w:rsidP="00881E29">
            <w:pPr>
              <w:spacing w:before="60" w:after="60" w:line="240" w:lineRule="auto"/>
              <w:rPr>
                <w:rFonts w:eastAsia="Calibri" w:cs="Arial"/>
                <w:sz w:val="18"/>
                <w:szCs w:val="18"/>
              </w:rPr>
            </w:pPr>
            <w:r w:rsidRPr="004C03FD">
              <w:rPr>
                <w:rStyle w:val="TableTextChar"/>
              </w:rPr>
              <w:t xml:space="preserve">Yes. Feeds on flowers (Frantz &amp; Fasulo 2008b) and young fruit </w:t>
            </w:r>
            <w:r>
              <w:rPr>
                <w:rStyle w:val="TableTextChar"/>
                <w:noProof/>
              </w:rPr>
              <w:t>(APHIS 2007)</w:t>
            </w:r>
            <w:r w:rsidRPr="004C03FD">
              <w:rPr>
                <w:rStyle w:val="TableTextChar"/>
              </w:rPr>
              <w:t>. This flower thrips is not known to be a vector of Tomato spotted wilt virus (TSWV). Although the thrips is able to acquire the virus it does not move to the insect’s mouthparts, which is necessary for transmission (de Assis Filho et al. 2005)</w:t>
            </w:r>
            <w:r>
              <w:rPr>
                <w:rFonts w:eastAsia="Calibri" w:cs="Times New Roman"/>
                <w:sz w:val="18"/>
                <w:szCs w:val="18"/>
              </w:rPr>
              <w:t>.</w:t>
            </w:r>
          </w:p>
        </w:tc>
        <w:tc>
          <w:tcPr>
            <w:tcW w:w="2381" w:type="dxa"/>
            <w:shd w:val="clear" w:color="auto" w:fill="auto"/>
          </w:tcPr>
          <w:p w14:paraId="4177B73A" w14:textId="77777777" w:rsidR="003438A2" w:rsidRPr="007107BF" w:rsidRDefault="003438A2" w:rsidP="00881E29">
            <w:pPr>
              <w:spacing w:before="60" w:after="60" w:line="240" w:lineRule="auto"/>
              <w:rPr>
                <w:rFonts w:eastAsia="Calibri" w:cs="Times New Roman"/>
                <w:sz w:val="18"/>
                <w:szCs w:val="18"/>
              </w:rPr>
            </w:pPr>
            <w:r w:rsidRPr="004C03FD">
              <w:rPr>
                <w:rStyle w:val="TableTextChar"/>
              </w:rPr>
              <w:t>Yes. Wide host range including grasses, legumes, composites, crucifers as well as rose (Rosa) (Frantz &amp; Fasulo 2008b) and distributed across North America in environments similar to parts of Australia</w:t>
            </w:r>
            <w:r>
              <w:rPr>
                <w:rStyle w:val="TableTextChar"/>
              </w:rPr>
              <w:t xml:space="preserve"> </w:t>
            </w:r>
            <w:r w:rsidRPr="004C03FD">
              <w:rPr>
                <w:rStyle w:val="TableTextChar"/>
              </w:rPr>
              <w:t>(Stavisky et al. 2002; University of Illinois 2004)</w:t>
            </w:r>
            <w:r>
              <w:rPr>
                <w:rFonts w:eastAsia="Calibri" w:cs="Times New Roman"/>
                <w:sz w:val="18"/>
                <w:szCs w:val="18"/>
              </w:rPr>
              <w:t>.</w:t>
            </w:r>
          </w:p>
        </w:tc>
        <w:tc>
          <w:tcPr>
            <w:tcW w:w="2211" w:type="dxa"/>
            <w:shd w:val="clear" w:color="auto" w:fill="auto"/>
          </w:tcPr>
          <w:p w14:paraId="28BD119A"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Yes. Major pest of several fruit crops and flowers, especially roses (</w:t>
            </w:r>
            <w:r w:rsidRPr="007107BF">
              <w:rPr>
                <w:rFonts w:eastAsia="Calibri" w:cs="Times New Roman"/>
                <w:i/>
                <w:sz w:val="18"/>
                <w:szCs w:val="18"/>
              </w:rPr>
              <w:t>Rosa</w:t>
            </w:r>
            <w:r w:rsidRPr="007107BF">
              <w:rPr>
                <w:rFonts w:eastAsia="Calibri" w:cs="Times New Roman"/>
                <w:sz w:val="18"/>
                <w:szCs w:val="18"/>
              </w:rPr>
              <w:t xml:space="preserve"> spp.) in eastern United States </w:t>
            </w:r>
            <w:r>
              <w:rPr>
                <w:rFonts w:eastAsia="Calibri" w:cs="Times New Roman"/>
                <w:noProof/>
                <w:sz w:val="18"/>
                <w:szCs w:val="18"/>
              </w:rPr>
              <w:t>(Nakahara 1997)</w:t>
            </w:r>
            <w:r w:rsidRPr="007107BF">
              <w:rPr>
                <w:rFonts w:eastAsia="Calibri" w:cs="Times New Roman"/>
                <w:sz w:val="18"/>
                <w:szCs w:val="18"/>
              </w:rPr>
              <w:t xml:space="preserve"> </w:t>
            </w:r>
          </w:p>
        </w:tc>
        <w:tc>
          <w:tcPr>
            <w:tcW w:w="1191" w:type="dxa"/>
            <w:shd w:val="clear" w:color="auto" w:fill="auto"/>
          </w:tcPr>
          <w:p w14:paraId="7858F923" w14:textId="77777777" w:rsidR="003438A2" w:rsidRPr="00EF1145" w:rsidRDefault="003438A2" w:rsidP="00321810">
            <w:pPr>
              <w:spacing w:before="60" w:after="60" w:line="240" w:lineRule="auto"/>
              <w:rPr>
                <w:sz w:val="18"/>
                <w:szCs w:val="18"/>
              </w:rPr>
            </w:pPr>
            <w:r>
              <w:rPr>
                <w:sz w:val="18"/>
                <w:szCs w:val="18"/>
              </w:rPr>
              <w:t xml:space="preserve">Yes. </w:t>
            </w:r>
            <w:r w:rsidRPr="00F93DDB">
              <w:rPr>
                <w:sz w:val="18"/>
                <w:szCs w:val="18"/>
              </w:rPr>
              <w:t xml:space="preserve">Thrips group PRA applied </w:t>
            </w:r>
            <w:r>
              <w:rPr>
                <w:noProof/>
                <w:sz w:val="18"/>
                <w:szCs w:val="18"/>
              </w:rPr>
              <w:t>(DAWR 2017)</w:t>
            </w:r>
          </w:p>
          <w:p w14:paraId="085ABCC3" w14:textId="77777777" w:rsidR="003438A2" w:rsidRPr="00F93DDB" w:rsidRDefault="003438A2" w:rsidP="00321810">
            <w:pPr>
              <w:spacing w:before="60" w:after="60" w:line="240" w:lineRule="auto"/>
              <w:rPr>
                <w:sz w:val="18"/>
                <w:szCs w:val="18"/>
              </w:rPr>
            </w:pPr>
          </w:p>
          <w:p w14:paraId="1C0840DC" w14:textId="77777777" w:rsidR="003438A2" w:rsidRPr="007107BF" w:rsidRDefault="003438A2" w:rsidP="00881E29">
            <w:pPr>
              <w:spacing w:before="60" w:after="60" w:line="240" w:lineRule="auto"/>
              <w:rPr>
                <w:rFonts w:eastAsia="Calibri" w:cs="Times New Roman"/>
                <w:sz w:val="18"/>
                <w:szCs w:val="18"/>
              </w:rPr>
            </w:pPr>
          </w:p>
        </w:tc>
      </w:tr>
      <w:tr w:rsidR="003438A2" w:rsidRPr="007107BF" w14:paraId="7D14544B" w14:textId="77777777" w:rsidTr="00C4199F">
        <w:trPr>
          <w:cantSplit/>
          <w:trHeight w:val="75"/>
          <w:jc w:val="center"/>
        </w:trPr>
        <w:tc>
          <w:tcPr>
            <w:tcW w:w="13836" w:type="dxa"/>
            <w:gridSpan w:val="7"/>
            <w:shd w:val="clear" w:color="auto" w:fill="auto"/>
          </w:tcPr>
          <w:p w14:paraId="1EA6B902" w14:textId="77777777" w:rsidR="003438A2" w:rsidRPr="007107BF" w:rsidRDefault="003438A2" w:rsidP="00881E29">
            <w:pPr>
              <w:keepNext/>
              <w:spacing w:before="60" w:after="60" w:line="240" w:lineRule="auto"/>
              <w:rPr>
                <w:rFonts w:eastAsia="Calibri" w:cs="Times New Roman"/>
                <w:sz w:val="18"/>
                <w:szCs w:val="18"/>
              </w:rPr>
            </w:pPr>
            <w:r w:rsidRPr="007107BF">
              <w:rPr>
                <w:rFonts w:eastAsia="Calibri" w:cs="Times New Roman"/>
                <w:b/>
                <w:iCs/>
                <w:sz w:val="18"/>
                <w:szCs w:val="18"/>
              </w:rPr>
              <w:lastRenderedPageBreak/>
              <w:t xml:space="preserve"> BACTERIA</w:t>
            </w:r>
          </w:p>
        </w:tc>
      </w:tr>
      <w:tr w:rsidR="003438A2" w:rsidRPr="007107BF" w14:paraId="3FE7A883" w14:textId="77777777" w:rsidTr="00C4199F">
        <w:trPr>
          <w:cantSplit/>
          <w:trHeight w:val="75"/>
          <w:jc w:val="center"/>
        </w:trPr>
        <w:tc>
          <w:tcPr>
            <w:tcW w:w="2553" w:type="dxa"/>
            <w:shd w:val="clear" w:color="auto" w:fill="auto"/>
          </w:tcPr>
          <w:p w14:paraId="0FF2C7E5" w14:textId="77777777" w:rsidR="003438A2" w:rsidRPr="007107BF" w:rsidRDefault="003438A2" w:rsidP="00881E29">
            <w:pPr>
              <w:spacing w:before="60" w:after="60" w:line="240" w:lineRule="auto"/>
              <w:rPr>
                <w:rFonts w:eastAsia="Calibri" w:cs="Times New Roman"/>
                <w:iCs/>
                <w:sz w:val="18"/>
                <w:szCs w:val="18"/>
              </w:rPr>
            </w:pPr>
            <w:r w:rsidRPr="007107BF">
              <w:rPr>
                <w:rFonts w:eastAsia="Calibri" w:cs="Times New Roman"/>
                <w:i/>
                <w:iCs/>
                <w:sz w:val="18"/>
                <w:szCs w:val="18"/>
              </w:rPr>
              <w:t>Erwinia amylovora</w:t>
            </w:r>
            <w:r w:rsidRPr="007107BF">
              <w:rPr>
                <w:rFonts w:eastAsia="Calibri" w:cs="Times New Roman"/>
                <w:iCs/>
                <w:sz w:val="18"/>
                <w:szCs w:val="18"/>
              </w:rPr>
              <w:t xml:space="preserve"> (Burrill 1882) Winslow et al. 1920, emend. Hauben et al. 1998</w:t>
            </w:r>
          </w:p>
          <w:p w14:paraId="6FEB5F66" w14:textId="77777777" w:rsidR="003438A2" w:rsidRPr="007107BF" w:rsidRDefault="003438A2" w:rsidP="00881E29">
            <w:pPr>
              <w:spacing w:before="60" w:after="60" w:line="240" w:lineRule="auto"/>
              <w:rPr>
                <w:rFonts w:eastAsia="Calibri" w:cs="Times New Roman"/>
                <w:iCs/>
                <w:sz w:val="18"/>
                <w:szCs w:val="18"/>
              </w:rPr>
            </w:pPr>
            <w:r w:rsidRPr="007107BF">
              <w:rPr>
                <w:rFonts w:eastAsia="Calibri" w:cs="Times New Roman"/>
                <w:iCs/>
                <w:sz w:val="18"/>
                <w:szCs w:val="18"/>
              </w:rPr>
              <w:t>[Enterobacteriales: Enterobacteriaceae]</w:t>
            </w:r>
          </w:p>
          <w:p w14:paraId="33B7C9A3" w14:textId="77777777" w:rsidR="003438A2" w:rsidRPr="007107BF" w:rsidRDefault="003438A2" w:rsidP="00881E29">
            <w:pPr>
              <w:spacing w:before="60" w:after="60" w:line="240" w:lineRule="auto"/>
              <w:rPr>
                <w:rFonts w:eastAsia="Calibri" w:cs="Times New Roman"/>
                <w:i/>
                <w:iCs/>
                <w:sz w:val="18"/>
                <w:szCs w:val="18"/>
              </w:rPr>
            </w:pPr>
            <w:r w:rsidRPr="007107BF">
              <w:rPr>
                <w:rFonts w:eastAsia="Calibri" w:cs="Times New Roman"/>
                <w:iCs/>
                <w:sz w:val="18"/>
                <w:szCs w:val="18"/>
              </w:rPr>
              <w:t>Fire blight</w:t>
            </w:r>
          </w:p>
        </w:tc>
        <w:tc>
          <w:tcPr>
            <w:tcW w:w="1474" w:type="dxa"/>
            <w:shd w:val="clear" w:color="auto" w:fill="auto"/>
          </w:tcPr>
          <w:p w14:paraId="2CBF362D"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iCs/>
                <w:sz w:val="18"/>
                <w:szCs w:val="18"/>
              </w:rPr>
              <w:t xml:space="preserve">Yes. </w:t>
            </w:r>
            <w:r>
              <w:rPr>
                <w:rFonts w:eastAsia="Calibri" w:cs="Times New Roman"/>
                <w:iCs/>
                <w:sz w:val="18"/>
                <w:szCs w:val="18"/>
              </w:rPr>
              <w:t>Present in</w:t>
            </w:r>
            <w:r w:rsidRPr="007107BF">
              <w:rPr>
                <w:rFonts w:eastAsia="Calibri" w:cs="Times New Roman"/>
                <w:iCs/>
                <w:sz w:val="18"/>
                <w:szCs w:val="18"/>
              </w:rPr>
              <w:t xml:space="preserve"> ID, OR</w:t>
            </w:r>
            <w:r>
              <w:rPr>
                <w:rFonts w:eastAsia="Calibri" w:cs="Times New Roman"/>
                <w:iCs/>
                <w:sz w:val="18"/>
                <w:szCs w:val="18"/>
              </w:rPr>
              <w:t xml:space="preserve"> and</w:t>
            </w:r>
            <w:r w:rsidRPr="007107BF">
              <w:rPr>
                <w:rFonts w:eastAsia="Calibri" w:cs="Times New Roman"/>
                <w:iCs/>
                <w:sz w:val="18"/>
                <w:szCs w:val="18"/>
              </w:rPr>
              <w:t xml:space="preserve"> WA </w:t>
            </w:r>
            <w:r>
              <w:rPr>
                <w:rFonts w:eastAsia="Calibri" w:cs="Times New Roman"/>
                <w:iCs/>
                <w:noProof/>
                <w:sz w:val="18"/>
                <w:szCs w:val="18"/>
              </w:rPr>
              <w:t>(Bonn &amp; Van der Zwet 2000)</w:t>
            </w:r>
          </w:p>
        </w:tc>
        <w:tc>
          <w:tcPr>
            <w:tcW w:w="1474" w:type="dxa"/>
            <w:shd w:val="clear" w:color="auto" w:fill="auto"/>
          </w:tcPr>
          <w:p w14:paraId="3E8E2C85"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iCs/>
                <w:sz w:val="18"/>
                <w:szCs w:val="18"/>
              </w:rPr>
              <w:t xml:space="preserve">No. </w:t>
            </w:r>
            <w:r w:rsidRPr="007107BF">
              <w:rPr>
                <w:rFonts w:eastAsia="Calibri" w:cs="Times New Roman"/>
                <w:i/>
                <w:iCs/>
                <w:sz w:val="18"/>
                <w:szCs w:val="18"/>
              </w:rPr>
              <w:t>Erwinia amylovora</w:t>
            </w:r>
            <w:r w:rsidRPr="007107BF">
              <w:rPr>
                <w:rFonts w:eastAsia="Calibri" w:cs="Times New Roman"/>
                <w:iCs/>
                <w:sz w:val="18"/>
                <w:szCs w:val="18"/>
              </w:rPr>
              <w:t xml:space="preserve"> was detected on </w:t>
            </w:r>
            <w:r w:rsidRPr="007107BF">
              <w:rPr>
                <w:rFonts w:eastAsia="Calibri" w:cs="Times New Roman"/>
                <w:i/>
                <w:iCs/>
                <w:sz w:val="18"/>
                <w:szCs w:val="18"/>
              </w:rPr>
              <w:t>Cotoneaster</w:t>
            </w:r>
            <w:r w:rsidRPr="007107BF">
              <w:rPr>
                <w:rFonts w:eastAsia="Calibri" w:cs="Times New Roman"/>
                <w:iCs/>
                <w:sz w:val="18"/>
                <w:szCs w:val="18"/>
              </w:rPr>
              <w:t xml:space="preserve"> in the Melbourne Royal Botanic Garden in 1997 and its eradication was confirmed by national survey </w:t>
            </w:r>
            <w:r>
              <w:rPr>
                <w:rFonts w:eastAsia="Calibri" w:cs="Times New Roman"/>
                <w:iCs/>
                <w:noProof/>
                <w:sz w:val="18"/>
                <w:szCs w:val="18"/>
              </w:rPr>
              <w:t>(Jock et al. 2000; Rodoni et al. 1999)</w:t>
            </w:r>
          </w:p>
        </w:tc>
        <w:tc>
          <w:tcPr>
            <w:tcW w:w="2552" w:type="dxa"/>
            <w:shd w:val="clear" w:color="auto" w:fill="auto"/>
          </w:tcPr>
          <w:p w14:paraId="6F4ED1CA"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iCs/>
                <w:sz w:val="18"/>
                <w:szCs w:val="18"/>
              </w:rPr>
              <w:t xml:space="preserve">Yes. Fruit sourced from infected orchards have the potential to carry epiphytic bacteria </w:t>
            </w:r>
            <w:r>
              <w:rPr>
                <w:rFonts w:eastAsia="Calibri" w:cs="Times New Roman"/>
                <w:iCs/>
                <w:noProof/>
                <w:sz w:val="18"/>
                <w:szCs w:val="18"/>
              </w:rPr>
              <w:t>(Hale, McRae &amp; Thomson 1987)</w:t>
            </w:r>
            <w:r w:rsidRPr="007107BF">
              <w:rPr>
                <w:rFonts w:eastAsia="Calibri" w:cs="Times New Roman"/>
                <w:iCs/>
                <w:sz w:val="18"/>
                <w:szCs w:val="18"/>
              </w:rPr>
              <w:t xml:space="preserve"> but endophytic infections in fruit are rare </w:t>
            </w:r>
            <w:r>
              <w:rPr>
                <w:rFonts w:eastAsia="Calibri" w:cs="Times New Roman"/>
                <w:iCs/>
                <w:noProof/>
                <w:sz w:val="18"/>
                <w:szCs w:val="18"/>
              </w:rPr>
              <w:t>(Van der Zwet et al. 1990)</w:t>
            </w:r>
            <w:r>
              <w:rPr>
                <w:rFonts w:eastAsia="Calibri" w:cs="Times New Roman"/>
                <w:iCs/>
                <w:sz w:val="18"/>
                <w:szCs w:val="18"/>
              </w:rPr>
              <w:t>.</w:t>
            </w:r>
          </w:p>
        </w:tc>
        <w:tc>
          <w:tcPr>
            <w:tcW w:w="2381" w:type="dxa"/>
            <w:shd w:val="clear" w:color="auto" w:fill="auto"/>
          </w:tcPr>
          <w:p w14:paraId="3DD32CAB"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iCs/>
                <w:sz w:val="18"/>
                <w:szCs w:val="18"/>
              </w:rPr>
              <w:t xml:space="preserve">Yes. Fruit sourced from infected orchards have the potential to carry epiphytic bacteria </w:t>
            </w:r>
            <w:r>
              <w:rPr>
                <w:rFonts w:eastAsia="Calibri" w:cs="Times New Roman"/>
                <w:iCs/>
                <w:noProof/>
                <w:sz w:val="18"/>
                <w:szCs w:val="18"/>
              </w:rPr>
              <w:t>(Hale, McRae &amp; Thomson 1987)</w:t>
            </w:r>
            <w:r w:rsidRPr="007107BF">
              <w:rPr>
                <w:rFonts w:eastAsia="Calibri" w:cs="Times New Roman"/>
                <w:iCs/>
                <w:sz w:val="18"/>
                <w:szCs w:val="18"/>
              </w:rPr>
              <w:t xml:space="preserve">. The bacterium is disseminated by rain or insects </w:t>
            </w:r>
            <w:r>
              <w:rPr>
                <w:rFonts w:eastAsia="Calibri" w:cs="Times New Roman"/>
                <w:iCs/>
                <w:noProof/>
                <w:sz w:val="18"/>
                <w:szCs w:val="18"/>
              </w:rPr>
              <w:t>(Beer 1990)</w:t>
            </w:r>
            <w:r w:rsidRPr="007107BF">
              <w:rPr>
                <w:rFonts w:eastAsia="Calibri" w:cs="Times New Roman"/>
                <w:iCs/>
                <w:sz w:val="18"/>
                <w:szCs w:val="18"/>
              </w:rPr>
              <w:t>. S</w:t>
            </w:r>
            <w:r w:rsidRPr="007107BF">
              <w:rPr>
                <w:rFonts w:eastAsia="Calibri" w:cs="Times New Roman"/>
                <w:sz w:val="18"/>
                <w:szCs w:val="18"/>
                <w:lang w:eastAsia="en-AU"/>
              </w:rPr>
              <w:t xml:space="preserve">uitable hosts, including apple and pear, are present in Australia. Fire blight </w:t>
            </w:r>
            <w:r>
              <w:rPr>
                <w:rFonts w:eastAsia="Calibri" w:cs="Times New Roman"/>
                <w:sz w:val="18"/>
                <w:szCs w:val="18"/>
                <w:lang w:eastAsia="en-AU"/>
              </w:rPr>
              <w:t>was</w:t>
            </w:r>
            <w:r w:rsidRPr="007107BF">
              <w:rPr>
                <w:rFonts w:eastAsia="Calibri" w:cs="Times New Roman"/>
                <w:sz w:val="18"/>
                <w:szCs w:val="18"/>
                <w:lang w:eastAsia="en-AU"/>
              </w:rPr>
              <w:t xml:space="preserve"> first reported in England in the late 1950s and has since spread through much of Europe and the Mediterranean area </w:t>
            </w:r>
            <w:r>
              <w:rPr>
                <w:rFonts w:eastAsia="Calibri" w:cs="Times New Roman"/>
                <w:noProof/>
                <w:sz w:val="18"/>
                <w:szCs w:val="18"/>
                <w:lang w:eastAsia="en-AU"/>
              </w:rPr>
              <w:t>(Beer 1990)</w:t>
            </w:r>
            <w:r w:rsidRPr="007107BF">
              <w:rPr>
                <w:rFonts w:eastAsia="Calibri" w:cs="Times New Roman"/>
                <w:sz w:val="18"/>
                <w:szCs w:val="18"/>
                <w:lang w:eastAsia="en-AU"/>
              </w:rPr>
              <w:t xml:space="preserve"> indicating its potential for spread</w:t>
            </w:r>
            <w:r>
              <w:rPr>
                <w:rFonts w:eastAsia="Calibri" w:cs="Times New Roman"/>
                <w:sz w:val="18"/>
                <w:szCs w:val="18"/>
                <w:lang w:eastAsia="en-AU"/>
              </w:rPr>
              <w:t>.</w:t>
            </w:r>
          </w:p>
        </w:tc>
        <w:tc>
          <w:tcPr>
            <w:tcW w:w="2211" w:type="dxa"/>
            <w:shd w:val="clear" w:color="auto" w:fill="auto"/>
          </w:tcPr>
          <w:p w14:paraId="69656061"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iCs/>
                <w:sz w:val="18"/>
                <w:szCs w:val="18"/>
              </w:rPr>
              <w:t xml:space="preserve">Yes. A significant economic pest that has caused serious devastation to the world’s apple, pear and ornamental plantings </w:t>
            </w:r>
            <w:r>
              <w:rPr>
                <w:rFonts w:eastAsia="Calibri" w:cs="Times New Roman"/>
                <w:iCs/>
                <w:noProof/>
                <w:sz w:val="18"/>
                <w:szCs w:val="18"/>
              </w:rPr>
              <w:t>(Bonn 1999; Vanneste 2000)</w:t>
            </w:r>
            <w:r w:rsidRPr="007107BF">
              <w:rPr>
                <w:rFonts w:eastAsia="Calibri" w:cs="Times New Roman"/>
                <w:iCs/>
                <w:sz w:val="18"/>
                <w:szCs w:val="18"/>
              </w:rPr>
              <w:t xml:space="preserve">. A single severe outbreak can disrupt orchard production for several years </w:t>
            </w:r>
            <w:r>
              <w:rPr>
                <w:rFonts w:eastAsia="Calibri" w:cs="Times New Roman"/>
                <w:iCs/>
                <w:noProof/>
                <w:sz w:val="18"/>
                <w:szCs w:val="18"/>
              </w:rPr>
              <w:t>(Vanneste 2000)</w:t>
            </w:r>
            <w:r>
              <w:rPr>
                <w:rFonts w:eastAsia="Calibri" w:cs="Times New Roman"/>
                <w:iCs/>
                <w:sz w:val="18"/>
                <w:szCs w:val="18"/>
              </w:rPr>
              <w:t>.</w:t>
            </w:r>
          </w:p>
        </w:tc>
        <w:tc>
          <w:tcPr>
            <w:tcW w:w="1191" w:type="dxa"/>
            <w:shd w:val="clear" w:color="auto" w:fill="auto"/>
          </w:tcPr>
          <w:p w14:paraId="712F5548"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Yes</w:t>
            </w:r>
            <w:r>
              <w:rPr>
                <w:rFonts w:eastAsia="Calibri" w:cs="Times New Roman"/>
                <w:sz w:val="18"/>
                <w:szCs w:val="18"/>
              </w:rPr>
              <w:t xml:space="preserve"> (EP)</w:t>
            </w:r>
          </w:p>
        </w:tc>
      </w:tr>
      <w:tr w:rsidR="003438A2" w:rsidRPr="00243E34" w14:paraId="2292828B" w14:textId="77777777" w:rsidTr="00C4199F">
        <w:trPr>
          <w:cantSplit/>
          <w:trHeight w:val="75"/>
          <w:jc w:val="center"/>
        </w:trPr>
        <w:tc>
          <w:tcPr>
            <w:tcW w:w="2553" w:type="dxa"/>
            <w:shd w:val="clear" w:color="auto" w:fill="auto"/>
          </w:tcPr>
          <w:p w14:paraId="35387F16" w14:textId="77777777" w:rsidR="003438A2" w:rsidRPr="00410589" w:rsidRDefault="003438A2" w:rsidP="00881E29">
            <w:pPr>
              <w:spacing w:before="60" w:after="60" w:line="240" w:lineRule="auto"/>
              <w:rPr>
                <w:rFonts w:eastAsia="Calibri" w:cs="Times New Roman"/>
                <w:i/>
                <w:sz w:val="18"/>
                <w:szCs w:val="18"/>
              </w:rPr>
            </w:pPr>
            <w:r w:rsidRPr="00410589">
              <w:rPr>
                <w:rFonts w:eastAsia="Calibri" w:cs="Times New Roman"/>
                <w:i/>
                <w:sz w:val="18"/>
                <w:szCs w:val="18"/>
              </w:rPr>
              <w:t>Gluconobacter oxydans</w:t>
            </w:r>
          </w:p>
          <w:p w14:paraId="53702C22"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(Henneberg 1897) De Ley 1961</w:t>
            </w:r>
          </w:p>
          <w:p w14:paraId="1159F696" w14:textId="77777777" w:rsidR="003438A2" w:rsidRPr="00410589" w:rsidRDefault="003438A2" w:rsidP="00881E29">
            <w:pPr>
              <w:spacing w:before="60" w:after="60" w:line="240" w:lineRule="auto"/>
              <w:rPr>
                <w:rFonts w:eastAsia="Calibri" w:cs="Times New Roman"/>
                <w:i/>
                <w:iCs/>
                <w:sz w:val="18"/>
                <w:szCs w:val="18"/>
              </w:rPr>
            </w:pPr>
            <w:r w:rsidRPr="00410589">
              <w:rPr>
                <w:rFonts w:eastAsia="Calibri" w:cs="Times New Roman"/>
                <w:sz w:val="18"/>
                <w:szCs w:val="18"/>
              </w:rPr>
              <w:t>[Rhodospirillales: Acetobacteraceae]</w:t>
            </w:r>
          </w:p>
        </w:tc>
        <w:tc>
          <w:tcPr>
            <w:tcW w:w="1474" w:type="dxa"/>
            <w:shd w:val="clear" w:color="auto" w:fill="auto"/>
          </w:tcPr>
          <w:p w14:paraId="435590FD" w14:textId="77777777" w:rsidR="003438A2" w:rsidRPr="00410589" w:rsidRDefault="003438A2" w:rsidP="00EF1D9B">
            <w:pPr>
              <w:spacing w:before="60" w:after="60" w:line="240" w:lineRule="auto"/>
              <w:rPr>
                <w:sz w:val="18"/>
                <w:szCs w:val="18"/>
              </w:rPr>
            </w:pPr>
            <w:r w:rsidRPr="00410589">
              <w:rPr>
                <w:rFonts w:eastAsia="Calibri" w:cs="Times New Roman"/>
                <w:iCs/>
                <w:sz w:val="18"/>
                <w:szCs w:val="18"/>
              </w:rPr>
              <w:t xml:space="preserve">No. Not present in PNW </w:t>
            </w:r>
            <w:r w:rsidRPr="00410589">
              <w:rPr>
                <w:noProof/>
                <w:sz w:val="18"/>
                <w:szCs w:val="18"/>
              </w:rPr>
              <w:t>(Pscheidt &amp; Ocamb 2019)</w:t>
            </w:r>
          </w:p>
          <w:p w14:paraId="44A8121A" w14:textId="77777777" w:rsidR="003438A2" w:rsidRPr="00410589" w:rsidRDefault="003438A2" w:rsidP="00881E29">
            <w:pPr>
              <w:spacing w:before="60" w:after="60" w:line="240" w:lineRule="auto"/>
              <w:rPr>
                <w:rFonts w:eastAsia="Calibri" w:cs="Times New Roman"/>
                <w:iCs/>
                <w:sz w:val="18"/>
                <w:szCs w:val="18"/>
              </w:rPr>
            </w:pPr>
          </w:p>
        </w:tc>
        <w:tc>
          <w:tcPr>
            <w:tcW w:w="1474" w:type="dxa"/>
            <w:shd w:val="clear" w:color="auto" w:fill="auto"/>
          </w:tcPr>
          <w:p w14:paraId="7ECB4143" w14:textId="77777777" w:rsidR="003438A2" w:rsidRPr="00410589" w:rsidRDefault="003438A2" w:rsidP="00881E29">
            <w:pPr>
              <w:spacing w:before="60" w:after="60" w:line="240" w:lineRule="auto"/>
              <w:rPr>
                <w:rFonts w:eastAsia="Calibri" w:cs="Times New Roman"/>
                <w:iCs/>
                <w:sz w:val="18"/>
                <w:szCs w:val="18"/>
              </w:rPr>
            </w:pPr>
            <w:r w:rsidRPr="00410589">
              <w:rPr>
                <w:rFonts w:eastAsia="Calibri" w:cs="Times New Roman"/>
                <w:iCs/>
                <w:sz w:val="18"/>
                <w:szCs w:val="18"/>
              </w:rPr>
              <w:t xml:space="preserve">Yes. SA </w:t>
            </w:r>
            <w:r w:rsidRPr="00410589">
              <w:rPr>
                <w:rFonts w:eastAsia="Calibri" w:cs="Times New Roman"/>
                <w:iCs/>
                <w:noProof/>
                <w:sz w:val="18"/>
                <w:szCs w:val="18"/>
              </w:rPr>
              <w:t>(Mateo et al. 2014)</w:t>
            </w:r>
          </w:p>
        </w:tc>
        <w:tc>
          <w:tcPr>
            <w:tcW w:w="2552" w:type="dxa"/>
            <w:shd w:val="clear" w:color="auto" w:fill="auto"/>
          </w:tcPr>
          <w:p w14:paraId="5693B507" w14:textId="77777777" w:rsidR="003438A2" w:rsidRPr="00410589" w:rsidRDefault="003438A2" w:rsidP="00881E29">
            <w:pPr>
              <w:spacing w:before="60" w:after="60" w:line="240" w:lineRule="auto"/>
              <w:rPr>
                <w:rFonts w:eastAsia="Calibri" w:cs="Times New Roman"/>
                <w:iCs/>
                <w:sz w:val="18"/>
                <w:szCs w:val="18"/>
              </w:rPr>
            </w:pPr>
            <w:r w:rsidRPr="00410589">
              <w:rPr>
                <w:rFonts w:eastAsia="Calibri" w:cs="Times New Roman"/>
                <w:sz w:val="18"/>
                <w:szCs w:val="18"/>
              </w:rPr>
              <w:t>Assessment not required</w:t>
            </w:r>
          </w:p>
        </w:tc>
        <w:tc>
          <w:tcPr>
            <w:tcW w:w="2381" w:type="dxa"/>
            <w:shd w:val="clear" w:color="auto" w:fill="auto"/>
          </w:tcPr>
          <w:p w14:paraId="7B94B9F6"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Assessment not required</w:t>
            </w:r>
          </w:p>
        </w:tc>
        <w:tc>
          <w:tcPr>
            <w:tcW w:w="2211" w:type="dxa"/>
            <w:shd w:val="clear" w:color="auto" w:fill="auto"/>
          </w:tcPr>
          <w:p w14:paraId="13AF0C34"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Assessment not required</w:t>
            </w:r>
          </w:p>
        </w:tc>
        <w:tc>
          <w:tcPr>
            <w:tcW w:w="1191" w:type="dxa"/>
            <w:shd w:val="clear" w:color="auto" w:fill="auto"/>
          </w:tcPr>
          <w:p w14:paraId="3D73E7DB" w14:textId="77777777" w:rsidR="003438A2" w:rsidRPr="00243E34" w:rsidRDefault="003438A2" w:rsidP="00881E29">
            <w:pPr>
              <w:spacing w:before="60" w:after="60" w:line="240" w:lineRule="auto"/>
              <w:rPr>
                <w:rFonts w:eastAsia="Calibri" w:cs="Times New Roman"/>
                <w:sz w:val="18"/>
                <w:szCs w:val="18"/>
              </w:rPr>
            </w:pPr>
            <w:r w:rsidRPr="00410589">
              <w:rPr>
                <w:rFonts w:eastAsia="Calibri" w:cs="Times New Roman"/>
                <w:sz w:val="18"/>
                <w:szCs w:val="18"/>
              </w:rPr>
              <w:t>No</w:t>
            </w:r>
          </w:p>
        </w:tc>
      </w:tr>
      <w:tr w:rsidR="003438A2" w:rsidRPr="00EA4704" w14:paraId="412C53EF" w14:textId="77777777" w:rsidTr="00C4199F">
        <w:trPr>
          <w:cantSplit/>
          <w:trHeight w:val="75"/>
          <w:jc w:val="center"/>
        </w:trPr>
        <w:tc>
          <w:tcPr>
            <w:tcW w:w="13836" w:type="dxa"/>
            <w:gridSpan w:val="7"/>
            <w:shd w:val="clear" w:color="auto" w:fill="auto"/>
          </w:tcPr>
          <w:p w14:paraId="69A6DAFF" w14:textId="77777777" w:rsidR="003438A2" w:rsidRPr="00EA4704" w:rsidRDefault="003438A2" w:rsidP="00881E29">
            <w:pPr>
              <w:keepNext/>
              <w:spacing w:before="60" w:after="60" w:line="240" w:lineRule="auto"/>
              <w:rPr>
                <w:rFonts w:eastAsia="Calibri" w:cs="Times New Roman"/>
                <w:sz w:val="18"/>
                <w:szCs w:val="18"/>
              </w:rPr>
            </w:pPr>
            <w:r w:rsidRPr="00EA4704">
              <w:rPr>
                <w:b/>
                <w:sz w:val="18"/>
              </w:rPr>
              <w:t>CHROMALVEOLATA</w:t>
            </w:r>
          </w:p>
        </w:tc>
      </w:tr>
      <w:tr w:rsidR="003438A2" w:rsidRPr="00EA4704" w14:paraId="0D45E8C4" w14:textId="77777777" w:rsidTr="00C4199F">
        <w:trPr>
          <w:cantSplit/>
          <w:trHeight w:val="75"/>
          <w:jc w:val="center"/>
        </w:trPr>
        <w:tc>
          <w:tcPr>
            <w:tcW w:w="2553" w:type="dxa"/>
            <w:shd w:val="clear" w:color="auto" w:fill="auto"/>
          </w:tcPr>
          <w:p w14:paraId="5C9CD5DC" w14:textId="77777777" w:rsidR="003438A2" w:rsidRPr="00EA4704" w:rsidRDefault="003438A2" w:rsidP="00881E29">
            <w:pPr>
              <w:spacing w:before="60" w:after="60" w:line="240" w:lineRule="auto"/>
              <w:rPr>
                <w:rFonts w:eastAsia="Calibri" w:cs="Times New Roman"/>
                <w:iCs/>
                <w:sz w:val="18"/>
                <w:szCs w:val="18"/>
              </w:rPr>
            </w:pPr>
            <w:r w:rsidRPr="00EA4704">
              <w:rPr>
                <w:rFonts w:eastAsia="Calibri" w:cs="Times New Roman"/>
                <w:i/>
                <w:iCs/>
                <w:sz w:val="18"/>
                <w:szCs w:val="18"/>
              </w:rPr>
              <w:t xml:space="preserve">Phytophthora megasperma </w:t>
            </w:r>
            <w:r w:rsidRPr="00EA4704">
              <w:rPr>
                <w:rFonts w:eastAsia="Calibri" w:cs="Times New Roman"/>
                <w:iCs/>
                <w:sz w:val="18"/>
                <w:szCs w:val="18"/>
              </w:rPr>
              <w:t>Drechsler</w:t>
            </w:r>
          </w:p>
          <w:p w14:paraId="07C53131" w14:textId="77777777" w:rsidR="003438A2" w:rsidRPr="00EA4704" w:rsidRDefault="003438A2" w:rsidP="00881E29">
            <w:pPr>
              <w:spacing w:before="60" w:after="60" w:line="240" w:lineRule="auto"/>
              <w:rPr>
                <w:rFonts w:eastAsia="Calibri" w:cs="Times New Roman"/>
                <w:iCs/>
                <w:sz w:val="18"/>
                <w:szCs w:val="18"/>
              </w:rPr>
            </w:pPr>
            <w:r w:rsidRPr="00EA4704">
              <w:rPr>
                <w:rFonts w:eastAsia="Calibri" w:cs="Times New Roman"/>
                <w:iCs/>
                <w:sz w:val="18"/>
                <w:szCs w:val="18"/>
              </w:rPr>
              <w:t>[</w:t>
            </w:r>
            <w:r w:rsidRPr="00EA4704">
              <w:rPr>
                <w:rFonts w:eastAsia="Calibri" w:cs="Times New Roman"/>
                <w:sz w:val="18"/>
                <w:szCs w:val="18"/>
              </w:rPr>
              <w:t>Peronosporales:</w:t>
            </w:r>
            <w:r w:rsidRPr="00EA4704">
              <w:rPr>
                <w:rFonts w:eastAsia="Calibri" w:cs="Times New Roman"/>
                <w:iCs/>
                <w:sz w:val="18"/>
                <w:szCs w:val="18"/>
              </w:rPr>
              <w:t xml:space="preserve"> Peronosporaceae]</w:t>
            </w:r>
          </w:p>
          <w:p w14:paraId="32FCD73B" w14:textId="77777777" w:rsidR="003438A2" w:rsidRPr="00EA4704" w:rsidRDefault="003438A2" w:rsidP="00881E29">
            <w:pPr>
              <w:spacing w:before="60" w:after="60" w:line="240" w:lineRule="auto"/>
              <w:rPr>
                <w:rFonts w:eastAsia="Calibri" w:cs="Times New Roman"/>
                <w:b/>
                <w:iCs/>
                <w:sz w:val="18"/>
                <w:szCs w:val="18"/>
              </w:rPr>
            </w:pPr>
            <w:r w:rsidRPr="00EA4704">
              <w:rPr>
                <w:rFonts w:eastAsia="Calibri" w:cs="Times New Roman"/>
                <w:iCs/>
                <w:sz w:val="18"/>
                <w:szCs w:val="18"/>
              </w:rPr>
              <w:t>Phytophthora root rot</w:t>
            </w:r>
          </w:p>
        </w:tc>
        <w:tc>
          <w:tcPr>
            <w:tcW w:w="1474" w:type="dxa"/>
            <w:shd w:val="clear" w:color="auto" w:fill="auto"/>
          </w:tcPr>
          <w:p w14:paraId="28D9AF47" w14:textId="77777777" w:rsidR="003438A2" w:rsidRDefault="003438A2" w:rsidP="00EF1D9B">
            <w:pPr>
              <w:spacing w:before="60" w:after="60" w:line="240" w:lineRule="auto"/>
              <w:rPr>
                <w:rFonts w:eastAsia="Calibri" w:cs="Times New Roman"/>
                <w:noProof/>
                <w:sz w:val="18"/>
                <w:szCs w:val="18"/>
              </w:rPr>
            </w:pPr>
            <w:r w:rsidRPr="00EA4704">
              <w:rPr>
                <w:rFonts w:eastAsia="Calibri" w:cs="Times New Roman"/>
                <w:sz w:val="18"/>
                <w:szCs w:val="18"/>
              </w:rPr>
              <w:t xml:space="preserve">Yes. </w:t>
            </w:r>
            <w:r>
              <w:rPr>
                <w:rFonts w:eastAsia="Calibri" w:cs="Times New Roman"/>
                <w:sz w:val="18"/>
                <w:szCs w:val="18"/>
              </w:rPr>
              <w:t>Present in</w:t>
            </w:r>
            <w:r w:rsidRPr="00EA4704">
              <w:rPr>
                <w:rFonts w:eastAsia="Calibri" w:cs="Times New Roman"/>
                <w:sz w:val="18"/>
                <w:szCs w:val="18"/>
              </w:rPr>
              <w:t xml:space="preserve"> OR</w:t>
            </w:r>
            <w:r>
              <w:rPr>
                <w:rFonts w:eastAsia="Calibri" w:cs="Times New Roman"/>
                <w:sz w:val="18"/>
                <w:szCs w:val="18"/>
              </w:rPr>
              <w:t xml:space="preserve"> </w:t>
            </w:r>
            <w:r>
              <w:rPr>
                <w:rFonts w:eastAsia="Calibri" w:cs="Times New Roman"/>
                <w:noProof/>
                <w:sz w:val="18"/>
                <w:szCs w:val="18"/>
              </w:rPr>
              <w:t>(CABI 2022)</w:t>
            </w:r>
          </w:p>
          <w:p w14:paraId="4225FD27" w14:textId="77777777" w:rsidR="003438A2" w:rsidRPr="00970792" w:rsidRDefault="003438A2" w:rsidP="00EF1D9B">
            <w:pPr>
              <w:spacing w:before="60" w:after="60" w:line="240" w:lineRule="auto"/>
              <w:rPr>
                <w:rFonts w:eastAsia="Times New Roman" w:cs="Calibri"/>
                <w:color w:val="000000"/>
                <w:sz w:val="18"/>
                <w:szCs w:val="18"/>
                <w:lang w:eastAsia="en-AU"/>
              </w:rPr>
            </w:pPr>
          </w:p>
          <w:p w14:paraId="466D8A26" w14:textId="77777777" w:rsidR="003438A2" w:rsidRPr="00EA4704" w:rsidRDefault="003438A2" w:rsidP="00881E29">
            <w:pPr>
              <w:spacing w:before="60" w:after="60" w:line="240" w:lineRule="auto"/>
              <w:rPr>
                <w:rFonts w:eastAsia="Calibri" w:cs="Times New Roman"/>
                <w:iCs/>
                <w:sz w:val="18"/>
                <w:szCs w:val="18"/>
              </w:rPr>
            </w:pPr>
          </w:p>
        </w:tc>
        <w:tc>
          <w:tcPr>
            <w:tcW w:w="1474" w:type="dxa"/>
            <w:shd w:val="clear" w:color="auto" w:fill="auto"/>
          </w:tcPr>
          <w:p w14:paraId="7359AA7E" w14:textId="77777777" w:rsidR="003438A2" w:rsidRPr="00EA4704" w:rsidRDefault="003438A2" w:rsidP="00881E29">
            <w:pPr>
              <w:spacing w:before="60" w:after="60" w:line="240" w:lineRule="auto"/>
              <w:rPr>
                <w:rFonts w:eastAsia="Calibri" w:cs="Times New Roman"/>
                <w:iCs/>
                <w:sz w:val="18"/>
                <w:szCs w:val="18"/>
              </w:rPr>
            </w:pPr>
            <w:r w:rsidRPr="00EA4704">
              <w:rPr>
                <w:rFonts w:eastAsia="Calibri" w:cs="Times New Roman"/>
                <w:sz w:val="18"/>
                <w:szCs w:val="18"/>
              </w:rPr>
              <w:t xml:space="preserve">Yes. WA </w:t>
            </w:r>
            <w:r>
              <w:rPr>
                <w:rFonts w:eastAsia="Calibri" w:cs="Times New Roman"/>
                <w:noProof/>
                <w:sz w:val="18"/>
                <w:szCs w:val="18"/>
              </w:rPr>
              <w:t>(Burgess et al. 2009)</w:t>
            </w:r>
            <w:r w:rsidRPr="00EA4704">
              <w:rPr>
                <w:rFonts w:eastAsia="Calibri" w:cs="Times New Roman"/>
                <w:sz w:val="18"/>
                <w:szCs w:val="18"/>
              </w:rPr>
              <w:t xml:space="preserve">, Qld, SA, NSW, Vic., Tas. </w:t>
            </w:r>
            <w:r>
              <w:rPr>
                <w:rFonts w:eastAsia="Calibri" w:cs="Times New Roman"/>
                <w:noProof/>
                <w:sz w:val="18"/>
                <w:szCs w:val="18"/>
              </w:rPr>
              <w:t>(Plant Health Australia 2018)</w:t>
            </w:r>
          </w:p>
        </w:tc>
        <w:tc>
          <w:tcPr>
            <w:tcW w:w="2552" w:type="dxa"/>
            <w:shd w:val="clear" w:color="auto" w:fill="auto"/>
          </w:tcPr>
          <w:p w14:paraId="51EEAA0B" w14:textId="77777777" w:rsidR="003438A2" w:rsidRPr="00EA4704" w:rsidRDefault="003438A2" w:rsidP="00881E29">
            <w:pPr>
              <w:spacing w:before="60" w:after="60" w:line="240" w:lineRule="auto"/>
              <w:rPr>
                <w:rFonts w:eastAsia="Calibri" w:cs="Times New Roman"/>
                <w:iCs/>
                <w:sz w:val="18"/>
                <w:szCs w:val="18"/>
              </w:rPr>
            </w:pPr>
            <w:r w:rsidRPr="00EA4704">
              <w:rPr>
                <w:rFonts w:eastAsia="Calibri" w:cs="Times New Roman"/>
                <w:sz w:val="18"/>
                <w:szCs w:val="18"/>
              </w:rPr>
              <w:t>Assessment not required</w:t>
            </w:r>
          </w:p>
        </w:tc>
        <w:tc>
          <w:tcPr>
            <w:tcW w:w="2381" w:type="dxa"/>
            <w:shd w:val="clear" w:color="auto" w:fill="auto"/>
          </w:tcPr>
          <w:p w14:paraId="4BFE5504"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2211" w:type="dxa"/>
            <w:shd w:val="clear" w:color="auto" w:fill="auto"/>
          </w:tcPr>
          <w:p w14:paraId="77105F4E"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1191" w:type="dxa"/>
            <w:shd w:val="clear" w:color="auto" w:fill="auto"/>
          </w:tcPr>
          <w:p w14:paraId="4A251FE8"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w:t>
            </w:r>
          </w:p>
        </w:tc>
      </w:tr>
      <w:tr w:rsidR="003438A2" w:rsidRPr="00EA4704" w14:paraId="54BE56F8" w14:textId="77777777" w:rsidTr="00C4199F">
        <w:tblPrEx>
          <w:tblBorders>
            <w:insideH w:val="single" w:sz="4" w:space="0" w:color="BFBFBF" w:themeColor="background1" w:themeShade="BF"/>
          </w:tblBorders>
        </w:tblPrEx>
        <w:trPr>
          <w:cantSplit/>
          <w:trHeight w:val="75"/>
          <w:jc w:val="center"/>
        </w:trPr>
        <w:tc>
          <w:tcPr>
            <w:tcW w:w="2553" w:type="dxa"/>
            <w:shd w:val="clear" w:color="auto" w:fill="auto"/>
          </w:tcPr>
          <w:p w14:paraId="4DFF66BE" w14:textId="77777777" w:rsidR="003438A2" w:rsidRPr="00DE1F3B" w:rsidRDefault="003438A2" w:rsidP="00881E29">
            <w:pPr>
              <w:spacing w:before="60" w:after="60" w:line="240" w:lineRule="auto"/>
              <w:rPr>
                <w:rFonts w:eastAsia="Calibri" w:cs="Times New Roman"/>
                <w:sz w:val="18"/>
                <w:szCs w:val="18"/>
              </w:rPr>
            </w:pPr>
            <w:r w:rsidRPr="00DE1F3B">
              <w:rPr>
                <w:rFonts w:eastAsia="Calibri" w:cs="Times New Roman"/>
                <w:i/>
                <w:sz w:val="18"/>
                <w:szCs w:val="18"/>
              </w:rPr>
              <w:lastRenderedPageBreak/>
              <w:t>Phytophthora ramorum</w:t>
            </w:r>
          </w:p>
          <w:p w14:paraId="5A15620F" w14:textId="77777777" w:rsidR="003438A2" w:rsidRPr="00DE1F3B" w:rsidRDefault="003438A2" w:rsidP="00881E29">
            <w:pPr>
              <w:spacing w:before="60" w:after="60" w:line="240" w:lineRule="auto"/>
              <w:rPr>
                <w:rFonts w:eastAsia="Calibri" w:cs="Times New Roman"/>
                <w:sz w:val="18"/>
                <w:szCs w:val="18"/>
              </w:rPr>
            </w:pPr>
            <w:r w:rsidRPr="00DE1F3B">
              <w:rPr>
                <w:rFonts w:eastAsia="Calibri" w:cs="Times New Roman"/>
                <w:sz w:val="18"/>
                <w:szCs w:val="18"/>
              </w:rPr>
              <w:t>Werres, De Cock &amp; Man in</w:t>
            </w:r>
            <w:r>
              <w:rPr>
                <w:rFonts w:eastAsia="Calibri" w:cs="Times New Roman"/>
                <w:sz w:val="18"/>
                <w:szCs w:val="18"/>
              </w:rPr>
              <w:t>’</w:t>
            </w:r>
            <w:r w:rsidRPr="00DE1F3B">
              <w:rPr>
                <w:rFonts w:eastAsia="Calibri" w:cs="Times New Roman"/>
                <w:sz w:val="18"/>
                <w:szCs w:val="18"/>
              </w:rPr>
              <w:t>t Veld</w:t>
            </w:r>
          </w:p>
          <w:p w14:paraId="015FCDE4" w14:textId="77777777" w:rsidR="003438A2" w:rsidRPr="00DE1F3B" w:rsidRDefault="003438A2" w:rsidP="00881E29">
            <w:pPr>
              <w:spacing w:before="60" w:after="60" w:line="240" w:lineRule="auto"/>
              <w:rPr>
                <w:rFonts w:eastAsia="Calibri" w:cs="Times New Roman"/>
                <w:sz w:val="18"/>
                <w:szCs w:val="18"/>
              </w:rPr>
            </w:pPr>
            <w:r w:rsidRPr="00DE1F3B">
              <w:rPr>
                <w:rFonts w:eastAsia="Calibri" w:cs="Times New Roman"/>
                <w:sz w:val="18"/>
                <w:szCs w:val="18"/>
              </w:rPr>
              <w:t>[Peronosporales: Peronosporaceae]</w:t>
            </w:r>
          </w:p>
          <w:p w14:paraId="536A61A5" w14:textId="77777777" w:rsidR="003438A2" w:rsidRPr="00DE1F3B" w:rsidRDefault="003438A2" w:rsidP="00881E29">
            <w:pPr>
              <w:spacing w:before="60" w:after="60" w:line="240" w:lineRule="auto"/>
              <w:rPr>
                <w:rFonts w:eastAsia="Calibri" w:cs="Times New Roman"/>
                <w:i/>
                <w:iCs/>
                <w:sz w:val="18"/>
                <w:szCs w:val="18"/>
              </w:rPr>
            </w:pPr>
            <w:r w:rsidRPr="00DE1F3B">
              <w:rPr>
                <w:rFonts w:eastAsia="Calibri" w:cs="Times New Roman"/>
                <w:sz w:val="18"/>
                <w:szCs w:val="18"/>
              </w:rPr>
              <w:t>Sudden oak death (SOD)</w:t>
            </w:r>
          </w:p>
        </w:tc>
        <w:tc>
          <w:tcPr>
            <w:tcW w:w="1474" w:type="dxa"/>
            <w:shd w:val="clear" w:color="auto" w:fill="auto"/>
          </w:tcPr>
          <w:p w14:paraId="3330CB2A" w14:textId="77777777" w:rsidR="003438A2" w:rsidRPr="00DE1F3B" w:rsidRDefault="003438A2" w:rsidP="00790370">
            <w:pPr>
              <w:spacing w:before="60" w:after="60" w:line="240" w:lineRule="auto"/>
              <w:rPr>
                <w:rFonts w:eastAsia="Calibri" w:cs="Times New Roman"/>
                <w:sz w:val="18"/>
                <w:szCs w:val="18"/>
              </w:rPr>
            </w:pPr>
            <w:r w:rsidRPr="00DE1F3B">
              <w:rPr>
                <w:rFonts w:eastAsia="Calibri" w:cs="Times New Roman"/>
                <w:sz w:val="18"/>
                <w:szCs w:val="18"/>
              </w:rPr>
              <w:t xml:space="preserve">Yes. </w:t>
            </w:r>
            <w:r>
              <w:rPr>
                <w:rFonts w:eastAsia="Calibri" w:cs="Times New Roman"/>
                <w:sz w:val="18"/>
                <w:szCs w:val="18"/>
              </w:rPr>
              <w:t>Present in</w:t>
            </w:r>
            <w:r w:rsidRPr="00DE1F3B">
              <w:rPr>
                <w:rFonts w:eastAsia="Calibri" w:cs="Times New Roman"/>
                <w:sz w:val="18"/>
                <w:szCs w:val="18"/>
              </w:rPr>
              <w:t xml:space="preserve"> OR</w:t>
            </w:r>
            <w:r>
              <w:rPr>
                <w:rFonts w:eastAsia="Calibri" w:cs="Times New Roman"/>
                <w:sz w:val="18"/>
                <w:szCs w:val="18"/>
              </w:rPr>
              <w:t xml:space="preserve"> and</w:t>
            </w:r>
            <w:r w:rsidRPr="00DE1F3B">
              <w:rPr>
                <w:rFonts w:eastAsia="Calibri" w:cs="Times New Roman"/>
                <w:sz w:val="18"/>
                <w:szCs w:val="18"/>
              </w:rPr>
              <w:t xml:space="preserve"> WA</w:t>
            </w:r>
            <w:r>
              <w:rPr>
                <w:rFonts w:eastAsia="Calibri" w:cs="Times New Roman"/>
                <w:sz w:val="18"/>
                <w:szCs w:val="18"/>
              </w:rPr>
              <w:t xml:space="preserve"> </w:t>
            </w:r>
            <w:r>
              <w:rPr>
                <w:rFonts w:eastAsia="Calibri" w:cs="Times New Roman"/>
                <w:noProof/>
                <w:sz w:val="18"/>
                <w:szCs w:val="18"/>
              </w:rPr>
              <w:t>(APHIS 2011; CABI 2022; Goheen et al. 2006)</w:t>
            </w:r>
            <w:r>
              <w:rPr>
                <w:rFonts w:eastAsia="Calibri" w:cs="Times New Roman"/>
                <w:sz w:val="18"/>
                <w:szCs w:val="18"/>
              </w:rPr>
              <w:t xml:space="preserve"> </w:t>
            </w:r>
          </w:p>
        </w:tc>
        <w:tc>
          <w:tcPr>
            <w:tcW w:w="1474" w:type="dxa"/>
            <w:shd w:val="clear" w:color="auto" w:fill="auto"/>
          </w:tcPr>
          <w:p w14:paraId="71EECF7D" w14:textId="77777777" w:rsidR="003438A2" w:rsidRPr="00DE1F3B" w:rsidRDefault="003438A2" w:rsidP="00881E29">
            <w:pPr>
              <w:spacing w:before="60" w:after="60" w:line="240" w:lineRule="auto"/>
              <w:rPr>
                <w:rFonts w:eastAsia="Calibri" w:cs="Times New Roman"/>
                <w:sz w:val="18"/>
                <w:szCs w:val="18"/>
              </w:rPr>
            </w:pPr>
            <w:r w:rsidRPr="00DE1F3B">
              <w:rPr>
                <w:rFonts w:eastAsia="Calibri" w:cs="Times New Roman"/>
                <w:sz w:val="18"/>
                <w:szCs w:val="18"/>
              </w:rPr>
              <w:t xml:space="preserve">No records found </w:t>
            </w:r>
          </w:p>
        </w:tc>
        <w:tc>
          <w:tcPr>
            <w:tcW w:w="2552" w:type="dxa"/>
            <w:shd w:val="clear" w:color="auto" w:fill="auto"/>
          </w:tcPr>
          <w:p w14:paraId="719AE851" w14:textId="77777777" w:rsidR="003438A2" w:rsidRPr="00DE1F3B" w:rsidRDefault="003438A2" w:rsidP="00881E29">
            <w:pPr>
              <w:spacing w:before="60" w:after="60" w:line="240" w:lineRule="auto"/>
              <w:rPr>
                <w:rFonts w:eastAsia="Calibri" w:cs="Times New Roman"/>
                <w:sz w:val="18"/>
                <w:szCs w:val="18"/>
              </w:rPr>
            </w:pPr>
            <w:r w:rsidRPr="00DE1F3B">
              <w:rPr>
                <w:rFonts w:eastAsia="Calibri" w:cs="Times New Roman"/>
                <w:sz w:val="18"/>
                <w:szCs w:val="18"/>
              </w:rPr>
              <w:t>No. The pathogen can cause leaf blight, spots, blotches and scorches as well as branch dieback and cankers</w:t>
            </w:r>
            <w:r>
              <w:rPr>
                <w:rFonts w:eastAsia="Calibri" w:cs="Times New Roman"/>
                <w:sz w:val="18"/>
                <w:szCs w:val="18"/>
              </w:rPr>
              <w:t>;</w:t>
            </w:r>
            <w:r w:rsidRPr="00DE1F3B">
              <w:rPr>
                <w:rFonts w:eastAsia="Calibri" w:cs="Times New Roman"/>
                <w:sz w:val="18"/>
                <w:szCs w:val="18"/>
              </w:rPr>
              <w:t xml:space="preserve"> however</w:t>
            </w:r>
            <w:r>
              <w:rPr>
                <w:rFonts w:eastAsia="Calibri" w:cs="Times New Roman"/>
                <w:sz w:val="18"/>
                <w:szCs w:val="18"/>
              </w:rPr>
              <w:t>,</w:t>
            </w:r>
            <w:r w:rsidRPr="00DE1F3B">
              <w:rPr>
                <w:rFonts w:eastAsia="Calibri" w:cs="Times New Roman"/>
                <w:sz w:val="18"/>
                <w:szCs w:val="18"/>
              </w:rPr>
              <w:t xml:space="preserve"> the fungus does not appear on fruit </w:t>
            </w:r>
            <w:r>
              <w:rPr>
                <w:rFonts w:eastAsia="Calibri" w:cs="Times New Roman"/>
                <w:noProof/>
                <w:sz w:val="18"/>
                <w:szCs w:val="18"/>
              </w:rPr>
              <w:t>(Cave, Randall-Schadel &amp; Redline 2008; Plant Health Australia 2018)</w:t>
            </w:r>
            <w:r>
              <w:rPr>
                <w:rFonts w:eastAsia="Calibri" w:cs="Times New Roman"/>
                <w:sz w:val="18"/>
                <w:szCs w:val="18"/>
              </w:rPr>
              <w:t>.</w:t>
            </w:r>
          </w:p>
        </w:tc>
        <w:tc>
          <w:tcPr>
            <w:tcW w:w="2381" w:type="dxa"/>
            <w:shd w:val="clear" w:color="auto" w:fill="auto"/>
          </w:tcPr>
          <w:p w14:paraId="5ECF59A5" w14:textId="77777777" w:rsidR="003438A2" w:rsidRPr="00DE1F3B" w:rsidRDefault="003438A2" w:rsidP="00881E29">
            <w:pPr>
              <w:spacing w:before="60" w:after="60" w:line="240" w:lineRule="auto"/>
              <w:rPr>
                <w:rFonts w:eastAsia="Calibri" w:cs="Times New Roman"/>
                <w:sz w:val="18"/>
                <w:szCs w:val="18"/>
              </w:rPr>
            </w:pPr>
            <w:r w:rsidRPr="00DE1F3B">
              <w:rPr>
                <w:rFonts w:eastAsia="Calibri" w:cs="Times New Roman"/>
                <w:sz w:val="18"/>
                <w:szCs w:val="18"/>
              </w:rPr>
              <w:t>Assessment not required</w:t>
            </w:r>
          </w:p>
        </w:tc>
        <w:tc>
          <w:tcPr>
            <w:tcW w:w="2211" w:type="dxa"/>
            <w:shd w:val="clear" w:color="auto" w:fill="auto"/>
          </w:tcPr>
          <w:p w14:paraId="53AEF046" w14:textId="77777777" w:rsidR="003438A2" w:rsidRPr="00DE1F3B" w:rsidRDefault="003438A2" w:rsidP="00881E29">
            <w:pPr>
              <w:spacing w:before="60" w:after="60" w:line="240" w:lineRule="auto"/>
              <w:rPr>
                <w:rFonts w:eastAsia="Calibri" w:cs="Times New Roman"/>
                <w:sz w:val="18"/>
                <w:szCs w:val="18"/>
              </w:rPr>
            </w:pPr>
            <w:r w:rsidRPr="00DE1F3B">
              <w:rPr>
                <w:rFonts w:eastAsia="Calibri" w:cs="Times New Roman"/>
                <w:sz w:val="18"/>
                <w:szCs w:val="18"/>
              </w:rPr>
              <w:t>Assessment not required</w:t>
            </w:r>
          </w:p>
        </w:tc>
        <w:tc>
          <w:tcPr>
            <w:tcW w:w="1191" w:type="dxa"/>
            <w:shd w:val="clear" w:color="auto" w:fill="auto"/>
          </w:tcPr>
          <w:p w14:paraId="79448564" w14:textId="77777777" w:rsidR="003438A2" w:rsidRPr="00EA4704" w:rsidRDefault="003438A2" w:rsidP="00881E29">
            <w:pPr>
              <w:spacing w:before="60" w:after="60" w:line="240" w:lineRule="auto"/>
              <w:rPr>
                <w:rFonts w:eastAsia="Calibri" w:cs="Times New Roman"/>
                <w:sz w:val="18"/>
                <w:szCs w:val="18"/>
              </w:rPr>
            </w:pPr>
            <w:r w:rsidRPr="00DE1F3B">
              <w:rPr>
                <w:rFonts w:eastAsia="Calibri" w:cs="Times New Roman"/>
                <w:sz w:val="18"/>
                <w:szCs w:val="18"/>
              </w:rPr>
              <w:t>No</w:t>
            </w:r>
          </w:p>
        </w:tc>
      </w:tr>
      <w:tr w:rsidR="003438A2" w:rsidRPr="00EA4704" w14:paraId="7220AE08" w14:textId="77777777" w:rsidTr="00C4199F">
        <w:trPr>
          <w:cantSplit/>
          <w:trHeight w:val="75"/>
          <w:jc w:val="center"/>
        </w:trPr>
        <w:tc>
          <w:tcPr>
            <w:tcW w:w="2553" w:type="dxa"/>
            <w:shd w:val="clear" w:color="auto" w:fill="auto"/>
          </w:tcPr>
          <w:p w14:paraId="251B5BDC" w14:textId="77777777" w:rsidR="003438A2" w:rsidRPr="00EA4704" w:rsidRDefault="003438A2" w:rsidP="00881E29">
            <w:pPr>
              <w:spacing w:before="60" w:after="60" w:line="240" w:lineRule="auto"/>
              <w:rPr>
                <w:rFonts w:eastAsia="Calibri" w:cs="Times New Roman"/>
                <w:iCs/>
                <w:sz w:val="18"/>
                <w:szCs w:val="18"/>
              </w:rPr>
            </w:pPr>
            <w:r w:rsidRPr="00EA4704">
              <w:rPr>
                <w:rFonts w:eastAsia="Calibri" w:cs="Times New Roman"/>
                <w:i/>
                <w:iCs/>
                <w:sz w:val="18"/>
                <w:szCs w:val="18"/>
              </w:rPr>
              <w:lastRenderedPageBreak/>
              <w:t xml:space="preserve">Phytophthora syringae </w:t>
            </w:r>
            <w:r w:rsidRPr="00EA4704">
              <w:rPr>
                <w:rFonts w:eastAsia="Calibri" w:cs="Times New Roman"/>
                <w:iCs/>
                <w:sz w:val="18"/>
                <w:szCs w:val="18"/>
              </w:rPr>
              <w:t>(</w:t>
            </w:r>
            <w:r w:rsidRPr="00EA4704" w:rsidDel="00C20106">
              <w:rPr>
                <w:rFonts w:eastAsia="Calibri" w:cs="Times New Roman"/>
                <w:iCs/>
                <w:sz w:val="18"/>
                <w:szCs w:val="18"/>
              </w:rPr>
              <w:t xml:space="preserve">Berk </w:t>
            </w:r>
            <w:r w:rsidRPr="00EA4704">
              <w:rPr>
                <w:rFonts w:eastAsia="Calibri" w:cs="Times New Roman"/>
                <w:iCs/>
                <w:sz w:val="18"/>
                <w:szCs w:val="18"/>
              </w:rPr>
              <w:t>Kleb.) Kleb.</w:t>
            </w:r>
          </w:p>
          <w:p w14:paraId="259FD2C0" w14:textId="77777777" w:rsidR="003438A2" w:rsidRPr="00EA4704" w:rsidRDefault="003438A2" w:rsidP="00881E29">
            <w:pPr>
              <w:spacing w:before="60" w:after="60" w:line="240" w:lineRule="auto"/>
              <w:rPr>
                <w:rFonts w:eastAsia="Calibri" w:cs="Times New Roman"/>
                <w:iCs/>
                <w:sz w:val="18"/>
                <w:szCs w:val="18"/>
              </w:rPr>
            </w:pPr>
            <w:r w:rsidRPr="00EA4704">
              <w:rPr>
                <w:rFonts w:eastAsia="Calibri" w:cs="Times New Roman"/>
                <w:iCs/>
                <w:sz w:val="18"/>
                <w:szCs w:val="18"/>
              </w:rPr>
              <w:t>[</w:t>
            </w:r>
            <w:r w:rsidRPr="00EA4704">
              <w:rPr>
                <w:rFonts w:eastAsia="Calibri" w:cs="Times New Roman"/>
                <w:sz w:val="18"/>
                <w:szCs w:val="18"/>
              </w:rPr>
              <w:t>Peronosporales:</w:t>
            </w:r>
            <w:r w:rsidRPr="00EA4704">
              <w:rPr>
                <w:rFonts w:eastAsia="Calibri" w:cs="Times New Roman"/>
                <w:iCs/>
                <w:sz w:val="18"/>
                <w:szCs w:val="18"/>
              </w:rPr>
              <w:t xml:space="preserve"> Peronosporaceae]</w:t>
            </w:r>
          </w:p>
          <w:p w14:paraId="7F64E2B1" w14:textId="77777777" w:rsidR="003438A2" w:rsidRPr="00EA4704" w:rsidRDefault="003438A2" w:rsidP="00881E29">
            <w:pPr>
              <w:spacing w:before="60" w:after="60" w:line="240" w:lineRule="auto"/>
              <w:rPr>
                <w:rFonts w:eastAsia="Calibri" w:cs="Times New Roman"/>
                <w:b/>
                <w:iCs/>
                <w:sz w:val="18"/>
                <w:szCs w:val="18"/>
              </w:rPr>
            </w:pPr>
            <w:r w:rsidRPr="00EA4704">
              <w:rPr>
                <w:rFonts w:eastAsia="Calibri" w:cs="Times New Roman"/>
                <w:sz w:val="18"/>
                <w:szCs w:val="18"/>
              </w:rPr>
              <w:t>Phytophthora fruit rot</w:t>
            </w:r>
          </w:p>
        </w:tc>
        <w:tc>
          <w:tcPr>
            <w:tcW w:w="1474" w:type="dxa"/>
            <w:shd w:val="clear" w:color="auto" w:fill="auto"/>
          </w:tcPr>
          <w:p w14:paraId="5C59A36D" w14:textId="77777777" w:rsidR="003438A2" w:rsidRPr="009A0885" w:rsidRDefault="003438A2" w:rsidP="00790370">
            <w:pPr>
              <w:spacing w:before="60" w:after="60" w:line="240" w:lineRule="auto"/>
              <w:rPr>
                <w:sz w:val="18"/>
                <w:szCs w:val="18"/>
              </w:rPr>
            </w:pPr>
            <w:r w:rsidRPr="00EA4704">
              <w:rPr>
                <w:rFonts w:eastAsia="Calibri" w:cs="Times New Roman"/>
                <w:sz w:val="18"/>
                <w:szCs w:val="18"/>
              </w:rPr>
              <w:t>Yes</w:t>
            </w:r>
            <w:r w:rsidRPr="00D260B8">
              <w:rPr>
                <w:rFonts w:eastAsia="Calibri" w:cs="Times New Roman"/>
                <w:sz w:val="18"/>
                <w:szCs w:val="18"/>
              </w:rPr>
              <w:t xml:space="preserve"> </w:t>
            </w:r>
            <w:r>
              <w:rPr>
                <w:noProof/>
                <w:sz w:val="18"/>
                <w:szCs w:val="18"/>
              </w:rPr>
              <w:t>(Pscheidt &amp; Ocamb 2019)</w:t>
            </w:r>
          </w:p>
          <w:p w14:paraId="75DF61A3" w14:textId="77777777" w:rsidR="003438A2" w:rsidRPr="00D260B8" w:rsidRDefault="003438A2" w:rsidP="00790370">
            <w:pPr>
              <w:spacing w:before="60" w:after="60" w:line="240" w:lineRule="auto"/>
              <w:rPr>
                <w:rFonts w:eastAsia="Calibri" w:cs="Times New Roman"/>
                <w:sz w:val="18"/>
                <w:szCs w:val="18"/>
              </w:rPr>
            </w:pPr>
            <w:r w:rsidRPr="00D260B8">
              <w:rPr>
                <w:rFonts w:eastAsia="Calibri" w:cs="Times New Roman"/>
                <w:sz w:val="18"/>
                <w:szCs w:val="18"/>
              </w:rPr>
              <w:t xml:space="preserve"> </w:t>
            </w:r>
          </w:p>
        </w:tc>
        <w:tc>
          <w:tcPr>
            <w:tcW w:w="1474" w:type="dxa"/>
            <w:shd w:val="clear" w:color="auto" w:fill="auto"/>
          </w:tcPr>
          <w:p w14:paraId="15B1B0A4" w14:textId="77777777" w:rsidR="003438A2" w:rsidRPr="00D260B8" w:rsidRDefault="003438A2" w:rsidP="00881E29">
            <w:pPr>
              <w:spacing w:before="60" w:after="60" w:line="240" w:lineRule="auto"/>
              <w:rPr>
                <w:rFonts w:eastAsia="Calibri" w:cs="Times New Roman"/>
                <w:sz w:val="18"/>
                <w:szCs w:val="18"/>
              </w:rPr>
            </w:pPr>
            <w:r w:rsidRPr="00EA4704">
              <w:rPr>
                <w:rFonts w:eastAsia="Calibri" w:cs="Times New Roman"/>
                <w:sz w:val="18"/>
                <w:szCs w:val="18"/>
              </w:rPr>
              <w:t>Yes. Vic.</w:t>
            </w:r>
            <w:r>
              <w:rPr>
                <w:rFonts w:eastAsia="Calibri" w:cs="Times New Roman"/>
                <w:sz w:val="18"/>
                <w:szCs w:val="18"/>
              </w:rPr>
              <w:t xml:space="preserve"> </w:t>
            </w:r>
            <w:r>
              <w:rPr>
                <w:rFonts w:eastAsia="Calibri" w:cs="Times New Roman"/>
                <w:noProof/>
                <w:sz w:val="18"/>
                <w:szCs w:val="18"/>
              </w:rPr>
              <w:t>(Cunnington, de Alwis &amp; Priest 2009)</w:t>
            </w:r>
            <w:r w:rsidRPr="005E6DE2">
              <w:rPr>
                <w:rFonts w:eastAsia="Calibri" w:cs="Times New Roman"/>
                <w:sz w:val="18"/>
                <w:szCs w:val="18"/>
              </w:rPr>
              <w:t xml:space="preserve"> Records from SA </w:t>
            </w:r>
            <w:r>
              <w:rPr>
                <w:rFonts w:eastAsia="Calibri" w:cs="Times New Roman"/>
                <w:noProof/>
                <w:sz w:val="18"/>
                <w:szCs w:val="18"/>
              </w:rPr>
              <w:t>(Cook &amp; Dubé 1989)</w:t>
            </w:r>
            <w:r w:rsidRPr="005E6DE2">
              <w:rPr>
                <w:rFonts w:eastAsia="Calibri" w:cs="Times New Roman"/>
                <w:sz w:val="18"/>
                <w:szCs w:val="18"/>
              </w:rPr>
              <w:t xml:space="preserve"> and Vic. </w:t>
            </w:r>
            <w:r>
              <w:rPr>
                <w:rFonts w:eastAsia="Calibri" w:cs="Times New Roman"/>
                <w:noProof/>
                <w:sz w:val="18"/>
                <w:szCs w:val="18"/>
              </w:rPr>
              <w:t>(Washington &amp; Nancarrow 1983)</w:t>
            </w:r>
            <w:r w:rsidRPr="005E6DE2">
              <w:rPr>
                <w:rFonts w:eastAsia="Calibri" w:cs="Times New Roman"/>
                <w:sz w:val="18"/>
                <w:szCs w:val="18"/>
              </w:rPr>
              <w:t xml:space="preserve"> are considered to be unreliable </w:t>
            </w:r>
            <w:r>
              <w:rPr>
                <w:rFonts w:eastAsia="Calibri" w:cs="Times New Roman"/>
                <w:noProof/>
                <w:sz w:val="18"/>
                <w:szCs w:val="18"/>
              </w:rPr>
              <w:t>(Cunnington, de Alwis &amp; Priest 2009)</w:t>
            </w:r>
            <w:r w:rsidRPr="005E6DE2">
              <w:rPr>
                <w:rFonts w:eastAsia="Calibri" w:cs="Times New Roman"/>
                <w:sz w:val="18"/>
                <w:szCs w:val="18"/>
              </w:rPr>
              <w:t xml:space="preserve">. A record from NSW was found to be </w:t>
            </w:r>
            <w:r w:rsidRPr="005E6DE2">
              <w:rPr>
                <w:rFonts w:eastAsia="Calibri" w:cs="Times New Roman"/>
                <w:i/>
                <w:iCs/>
                <w:sz w:val="18"/>
                <w:szCs w:val="18"/>
              </w:rPr>
              <w:t xml:space="preserve">Phytophthora multivesiculata </w:t>
            </w:r>
            <w:r>
              <w:rPr>
                <w:rFonts w:eastAsia="Calibri" w:cs="Times New Roman"/>
                <w:noProof/>
                <w:sz w:val="18"/>
                <w:szCs w:val="18"/>
              </w:rPr>
              <w:t>(Cunnington, de Alwis &amp; Priest 2009)</w:t>
            </w:r>
            <w:r w:rsidRPr="005E6DE2">
              <w:rPr>
                <w:rFonts w:eastAsia="Calibri" w:cs="Times New Roman"/>
                <w:sz w:val="18"/>
                <w:szCs w:val="18"/>
              </w:rPr>
              <w:t>.</w:t>
            </w:r>
            <w:r>
              <w:rPr>
                <w:rFonts w:eastAsia="Calibri" w:cs="Times New Roman"/>
                <w:sz w:val="18"/>
                <w:szCs w:val="18"/>
              </w:rPr>
              <w:t xml:space="preserve"> </w:t>
            </w:r>
            <w:r w:rsidRPr="00D260B8">
              <w:rPr>
                <w:rFonts w:eastAsia="Calibri" w:cs="Times New Roman"/>
                <w:sz w:val="18"/>
                <w:szCs w:val="18"/>
              </w:rPr>
              <w:t xml:space="preserve">Listed as a declared Pest, Prohibited (section 12) (C1 Prohibited) for WA </w:t>
            </w:r>
            <w:r>
              <w:rPr>
                <w:rFonts w:eastAsia="Calibri" w:cs="Times New Roman"/>
                <w:noProof/>
                <w:sz w:val="18"/>
                <w:szCs w:val="18"/>
              </w:rPr>
              <w:t>(Government of Western Australia 2020)</w:t>
            </w:r>
          </w:p>
        </w:tc>
        <w:tc>
          <w:tcPr>
            <w:tcW w:w="2552" w:type="dxa"/>
            <w:shd w:val="clear" w:color="auto" w:fill="auto"/>
          </w:tcPr>
          <w:p w14:paraId="5CD231F5" w14:textId="77777777" w:rsidR="003438A2" w:rsidRPr="00DE09B1" w:rsidRDefault="003438A2" w:rsidP="00790370">
            <w:pPr>
              <w:spacing w:before="60" w:after="60" w:line="240" w:lineRule="auto"/>
              <w:rPr>
                <w:rFonts w:eastAsia="Calibri" w:cs="Times New Roman"/>
                <w:sz w:val="18"/>
                <w:szCs w:val="18"/>
              </w:rPr>
            </w:pPr>
            <w:r w:rsidRPr="00DE1F3B">
              <w:rPr>
                <w:rFonts w:eastAsia="Calibri" w:cs="Times New Roman"/>
                <w:sz w:val="18"/>
                <w:szCs w:val="18"/>
              </w:rPr>
              <w:t>No</w:t>
            </w:r>
            <w:r>
              <w:rPr>
                <w:rFonts w:eastAsia="Calibri" w:cs="Times New Roman"/>
                <w:sz w:val="18"/>
                <w:szCs w:val="18"/>
              </w:rPr>
              <w:t>.</w:t>
            </w:r>
            <w:r w:rsidRPr="00EA4704">
              <w:rPr>
                <w:rFonts w:eastAsia="Calibri" w:cs="Times New Roman"/>
                <w:sz w:val="18"/>
                <w:szCs w:val="18"/>
              </w:rPr>
              <w:t xml:space="preserve"> </w:t>
            </w:r>
            <w:r>
              <w:rPr>
                <w:rFonts w:eastAsia="Calibri" w:cs="Times New Roman"/>
                <w:sz w:val="18"/>
                <w:szCs w:val="18"/>
              </w:rPr>
              <w:t>It i</w:t>
            </w:r>
            <w:r w:rsidRPr="00EA4704">
              <w:rPr>
                <w:rFonts w:eastAsia="Calibri" w:cs="Times New Roman"/>
                <w:sz w:val="18"/>
                <w:szCs w:val="18"/>
              </w:rPr>
              <w:t xml:space="preserve">s a soilborne fungus affecting mostly roots and collar </w:t>
            </w:r>
            <w:r w:rsidRPr="00DB5BE2">
              <w:rPr>
                <w:rFonts w:eastAsia="Calibri" w:cs="Times New Roman"/>
                <w:noProof/>
                <w:sz w:val="18"/>
                <w:szCs w:val="18"/>
              </w:rPr>
              <w:t>(Pscheidt &amp; Ocamb 2019)</w:t>
            </w:r>
            <w:r>
              <w:rPr>
                <w:rFonts w:eastAsia="Calibri" w:cs="Times New Roman"/>
                <w:sz w:val="18"/>
                <w:szCs w:val="18"/>
              </w:rPr>
              <w:t>.</w:t>
            </w:r>
            <w:r w:rsidRPr="00DB5BE2">
              <w:rPr>
                <w:rFonts w:eastAsia="Calibri" w:cs="Times New Roman"/>
                <w:sz w:val="18"/>
                <w:szCs w:val="18"/>
              </w:rPr>
              <w:t xml:space="preserve"> </w:t>
            </w:r>
          </w:p>
        </w:tc>
        <w:tc>
          <w:tcPr>
            <w:tcW w:w="2381" w:type="dxa"/>
            <w:shd w:val="clear" w:color="auto" w:fill="auto"/>
          </w:tcPr>
          <w:p w14:paraId="06D36E8E" w14:textId="77777777" w:rsidR="003438A2" w:rsidRPr="00EA4704" w:rsidRDefault="003438A2" w:rsidP="00881E29">
            <w:pPr>
              <w:spacing w:before="60" w:after="60" w:line="240" w:lineRule="auto"/>
              <w:rPr>
                <w:rFonts w:eastAsia="Calibri" w:cs="Times New Roman"/>
                <w:sz w:val="18"/>
                <w:szCs w:val="18"/>
              </w:rPr>
            </w:pPr>
            <w:r w:rsidRPr="00DE1F3B">
              <w:rPr>
                <w:rFonts w:eastAsia="Calibri" w:cs="Times New Roman"/>
                <w:sz w:val="18"/>
                <w:szCs w:val="18"/>
              </w:rPr>
              <w:t>Assessment not required</w:t>
            </w:r>
          </w:p>
        </w:tc>
        <w:tc>
          <w:tcPr>
            <w:tcW w:w="2211" w:type="dxa"/>
            <w:shd w:val="clear" w:color="auto" w:fill="auto"/>
          </w:tcPr>
          <w:p w14:paraId="7844FC4C" w14:textId="77777777" w:rsidR="003438A2" w:rsidRPr="00EA4704" w:rsidRDefault="003438A2" w:rsidP="00881E29">
            <w:pPr>
              <w:spacing w:before="60" w:after="60" w:line="240" w:lineRule="auto"/>
              <w:rPr>
                <w:rFonts w:eastAsia="Calibri" w:cs="Times New Roman"/>
                <w:sz w:val="18"/>
                <w:szCs w:val="18"/>
              </w:rPr>
            </w:pPr>
            <w:r w:rsidRPr="00DE1F3B">
              <w:rPr>
                <w:rFonts w:eastAsia="Calibri" w:cs="Times New Roman"/>
                <w:sz w:val="18"/>
                <w:szCs w:val="18"/>
              </w:rPr>
              <w:t>Assessment not required</w:t>
            </w:r>
          </w:p>
        </w:tc>
        <w:tc>
          <w:tcPr>
            <w:tcW w:w="1191" w:type="dxa"/>
            <w:shd w:val="clear" w:color="auto" w:fill="auto"/>
          </w:tcPr>
          <w:p w14:paraId="098FF117"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w:t>
            </w:r>
          </w:p>
        </w:tc>
      </w:tr>
      <w:tr w:rsidR="003438A2" w:rsidRPr="00EA4704" w14:paraId="19D8BE43" w14:textId="77777777" w:rsidTr="00C4199F">
        <w:trPr>
          <w:cantSplit/>
          <w:trHeight w:val="75"/>
          <w:jc w:val="center"/>
        </w:trPr>
        <w:tc>
          <w:tcPr>
            <w:tcW w:w="13836" w:type="dxa"/>
            <w:gridSpan w:val="7"/>
            <w:shd w:val="clear" w:color="auto" w:fill="auto"/>
          </w:tcPr>
          <w:p w14:paraId="6AC16F53" w14:textId="77777777" w:rsidR="003438A2" w:rsidRPr="00EA4704" w:rsidRDefault="003438A2" w:rsidP="00881E29">
            <w:pPr>
              <w:keepNext/>
              <w:spacing w:before="60" w:after="60" w:line="240" w:lineRule="auto"/>
              <w:rPr>
                <w:rFonts w:eastAsia="Calibri" w:cs="Times New Roman"/>
                <w:sz w:val="18"/>
                <w:szCs w:val="18"/>
              </w:rPr>
            </w:pPr>
            <w:r w:rsidRPr="00EA4704">
              <w:rPr>
                <w:rFonts w:eastAsia="Calibri" w:cs="Times New Roman"/>
                <w:b/>
                <w:iCs/>
                <w:sz w:val="18"/>
                <w:szCs w:val="18"/>
              </w:rPr>
              <w:lastRenderedPageBreak/>
              <w:t>FUNGI</w:t>
            </w:r>
          </w:p>
        </w:tc>
      </w:tr>
      <w:tr w:rsidR="003438A2" w:rsidRPr="00EA4704" w14:paraId="26BA6FC9" w14:textId="77777777" w:rsidTr="00C4199F">
        <w:trPr>
          <w:cantSplit/>
          <w:trHeight w:val="75"/>
          <w:jc w:val="center"/>
        </w:trPr>
        <w:tc>
          <w:tcPr>
            <w:tcW w:w="2553" w:type="dxa"/>
            <w:shd w:val="clear" w:color="auto" w:fill="auto"/>
          </w:tcPr>
          <w:p w14:paraId="2B07D487" w14:textId="77777777" w:rsidR="003438A2" w:rsidRPr="00EA4704" w:rsidRDefault="003438A2" w:rsidP="00881E29">
            <w:pPr>
              <w:spacing w:before="60" w:after="60" w:line="240" w:lineRule="auto"/>
              <w:rPr>
                <w:rFonts w:eastAsia="Calibri" w:cs="Times New Roman"/>
                <w:sz w:val="18"/>
                <w:szCs w:val="18"/>
                <w:lang w:val="pt-BR"/>
              </w:rPr>
            </w:pPr>
            <w:r w:rsidRPr="00EA4704">
              <w:rPr>
                <w:rFonts w:eastAsia="Calibri" w:cs="Times New Roman"/>
                <w:i/>
                <w:sz w:val="18"/>
                <w:szCs w:val="18"/>
                <w:lang w:val="pt-BR"/>
              </w:rPr>
              <w:t>Alternaria pomicola</w:t>
            </w:r>
            <w:r w:rsidRPr="00EA4704">
              <w:rPr>
                <w:rFonts w:eastAsia="Calibri" w:cs="Times New Roman"/>
                <w:sz w:val="18"/>
                <w:szCs w:val="18"/>
                <w:lang w:val="pt-BR"/>
              </w:rPr>
              <w:t xml:space="preserve"> A.S. Horne</w:t>
            </w:r>
          </w:p>
          <w:p w14:paraId="6670FDC2" w14:textId="77777777" w:rsidR="003438A2" w:rsidRPr="00EA4704" w:rsidRDefault="003438A2" w:rsidP="00881E29">
            <w:pPr>
              <w:spacing w:before="60" w:after="60" w:line="240" w:lineRule="auto"/>
              <w:rPr>
                <w:rFonts w:eastAsia="Calibri" w:cs="Times New Roman"/>
                <w:sz w:val="18"/>
                <w:szCs w:val="18"/>
                <w:lang w:val="pt-BR"/>
              </w:rPr>
            </w:pPr>
            <w:r w:rsidRPr="00EA4704">
              <w:rPr>
                <w:rFonts w:eastAsia="Calibri" w:cs="Times New Roman"/>
                <w:sz w:val="18"/>
                <w:szCs w:val="18"/>
                <w:lang w:val="pt-BR"/>
              </w:rPr>
              <w:t>[</w:t>
            </w:r>
            <w:r w:rsidRPr="00EA4704">
              <w:rPr>
                <w:rFonts w:eastAsia="Calibri" w:cs="Times New Roman"/>
                <w:sz w:val="18"/>
              </w:rPr>
              <w:t>Pleosporales:</w:t>
            </w:r>
            <w:r w:rsidRPr="00EA4704">
              <w:rPr>
                <w:rFonts w:eastAsia="Calibri" w:cs="Times New Roman"/>
                <w:sz w:val="18"/>
                <w:szCs w:val="18"/>
                <w:lang w:val="pt-BR"/>
              </w:rPr>
              <w:t xml:space="preserve"> Pleosporaceae]</w:t>
            </w:r>
          </w:p>
        </w:tc>
        <w:tc>
          <w:tcPr>
            <w:tcW w:w="1474" w:type="dxa"/>
            <w:shd w:val="clear" w:color="auto" w:fill="auto"/>
          </w:tcPr>
          <w:p w14:paraId="17C3D698" w14:textId="77777777" w:rsidR="003438A2" w:rsidRPr="00EA4704" w:rsidRDefault="003438A2" w:rsidP="00881E29">
            <w:pPr>
              <w:spacing w:before="60" w:after="60" w:line="240" w:lineRule="auto"/>
              <w:rPr>
                <w:rFonts w:eastAsia="Calibri" w:cs="Times New Roman"/>
                <w:sz w:val="18"/>
                <w:szCs w:val="18"/>
                <w:lang w:val="pt-BR"/>
              </w:rPr>
            </w:pPr>
            <w:r w:rsidRPr="00EA4704">
              <w:rPr>
                <w:rFonts w:eastAsia="Calibri" w:cs="Times New Roman"/>
                <w:sz w:val="18"/>
                <w:szCs w:val="18"/>
                <w:lang w:val="pt-BR"/>
              </w:rPr>
              <w:t xml:space="preserve">Yes. </w:t>
            </w:r>
            <w:r>
              <w:rPr>
                <w:rFonts w:eastAsia="Calibri" w:cs="Times New Roman"/>
                <w:sz w:val="18"/>
                <w:szCs w:val="18"/>
                <w:lang w:val="pt-BR"/>
              </w:rPr>
              <w:t>Present in</w:t>
            </w:r>
            <w:r w:rsidRPr="00EA4704">
              <w:rPr>
                <w:rFonts w:eastAsia="Calibri" w:cs="Times New Roman"/>
                <w:sz w:val="18"/>
                <w:szCs w:val="18"/>
                <w:lang w:val="pt-BR"/>
              </w:rPr>
              <w:t xml:space="preserve"> WA </w:t>
            </w:r>
            <w:r>
              <w:rPr>
                <w:rFonts w:eastAsia="Calibri" w:cs="Times New Roman"/>
                <w:noProof/>
                <w:sz w:val="18"/>
                <w:szCs w:val="18"/>
                <w:lang w:val="pt-BR"/>
              </w:rPr>
              <w:t>(Shaw 1973)</w:t>
            </w:r>
          </w:p>
        </w:tc>
        <w:tc>
          <w:tcPr>
            <w:tcW w:w="1474" w:type="dxa"/>
            <w:shd w:val="clear" w:color="auto" w:fill="auto"/>
          </w:tcPr>
          <w:p w14:paraId="4F0C33E6"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 records found</w:t>
            </w:r>
          </w:p>
        </w:tc>
        <w:tc>
          <w:tcPr>
            <w:tcW w:w="2552" w:type="dxa"/>
            <w:shd w:val="clear" w:color="auto" w:fill="auto"/>
          </w:tcPr>
          <w:p w14:paraId="222FDE9D"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 xml:space="preserve">No. Although </w:t>
            </w:r>
            <w:r w:rsidRPr="00EA4704">
              <w:rPr>
                <w:rFonts w:eastAsia="Calibri" w:cs="Times New Roman"/>
                <w:i/>
                <w:sz w:val="18"/>
                <w:szCs w:val="18"/>
              </w:rPr>
              <w:t>Alternaria pomicola</w:t>
            </w:r>
            <w:r w:rsidRPr="00EA4704">
              <w:rPr>
                <w:rFonts w:eastAsia="Calibri" w:cs="Times New Roman"/>
                <w:sz w:val="18"/>
                <w:szCs w:val="18"/>
              </w:rPr>
              <w:t xml:space="preserve"> was reported to cause spots on apple fruit in Great Britain </w:t>
            </w:r>
            <w:r>
              <w:rPr>
                <w:rFonts w:eastAsia="Calibri" w:cs="Times New Roman"/>
                <w:noProof/>
                <w:sz w:val="18"/>
                <w:szCs w:val="18"/>
              </w:rPr>
              <w:t>(Horne &amp; Horne 1920)</w:t>
            </w:r>
            <w:r w:rsidRPr="00EA4704">
              <w:rPr>
                <w:rFonts w:eastAsia="Calibri" w:cs="Times New Roman"/>
                <w:sz w:val="18"/>
                <w:szCs w:val="18"/>
              </w:rPr>
              <w:t xml:space="preserve">, all of the reports of </w:t>
            </w:r>
            <w:r w:rsidRPr="00EA4704">
              <w:rPr>
                <w:rFonts w:eastAsia="Calibri" w:cs="Times New Roman"/>
                <w:i/>
                <w:sz w:val="18"/>
                <w:szCs w:val="18"/>
              </w:rPr>
              <w:t>A. pomicola</w:t>
            </w:r>
            <w:r w:rsidRPr="00EA4704">
              <w:rPr>
                <w:rFonts w:eastAsia="Calibri" w:cs="Times New Roman"/>
                <w:sz w:val="18"/>
                <w:szCs w:val="18"/>
              </w:rPr>
              <w:t xml:space="preserve"> on apple in the</w:t>
            </w:r>
            <w:r>
              <w:rPr>
                <w:rFonts w:eastAsia="Calibri" w:cs="Times New Roman"/>
                <w:sz w:val="18"/>
                <w:szCs w:val="18"/>
              </w:rPr>
              <w:t xml:space="preserve"> USA </w:t>
            </w:r>
            <w:r w:rsidRPr="00EA4704">
              <w:rPr>
                <w:rFonts w:eastAsia="Calibri" w:cs="Times New Roman"/>
                <w:sz w:val="18"/>
                <w:szCs w:val="18"/>
              </w:rPr>
              <w:t>are based on a report of this p</w:t>
            </w:r>
            <w:r>
              <w:rPr>
                <w:rFonts w:eastAsia="Calibri" w:cs="Times New Roman"/>
                <w:sz w:val="18"/>
                <w:szCs w:val="18"/>
              </w:rPr>
              <w:t>athogen</w:t>
            </w:r>
            <w:r w:rsidRPr="00EA4704">
              <w:rPr>
                <w:rFonts w:eastAsia="Calibri" w:cs="Times New Roman"/>
                <w:sz w:val="18"/>
                <w:szCs w:val="18"/>
              </w:rPr>
              <w:t xml:space="preserve"> on </w:t>
            </w:r>
            <w:r w:rsidRPr="00EA4704">
              <w:rPr>
                <w:rFonts w:eastAsia="Calibri" w:cs="Times New Roman"/>
                <w:i/>
                <w:sz w:val="18"/>
                <w:szCs w:val="18"/>
              </w:rPr>
              <w:t>Malus sylvestris</w:t>
            </w:r>
            <w:r w:rsidRPr="00EA4704">
              <w:rPr>
                <w:rFonts w:eastAsia="Calibri" w:cs="Times New Roman"/>
                <w:sz w:val="18"/>
                <w:szCs w:val="18"/>
              </w:rPr>
              <w:t xml:space="preserve"> in Washington </w:t>
            </w:r>
            <w:r>
              <w:rPr>
                <w:rFonts w:eastAsia="Calibri" w:cs="Times New Roman"/>
                <w:noProof/>
                <w:sz w:val="18"/>
                <w:szCs w:val="18"/>
              </w:rPr>
              <w:t>(Shaw 1973)</w:t>
            </w:r>
            <w:r w:rsidRPr="00EA4704">
              <w:rPr>
                <w:rFonts w:eastAsia="Calibri" w:cs="Times New Roman"/>
                <w:sz w:val="18"/>
                <w:szCs w:val="18"/>
              </w:rPr>
              <w:t xml:space="preserve">. It appeared that </w:t>
            </w:r>
            <w:r>
              <w:rPr>
                <w:rFonts w:eastAsia="Calibri" w:cs="Times New Roman"/>
                <w:sz w:val="18"/>
                <w:szCs w:val="18"/>
              </w:rPr>
              <w:t xml:space="preserve">Shaw </w:t>
            </w:r>
            <w:r>
              <w:rPr>
                <w:rFonts w:eastAsia="Calibri" w:cs="Times New Roman"/>
                <w:noProof/>
                <w:sz w:val="18"/>
                <w:szCs w:val="18"/>
              </w:rPr>
              <w:t>(1973)</w:t>
            </w:r>
            <w:r w:rsidRPr="00EA4704">
              <w:rPr>
                <w:rFonts w:eastAsia="Calibri" w:cs="Times New Roman"/>
                <w:sz w:val="18"/>
                <w:szCs w:val="18"/>
              </w:rPr>
              <w:t xml:space="preserve"> used the name </w:t>
            </w:r>
            <w:r w:rsidRPr="00EA4704">
              <w:rPr>
                <w:rFonts w:eastAsia="Calibri" w:cs="Times New Roman"/>
                <w:i/>
                <w:sz w:val="18"/>
                <w:szCs w:val="18"/>
              </w:rPr>
              <w:t>M. sylvestris</w:t>
            </w:r>
            <w:r w:rsidRPr="00EA4704">
              <w:rPr>
                <w:rFonts w:eastAsia="Calibri" w:cs="Times New Roman"/>
                <w:sz w:val="18"/>
                <w:szCs w:val="18"/>
              </w:rPr>
              <w:t xml:space="preserve"> for both domestic apple and crabapple. There have been no records of this pest on apple in the</w:t>
            </w:r>
            <w:r>
              <w:rPr>
                <w:rFonts w:eastAsia="Calibri" w:cs="Times New Roman"/>
                <w:sz w:val="18"/>
                <w:szCs w:val="18"/>
              </w:rPr>
              <w:t xml:space="preserve"> USA </w:t>
            </w:r>
            <w:r w:rsidRPr="00EA4704">
              <w:rPr>
                <w:rFonts w:eastAsia="Calibri" w:cs="Times New Roman"/>
                <w:sz w:val="18"/>
                <w:szCs w:val="18"/>
              </w:rPr>
              <w:t>since 1973. Lack of recent records and the lack of information suggests that this pathogen is not an important pest of apple in the</w:t>
            </w:r>
            <w:r>
              <w:rPr>
                <w:rFonts w:eastAsia="Calibri" w:cs="Times New Roman"/>
                <w:sz w:val="18"/>
                <w:szCs w:val="18"/>
              </w:rPr>
              <w:t xml:space="preserve"> USA.</w:t>
            </w:r>
          </w:p>
        </w:tc>
        <w:tc>
          <w:tcPr>
            <w:tcW w:w="2381" w:type="dxa"/>
            <w:shd w:val="clear" w:color="auto" w:fill="auto"/>
          </w:tcPr>
          <w:p w14:paraId="217C01A2"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2211" w:type="dxa"/>
            <w:shd w:val="clear" w:color="auto" w:fill="auto"/>
          </w:tcPr>
          <w:p w14:paraId="2D575A1A"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1191" w:type="dxa"/>
            <w:shd w:val="clear" w:color="auto" w:fill="auto"/>
          </w:tcPr>
          <w:p w14:paraId="0B285E68"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w:t>
            </w:r>
          </w:p>
        </w:tc>
      </w:tr>
      <w:tr w:rsidR="003438A2" w:rsidRPr="00EA4704" w14:paraId="79B086FA" w14:textId="77777777" w:rsidTr="00C4199F">
        <w:trPr>
          <w:cantSplit/>
          <w:trHeight w:val="75"/>
          <w:jc w:val="center"/>
        </w:trPr>
        <w:tc>
          <w:tcPr>
            <w:tcW w:w="2553" w:type="dxa"/>
            <w:shd w:val="clear" w:color="auto" w:fill="auto"/>
          </w:tcPr>
          <w:p w14:paraId="595F27BE" w14:textId="77777777" w:rsidR="003438A2" w:rsidRPr="00EA4704" w:rsidRDefault="003438A2" w:rsidP="00881E29">
            <w:pPr>
              <w:spacing w:before="60" w:after="60" w:line="240" w:lineRule="auto"/>
              <w:rPr>
                <w:rFonts w:eastAsia="Calibri" w:cs="Times New Roman"/>
                <w:sz w:val="18"/>
                <w:szCs w:val="18"/>
                <w:lang w:val="pt-BR"/>
              </w:rPr>
            </w:pPr>
            <w:r w:rsidRPr="00EA4704">
              <w:rPr>
                <w:rFonts w:eastAsia="Calibri" w:cs="Times New Roman"/>
                <w:i/>
                <w:sz w:val="18"/>
                <w:szCs w:val="18"/>
                <w:lang w:val="pt-BR"/>
              </w:rPr>
              <w:t>Aspergillus sclerotiorum</w:t>
            </w:r>
            <w:r w:rsidRPr="00EA4704">
              <w:rPr>
                <w:rFonts w:eastAsia="Calibri" w:cs="Times New Roman"/>
                <w:sz w:val="18"/>
                <w:szCs w:val="18"/>
                <w:lang w:val="pt-BR"/>
              </w:rPr>
              <w:t xml:space="preserve"> G.A. Huber</w:t>
            </w:r>
          </w:p>
          <w:p w14:paraId="328486EE" w14:textId="77777777" w:rsidR="003438A2" w:rsidRPr="00EA4704" w:rsidRDefault="003438A2" w:rsidP="00881E29">
            <w:pPr>
              <w:spacing w:before="60" w:after="60" w:line="240" w:lineRule="auto"/>
              <w:rPr>
                <w:rFonts w:eastAsia="Calibri" w:cs="Times New Roman"/>
                <w:sz w:val="18"/>
                <w:szCs w:val="18"/>
                <w:lang w:val="pt-BR"/>
              </w:rPr>
            </w:pPr>
            <w:r w:rsidRPr="00EA4704">
              <w:rPr>
                <w:rFonts w:eastAsia="Calibri" w:cs="Times New Roman"/>
                <w:sz w:val="18"/>
                <w:szCs w:val="18"/>
                <w:lang w:val="pt-BR"/>
              </w:rPr>
              <w:t>[</w:t>
            </w:r>
            <w:r w:rsidRPr="00EA4704">
              <w:rPr>
                <w:rFonts w:eastAsia="Calibri" w:cs="Times New Roman"/>
                <w:iCs/>
                <w:sz w:val="18"/>
                <w:szCs w:val="18"/>
              </w:rPr>
              <w:t>Eurotiales:</w:t>
            </w:r>
            <w:r w:rsidRPr="00EA4704" w:rsidDel="00B82A0C">
              <w:rPr>
                <w:rFonts w:eastAsia="Calibri" w:cs="Times New Roman"/>
                <w:sz w:val="18"/>
                <w:szCs w:val="18"/>
                <w:lang w:val="pt-BR"/>
              </w:rPr>
              <w:t xml:space="preserve"> </w:t>
            </w:r>
            <w:r w:rsidRPr="00EA4704">
              <w:rPr>
                <w:rFonts w:eastAsia="Calibri" w:cs="Times New Roman"/>
                <w:sz w:val="18"/>
                <w:szCs w:val="18"/>
                <w:lang w:val="pt-BR"/>
              </w:rPr>
              <w:t>Trichocomaceae]</w:t>
            </w:r>
          </w:p>
          <w:p w14:paraId="21392950" w14:textId="77777777" w:rsidR="003438A2" w:rsidRPr="00EA4704" w:rsidRDefault="003438A2" w:rsidP="00881E29">
            <w:pPr>
              <w:spacing w:before="60" w:after="60" w:line="240" w:lineRule="auto"/>
              <w:rPr>
                <w:rFonts w:eastAsia="Calibri" w:cs="Times New Roman"/>
                <w:sz w:val="18"/>
                <w:szCs w:val="18"/>
                <w:lang w:val="pt-BR"/>
              </w:rPr>
            </w:pPr>
            <w:r w:rsidRPr="00EA4704">
              <w:rPr>
                <w:rFonts w:eastAsia="Calibri" w:cs="Times New Roman"/>
                <w:sz w:val="18"/>
                <w:szCs w:val="18"/>
                <w:lang w:val="pt-BR"/>
              </w:rPr>
              <w:t>Fruit rot</w:t>
            </w:r>
          </w:p>
        </w:tc>
        <w:tc>
          <w:tcPr>
            <w:tcW w:w="1474" w:type="dxa"/>
            <w:shd w:val="clear" w:color="auto" w:fill="auto"/>
          </w:tcPr>
          <w:p w14:paraId="28F2952A" w14:textId="77777777" w:rsidR="003438A2" w:rsidRDefault="003438A2" w:rsidP="00E22795">
            <w:pPr>
              <w:pStyle w:val="TableText"/>
            </w:pPr>
            <w:r w:rsidRPr="00EA4704">
              <w:rPr>
                <w:rFonts w:eastAsia="Calibri" w:cs="Times New Roman"/>
                <w:szCs w:val="18"/>
                <w:lang w:val="pt-BR"/>
              </w:rPr>
              <w:t xml:space="preserve">Yes. </w:t>
            </w:r>
            <w:r>
              <w:rPr>
                <w:rFonts w:eastAsia="Calibri" w:cs="Times New Roman"/>
                <w:szCs w:val="18"/>
                <w:lang w:val="pt-BR"/>
              </w:rPr>
              <w:t>Present in</w:t>
            </w:r>
            <w:r w:rsidRPr="00EA4704">
              <w:rPr>
                <w:rFonts w:eastAsia="Calibri" w:cs="Times New Roman"/>
                <w:szCs w:val="18"/>
                <w:lang w:val="pt-BR"/>
              </w:rPr>
              <w:t xml:space="preserve"> WA</w:t>
            </w:r>
            <w:r>
              <w:rPr>
                <w:rFonts w:eastAsia="Calibri" w:cs="Times New Roman"/>
                <w:szCs w:val="18"/>
                <w:lang w:val="pt-BR"/>
              </w:rPr>
              <w:t xml:space="preserve"> </w:t>
            </w:r>
            <w:r>
              <w:rPr>
                <w:noProof/>
              </w:rPr>
              <w:t>(Farr &amp; Rossman 2022)</w:t>
            </w:r>
          </w:p>
          <w:p w14:paraId="7D514173" w14:textId="77777777" w:rsidR="003438A2" w:rsidRPr="00EA4704" w:rsidRDefault="003438A2" w:rsidP="00E22795">
            <w:pPr>
              <w:pStyle w:val="TableText"/>
              <w:rPr>
                <w:rFonts w:eastAsia="Calibri" w:cs="Times New Roman"/>
                <w:szCs w:val="18"/>
                <w:lang w:val="pt-BR"/>
              </w:rPr>
            </w:pPr>
          </w:p>
        </w:tc>
        <w:tc>
          <w:tcPr>
            <w:tcW w:w="1474" w:type="dxa"/>
            <w:shd w:val="clear" w:color="auto" w:fill="auto"/>
          </w:tcPr>
          <w:p w14:paraId="3148C6C6"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 records found</w:t>
            </w:r>
          </w:p>
        </w:tc>
        <w:tc>
          <w:tcPr>
            <w:tcW w:w="2552" w:type="dxa"/>
            <w:shd w:val="clear" w:color="auto" w:fill="auto"/>
          </w:tcPr>
          <w:p w14:paraId="4FFE6648" w14:textId="77777777" w:rsidR="003438A2" w:rsidRPr="00090858" w:rsidRDefault="003438A2" w:rsidP="00881E29">
            <w:pPr>
              <w:spacing w:before="60" w:after="60" w:line="240" w:lineRule="auto"/>
              <w:rPr>
                <w:rFonts w:eastAsia="Calibri" w:cs="Arial"/>
                <w:sz w:val="18"/>
                <w:szCs w:val="18"/>
              </w:rPr>
            </w:pPr>
            <w:r w:rsidRPr="00EA4704">
              <w:rPr>
                <w:rFonts w:eastAsia="Calibri" w:cs="Times New Roman"/>
                <w:sz w:val="18"/>
                <w:szCs w:val="18"/>
              </w:rPr>
              <w:t xml:space="preserve">No. Limited information available. This fungus has been isolated from the surface of apple fruit </w:t>
            </w:r>
            <w:r>
              <w:rPr>
                <w:rFonts w:eastAsia="Calibri" w:cs="Times New Roman"/>
                <w:noProof/>
                <w:sz w:val="18"/>
                <w:szCs w:val="18"/>
              </w:rPr>
              <w:t>(Huber 1933)</w:t>
            </w:r>
            <w:r w:rsidRPr="00EA4704">
              <w:rPr>
                <w:rFonts w:eastAsia="Calibri" w:cs="Times New Roman"/>
                <w:sz w:val="18"/>
                <w:szCs w:val="18"/>
              </w:rPr>
              <w:t xml:space="preserve">. </w:t>
            </w:r>
            <w:r w:rsidRPr="00EA4704">
              <w:rPr>
                <w:rFonts w:eastAsia="Calibri" w:cs="Arial"/>
                <w:sz w:val="18"/>
                <w:szCs w:val="18"/>
              </w:rPr>
              <w:t xml:space="preserve">Under experimental conditions, Jonathan apples inoculated with </w:t>
            </w:r>
            <w:r w:rsidRPr="00EA4704">
              <w:rPr>
                <w:rFonts w:eastAsia="Calibri" w:cs="Arial"/>
                <w:i/>
                <w:sz w:val="18"/>
                <w:szCs w:val="18"/>
              </w:rPr>
              <w:t>A. sclerotiorum</w:t>
            </w:r>
            <w:r w:rsidRPr="00EA4704">
              <w:rPr>
                <w:rFonts w:eastAsia="Calibri" w:cs="Arial"/>
                <w:sz w:val="18"/>
                <w:szCs w:val="18"/>
              </w:rPr>
              <w:t xml:space="preserve"> developed lesions both at </w:t>
            </w:r>
            <w:r>
              <w:rPr>
                <w:rFonts w:eastAsia="Calibri" w:cs="Arial"/>
                <w:sz w:val="18"/>
                <w:szCs w:val="18"/>
              </w:rPr>
              <w:t>ambient</w:t>
            </w:r>
            <w:r w:rsidRPr="00EA4704">
              <w:rPr>
                <w:rFonts w:eastAsia="Calibri" w:cs="Arial"/>
                <w:sz w:val="18"/>
                <w:szCs w:val="18"/>
              </w:rPr>
              <w:t xml:space="preserve"> and cold storage temperatures </w:t>
            </w:r>
            <w:r>
              <w:rPr>
                <w:rFonts w:eastAsia="Calibri" w:cs="Arial"/>
                <w:noProof/>
                <w:sz w:val="18"/>
                <w:szCs w:val="18"/>
              </w:rPr>
              <w:t>(Huber 1933)</w:t>
            </w:r>
            <w:r w:rsidRPr="00EA4704">
              <w:rPr>
                <w:rFonts w:eastAsia="Calibri" w:cs="Arial"/>
                <w:sz w:val="18"/>
                <w:szCs w:val="18"/>
              </w:rPr>
              <w:t xml:space="preserve">. However, all reports of </w:t>
            </w:r>
            <w:r w:rsidRPr="00EA4704">
              <w:rPr>
                <w:rFonts w:eastAsia="Calibri" w:cs="Arial"/>
                <w:i/>
                <w:sz w:val="18"/>
                <w:szCs w:val="18"/>
              </w:rPr>
              <w:t>A. sclerotiorum</w:t>
            </w:r>
            <w:r w:rsidRPr="00EA4704">
              <w:rPr>
                <w:rFonts w:eastAsia="Calibri" w:cs="Arial"/>
                <w:sz w:val="18"/>
                <w:szCs w:val="18"/>
              </w:rPr>
              <w:t xml:space="preserve"> on apple in the</w:t>
            </w:r>
            <w:r>
              <w:rPr>
                <w:rFonts w:eastAsia="Calibri" w:cs="Arial"/>
                <w:sz w:val="18"/>
                <w:szCs w:val="18"/>
              </w:rPr>
              <w:t xml:space="preserve"> USA </w:t>
            </w:r>
            <w:r w:rsidRPr="00EA4704">
              <w:rPr>
                <w:rFonts w:eastAsia="Calibri" w:cs="Arial"/>
                <w:sz w:val="18"/>
                <w:szCs w:val="18"/>
              </w:rPr>
              <w:t xml:space="preserve">are based on reports prior to 1974 </w:t>
            </w:r>
            <w:r>
              <w:rPr>
                <w:rFonts w:eastAsia="Calibri" w:cs="Arial"/>
                <w:noProof/>
                <w:sz w:val="18"/>
                <w:szCs w:val="18"/>
              </w:rPr>
              <w:t>(Huber 1933; Shaw 1973)</w:t>
            </w:r>
            <w:r w:rsidRPr="00EA4704">
              <w:rPr>
                <w:rFonts w:eastAsia="Calibri" w:cs="Arial"/>
                <w:sz w:val="18"/>
                <w:szCs w:val="18"/>
              </w:rPr>
              <w:t xml:space="preserve">. </w:t>
            </w:r>
          </w:p>
        </w:tc>
        <w:tc>
          <w:tcPr>
            <w:tcW w:w="2381" w:type="dxa"/>
            <w:shd w:val="clear" w:color="auto" w:fill="auto"/>
          </w:tcPr>
          <w:p w14:paraId="6DA6B584"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2211" w:type="dxa"/>
            <w:shd w:val="clear" w:color="auto" w:fill="auto"/>
          </w:tcPr>
          <w:p w14:paraId="2F8E6F3B"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1191" w:type="dxa"/>
            <w:shd w:val="clear" w:color="auto" w:fill="auto"/>
          </w:tcPr>
          <w:p w14:paraId="064E0207"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w:t>
            </w:r>
          </w:p>
        </w:tc>
      </w:tr>
      <w:tr w:rsidR="003438A2" w:rsidRPr="00EA4704" w14:paraId="65E021BF" w14:textId="77777777" w:rsidTr="00C4199F">
        <w:trPr>
          <w:cantSplit/>
          <w:trHeight w:val="75"/>
          <w:jc w:val="center"/>
        </w:trPr>
        <w:tc>
          <w:tcPr>
            <w:tcW w:w="2553" w:type="dxa"/>
            <w:shd w:val="clear" w:color="auto" w:fill="auto"/>
          </w:tcPr>
          <w:p w14:paraId="04372D1E" w14:textId="77777777" w:rsidR="003438A2" w:rsidRPr="00EA4704" w:rsidRDefault="003438A2" w:rsidP="00881E29">
            <w:pPr>
              <w:spacing w:before="60" w:after="60" w:line="240" w:lineRule="auto"/>
              <w:rPr>
                <w:rFonts w:eastAsia="Calibri" w:cs="Times New Roman"/>
                <w:iCs/>
                <w:sz w:val="18"/>
                <w:szCs w:val="18"/>
              </w:rPr>
            </w:pPr>
            <w:r w:rsidRPr="00EA4704">
              <w:rPr>
                <w:rFonts w:eastAsia="Calibri" w:cs="Times New Roman"/>
                <w:i/>
                <w:iCs/>
                <w:sz w:val="18"/>
                <w:szCs w:val="18"/>
              </w:rPr>
              <w:lastRenderedPageBreak/>
              <w:t>Botrytis mali</w:t>
            </w:r>
            <w:r w:rsidRPr="00EA4704">
              <w:rPr>
                <w:rFonts w:eastAsia="Calibri" w:cs="Times New Roman"/>
                <w:iCs/>
                <w:sz w:val="18"/>
                <w:szCs w:val="18"/>
              </w:rPr>
              <w:t xml:space="preserve"> R</w:t>
            </w:r>
            <w:r w:rsidRPr="00EA4704">
              <w:rPr>
                <w:rFonts w:eastAsia="Calibri" w:cs="Arial"/>
                <w:iCs/>
                <w:sz w:val="18"/>
                <w:szCs w:val="18"/>
              </w:rPr>
              <w:t>ü</w:t>
            </w:r>
            <w:r>
              <w:rPr>
                <w:rFonts w:eastAsia="Calibri" w:cs="Arial"/>
                <w:iCs/>
                <w:sz w:val="18"/>
                <w:szCs w:val="18"/>
              </w:rPr>
              <w:t>e</w:t>
            </w:r>
            <w:r w:rsidRPr="00EA4704">
              <w:rPr>
                <w:rFonts w:eastAsia="Calibri" w:cs="Times New Roman"/>
                <w:iCs/>
                <w:sz w:val="18"/>
                <w:szCs w:val="18"/>
              </w:rPr>
              <w:t>hle</w:t>
            </w:r>
          </w:p>
          <w:p w14:paraId="53CA9AF5" w14:textId="77777777" w:rsidR="003438A2" w:rsidRPr="00EA4704" w:rsidRDefault="003438A2" w:rsidP="00881E29">
            <w:pPr>
              <w:spacing w:before="60" w:after="60" w:line="240" w:lineRule="auto"/>
              <w:rPr>
                <w:rFonts w:eastAsia="Calibri" w:cs="Times New Roman"/>
                <w:i/>
                <w:sz w:val="18"/>
                <w:szCs w:val="18"/>
                <w:lang w:val="pt-BR"/>
              </w:rPr>
            </w:pPr>
            <w:r w:rsidRPr="00EA4704">
              <w:rPr>
                <w:rFonts w:eastAsia="Calibri" w:cs="Times New Roman"/>
                <w:iCs/>
                <w:sz w:val="18"/>
                <w:szCs w:val="18"/>
              </w:rPr>
              <w:t>[Helotiales:</w:t>
            </w:r>
            <w:r w:rsidRPr="00EA4704" w:rsidDel="00FC43F9">
              <w:rPr>
                <w:rFonts w:eastAsia="Calibri" w:cs="Times New Roman"/>
                <w:iCs/>
                <w:sz w:val="18"/>
                <w:szCs w:val="18"/>
              </w:rPr>
              <w:t xml:space="preserve"> </w:t>
            </w:r>
            <w:r w:rsidRPr="00EA4704">
              <w:rPr>
                <w:rFonts w:eastAsia="Calibri" w:cs="Times New Roman"/>
                <w:sz w:val="18"/>
                <w:szCs w:val="18"/>
              </w:rPr>
              <w:t>Sclerotiniaceae</w:t>
            </w:r>
            <w:r w:rsidRPr="00EA4704">
              <w:rPr>
                <w:rFonts w:eastAsia="Calibri" w:cs="Times New Roman"/>
                <w:iCs/>
                <w:sz w:val="18"/>
                <w:szCs w:val="18"/>
              </w:rPr>
              <w:t>]</w:t>
            </w:r>
          </w:p>
        </w:tc>
        <w:tc>
          <w:tcPr>
            <w:tcW w:w="1474" w:type="dxa"/>
            <w:shd w:val="clear" w:color="auto" w:fill="auto"/>
          </w:tcPr>
          <w:p w14:paraId="1EA798A6" w14:textId="77777777" w:rsidR="003438A2" w:rsidRDefault="003438A2" w:rsidP="00162E64">
            <w:pPr>
              <w:pStyle w:val="TableText"/>
            </w:pPr>
            <w:r w:rsidRPr="00EA4704">
              <w:rPr>
                <w:lang w:val="pt-BR"/>
              </w:rPr>
              <w:t xml:space="preserve">Yes. </w:t>
            </w:r>
            <w:r>
              <w:rPr>
                <w:lang w:val="pt-BR"/>
              </w:rPr>
              <w:t xml:space="preserve">Present in </w:t>
            </w:r>
            <w:r w:rsidRPr="00EA4704">
              <w:rPr>
                <w:lang w:val="pt-BR"/>
              </w:rPr>
              <w:t>WA</w:t>
            </w:r>
            <w:r>
              <w:rPr>
                <w:lang w:val="pt-BR"/>
              </w:rPr>
              <w:t xml:space="preserve"> </w:t>
            </w:r>
            <w:r>
              <w:rPr>
                <w:noProof/>
                <w:lang w:val="pt-BR"/>
              </w:rPr>
              <w:t>(Ruehle 1931)</w:t>
            </w:r>
          </w:p>
          <w:p w14:paraId="1E97E482" w14:textId="77777777" w:rsidR="003438A2" w:rsidRPr="00EA4704" w:rsidRDefault="003438A2" w:rsidP="00162E64">
            <w:pPr>
              <w:pStyle w:val="TableText"/>
              <w:rPr>
                <w:lang w:val="pt-BR"/>
              </w:rPr>
            </w:pPr>
            <w:r w:rsidRPr="00EA4704">
              <w:rPr>
                <w:lang w:val="pt-BR"/>
              </w:rPr>
              <w:t xml:space="preserve"> </w:t>
            </w:r>
          </w:p>
        </w:tc>
        <w:tc>
          <w:tcPr>
            <w:tcW w:w="1474" w:type="dxa"/>
            <w:shd w:val="clear" w:color="auto" w:fill="auto"/>
          </w:tcPr>
          <w:p w14:paraId="44261EA7"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 records found</w:t>
            </w:r>
          </w:p>
        </w:tc>
        <w:tc>
          <w:tcPr>
            <w:tcW w:w="2552" w:type="dxa"/>
            <w:shd w:val="clear" w:color="auto" w:fill="auto"/>
          </w:tcPr>
          <w:p w14:paraId="0572B4D4"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 xml:space="preserve">No. </w:t>
            </w:r>
            <w:r w:rsidRPr="00EA4704">
              <w:rPr>
                <w:rFonts w:eastAsia="Calibri" w:cs="Arial"/>
                <w:sz w:val="18"/>
                <w:szCs w:val="18"/>
              </w:rPr>
              <w:t xml:space="preserve">Although </w:t>
            </w:r>
            <w:r w:rsidRPr="00EA4704">
              <w:rPr>
                <w:rFonts w:eastAsia="Calibri" w:cs="Arial"/>
                <w:i/>
                <w:sz w:val="18"/>
                <w:szCs w:val="18"/>
              </w:rPr>
              <w:t>B. mali</w:t>
            </w:r>
            <w:r w:rsidRPr="00EA4704">
              <w:rPr>
                <w:rFonts w:eastAsia="Calibri" w:cs="Arial"/>
                <w:sz w:val="18"/>
                <w:szCs w:val="18"/>
              </w:rPr>
              <w:t xml:space="preserve"> has been reported to cause fruit rot, all of the reports of </w:t>
            </w:r>
            <w:r w:rsidRPr="00EA4704">
              <w:rPr>
                <w:rFonts w:eastAsia="Calibri" w:cs="Arial"/>
                <w:i/>
                <w:sz w:val="18"/>
                <w:szCs w:val="18"/>
              </w:rPr>
              <w:t>B. mali</w:t>
            </w:r>
            <w:r w:rsidRPr="00EA4704">
              <w:rPr>
                <w:rFonts w:eastAsia="Calibri" w:cs="Arial"/>
                <w:iCs/>
                <w:sz w:val="18"/>
                <w:szCs w:val="18"/>
              </w:rPr>
              <w:t xml:space="preserve"> </w:t>
            </w:r>
            <w:r w:rsidRPr="00EA4704">
              <w:rPr>
                <w:rFonts w:eastAsia="Calibri" w:cs="Arial"/>
                <w:sz w:val="18"/>
                <w:szCs w:val="18"/>
              </w:rPr>
              <w:t>on apple in the</w:t>
            </w:r>
            <w:r>
              <w:rPr>
                <w:rFonts w:eastAsia="Calibri" w:cs="Arial"/>
                <w:sz w:val="18"/>
                <w:szCs w:val="18"/>
              </w:rPr>
              <w:t xml:space="preserve"> USA </w:t>
            </w:r>
            <w:r w:rsidRPr="00EA4704">
              <w:rPr>
                <w:rFonts w:eastAsia="Calibri" w:cs="Arial"/>
                <w:sz w:val="18"/>
                <w:szCs w:val="18"/>
              </w:rPr>
              <w:t>are based on only one report from</w:t>
            </w:r>
            <w:r>
              <w:rPr>
                <w:rFonts w:eastAsia="Calibri" w:cs="Arial"/>
                <w:sz w:val="18"/>
                <w:szCs w:val="18"/>
              </w:rPr>
              <w:t xml:space="preserve"> Ruehle</w:t>
            </w:r>
            <w:r w:rsidRPr="00EA4704">
              <w:rPr>
                <w:rFonts w:eastAsia="Calibri" w:cs="Arial"/>
                <w:sz w:val="18"/>
                <w:szCs w:val="18"/>
              </w:rPr>
              <w:t xml:space="preserve"> </w:t>
            </w:r>
            <w:r>
              <w:rPr>
                <w:rFonts w:eastAsia="Calibri" w:cs="Arial"/>
                <w:noProof/>
                <w:sz w:val="18"/>
                <w:szCs w:val="18"/>
              </w:rPr>
              <w:t>(1931)</w:t>
            </w:r>
            <w:r w:rsidRPr="00EA4704">
              <w:rPr>
                <w:rFonts w:eastAsia="Calibri" w:cs="Arial"/>
                <w:sz w:val="18"/>
                <w:szCs w:val="18"/>
              </w:rPr>
              <w:t xml:space="preserve">. </w:t>
            </w:r>
          </w:p>
        </w:tc>
        <w:tc>
          <w:tcPr>
            <w:tcW w:w="2381" w:type="dxa"/>
            <w:shd w:val="clear" w:color="auto" w:fill="auto"/>
          </w:tcPr>
          <w:p w14:paraId="1C8FD96C"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2211" w:type="dxa"/>
            <w:shd w:val="clear" w:color="auto" w:fill="auto"/>
          </w:tcPr>
          <w:p w14:paraId="5594C4BF"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1191" w:type="dxa"/>
            <w:shd w:val="clear" w:color="auto" w:fill="auto"/>
          </w:tcPr>
          <w:p w14:paraId="474CBC49"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w:t>
            </w:r>
          </w:p>
        </w:tc>
      </w:tr>
      <w:tr w:rsidR="003438A2" w:rsidRPr="004A178D" w14:paraId="4173F0B0" w14:textId="77777777" w:rsidTr="00C4199F">
        <w:trPr>
          <w:cantSplit/>
          <w:trHeight w:val="75"/>
          <w:jc w:val="center"/>
        </w:trPr>
        <w:tc>
          <w:tcPr>
            <w:tcW w:w="2553" w:type="dxa"/>
            <w:shd w:val="clear" w:color="auto" w:fill="auto"/>
          </w:tcPr>
          <w:p w14:paraId="627B856F" w14:textId="77777777" w:rsidR="003438A2" w:rsidRPr="00410589" w:rsidRDefault="003438A2" w:rsidP="00881E29">
            <w:pPr>
              <w:spacing w:before="60" w:after="60" w:line="240" w:lineRule="auto"/>
              <w:rPr>
                <w:rFonts w:eastAsia="Calibri" w:cs="Times New Roman"/>
                <w:iCs/>
                <w:sz w:val="18"/>
                <w:szCs w:val="18"/>
              </w:rPr>
            </w:pPr>
            <w:r w:rsidRPr="00410589">
              <w:rPr>
                <w:rFonts w:eastAsia="Calibri" w:cs="Times New Roman"/>
                <w:i/>
                <w:iCs/>
                <w:sz w:val="18"/>
                <w:szCs w:val="18"/>
              </w:rPr>
              <w:lastRenderedPageBreak/>
              <w:t xml:space="preserve">Butlerelfia eustacei </w:t>
            </w:r>
            <w:r w:rsidRPr="00410589">
              <w:rPr>
                <w:rFonts w:eastAsia="Calibri" w:cs="Times New Roman"/>
                <w:iCs/>
                <w:sz w:val="18"/>
                <w:szCs w:val="18"/>
              </w:rPr>
              <w:t>Weresub &amp; Illman</w:t>
            </w:r>
          </w:p>
          <w:p w14:paraId="37BAE67D" w14:textId="77777777" w:rsidR="003438A2" w:rsidRPr="00410589" w:rsidRDefault="003438A2" w:rsidP="00881E29">
            <w:pPr>
              <w:spacing w:before="60" w:after="60" w:line="240" w:lineRule="auto"/>
              <w:rPr>
                <w:rFonts w:eastAsia="Calibri" w:cs="Times New Roman"/>
                <w:iCs/>
                <w:sz w:val="18"/>
                <w:szCs w:val="18"/>
              </w:rPr>
            </w:pPr>
            <w:r w:rsidRPr="00410589">
              <w:rPr>
                <w:rFonts w:eastAsia="Calibri" w:cs="Times New Roman"/>
                <w:iCs/>
                <w:sz w:val="18"/>
                <w:szCs w:val="18"/>
              </w:rPr>
              <w:t xml:space="preserve">Synonym: </w:t>
            </w:r>
            <w:r w:rsidRPr="00410589">
              <w:rPr>
                <w:rFonts w:eastAsia="Calibri" w:cs="Times New Roman"/>
                <w:i/>
                <w:iCs/>
                <w:sz w:val="18"/>
                <w:szCs w:val="18"/>
              </w:rPr>
              <w:t>Corticium centrifugum</w:t>
            </w:r>
            <w:r w:rsidRPr="00410589">
              <w:rPr>
                <w:rFonts w:eastAsia="Calibri" w:cs="Times New Roman"/>
                <w:iCs/>
                <w:sz w:val="18"/>
                <w:szCs w:val="18"/>
              </w:rPr>
              <w:t xml:space="preserve"> (Lév.) Bres.</w:t>
            </w:r>
          </w:p>
          <w:p w14:paraId="18292A38" w14:textId="77777777" w:rsidR="003438A2" w:rsidRPr="00410589" w:rsidRDefault="003438A2" w:rsidP="00881E29">
            <w:pPr>
              <w:spacing w:before="60" w:after="60" w:line="240" w:lineRule="auto"/>
              <w:rPr>
                <w:rFonts w:eastAsia="Calibri" w:cs="Times New Roman"/>
                <w:iCs/>
                <w:sz w:val="18"/>
                <w:szCs w:val="18"/>
              </w:rPr>
            </w:pPr>
            <w:r w:rsidRPr="00410589">
              <w:rPr>
                <w:rFonts w:eastAsia="Calibri" w:cs="Times New Roman"/>
                <w:iCs/>
                <w:sz w:val="18"/>
                <w:szCs w:val="18"/>
              </w:rPr>
              <w:t>[</w:t>
            </w:r>
            <w:r w:rsidRPr="00410589">
              <w:rPr>
                <w:rFonts w:eastAsia="Calibri" w:cs="Times New Roman"/>
                <w:sz w:val="18"/>
                <w:szCs w:val="18"/>
              </w:rPr>
              <w:t>Atheliales:</w:t>
            </w:r>
            <w:r w:rsidRPr="00410589">
              <w:rPr>
                <w:rFonts w:eastAsia="Calibri" w:cs="Times New Roman"/>
                <w:iCs/>
                <w:sz w:val="18"/>
                <w:szCs w:val="18"/>
              </w:rPr>
              <w:t xml:space="preserve"> Atheliaceae]</w:t>
            </w:r>
          </w:p>
          <w:p w14:paraId="7E4573E4" w14:textId="77777777" w:rsidR="003438A2" w:rsidRPr="00410589" w:rsidRDefault="003438A2" w:rsidP="00881E29">
            <w:pPr>
              <w:spacing w:before="60" w:after="60" w:line="240" w:lineRule="auto"/>
              <w:rPr>
                <w:rFonts w:eastAsia="Calibri" w:cs="Times New Roman"/>
                <w:i/>
                <w:iCs/>
                <w:sz w:val="18"/>
                <w:szCs w:val="18"/>
              </w:rPr>
            </w:pPr>
            <w:r w:rsidRPr="00410589">
              <w:rPr>
                <w:rFonts w:eastAsia="Calibri" w:cs="Times New Roman"/>
                <w:iCs/>
                <w:sz w:val="18"/>
                <w:szCs w:val="18"/>
              </w:rPr>
              <w:t>Fisheye rot</w:t>
            </w:r>
          </w:p>
        </w:tc>
        <w:tc>
          <w:tcPr>
            <w:tcW w:w="1474" w:type="dxa"/>
            <w:shd w:val="clear" w:color="auto" w:fill="auto"/>
          </w:tcPr>
          <w:p w14:paraId="497BF1F5" w14:textId="41E628DA" w:rsidR="003438A2" w:rsidRPr="00410589" w:rsidRDefault="003438A2" w:rsidP="00881E29">
            <w:pPr>
              <w:spacing w:before="60" w:after="60" w:line="240" w:lineRule="auto"/>
              <w:rPr>
                <w:rFonts w:eastAsia="Calibri" w:cs="Times New Roman"/>
                <w:sz w:val="18"/>
                <w:szCs w:val="18"/>
              </w:rPr>
            </w:pPr>
            <w:r w:rsidRPr="00410589">
              <w:rPr>
                <w:sz w:val="18"/>
                <w:szCs w:val="18"/>
              </w:rPr>
              <w:t xml:space="preserve">Yes. Present in WA </w:t>
            </w:r>
            <w:r w:rsidRPr="00410589">
              <w:rPr>
                <w:noProof/>
                <w:sz w:val="18"/>
                <w:szCs w:val="18"/>
              </w:rPr>
              <w:t>(Farr &amp; Rossman 2018; Shaw 1973)</w:t>
            </w:r>
            <w:r w:rsidRPr="00410589">
              <w:rPr>
                <w:sz w:val="18"/>
                <w:szCs w:val="18"/>
              </w:rPr>
              <w:t xml:space="preserve">, based on a single record </w:t>
            </w:r>
            <w:r w:rsidRPr="00410589">
              <w:rPr>
                <w:sz w:val="18"/>
                <w:szCs w:val="18"/>
                <w:lang w:val="pt-BR"/>
              </w:rPr>
              <w:t xml:space="preserve">of the fungus on </w:t>
            </w:r>
            <w:r w:rsidRPr="00410589">
              <w:rPr>
                <w:i/>
                <w:iCs/>
                <w:sz w:val="18"/>
                <w:szCs w:val="18"/>
                <w:lang w:val="pt-BR"/>
              </w:rPr>
              <w:t>Malus sylvestris</w:t>
            </w:r>
            <w:r w:rsidRPr="00410589">
              <w:rPr>
                <w:sz w:val="18"/>
                <w:szCs w:val="18"/>
              </w:rPr>
              <w:t xml:space="preserve">. Also present in eastern and northwestern states, IL, NY and VA </w:t>
            </w:r>
            <w:r w:rsidRPr="00410589">
              <w:rPr>
                <w:noProof/>
                <w:sz w:val="18"/>
                <w:szCs w:val="18"/>
              </w:rPr>
              <w:t>(Farr &amp; Rossman 2018)</w:t>
            </w:r>
            <w:r w:rsidRPr="00410589">
              <w:rPr>
                <w:sz w:val="18"/>
                <w:szCs w:val="18"/>
              </w:rPr>
              <w:t xml:space="preserve">, based on an anonymous report in 1960 on </w:t>
            </w:r>
            <w:r w:rsidRPr="00410589">
              <w:rPr>
                <w:i/>
                <w:iCs/>
                <w:sz w:val="18"/>
                <w:szCs w:val="18"/>
              </w:rPr>
              <w:t>Malus sylvestris.</w:t>
            </w:r>
            <w:r w:rsidRPr="00410589">
              <w:rPr>
                <w:rFonts w:eastAsia="Calibri" w:cs="Times New Roman"/>
                <w:sz w:val="18"/>
                <w:szCs w:val="18"/>
              </w:rPr>
              <w:t xml:space="preserve"> </w:t>
            </w:r>
          </w:p>
        </w:tc>
        <w:tc>
          <w:tcPr>
            <w:tcW w:w="1474" w:type="dxa"/>
            <w:shd w:val="clear" w:color="auto" w:fill="auto"/>
          </w:tcPr>
          <w:p w14:paraId="32FE0EDC"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 xml:space="preserve">No. A record of </w:t>
            </w:r>
            <w:r w:rsidRPr="00410589">
              <w:rPr>
                <w:rFonts w:eastAsia="Calibri" w:cs="Times New Roman"/>
                <w:i/>
                <w:sz w:val="18"/>
                <w:szCs w:val="18"/>
              </w:rPr>
              <w:t>Corticium centrifugum</w:t>
            </w:r>
            <w:r w:rsidRPr="00410589">
              <w:rPr>
                <w:rFonts w:eastAsia="Calibri" w:cs="Times New Roman"/>
                <w:sz w:val="18"/>
                <w:szCs w:val="18"/>
              </w:rPr>
              <w:t xml:space="preserve"> on </w:t>
            </w:r>
            <w:r w:rsidRPr="00410589">
              <w:rPr>
                <w:rFonts w:eastAsia="Calibri" w:cs="Times New Roman"/>
                <w:i/>
                <w:sz w:val="18"/>
                <w:szCs w:val="18"/>
              </w:rPr>
              <w:t>Delphinium</w:t>
            </w:r>
            <w:r w:rsidRPr="00410589">
              <w:rPr>
                <w:rFonts w:eastAsia="Calibri" w:cs="Times New Roman"/>
                <w:sz w:val="18"/>
                <w:szCs w:val="18"/>
              </w:rPr>
              <w:t xml:space="preserve"> sp. in Vic. </w:t>
            </w:r>
            <w:r w:rsidRPr="00410589">
              <w:rPr>
                <w:rFonts w:eastAsia="Calibri" w:cs="Times New Roman"/>
                <w:noProof/>
                <w:sz w:val="18"/>
                <w:szCs w:val="18"/>
              </w:rPr>
              <w:t>(Chambers 1982)</w:t>
            </w:r>
            <w:r w:rsidRPr="00410589">
              <w:rPr>
                <w:rFonts w:eastAsia="Calibri" w:cs="Times New Roman"/>
                <w:sz w:val="18"/>
                <w:szCs w:val="18"/>
              </w:rPr>
              <w:t xml:space="preserve"> is probably a misidentification.</w:t>
            </w:r>
          </w:p>
        </w:tc>
        <w:tc>
          <w:tcPr>
            <w:tcW w:w="2552" w:type="dxa"/>
            <w:shd w:val="clear" w:color="auto" w:fill="auto"/>
          </w:tcPr>
          <w:p w14:paraId="578CD301"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 xml:space="preserve">No. The record for </w:t>
            </w:r>
            <w:r w:rsidRPr="00410589">
              <w:rPr>
                <w:rFonts w:eastAsia="Calibri" w:cs="Times New Roman"/>
                <w:i/>
                <w:sz w:val="18"/>
                <w:szCs w:val="18"/>
              </w:rPr>
              <w:t>Butlerellfia eustacei</w:t>
            </w:r>
            <w:r w:rsidRPr="00410589">
              <w:rPr>
                <w:rFonts w:eastAsia="Calibri" w:cs="Times New Roman"/>
                <w:sz w:val="18"/>
                <w:szCs w:val="18"/>
              </w:rPr>
              <w:t xml:space="preserve"> on</w:t>
            </w:r>
            <w:r w:rsidRPr="00410589">
              <w:rPr>
                <w:rFonts w:eastAsia="Calibri" w:cs="Times New Roman"/>
                <w:i/>
                <w:iCs/>
                <w:sz w:val="18"/>
                <w:szCs w:val="18"/>
              </w:rPr>
              <w:t xml:space="preserve"> Malus sylvestris</w:t>
            </w:r>
            <w:r w:rsidRPr="00410589">
              <w:rPr>
                <w:rFonts w:eastAsia="Calibri" w:cs="Times New Roman"/>
                <w:sz w:val="18"/>
                <w:szCs w:val="18"/>
              </w:rPr>
              <w:t xml:space="preserve"> in the PNW-USA (</w:t>
            </w:r>
            <w:r w:rsidRPr="00410589">
              <w:rPr>
                <w:rFonts w:eastAsia="Calibri" w:cs="Times New Roman"/>
                <w:noProof/>
                <w:sz w:val="18"/>
                <w:szCs w:val="18"/>
                <w:lang w:val="pt-BR"/>
              </w:rPr>
              <w:t>Shaw (1973)</w:t>
            </w:r>
            <w:r w:rsidRPr="00410589">
              <w:rPr>
                <w:rFonts w:eastAsia="Calibri" w:cs="Times New Roman"/>
                <w:sz w:val="18"/>
                <w:szCs w:val="18"/>
                <w:lang w:val="pt-BR"/>
              </w:rPr>
              <w:t xml:space="preserve"> </w:t>
            </w:r>
            <w:r w:rsidRPr="00410589">
              <w:rPr>
                <w:rFonts w:eastAsia="Calibri" w:cs="Times New Roman"/>
                <w:sz w:val="18"/>
                <w:szCs w:val="18"/>
              </w:rPr>
              <w:t xml:space="preserve">is an isolated record and no recent records are available. </w:t>
            </w:r>
            <w:r w:rsidRPr="00410589">
              <w:rPr>
                <w:rFonts w:eastAsia="Calibri" w:cs="Times New Roman"/>
                <w:i/>
                <w:iCs/>
                <w:sz w:val="18"/>
              </w:rPr>
              <w:t>Butlerellfia eustacei</w:t>
            </w:r>
            <w:r w:rsidRPr="00410589">
              <w:rPr>
                <w:rFonts w:eastAsia="Calibri" w:cs="Times New Roman"/>
                <w:sz w:val="18"/>
              </w:rPr>
              <w:t xml:space="preserve"> or its teleomorphic stage </w:t>
            </w:r>
            <w:r w:rsidRPr="00410589">
              <w:rPr>
                <w:rFonts w:eastAsia="Calibri" w:cs="Times New Roman"/>
                <w:i/>
                <w:iCs/>
                <w:sz w:val="18"/>
              </w:rPr>
              <w:t>Corticium centrifugum</w:t>
            </w:r>
            <w:r w:rsidRPr="00410589">
              <w:rPr>
                <w:rFonts w:eastAsia="Calibri" w:cs="Times New Roman"/>
                <w:sz w:val="18"/>
              </w:rPr>
              <w:t xml:space="preserve"> is</w:t>
            </w:r>
            <w:r w:rsidRPr="00410589">
              <w:rPr>
                <w:rFonts w:eastAsia="Calibri" w:cs="Times New Roman"/>
                <w:sz w:val="18"/>
                <w:szCs w:val="18"/>
              </w:rPr>
              <w:t xml:space="preserve"> not listed in the PNW Diseases Handbook and has not been recorded in recent postharvest rot surveys </w:t>
            </w:r>
            <w:r w:rsidRPr="00410589">
              <w:rPr>
                <w:rFonts w:eastAsia="Calibri" w:cs="Times New Roman"/>
                <w:noProof/>
                <w:sz w:val="18"/>
                <w:szCs w:val="18"/>
              </w:rPr>
              <w:t>(Amiri &amp; Ali 2016; Kim &amp; Xiao 2008; Xiao 2007)</w:t>
            </w:r>
            <w:r w:rsidRPr="00410589">
              <w:rPr>
                <w:rFonts w:eastAsia="Calibri" w:cs="Times New Roman"/>
                <w:sz w:val="18"/>
                <w:szCs w:val="18"/>
              </w:rPr>
              <w:t xml:space="preserve">. It is primarily a saprophytic fungus that optimally grows at 18°C to 25°C </w:t>
            </w:r>
            <w:r w:rsidRPr="00410589">
              <w:rPr>
                <w:rFonts w:eastAsia="Calibri" w:cs="Times New Roman"/>
                <w:noProof/>
                <w:sz w:val="18"/>
                <w:szCs w:val="18"/>
              </w:rPr>
              <w:t>(Rosenberger 1990a)</w:t>
            </w:r>
            <w:r w:rsidRPr="00410589">
              <w:rPr>
                <w:rFonts w:eastAsia="Calibri" w:cs="Times New Roman"/>
                <w:sz w:val="18"/>
                <w:szCs w:val="18"/>
              </w:rPr>
              <w:t xml:space="preserve">. The fungus lives on dead or dying apple tissue, but has also been isolated from stems of healthy apples after harvest. </w:t>
            </w:r>
            <w:bookmarkStart w:id="548" w:name="_Hlk112068512"/>
            <w:r w:rsidRPr="00410589">
              <w:rPr>
                <w:rFonts w:eastAsia="Calibri" w:cs="Times New Roman"/>
                <w:sz w:val="18"/>
                <w:szCs w:val="18"/>
              </w:rPr>
              <w:t xml:space="preserve">Overmature apples are at risk of infection in the field through wounds and lenticels, and visible decay and white mycelia develop </w:t>
            </w:r>
            <w:r w:rsidRPr="00410589">
              <w:rPr>
                <w:rFonts w:eastAsia="Calibri" w:cs="Times New Roman"/>
                <w:noProof/>
                <w:sz w:val="18"/>
                <w:szCs w:val="18"/>
              </w:rPr>
              <w:t>(Rosenberger 1990a)</w:t>
            </w:r>
            <w:r w:rsidRPr="00410589">
              <w:rPr>
                <w:rFonts w:eastAsia="Calibri" w:cs="Times New Roman"/>
                <w:sz w:val="18"/>
                <w:szCs w:val="18"/>
              </w:rPr>
              <w:t xml:space="preserve">. </w:t>
            </w:r>
            <w:bookmarkEnd w:id="548"/>
            <w:r w:rsidRPr="00410589">
              <w:rPr>
                <w:rFonts w:eastAsia="Calibri" w:cs="Times New Roman"/>
                <w:sz w:val="18"/>
                <w:szCs w:val="18"/>
              </w:rPr>
              <w:t xml:space="preserve">Causes fisheye rot of apples in storage </w:t>
            </w:r>
            <w:r w:rsidRPr="00410589">
              <w:rPr>
                <w:rFonts w:eastAsia="Calibri" w:cs="Times New Roman"/>
                <w:noProof/>
                <w:sz w:val="18"/>
                <w:szCs w:val="18"/>
              </w:rPr>
              <w:t>(Bielenin 1986; Rosenberger 1990a; Weresub &amp; Illman 1980)</w:t>
            </w:r>
            <w:r w:rsidRPr="00410589">
              <w:rPr>
                <w:rFonts w:eastAsia="Calibri" w:cs="Times New Roman"/>
                <w:sz w:val="18"/>
                <w:szCs w:val="18"/>
              </w:rPr>
              <w:t>. Evidence indicates this fungus is extremely rare or absent in commercially produced apples in the PNW-USA.</w:t>
            </w:r>
          </w:p>
        </w:tc>
        <w:tc>
          <w:tcPr>
            <w:tcW w:w="2381" w:type="dxa"/>
            <w:shd w:val="clear" w:color="auto" w:fill="auto"/>
          </w:tcPr>
          <w:p w14:paraId="5087B956"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Assessment not required</w:t>
            </w:r>
          </w:p>
        </w:tc>
        <w:tc>
          <w:tcPr>
            <w:tcW w:w="2211" w:type="dxa"/>
            <w:shd w:val="clear" w:color="auto" w:fill="auto"/>
          </w:tcPr>
          <w:p w14:paraId="01DDE845" w14:textId="77777777" w:rsidR="003438A2" w:rsidRPr="00410589" w:rsidRDefault="003438A2" w:rsidP="00881E29">
            <w:pPr>
              <w:spacing w:before="60" w:after="60" w:line="240" w:lineRule="auto"/>
              <w:rPr>
                <w:rFonts w:eastAsia="Calibri" w:cs="Times New Roman"/>
                <w:sz w:val="18"/>
                <w:szCs w:val="18"/>
              </w:rPr>
            </w:pPr>
            <w:r w:rsidRPr="00410589">
              <w:rPr>
                <w:rFonts w:eastAsia="Calibri" w:cs="Times New Roman"/>
                <w:sz w:val="18"/>
                <w:szCs w:val="18"/>
              </w:rPr>
              <w:t>Assessment not required</w:t>
            </w:r>
          </w:p>
        </w:tc>
        <w:tc>
          <w:tcPr>
            <w:tcW w:w="1191" w:type="dxa"/>
            <w:shd w:val="clear" w:color="auto" w:fill="auto"/>
          </w:tcPr>
          <w:p w14:paraId="3924523E" w14:textId="77777777" w:rsidR="003438A2" w:rsidRPr="004A178D" w:rsidRDefault="003438A2" w:rsidP="00881E29">
            <w:pPr>
              <w:spacing w:before="60" w:after="60" w:line="240" w:lineRule="auto"/>
              <w:rPr>
                <w:rFonts w:eastAsia="Calibri" w:cs="Times New Roman"/>
                <w:sz w:val="18"/>
                <w:szCs w:val="18"/>
              </w:rPr>
            </w:pPr>
            <w:r w:rsidRPr="00410589">
              <w:rPr>
                <w:rFonts w:eastAsia="Calibri" w:cs="Times New Roman"/>
                <w:sz w:val="18"/>
                <w:szCs w:val="18"/>
              </w:rPr>
              <w:t>No</w:t>
            </w:r>
          </w:p>
        </w:tc>
      </w:tr>
      <w:tr w:rsidR="003438A2" w:rsidRPr="00B003AB" w14:paraId="0EC8E46F" w14:textId="77777777" w:rsidTr="00C4199F">
        <w:trPr>
          <w:cantSplit/>
          <w:trHeight w:val="75"/>
          <w:jc w:val="center"/>
        </w:trPr>
        <w:tc>
          <w:tcPr>
            <w:tcW w:w="2553" w:type="dxa"/>
            <w:shd w:val="clear" w:color="auto" w:fill="auto"/>
          </w:tcPr>
          <w:p w14:paraId="17E56A74" w14:textId="77777777" w:rsidR="003438A2" w:rsidRPr="00B003AB" w:rsidRDefault="003438A2" w:rsidP="00881E29">
            <w:pPr>
              <w:spacing w:before="60" w:after="60" w:line="240" w:lineRule="auto"/>
              <w:rPr>
                <w:rFonts w:eastAsia="Calibri" w:cs="Times New Roman"/>
                <w:iCs/>
                <w:sz w:val="18"/>
                <w:szCs w:val="18"/>
              </w:rPr>
            </w:pPr>
            <w:r w:rsidRPr="00B003AB">
              <w:rPr>
                <w:rFonts w:eastAsia="Calibri" w:cs="Times New Roman"/>
                <w:i/>
                <w:iCs/>
                <w:sz w:val="18"/>
                <w:szCs w:val="18"/>
              </w:rPr>
              <w:lastRenderedPageBreak/>
              <w:t xml:space="preserve">Cadophora malorum </w:t>
            </w:r>
            <w:r w:rsidRPr="00B003AB">
              <w:rPr>
                <w:rFonts w:eastAsia="Calibri" w:cs="Times New Roman"/>
                <w:iCs/>
                <w:sz w:val="18"/>
                <w:szCs w:val="18"/>
              </w:rPr>
              <w:t>(Kidd &amp; Beaumont) W. Gams</w:t>
            </w:r>
          </w:p>
          <w:p w14:paraId="5731A7CD" w14:textId="77777777" w:rsidR="003438A2" w:rsidRPr="00B003AB" w:rsidRDefault="003438A2" w:rsidP="00881E29">
            <w:pPr>
              <w:spacing w:before="60" w:after="60" w:line="240" w:lineRule="auto"/>
              <w:rPr>
                <w:rFonts w:eastAsia="Calibri" w:cs="Times New Roman"/>
                <w:iCs/>
                <w:sz w:val="18"/>
                <w:szCs w:val="18"/>
              </w:rPr>
            </w:pPr>
            <w:r w:rsidRPr="00B003AB">
              <w:rPr>
                <w:rFonts w:eastAsia="Calibri" w:cs="Times New Roman"/>
                <w:iCs/>
                <w:sz w:val="18"/>
                <w:szCs w:val="18"/>
              </w:rPr>
              <w:t xml:space="preserve">Synonym: </w:t>
            </w:r>
            <w:r w:rsidRPr="00B003AB">
              <w:rPr>
                <w:rFonts w:eastAsia="Calibri" w:cs="Times New Roman"/>
                <w:i/>
                <w:iCs/>
                <w:sz w:val="18"/>
                <w:szCs w:val="18"/>
              </w:rPr>
              <w:t xml:space="preserve">Phialophora malorum </w:t>
            </w:r>
            <w:r w:rsidRPr="00B003AB">
              <w:rPr>
                <w:rFonts w:eastAsia="Calibri" w:cs="Times New Roman"/>
                <w:iCs/>
                <w:sz w:val="18"/>
                <w:szCs w:val="18"/>
              </w:rPr>
              <w:t>(Kidd &amp; Beaumont) McColloch</w:t>
            </w:r>
          </w:p>
          <w:p w14:paraId="26FF3E23" w14:textId="77777777" w:rsidR="003438A2" w:rsidRPr="00B003AB" w:rsidRDefault="003438A2" w:rsidP="00881E29">
            <w:pPr>
              <w:spacing w:before="60" w:after="60" w:line="240" w:lineRule="auto"/>
              <w:rPr>
                <w:rFonts w:eastAsia="Calibri" w:cs="Times New Roman"/>
                <w:iCs/>
                <w:sz w:val="18"/>
                <w:szCs w:val="18"/>
              </w:rPr>
            </w:pPr>
            <w:r w:rsidRPr="00B003AB">
              <w:rPr>
                <w:rFonts w:eastAsia="Calibri" w:cs="Times New Roman"/>
                <w:iCs/>
                <w:sz w:val="18"/>
                <w:szCs w:val="18"/>
              </w:rPr>
              <w:t xml:space="preserve">[Helotiales: </w:t>
            </w:r>
            <w:r w:rsidRPr="004B275B">
              <w:rPr>
                <w:rFonts w:eastAsia="Calibri" w:cs="Times New Roman"/>
                <w:sz w:val="18"/>
                <w:szCs w:val="18"/>
              </w:rPr>
              <w:t>Incertae</w:t>
            </w:r>
            <w:r w:rsidRPr="00922940">
              <w:rPr>
                <w:rFonts w:eastAsia="Calibri" w:cs="Times New Roman"/>
                <w:i/>
                <w:iCs/>
                <w:sz w:val="18"/>
                <w:szCs w:val="18"/>
              </w:rPr>
              <w:t xml:space="preserve"> sedis</w:t>
            </w:r>
            <w:r w:rsidRPr="00B003AB">
              <w:rPr>
                <w:rFonts w:eastAsia="Calibri" w:cs="Times New Roman"/>
                <w:iCs/>
                <w:sz w:val="18"/>
                <w:szCs w:val="18"/>
              </w:rPr>
              <w:t>]</w:t>
            </w:r>
          </w:p>
          <w:p w14:paraId="28FF9650" w14:textId="77777777" w:rsidR="003438A2" w:rsidRPr="00B003AB" w:rsidRDefault="003438A2" w:rsidP="00881E29">
            <w:pPr>
              <w:spacing w:before="60" w:after="60" w:line="240" w:lineRule="auto"/>
              <w:rPr>
                <w:rFonts w:eastAsia="Calibri" w:cs="Times New Roman"/>
                <w:i/>
                <w:iCs/>
                <w:sz w:val="18"/>
                <w:szCs w:val="18"/>
              </w:rPr>
            </w:pPr>
            <w:r w:rsidRPr="00B003AB">
              <w:rPr>
                <w:rFonts w:eastAsia="Calibri" w:cs="Times New Roman"/>
                <w:iCs/>
                <w:sz w:val="18"/>
                <w:szCs w:val="18"/>
              </w:rPr>
              <w:t>Side rot</w:t>
            </w:r>
          </w:p>
        </w:tc>
        <w:tc>
          <w:tcPr>
            <w:tcW w:w="1474" w:type="dxa"/>
            <w:shd w:val="clear" w:color="auto" w:fill="auto"/>
          </w:tcPr>
          <w:p w14:paraId="70364D7B" w14:textId="77777777" w:rsidR="003438A2" w:rsidRDefault="003438A2" w:rsidP="00881E29">
            <w:pPr>
              <w:spacing w:before="60" w:after="60" w:line="240" w:lineRule="auto"/>
              <w:rPr>
                <w:rFonts w:eastAsia="Calibri" w:cs="Times New Roman"/>
                <w:sz w:val="18"/>
                <w:szCs w:val="18"/>
                <w:lang w:val="pt-BR"/>
              </w:rPr>
            </w:pPr>
            <w:r w:rsidRPr="00B003AB">
              <w:rPr>
                <w:rFonts w:eastAsia="Calibri" w:cs="Times New Roman"/>
                <w:sz w:val="18"/>
                <w:szCs w:val="18"/>
                <w:lang w:val="pt-BR"/>
              </w:rPr>
              <w:t xml:space="preserve">Yes. </w:t>
            </w:r>
            <w:r>
              <w:rPr>
                <w:rFonts w:eastAsia="Calibri" w:cs="Times New Roman"/>
                <w:sz w:val="18"/>
                <w:szCs w:val="18"/>
                <w:lang w:val="pt-BR"/>
              </w:rPr>
              <w:t xml:space="preserve">Present in OR and </w:t>
            </w:r>
            <w:r w:rsidRPr="00B003AB">
              <w:rPr>
                <w:rFonts w:eastAsia="Calibri" w:cs="Times New Roman"/>
                <w:sz w:val="18"/>
                <w:szCs w:val="18"/>
                <w:lang w:val="pt-BR"/>
              </w:rPr>
              <w:t xml:space="preserve">WA </w:t>
            </w:r>
            <w:r>
              <w:rPr>
                <w:rFonts w:eastAsia="Calibri" w:cs="Times New Roman"/>
                <w:noProof/>
                <w:sz w:val="18"/>
                <w:szCs w:val="18"/>
                <w:lang w:val="pt-BR"/>
              </w:rPr>
              <w:t>(Glawe 2009; WSU 2018)</w:t>
            </w:r>
            <w:r>
              <w:rPr>
                <w:rFonts w:eastAsia="Calibri" w:cs="Times New Roman"/>
                <w:sz w:val="18"/>
                <w:szCs w:val="18"/>
                <w:lang w:val="pt-BR"/>
              </w:rPr>
              <w:t xml:space="preserve">. Also present in </w:t>
            </w:r>
            <w:r w:rsidRPr="00B003AB">
              <w:rPr>
                <w:rFonts w:eastAsia="Calibri" w:cs="Times New Roman"/>
                <w:sz w:val="18"/>
                <w:szCs w:val="18"/>
                <w:lang w:val="pt-BR"/>
              </w:rPr>
              <w:t>CA, IN, PA, VA</w:t>
            </w:r>
            <w:r>
              <w:rPr>
                <w:rFonts w:eastAsia="Calibri" w:cs="Times New Roman"/>
                <w:sz w:val="18"/>
                <w:szCs w:val="18"/>
                <w:lang w:val="pt-BR"/>
              </w:rPr>
              <w:t xml:space="preserve"> and</w:t>
            </w:r>
            <w:r w:rsidRPr="00B003AB">
              <w:rPr>
                <w:rFonts w:eastAsia="Calibri" w:cs="Times New Roman"/>
                <w:sz w:val="18"/>
                <w:szCs w:val="18"/>
                <w:lang w:val="pt-BR"/>
              </w:rPr>
              <w:t xml:space="preserve"> WV </w:t>
            </w:r>
            <w:r>
              <w:rPr>
                <w:rFonts w:eastAsia="Calibri" w:cs="Times New Roman"/>
                <w:noProof/>
                <w:sz w:val="18"/>
                <w:szCs w:val="18"/>
                <w:lang w:val="pt-BR"/>
              </w:rPr>
              <w:t>(Farr &amp; Rossman 2018)</w:t>
            </w:r>
            <w:r>
              <w:rPr>
                <w:rFonts w:eastAsia="Calibri" w:cs="Times New Roman"/>
                <w:sz w:val="18"/>
                <w:szCs w:val="18"/>
                <w:lang w:val="pt-BR"/>
              </w:rPr>
              <w:t xml:space="preserve"> </w:t>
            </w:r>
          </w:p>
          <w:p w14:paraId="6E476064" w14:textId="77777777" w:rsidR="003438A2" w:rsidRPr="00B003AB" w:rsidRDefault="003438A2" w:rsidP="00881E29">
            <w:pPr>
              <w:spacing w:before="60" w:after="60" w:line="240" w:lineRule="auto"/>
              <w:rPr>
                <w:rFonts w:eastAsia="Calibri" w:cs="Times New Roman"/>
                <w:sz w:val="18"/>
                <w:szCs w:val="18"/>
                <w:lang w:val="pt-BR"/>
              </w:rPr>
            </w:pPr>
          </w:p>
        </w:tc>
        <w:tc>
          <w:tcPr>
            <w:tcW w:w="1474" w:type="dxa"/>
            <w:shd w:val="clear" w:color="auto" w:fill="auto"/>
          </w:tcPr>
          <w:p w14:paraId="4349CE25" w14:textId="65ED5B4F" w:rsidR="003438A2" w:rsidRPr="00B003AB" w:rsidRDefault="003438A2" w:rsidP="00881E29">
            <w:pPr>
              <w:spacing w:before="60" w:after="60" w:line="240" w:lineRule="auto"/>
              <w:rPr>
                <w:rFonts w:eastAsia="Calibri" w:cs="Times New Roman"/>
                <w:sz w:val="18"/>
                <w:szCs w:val="18"/>
              </w:rPr>
            </w:pPr>
            <w:r w:rsidRPr="00B003AB">
              <w:rPr>
                <w:rFonts w:eastAsia="Calibri" w:cs="Times New Roman"/>
                <w:sz w:val="18"/>
                <w:szCs w:val="18"/>
              </w:rPr>
              <w:t xml:space="preserve">Yes. Tas. </w:t>
            </w:r>
            <w:r w:rsidR="0085363C" w:rsidRPr="008B3D16">
              <w:rPr>
                <w:rFonts w:eastAsia="Calibri" w:cs="Times New Roman"/>
                <w:noProof/>
                <w:sz w:val="18"/>
                <w:szCs w:val="18"/>
              </w:rPr>
              <w:t>(ALA 2021)</w:t>
            </w:r>
            <w:r w:rsidR="0085363C">
              <w:rPr>
                <w:rFonts w:eastAsia="Calibri" w:cs="Times New Roman"/>
                <w:noProof/>
                <w:sz w:val="18"/>
                <w:szCs w:val="18"/>
              </w:rPr>
              <w:t xml:space="preserve"> and </w:t>
            </w:r>
            <w:r>
              <w:rPr>
                <w:rFonts w:eastAsia="Calibri" w:cs="Times New Roman"/>
                <w:noProof/>
                <w:sz w:val="18"/>
                <w:szCs w:val="18"/>
              </w:rPr>
              <w:t>(Plant Health Australia 2018)</w:t>
            </w:r>
          </w:p>
        </w:tc>
        <w:tc>
          <w:tcPr>
            <w:tcW w:w="2552" w:type="dxa"/>
            <w:shd w:val="clear" w:color="auto" w:fill="auto"/>
          </w:tcPr>
          <w:p w14:paraId="017637FD" w14:textId="77777777" w:rsidR="003438A2" w:rsidRPr="00B003AB" w:rsidRDefault="003438A2" w:rsidP="00881E29">
            <w:pPr>
              <w:spacing w:before="60" w:after="60" w:line="240" w:lineRule="auto"/>
              <w:rPr>
                <w:rFonts w:eastAsia="Calibri" w:cs="Times New Roman"/>
                <w:sz w:val="18"/>
                <w:szCs w:val="18"/>
              </w:rPr>
            </w:pPr>
            <w:r w:rsidRPr="00B003AB">
              <w:rPr>
                <w:rFonts w:eastAsia="Calibri" w:cs="Times New Roman"/>
                <w:sz w:val="18"/>
                <w:szCs w:val="18"/>
              </w:rPr>
              <w:t>Assessment not required</w:t>
            </w:r>
          </w:p>
        </w:tc>
        <w:tc>
          <w:tcPr>
            <w:tcW w:w="2381" w:type="dxa"/>
            <w:shd w:val="clear" w:color="auto" w:fill="auto"/>
          </w:tcPr>
          <w:p w14:paraId="2F4E9085" w14:textId="77777777" w:rsidR="003438A2" w:rsidRPr="00B003AB" w:rsidRDefault="003438A2" w:rsidP="00881E29">
            <w:pPr>
              <w:spacing w:before="60" w:after="60" w:line="240" w:lineRule="auto"/>
              <w:rPr>
                <w:rFonts w:eastAsia="Calibri" w:cs="Times New Roman"/>
                <w:sz w:val="18"/>
                <w:szCs w:val="18"/>
              </w:rPr>
            </w:pPr>
            <w:r w:rsidRPr="00B003AB">
              <w:rPr>
                <w:rFonts w:eastAsia="Calibri" w:cs="Times New Roman"/>
                <w:sz w:val="18"/>
                <w:szCs w:val="18"/>
              </w:rPr>
              <w:t>Assessment not required</w:t>
            </w:r>
          </w:p>
        </w:tc>
        <w:tc>
          <w:tcPr>
            <w:tcW w:w="2211" w:type="dxa"/>
            <w:shd w:val="clear" w:color="auto" w:fill="auto"/>
          </w:tcPr>
          <w:p w14:paraId="740B0D37" w14:textId="77777777" w:rsidR="003438A2" w:rsidRPr="00B003AB" w:rsidRDefault="003438A2" w:rsidP="00881E29">
            <w:pPr>
              <w:spacing w:before="60" w:after="60" w:line="240" w:lineRule="auto"/>
              <w:rPr>
                <w:rFonts w:eastAsia="Calibri" w:cs="Times New Roman"/>
                <w:sz w:val="18"/>
                <w:szCs w:val="18"/>
              </w:rPr>
            </w:pPr>
            <w:r w:rsidRPr="00B003AB">
              <w:rPr>
                <w:rFonts w:eastAsia="Calibri" w:cs="Times New Roman"/>
                <w:sz w:val="18"/>
                <w:szCs w:val="18"/>
              </w:rPr>
              <w:t>Assessment not required</w:t>
            </w:r>
          </w:p>
        </w:tc>
        <w:tc>
          <w:tcPr>
            <w:tcW w:w="1191" w:type="dxa"/>
            <w:shd w:val="clear" w:color="auto" w:fill="auto"/>
          </w:tcPr>
          <w:p w14:paraId="6706E696" w14:textId="77777777" w:rsidR="003438A2" w:rsidRPr="00B003AB" w:rsidRDefault="003438A2" w:rsidP="00881E29">
            <w:pPr>
              <w:spacing w:before="60" w:after="60" w:line="240" w:lineRule="auto"/>
              <w:rPr>
                <w:rFonts w:eastAsia="Calibri" w:cs="Times New Roman"/>
                <w:sz w:val="18"/>
                <w:szCs w:val="18"/>
              </w:rPr>
            </w:pPr>
            <w:r w:rsidRPr="00B003AB">
              <w:rPr>
                <w:rFonts w:eastAsia="Calibri" w:cs="Times New Roman"/>
                <w:sz w:val="18"/>
                <w:szCs w:val="18"/>
              </w:rPr>
              <w:t>No</w:t>
            </w:r>
          </w:p>
        </w:tc>
      </w:tr>
      <w:tr w:rsidR="003438A2" w:rsidRPr="00EA4704" w14:paraId="05A984DD" w14:textId="77777777" w:rsidTr="00C4199F">
        <w:trPr>
          <w:cantSplit/>
          <w:trHeight w:val="75"/>
          <w:jc w:val="center"/>
        </w:trPr>
        <w:tc>
          <w:tcPr>
            <w:tcW w:w="2553" w:type="dxa"/>
            <w:shd w:val="clear" w:color="auto" w:fill="auto"/>
          </w:tcPr>
          <w:p w14:paraId="4BF024EE" w14:textId="77777777" w:rsidR="003438A2" w:rsidRPr="00EA4704" w:rsidRDefault="003438A2" w:rsidP="00881E29">
            <w:pPr>
              <w:spacing w:before="60" w:after="60" w:line="240" w:lineRule="auto"/>
              <w:rPr>
                <w:rFonts w:eastAsia="Calibri" w:cs="Times New Roman"/>
                <w:iCs/>
                <w:sz w:val="18"/>
                <w:szCs w:val="18"/>
              </w:rPr>
            </w:pPr>
            <w:r w:rsidRPr="00EA4704">
              <w:rPr>
                <w:rFonts w:eastAsia="Calibri" w:cs="Times New Roman"/>
                <w:i/>
                <w:iCs/>
                <w:sz w:val="18"/>
                <w:szCs w:val="18"/>
              </w:rPr>
              <w:t xml:space="preserve">Cephalosporium carpogenum </w:t>
            </w:r>
            <w:r w:rsidRPr="00EA4704">
              <w:rPr>
                <w:rFonts w:eastAsia="Calibri" w:cs="Times New Roman"/>
                <w:iCs/>
                <w:sz w:val="18"/>
                <w:szCs w:val="18"/>
              </w:rPr>
              <w:t>R</w:t>
            </w:r>
            <w:r w:rsidRPr="00EA4704">
              <w:rPr>
                <w:rFonts w:eastAsia="Calibri" w:cs="Arial"/>
                <w:iCs/>
                <w:sz w:val="18"/>
                <w:szCs w:val="18"/>
              </w:rPr>
              <w:t>ü</w:t>
            </w:r>
            <w:r>
              <w:rPr>
                <w:rFonts w:eastAsia="Calibri" w:cs="Arial"/>
                <w:iCs/>
                <w:sz w:val="18"/>
                <w:szCs w:val="18"/>
              </w:rPr>
              <w:t>e</w:t>
            </w:r>
            <w:r w:rsidRPr="00EA4704">
              <w:rPr>
                <w:rFonts w:eastAsia="Calibri" w:cs="Times New Roman"/>
                <w:iCs/>
                <w:sz w:val="18"/>
                <w:szCs w:val="18"/>
              </w:rPr>
              <w:t>hle</w:t>
            </w:r>
          </w:p>
          <w:p w14:paraId="56C5978D" w14:textId="77777777" w:rsidR="003438A2" w:rsidRPr="00EA4704" w:rsidRDefault="003438A2" w:rsidP="00881E29">
            <w:pPr>
              <w:spacing w:before="60" w:after="60" w:line="240" w:lineRule="auto"/>
              <w:rPr>
                <w:rFonts w:eastAsia="Calibri" w:cs="Times New Roman"/>
                <w:sz w:val="18"/>
                <w:szCs w:val="18"/>
                <w:lang w:val="pt-BR"/>
              </w:rPr>
            </w:pPr>
            <w:r w:rsidRPr="00EA4704">
              <w:rPr>
                <w:rFonts w:eastAsia="Calibri" w:cs="Times New Roman"/>
                <w:sz w:val="18"/>
                <w:szCs w:val="18"/>
              </w:rPr>
              <w:t>[</w:t>
            </w:r>
            <w:r w:rsidRPr="00EA4704">
              <w:rPr>
                <w:rFonts w:eastAsia="Calibri" w:cs="Times New Roman"/>
                <w:iCs/>
                <w:sz w:val="18"/>
                <w:szCs w:val="18"/>
              </w:rPr>
              <w:t xml:space="preserve">Hypocreales: </w:t>
            </w:r>
            <w:r w:rsidRPr="00922940">
              <w:rPr>
                <w:rFonts w:eastAsia="Calibri" w:cs="Times New Roman"/>
                <w:i/>
                <w:sz w:val="18"/>
                <w:szCs w:val="18"/>
              </w:rPr>
              <w:t>Incertae sedis</w:t>
            </w:r>
            <w:r w:rsidRPr="00EA4704">
              <w:rPr>
                <w:rFonts w:eastAsia="Calibri" w:cs="Times New Roman"/>
                <w:iCs/>
                <w:sz w:val="18"/>
                <w:szCs w:val="18"/>
              </w:rPr>
              <w:t>]</w:t>
            </w:r>
          </w:p>
        </w:tc>
        <w:tc>
          <w:tcPr>
            <w:tcW w:w="1474" w:type="dxa"/>
            <w:shd w:val="clear" w:color="auto" w:fill="auto"/>
          </w:tcPr>
          <w:p w14:paraId="7553D4EF" w14:textId="77777777" w:rsidR="003438A2" w:rsidRPr="00EA4704" w:rsidRDefault="003438A2" w:rsidP="00881E29">
            <w:pPr>
              <w:spacing w:before="60" w:after="60" w:line="240" w:lineRule="auto"/>
              <w:rPr>
                <w:rFonts w:eastAsia="Calibri" w:cs="Times New Roman"/>
                <w:sz w:val="18"/>
                <w:szCs w:val="18"/>
                <w:lang w:val="pt-BR"/>
              </w:rPr>
            </w:pPr>
            <w:r w:rsidRPr="00EA4704">
              <w:rPr>
                <w:rFonts w:eastAsia="Calibri" w:cs="Times New Roman"/>
                <w:sz w:val="18"/>
                <w:szCs w:val="18"/>
                <w:lang w:val="pt-BR"/>
              </w:rPr>
              <w:t xml:space="preserve">Yes., </w:t>
            </w:r>
            <w:r>
              <w:rPr>
                <w:rFonts w:eastAsia="Calibri" w:cs="Times New Roman"/>
                <w:sz w:val="18"/>
                <w:szCs w:val="18"/>
                <w:lang w:val="pt-BR"/>
              </w:rPr>
              <w:t xml:space="preserve">Present in </w:t>
            </w:r>
            <w:r w:rsidRPr="00EA4704">
              <w:rPr>
                <w:rFonts w:eastAsia="Calibri" w:cs="Times New Roman"/>
                <w:sz w:val="18"/>
                <w:szCs w:val="18"/>
                <w:lang w:val="pt-BR"/>
              </w:rPr>
              <w:t>WA</w:t>
            </w:r>
            <w:r>
              <w:rPr>
                <w:rFonts w:eastAsia="Calibri" w:cs="Times New Roman"/>
                <w:sz w:val="18"/>
                <w:szCs w:val="18"/>
                <w:lang w:val="pt-BR"/>
              </w:rPr>
              <w:t>.</w:t>
            </w:r>
            <w:r w:rsidRPr="00EA4704">
              <w:rPr>
                <w:rFonts w:eastAsia="Calibri" w:cs="Times New Roman"/>
                <w:sz w:val="18"/>
                <w:szCs w:val="18"/>
                <w:lang w:val="pt-BR"/>
              </w:rPr>
              <w:t xml:space="preserve"> </w:t>
            </w:r>
            <w:r>
              <w:rPr>
                <w:rFonts w:eastAsia="Calibri" w:cs="Times New Roman"/>
                <w:sz w:val="18"/>
                <w:szCs w:val="18"/>
                <w:lang w:val="pt-BR"/>
              </w:rPr>
              <w:t xml:space="preserve">Also present in </w:t>
            </w:r>
            <w:r w:rsidRPr="00EA4704">
              <w:rPr>
                <w:rFonts w:eastAsia="Calibri" w:cs="Times New Roman"/>
                <w:sz w:val="18"/>
                <w:szCs w:val="18"/>
                <w:lang w:val="pt-BR"/>
              </w:rPr>
              <w:t>PA</w:t>
            </w:r>
            <w:r>
              <w:rPr>
                <w:rFonts w:eastAsia="Calibri" w:cs="Times New Roman"/>
                <w:sz w:val="18"/>
                <w:szCs w:val="18"/>
                <w:lang w:val="pt-BR"/>
              </w:rPr>
              <w:t xml:space="preserve"> </w:t>
            </w:r>
            <w:r>
              <w:rPr>
                <w:rFonts w:eastAsia="Calibri" w:cs="Times New Roman"/>
                <w:noProof/>
                <w:sz w:val="18"/>
                <w:szCs w:val="18"/>
                <w:lang w:val="pt-BR"/>
              </w:rPr>
              <w:t>(Farr &amp; Rossman 2018; Glawe 2009)</w:t>
            </w:r>
          </w:p>
        </w:tc>
        <w:tc>
          <w:tcPr>
            <w:tcW w:w="1474" w:type="dxa"/>
            <w:shd w:val="clear" w:color="auto" w:fill="auto"/>
          </w:tcPr>
          <w:p w14:paraId="2C1CD76D"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 records found</w:t>
            </w:r>
          </w:p>
        </w:tc>
        <w:tc>
          <w:tcPr>
            <w:tcW w:w="2552" w:type="dxa"/>
            <w:shd w:val="clear" w:color="auto" w:fill="auto"/>
          </w:tcPr>
          <w:p w14:paraId="69813B26" w14:textId="77777777" w:rsidR="003438A2" w:rsidRPr="00EA4704" w:rsidRDefault="003438A2" w:rsidP="00881E29">
            <w:pPr>
              <w:spacing w:before="60" w:after="60" w:line="240" w:lineRule="auto"/>
              <w:rPr>
                <w:rFonts w:eastAsia="Calibri" w:cs="Times New Roman"/>
                <w:sz w:val="18"/>
                <w:szCs w:val="18"/>
              </w:rPr>
            </w:pPr>
            <w:r>
              <w:rPr>
                <w:rFonts w:eastAsia="Calibri" w:cs="Times New Roman"/>
                <w:sz w:val="18"/>
                <w:szCs w:val="18"/>
              </w:rPr>
              <w:t>No</w:t>
            </w:r>
            <w:r w:rsidRPr="00EA4704">
              <w:rPr>
                <w:rFonts w:eastAsia="Calibri" w:cs="Times New Roman"/>
                <w:sz w:val="18"/>
                <w:szCs w:val="18"/>
              </w:rPr>
              <w:t xml:space="preserve">. Causes decay of apple fruit in storage </w:t>
            </w:r>
            <w:r>
              <w:rPr>
                <w:rFonts w:eastAsia="Calibri" w:cs="Times New Roman"/>
                <w:noProof/>
                <w:sz w:val="18"/>
                <w:szCs w:val="18"/>
              </w:rPr>
              <w:t>(Fink 1958; Rosenberger 1990b; Ruehle 1931)</w:t>
            </w:r>
            <w:r>
              <w:rPr>
                <w:rFonts w:eastAsia="Calibri" w:cs="Times New Roman"/>
                <w:sz w:val="18"/>
                <w:szCs w:val="18"/>
              </w:rPr>
              <w:t xml:space="preserve">. </w:t>
            </w:r>
            <w:r w:rsidRPr="00EA4704">
              <w:rPr>
                <w:rFonts w:eastAsia="Calibri" w:cs="Times New Roman"/>
                <w:sz w:val="18"/>
                <w:szCs w:val="18"/>
              </w:rPr>
              <w:t xml:space="preserve">The only known hosts are species of </w:t>
            </w:r>
            <w:r w:rsidRPr="00EA4704">
              <w:rPr>
                <w:rFonts w:eastAsia="Calibri" w:cs="Times New Roman"/>
                <w:i/>
                <w:sz w:val="18"/>
                <w:szCs w:val="18"/>
              </w:rPr>
              <w:t>Malus</w:t>
            </w:r>
            <w:r w:rsidRPr="00EA4704">
              <w:rPr>
                <w:rFonts w:eastAsia="Calibri" w:cs="Times New Roman"/>
                <w:sz w:val="18"/>
                <w:szCs w:val="18"/>
              </w:rPr>
              <w:t xml:space="preserve"> and </w:t>
            </w:r>
            <w:r w:rsidRPr="00EA4704">
              <w:rPr>
                <w:rFonts w:eastAsia="Calibri" w:cs="Times New Roman"/>
                <w:i/>
                <w:sz w:val="18"/>
                <w:szCs w:val="18"/>
              </w:rPr>
              <w:t>Pyrus</w:t>
            </w:r>
            <w:r w:rsidRPr="00EA4704">
              <w:rPr>
                <w:rFonts w:eastAsia="Calibri" w:cs="Times New Roman"/>
                <w:sz w:val="18"/>
                <w:szCs w:val="18"/>
              </w:rPr>
              <w:t xml:space="preserve"> </w:t>
            </w:r>
            <w:r>
              <w:rPr>
                <w:rFonts w:eastAsia="Calibri" w:cs="Times New Roman"/>
                <w:noProof/>
                <w:sz w:val="18"/>
                <w:szCs w:val="18"/>
              </w:rPr>
              <w:t>(Glawe 2009)</w:t>
            </w:r>
            <w:r>
              <w:rPr>
                <w:rFonts w:eastAsia="Calibri" w:cs="Times New Roman"/>
                <w:sz w:val="18"/>
                <w:szCs w:val="18"/>
              </w:rPr>
              <w:t xml:space="preserve">. </w:t>
            </w:r>
            <w:r>
              <w:rPr>
                <w:rFonts w:eastAsia="Calibri" w:cs="Times New Roman"/>
                <w:i/>
                <w:sz w:val="18"/>
                <w:szCs w:val="18"/>
              </w:rPr>
              <w:t>C</w:t>
            </w:r>
            <w:r w:rsidRPr="00EA4704">
              <w:rPr>
                <w:rFonts w:eastAsia="Calibri" w:cs="Times New Roman"/>
                <w:i/>
                <w:sz w:val="18"/>
                <w:szCs w:val="18"/>
              </w:rPr>
              <w:t>ephalosporium</w:t>
            </w:r>
            <w:r>
              <w:rPr>
                <w:rFonts w:eastAsia="Calibri" w:cs="Times New Roman"/>
                <w:i/>
                <w:sz w:val="18"/>
                <w:szCs w:val="18"/>
              </w:rPr>
              <w:t xml:space="preserve"> </w:t>
            </w:r>
            <w:r w:rsidRPr="00EA4704">
              <w:rPr>
                <w:rFonts w:eastAsia="Calibri" w:cs="Times New Roman"/>
                <w:i/>
                <w:sz w:val="18"/>
                <w:szCs w:val="18"/>
              </w:rPr>
              <w:t>carpogenum</w:t>
            </w:r>
            <w:r w:rsidRPr="00EA4704">
              <w:rPr>
                <w:rFonts w:eastAsia="Calibri" w:cs="Times New Roman"/>
                <w:sz w:val="18"/>
                <w:szCs w:val="18"/>
              </w:rPr>
              <w:t xml:space="preserve"> is considered a weak </w:t>
            </w:r>
            <w:r>
              <w:rPr>
                <w:rFonts w:eastAsia="Calibri" w:cs="Times New Roman"/>
                <w:sz w:val="18"/>
                <w:szCs w:val="18"/>
              </w:rPr>
              <w:t>pathogen</w:t>
            </w:r>
            <w:r w:rsidRPr="00EA4704">
              <w:rPr>
                <w:rFonts w:eastAsia="Calibri" w:cs="Times New Roman"/>
                <w:sz w:val="18"/>
                <w:szCs w:val="18"/>
              </w:rPr>
              <w:t xml:space="preserve"> of apple fruit </w:t>
            </w:r>
            <w:r>
              <w:rPr>
                <w:rFonts w:eastAsia="Calibri" w:cs="Times New Roman"/>
                <w:sz w:val="18"/>
                <w:szCs w:val="18"/>
              </w:rPr>
              <w:t>that is</w:t>
            </w:r>
            <w:r w:rsidRPr="00EA4704">
              <w:rPr>
                <w:rFonts w:eastAsia="Calibri" w:cs="Times New Roman"/>
                <w:sz w:val="18"/>
                <w:szCs w:val="18"/>
              </w:rPr>
              <w:t xml:space="preserve"> found bordering insect marks or punctures</w:t>
            </w:r>
            <w:r>
              <w:rPr>
                <w:rFonts w:eastAsia="Calibri" w:cs="Times New Roman"/>
                <w:sz w:val="18"/>
                <w:szCs w:val="18"/>
              </w:rPr>
              <w:t xml:space="preserve"> and are likely to be removed during export inspection</w:t>
            </w:r>
            <w:r w:rsidRPr="00EA4704">
              <w:rPr>
                <w:rFonts w:eastAsia="Calibri" w:cs="Times New Roman"/>
                <w:sz w:val="18"/>
                <w:szCs w:val="18"/>
              </w:rPr>
              <w:t xml:space="preserve">. The fungus develops slowly and appears as small shallow spots around the damaged area </w:t>
            </w:r>
            <w:r>
              <w:rPr>
                <w:rFonts w:eastAsia="Calibri" w:cs="Times New Roman"/>
                <w:noProof/>
                <w:sz w:val="18"/>
                <w:szCs w:val="18"/>
              </w:rPr>
              <w:t>(Ruehle 1931)</w:t>
            </w:r>
            <w:r>
              <w:rPr>
                <w:rFonts w:eastAsia="Calibri" w:cs="Times New Roman"/>
                <w:sz w:val="18"/>
                <w:szCs w:val="18"/>
              </w:rPr>
              <w:t>.</w:t>
            </w:r>
          </w:p>
        </w:tc>
        <w:tc>
          <w:tcPr>
            <w:tcW w:w="2381" w:type="dxa"/>
            <w:shd w:val="clear" w:color="auto" w:fill="auto"/>
          </w:tcPr>
          <w:p w14:paraId="1DC716BF" w14:textId="77777777" w:rsidR="003438A2" w:rsidRPr="00EA4704" w:rsidRDefault="003438A2" w:rsidP="00881E29">
            <w:pPr>
              <w:spacing w:before="60" w:after="60" w:line="240" w:lineRule="auto"/>
              <w:rPr>
                <w:rFonts w:eastAsia="Calibri" w:cs="Times New Roman"/>
                <w:sz w:val="18"/>
                <w:szCs w:val="18"/>
              </w:rPr>
            </w:pPr>
            <w:r w:rsidRPr="00B003AB">
              <w:rPr>
                <w:rFonts w:eastAsia="Calibri" w:cs="Times New Roman"/>
                <w:sz w:val="18"/>
                <w:szCs w:val="18"/>
              </w:rPr>
              <w:t>Assessment not required</w:t>
            </w:r>
            <w:r w:rsidRPr="00EA4704" w:rsidDel="00AF0445">
              <w:rPr>
                <w:rFonts w:eastAsia="Calibri" w:cs="Times New Roman"/>
                <w:sz w:val="18"/>
                <w:szCs w:val="18"/>
              </w:rPr>
              <w:t xml:space="preserve"> </w:t>
            </w:r>
            <w:r>
              <w:rPr>
                <w:rFonts w:eastAsia="Calibri" w:cs="Times New Roman"/>
                <w:sz w:val="18"/>
                <w:szCs w:val="18"/>
              </w:rPr>
              <w:t xml:space="preserve"> </w:t>
            </w:r>
          </w:p>
        </w:tc>
        <w:tc>
          <w:tcPr>
            <w:tcW w:w="2211" w:type="dxa"/>
            <w:shd w:val="clear" w:color="auto" w:fill="auto"/>
          </w:tcPr>
          <w:p w14:paraId="79C04D1D" w14:textId="77777777" w:rsidR="003438A2" w:rsidRPr="00EA4704" w:rsidRDefault="003438A2" w:rsidP="00881E29">
            <w:pPr>
              <w:spacing w:before="60" w:after="60" w:line="240" w:lineRule="auto"/>
              <w:rPr>
                <w:rFonts w:eastAsia="Calibri" w:cs="Times New Roman"/>
                <w:sz w:val="18"/>
                <w:szCs w:val="18"/>
              </w:rPr>
            </w:pPr>
            <w:r w:rsidRPr="00B003AB">
              <w:rPr>
                <w:rFonts w:eastAsia="Calibri" w:cs="Times New Roman"/>
                <w:sz w:val="18"/>
                <w:szCs w:val="18"/>
              </w:rPr>
              <w:t>Assessment not required</w:t>
            </w:r>
          </w:p>
        </w:tc>
        <w:tc>
          <w:tcPr>
            <w:tcW w:w="1191" w:type="dxa"/>
            <w:shd w:val="clear" w:color="auto" w:fill="auto"/>
          </w:tcPr>
          <w:p w14:paraId="615B466C"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w:t>
            </w:r>
          </w:p>
        </w:tc>
      </w:tr>
      <w:tr w:rsidR="003438A2" w:rsidRPr="00EA4704" w14:paraId="201F4E5B" w14:textId="77777777" w:rsidTr="00C4199F">
        <w:trPr>
          <w:cantSplit/>
          <w:trHeight w:val="75"/>
          <w:jc w:val="center"/>
        </w:trPr>
        <w:tc>
          <w:tcPr>
            <w:tcW w:w="2553" w:type="dxa"/>
            <w:shd w:val="clear" w:color="auto" w:fill="auto"/>
          </w:tcPr>
          <w:p w14:paraId="535ACDC7" w14:textId="77777777" w:rsidR="003438A2" w:rsidRDefault="003438A2" w:rsidP="00881E29">
            <w:pPr>
              <w:spacing w:before="60" w:after="60" w:line="240" w:lineRule="auto"/>
              <w:rPr>
                <w:rFonts w:eastAsia="Calibri" w:cs="Times New Roman"/>
                <w:iCs/>
                <w:sz w:val="18"/>
                <w:szCs w:val="18"/>
              </w:rPr>
            </w:pPr>
            <w:r w:rsidRPr="009452E9">
              <w:rPr>
                <w:rFonts w:eastAsia="Calibri" w:cs="Times New Roman"/>
                <w:i/>
                <w:iCs/>
                <w:sz w:val="18"/>
                <w:szCs w:val="18"/>
              </w:rPr>
              <w:t xml:space="preserve">Ceratobasidium ochroleucum </w:t>
            </w:r>
            <w:r w:rsidRPr="009452E9">
              <w:rPr>
                <w:rFonts w:eastAsia="Calibri" w:cs="Times New Roman"/>
                <w:iCs/>
                <w:sz w:val="18"/>
                <w:szCs w:val="18"/>
              </w:rPr>
              <w:t>(F. Noack) Ginns &amp; M.N.L. Lefebvre</w:t>
            </w:r>
          </w:p>
          <w:p w14:paraId="5D952DAC" w14:textId="77777777" w:rsidR="003438A2" w:rsidRDefault="003438A2" w:rsidP="00881E29">
            <w:pPr>
              <w:spacing w:before="60" w:after="60" w:line="240" w:lineRule="auto"/>
              <w:rPr>
                <w:rFonts w:eastAsia="Calibri" w:cs="Times New Roman"/>
                <w:iCs/>
                <w:sz w:val="18"/>
                <w:szCs w:val="18"/>
              </w:rPr>
            </w:pPr>
            <w:r w:rsidRPr="009452E9">
              <w:rPr>
                <w:rFonts w:eastAsia="Calibri" w:cs="Times New Roman"/>
                <w:iCs/>
                <w:sz w:val="18"/>
                <w:szCs w:val="18"/>
              </w:rPr>
              <w:t xml:space="preserve">Synonyms: </w:t>
            </w:r>
            <w:r w:rsidRPr="009452E9">
              <w:rPr>
                <w:rFonts w:eastAsia="Calibri" w:cs="Times New Roman"/>
                <w:i/>
                <w:iCs/>
                <w:sz w:val="18"/>
                <w:szCs w:val="18"/>
              </w:rPr>
              <w:t>Pellicularia koleroga</w:t>
            </w:r>
            <w:r w:rsidRPr="009452E9">
              <w:rPr>
                <w:rFonts w:eastAsia="Calibri" w:cs="Times New Roman"/>
                <w:iCs/>
                <w:sz w:val="18"/>
                <w:szCs w:val="18"/>
              </w:rPr>
              <w:t xml:space="preserve"> Cooke</w:t>
            </w:r>
            <w:r>
              <w:rPr>
                <w:rFonts w:eastAsia="Calibri" w:cs="Times New Roman"/>
                <w:iCs/>
                <w:sz w:val="18"/>
                <w:szCs w:val="18"/>
              </w:rPr>
              <w:t xml:space="preserve">; </w:t>
            </w:r>
            <w:r w:rsidRPr="009452E9">
              <w:rPr>
                <w:rFonts w:eastAsia="Calibri" w:cs="Times New Roman"/>
                <w:i/>
                <w:iCs/>
                <w:sz w:val="18"/>
                <w:szCs w:val="18"/>
              </w:rPr>
              <w:t>Corticium koleroga</w:t>
            </w:r>
            <w:r w:rsidRPr="009452E9">
              <w:rPr>
                <w:rFonts w:eastAsia="Calibri" w:cs="Times New Roman"/>
                <w:iCs/>
                <w:sz w:val="18"/>
                <w:szCs w:val="18"/>
              </w:rPr>
              <w:t xml:space="preserve"> (Cooke) Höhn.</w:t>
            </w:r>
          </w:p>
          <w:p w14:paraId="3F060C48" w14:textId="77777777" w:rsidR="003438A2" w:rsidRPr="009452E9" w:rsidRDefault="003438A2" w:rsidP="00881E29">
            <w:pPr>
              <w:spacing w:before="60" w:after="60" w:line="240" w:lineRule="auto"/>
              <w:rPr>
                <w:rFonts w:eastAsia="Calibri" w:cs="Times New Roman"/>
                <w:iCs/>
                <w:sz w:val="18"/>
                <w:szCs w:val="18"/>
              </w:rPr>
            </w:pPr>
            <w:r w:rsidRPr="009452E9">
              <w:rPr>
                <w:rFonts w:eastAsia="Calibri" w:cs="Times New Roman"/>
                <w:iCs/>
                <w:sz w:val="18"/>
                <w:szCs w:val="18"/>
              </w:rPr>
              <w:t>[</w:t>
            </w:r>
            <w:r w:rsidRPr="009452E9">
              <w:rPr>
                <w:rFonts w:eastAsia="Calibri" w:cs="Times New Roman"/>
                <w:sz w:val="18"/>
                <w:szCs w:val="18"/>
              </w:rPr>
              <w:t>Cantharellales:</w:t>
            </w:r>
            <w:r w:rsidRPr="009452E9">
              <w:rPr>
                <w:rFonts w:eastAsia="Calibri" w:cs="Times New Roman"/>
                <w:iCs/>
                <w:sz w:val="18"/>
                <w:szCs w:val="18"/>
              </w:rPr>
              <w:t xml:space="preserve"> Ceratobasidiaceae]</w:t>
            </w:r>
          </w:p>
          <w:p w14:paraId="6611F61A" w14:textId="77777777" w:rsidR="003438A2" w:rsidRPr="009452E9" w:rsidRDefault="003438A2" w:rsidP="00881E29">
            <w:pPr>
              <w:spacing w:before="60" w:after="60" w:line="240" w:lineRule="auto"/>
              <w:rPr>
                <w:rFonts w:eastAsia="Calibri" w:cs="Times New Roman"/>
                <w:i/>
                <w:iCs/>
                <w:sz w:val="18"/>
                <w:szCs w:val="18"/>
              </w:rPr>
            </w:pPr>
            <w:r w:rsidRPr="009452E9">
              <w:rPr>
                <w:rFonts w:eastAsia="Calibri" w:cs="Times New Roman"/>
                <w:iCs/>
                <w:sz w:val="18"/>
                <w:szCs w:val="18"/>
              </w:rPr>
              <w:t>Thread blight</w:t>
            </w:r>
          </w:p>
        </w:tc>
        <w:tc>
          <w:tcPr>
            <w:tcW w:w="1474" w:type="dxa"/>
            <w:shd w:val="clear" w:color="auto" w:fill="auto"/>
          </w:tcPr>
          <w:p w14:paraId="5A1B3C61" w14:textId="77777777" w:rsidR="003438A2" w:rsidRDefault="003438A2" w:rsidP="00790370">
            <w:pPr>
              <w:spacing w:before="60" w:after="60" w:line="240" w:lineRule="auto"/>
              <w:rPr>
                <w:rFonts w:eastAsia="Calibri" w:cs="Times New Roman"/>
                <w:sz w:val="18"/>
                <w:szCs w:val="18"/>
                <w:lang w:val="pt-BR"/>
              </w:rPr>
            </w:pPr>
            <w:r>
              <w:rPr>
                <w:rFonts w:eastAsia="Calibri" w:cs="Times New Roman"/>
                <w:sz w:val="18"/>
                <w:szCs w:val="18"/>
                <w:lang w:val="pt-BR"/>
              </w:rPr>
              <w:t xml:space="preserve">No </w:t>
            </w:r>
            <w:r>
              <w:rPr>
                <w:rFonts w:eastAsia="Calibri" w:cs="Times New Roman"/>
                <w:noProof/>
                <w:sz w:val="18"/>
                <w:szCs w:val="18"/>
              </w:rPr>
              <w:t>(CABI 2022; Hartman 1990)</w:t>
            </w:r>
            <w:r w:rsidRPr="009452E9">
              <w:rPr>
                <w:rFonts w:eastAsia="Calibri" w:cs="Times New Roman"/>
                <w:sz w:val="18"/>
                <w:szCs w:val="18"/>
                <w:lang w:val="pt-BR"/>
              </w:rPr>
              <w:t xml:space="preserve">. </w:t>
            </w:r>
            <w:r>
              <w:rPr>
                <w:rFonts w:eastAsia="Calibri" w:cs="Times New Roman"/>
                <w:sz w:val="18"/>
                <w:szCs w:val="18"/>
                <w:lang w:val="pt-BR"/>
              </w:rPr>
              <w:t>Present in s</w:t>
            </w:r>
            <w:r w:rsidRPr="009452E9">
              <w:rPr>
                <w:rFonts w:eastAsia="Calibri" w:cs="Times New Roman"/>
                <w:sz w:val="18"/>
                <w:szCs w:val="18"/>
                <w:lang w:val="pt-BR"/>
              </w:rPr>
              <w:t>outheastern</w:t>
            </w:r>
            <w:r>
              <w:rPr>
                <w:rFonts w:eastAsia="Calibri" w:cs="Times New Roman"/>
                <w:sz w:val="18"/>
                <w:szCs w:val="18"/>
                <w:lang w:val="pt-BR"/>
              </w:rPr>
              <w:t xml:space="preserve"> USA </w:t>
            </w:r>
            <w:r>
              <w:rPr>
                <w:rFonts w:eastAsia="Calibri" w:cs="Times New Roman"/>
                <w:noProof/>
                <w:sz w:val="18"/>
                <w:szCs w:val="18"/>
                <w:lang w:val="pt-BR"/>
              </w:rPr>
              <w:t>(Farr &amp; Rossman 2018)</w:t>
            </w:r>
            <w:r w:rsidRPr="009452E9">
              <w:rPr>
                <w:rFonts w:eastAsia="Calibri" w:cs="Times New Roman"/>
                <w:sz w:val="18"/>
                <w:szCs w:val="18"/>
                <w:lang w:val="pt-BR"/>
              </w:rPr>
              <w:t xml:space="preserve"> </w:t>
            </w:r>
          </w:p>
          <w:p w14:paraId="61E83585" w14:textId="77777777" w:rsidR="003438A2" w:rsidRPr="009452E9" w:rsidRDefault="003438A2" w:rsidP="00881E29">
            <w:pPr>
              <w:spacing w:before="60" w:after="60" w:line="240" w:lineRule="auto"/>
              <w:rPr>
                <w:rFonts w:eastAsia="Calibri" w:cs="Times New Roman"/>
                <w:sz w:val="18"/>
                <w:szCs w:val="18"/>
                <w:lang w:val="pt-BR"/>
              </w:rPr>
            </w:pPr>
          </w:p>
        </w:tc>
        <w:tc>
          <w:tcPr>
            <w:tcW w:w="1474" w:type="dxa"/>
            <w:shd w:val="clear" w:color="auto" w:fill="auto"/>
          </w:tcPr>
          <w:p w14:paraId="245A18D1" w14:textId="77777777" w:rsidR="003438A2" w:rsidRPr="009452E9" w:rsidRDefault="003438A2" w:rsidP="00881E29">
            <w:pPr>
              <w:spacing w:before="60" w:after="60" w:line="240" w:lineRule="auto"/>
              <w:rPr>
                <w:rFonts w:eastAsia="Calibri" w:cs="Times New Roman"/>
                <w:sz w:val="18"/>
                <w:szCs w:val="18"/>
              </w:rPr>
            </w:pPr>
            <w:r w:rsidRPr="009452E9">
              <w:rPr>
                <w:rFonts w:eastAsia="Calibri" w:cs="Times New Roman"/>
                <w:sz w:val="18"/>
                <w:szCs w:val="18"/>
              </w:rPr>
              <w:t>No records found</w:t>
            </w:r>
          </w:p>
        </w:tc>
        <w:tc>
          <w:tcPr>
            <w:tcW w:w="2552" w:type="dxa"/>
            <w:shd w:val="clear" w:color="auto" w:fill="auto"/>
          </w:tcPr>
          <w:p w14:paraId="2F76DA2D" w14:textId="77777777" w:rsidR="003438A2" w:rsidRPr="009452E9" w:rsidRDefault="003438A2" w:rsidP="00881E29">
            <w:pPr>
              <w:spacing w:before="60" w:after="60" w:line="240" w:lineRule="auto"/>
              <w:rPr>
                <w:rFonts w:eastAsia="Calibri" w:cs="Times New Roman"/>
                <w:sz w:val="18"/>
                <w:szCs w:val="18"/>
              </w:rPr>
            </w:pPr>
            <w:r w:rsidRPr="009452E9">
              <w:rPr>
                <w:rFonts w:eastAsia="Calibri" w:cs="Times New Roman"/>
                <w:sz w:val="18"/>
                <w:szCs w:val="18"/>
              </w:rPr>
              <w:t>Assessment not required</w:t>
            </w:r>
          </w:p>
        </w:tc>
        <w:tc>
          <w:tcPr>
            <w:tcW w:w="2381" w:type="dxa"/>
            <w:shd w:val="clear" w:color="auto" w:fill="auto"/>
          </w:tcPr>
          <w:p w14:paraId="7D9CB86D" w14:textId="77777777" w:rsidR="003438A2" w:rsidRPr="009452E9" w:rsidRDefault="003438A2" w:rsidP="00881E29">
            <w:pPr>
              <w:spacing w:before="60" w:after="60" w:line="240" w:lineRule="auto"/>
              <w:rPr>
                <w:rFonts w:eastAsia="Calibri" w:cs="Times New Roman"/>
                <w:sz w:val="18"/>
                <w:szCs w:val="18"/>
              </w:rPr>
            </w:pPr>
            <w:r w:rsidRPr="009452E9">
              <w:rPr>
                <w:rFonts w:eastAsia="Calibri" w:cs="Times New Roman"/>
                <w:sz w:val="18"/>
                <w:szCs w:val="18"/>
              </w:rPr>
              <w:t>Assessment not required</w:t>
            </w:r>
          </w:p>
        </w:tc>
        <w:tc>
          <w:tcPr>
            <w:tcW w:w="2211" w:type="dxa"/>
            <w:shd w:val="clear" w:color="auto" w:fill="auto"/>
          </w:tcPr>
          <w:p w14:paraId="005C23C4" w14:textId="77777777" w:rsidR="003438A2" w:rsidRPr="009452E9" w:rsidRDefault="003438A2" w:rsidP="00881E29">
            <w:pPr>
              <w:spacing w:before="60" w:after="60" w:line="240" w:lineRule="auto"/>
              <w:rPr>
                <w:rFonts w:eastAsia="Calibri" w:cs="Times New Roman"/>
                <w:sz w:val="18"/>
                <w:szCs w:val="18"/>
              </w:rPr>
            </w:pPr>
            <w:r w:rsidRPr="009452E9">
              <w:rPr>
                <w:rFonts w:eastAsia="Calibri" w:cs="Times New Roman"/>
                <w:sz w:val="18"/>
                <w:szCs w:val="18"/>
              </w:rPr>
              <w:t>Assessment not required</w:t>
            </w:r>
          </w:p>
        </w:tc>
        <w:tc>
          <w:tcPr>
            <w:tcW w:w="1191" w:type="dxa"/>
            <w:shd w:val="clear" w:color="auto" w:fill="auto"/>
          </w:tcPr>
          <w:p w14:paraId="69D4B48C" w14:textId="77777777" w:rsidR="003438A2" w:rsidRPr="00EA4704" w:rsidRDefault="003438A2" w:rsidP="00881E29">
            <w:pPr>
              <w:spacing w:before="60" w:after="60" w:line="240" w:lineRule="auto"/>
              <w:rPr>
                <w:rFonts w:eastAsia="Calibri" w:cs="Times New Roman"/>
                <w:sz w:val="18"/>
                <w:szCs w:val="18"/>
              </w:rPr>
            </w:pPr>
            <w:r w:rsidRPr="009452E9">
              <w:rPr>
                <w:rFonts w:eastAsia="Calibri" w:cs="Times New Roman"/>
                <w:sz w:val="18"/>
                <w:szCs w:val="18"/>
              </w:rPr>
              <w:t>No</w:t>
            </w:r>
          </w:p>
        </w:tc>
      </w:tr>
      <w:tr w:rsidR="003438A2" w:rsidRPr="00EA4704" w14:paraId="077BA529" w14:textId="77777777" w:rsidTr="00C4199F">
        <w:trPr>
          <w:cantSplit/>
          <w:trHeight w:val="75"/>
          <w:jc w:val="center"/>
        </w:trPr>
        <w:tc>
          <w:tcPr>
            <w:tcW w:w="2553" w:type="dxa"/>
            <w:shd w:val="clear" w:color="auto" w:fill="auto"/>
          </w:tcPr>
          <w:p w14:paraId="6C0DC5B5" w14:textId="77777777" w:rsidR="003438A2" w:rsidRPr="00A14583" w:rsidRDefault="003438A2" w:rsidP="00881E29">
            <w:pPr>
              <w:spacing w:before="60" w:after="60" w:line="240" w:lineRule="auto"/>
              <w:rPr>
                <w:rFonts w:eastAsia="Calibri" w:cs="Times New Roman"/>
                <w:iCs/>
                <w:sz w:val="18"/>
                <w:szCs w:val="18"/>
              </w:rPr>
            </w:pPr>
            <w:r w:rsidRPr="00A14583">
              <w:rPr>
                <w:rFonts w:eastAsia="Calibri" w:cs="Times New Roman"/>
                <w:i/>
                <w:iCs/>
                <w:sz w:val="18"/>
                <w:szCs w:val="18"/>
              </w:rPr>
              <w:lastRenderedPageBreak/>
              <w:t xml:space="preserve">Chalastospora gossypii </w:t>
            </w:r>
            <w:r w:rsidRPr="00A14583">
              <w:rPr>
                <w:rFonts w:eastAsia="Calibri" w:cs="Times New Roman"/>
                <w:iCs/>
                <w:sz w:val="18"/>
                <w:szCs w:val="18"/>
              </w:rPr>
              <w:t>(Jacz.) U. Braun &amp; Crous</w:t>
            </w:r>
          </w:p>
          <w:p w14:paraId="6766A9FC" w14:textId="77777777" w:rsidR="003438A2" w:rsidRPr="00A14583" w:rsidRDefault="003438A2" w:rsidP="00881E29">
            <w:pPr>
              <w:spacing w:before="60" w:after="60" w:line="240" w:lineRule="auto"/>
              <w:rPr>
                <w:rFonts w:eastAsia="Calibri" w:cs="Times New Roman"/>
                <w:iCs/>
                <w:sz w:val="18"/>
                <w:szCs w:val="18"/>
              </w:rPr>
            </w:pPr>
            <w:r w:rsidRPr="00A14583">
              <w:rPr>
                <w:rFonts w:eastAsia="Calibri" w:cs="Times New Roman"/>
                <w:iCs/>
                <w:sz w:val="18"/>
                <w:szCs w:val="18"/>
              </w:rPr>
              <w:t xml:space="preserve">Synonyms: </w:t>
            </w:r>
            <w:r w:rsidRPr="00A14583">
              <w:rPr>
                <w:rFonts w:eastAsia="Calibri" w:cs="Times New Roman"/>
                <w:i/>
                <w:iCs/>
                <w:sz w:val="18"/>
                <w:szCs w:val="18"/>
              </w:rPr>
              <w:t>Alternaria malorum (</w:t>
            </w:r>
            <w:r w:rsidRPr="00A14583">
              <w:rPr>
                <w:rFonts w:eastAsia="Calibri" w:cs="Times New Roman"/>
                <w:iCs/>
                <w:sz w:val="18"/>
                <w:szCs w:val="18"/>
              </w:rPr>
              <w:t>R</w:t>
            </w:r>
            <w:r w:rsidRPr="00A14583">
              <w:rPr>
                <w:rFonts w:eastAsia="Calibri" w:cs="Arial"/>
                <w:iCs/>
                <w:sz w:val="18"/>
                <w:szCs w:val="18"/>
              </w:rPr>
              <w:t>ü</w:t>
            </w:r>
            <w:r w:rsidRPr="00A14583">
              <w:rPr>
                <w:rFonts w:eastAsia="Calibri" w:cs="Times New Roman"/>
                <w:iCs/>
                <w:sz w:val="18"/>
                <w:szCs w:val="18"/>
              </w:rPr>
              <w:t xml:space="preserve">hle) U. Braun, Crous &amp; Dugan; </w:t>
            </w:r>
            <w:r w:rsidRPr="00A14583">
              <w:rPr>
                <w:rFonts w:eastAsia="Calibri" w:cs="Times New Roman"/>
                <w:i/>
                <w:iCs/>
                <w:sz w:val="18"/>
                <w:szCs w:val="18"/>
              </w:rPr>
              <w:t xml:space="preserve">Cladosporium malorum </w:t>
            </w:r>
            <w:r w:rsidRPr="00A14583">
              <w:rPr>
                <w:rFonts w:eastAsia="Calibri" w:cs="Times New Roman"/>
                <w:iCs/>
                <w:sz w:val="18"/>
                <w:szCs w:val="18"/>
              </w:rPr>
              <w:t>R</w:t>
            </w:r>
            <w:r w:rsidRPr="00A14583">
              <w:rPr>
                <w:rFonts w:eastAsia="Calibri" w:cs="Arial"/>
                <w:iCs/>
                <w:sz w:val="18"/>
                <w:szCs w:val="18"/>
              </w:rPr>
              <w:t>ü</w:t>
            </w:r>
            <w:r w:rsidRPr="00A14583">
              <w:rPr>
                <w:rFonts w:eastAsia="Calibri" w:cs="Times New Roman"/>
                <w:iCs/>
                <w:sz w:val="18"/>
                <w:szCs w:val="18"/>
              </w:rPr>
              <w:t>hle</w:t>
            </w:r>
          </w:p>
          <w:p w14:paraId="689424DA" w14:textId="77777777" w:rsidR="003438A2" w:rsidRPr="00A14583" w:rsidRDefault="003438A2" w:rsidP="00881E29">
            <w:pPr>
              <w:spacing w:before="60" w:after="60" w:line="240" w:lineRule="auto"/>
              <w:rPr>
                <w:rFonts w:eastAsia="Calibri" w:cs="Times New Roman"/>
                <w:sz w:val="18"/>
                <w:szCs w:val="18"/>
                <w:lang w:val="pt-BR"/>
              </w:rPr>
            </w:pPr>
            <w:r w:rsidRPr="00A14583">
              <w:rPr>
                <w:rFonts w:eastAsia="Calibri" w:cs="Times New Roman"/>
                <w:iCs/>
                <w:sz w:val="18"/>
                <w:szCs w:val="18"/>
              </w:rPr>
              <w:t>[</w:t>
            </w:r>
            <w:r w:rsidRPr="00A14583">
              <w:rPr>
                <w:rFonts w:eastAsia="Calibri" w:cs="Times New Roman"/>
                <w:sz w:val="18"/>
              </w:rPr>
              <w:t>Pleosporales:</w:t>
            </w:r>
            <w:r w:rsidRPr="00A14583">
              <w:rPr>
                <w:rFonts w:eastAsia="Calibri" w:cs="Times New Roman"/>
                <w:sz w:val="18"/>
                <w:szCs w:val="18"/>
                <w:lang w:val="pt-BR"/>
              </w:rPr>
              <w:t xml:space="preserve"> Pleosporaceae</w:t>
            </w:r>
            <w:r w:rsidRPr="00A14583">
              <w:rPr>
                <w:rFonts w:eastAsia="Calibri" w:cs="Times New Roman"/>
                <w:iCs/>
                <w:sz w:val="18"/>
                <w:szCs w:val="18"/>
              </w:rPr>
              <w:t>]</w:t>
            </w:r>
          </w:p>
        </w:tc>
        <w:tc>
          <w:tcPr>
            <w:tcW w:w="1474" w:type="dxa"/>
            <w:shd w:val="clear" w:color="auto" w:fill="auto"/>
          </w:tcPr>
          <w:p w14:paraId="1656A626" w14:textId="77777777" w:rsidR="003438A2" w:rsidRPr="00A14583" w:rsidRDefault="003438A2" w:rsidP="00881E29">
            <w:pPr>
              <w:spacing w:before="60" w:after="60" w:line="240" w:lineRule="auto"/>
              <w:rPr>
                <w:rFonts w:eastAsia="Calibri" w:cs="Times New Roman"/>
                <w:sz w:val="18"/>
                <w:szCs w:val="18"/>
                <w:lang w:val="pt-BR"/>
              </w:rPr>
            </w:pPr>
            <w:r w:rsidRPr="00A14583">
              <w:rPr>
                <w:rFonts w:eastAsia="Calibri" w:cs="Times New Roman"/>
                <w:sz w:val="18"/>
                <w:szCs w:val="18"/>
                <w:lang w:val="pt-BR"/>
              </w:rPr>
              <w:t xml:space="preserve">Yes. </w:t>
            </w:r>
            <w:r>
              <w:rPr>
                <w:rFonts w:eastAsia="Calibri" w:cs="Times New Roman"/>
                <w:sz w:val="18"/>
                <w:szCs w:val="18"/>
                <w:lang w:val="pt-BR"/>
              </w:rPr>
              <w:t xml:space="preserve">Present in </w:t>
            </w:r>
            <w:r w:rsidRPr="00A14583">
              <w:rPr>
                <w:rFonts w:eastAsia="Calibri" w:cs="Times New Roman"/>
                <w:sz w:val="18"/>
                <w:szCs w:val="18"/>
                <w:lang w:val="pt-BR"/>
              </w:rPr>
              <w:t xml:space="preserve">WA </w:t>
            </w:r>
            <w:r>
              <w:rPr>
                <w:rFonts w:eastAsia="Calibri" w:cs="Times New Roman"/>
                <w:noProof/>
                <w:sz w:val="18"/>
                <w:szCs w:val="18"/>
                <w:lang w:val="pt-BR"/>
              </w:rPr>
              <w:t>(Farr &amp; Rossman 2018; Glawe 2009)</w:t>
            </w:r>
          </w:p>
        </w:tc>
        <w:tc>
          <w:tcPr>
            <w:tcW w:w="1474" w:type="dxa"/>
            <w:shd w:val="clear" w:color="auto" w:fill="auto"/>
          </w:tcPr>
          <w:p w14:paraId="1530C950" w14:textId="77777777" w:rsidR="003438A2" w:rsidRPr="00A14583" w:rsidRDefault="003438A2" w:rsidP="00881E29">
            <w:pPr>
              <w:spacing w:before="60" w:after="60" w:line="240" w:lineRule="auto"/>
              <w:rPr>
                <w:rFonts w:eastAsia="Calibri" w:cs="Times New Roman"/>
                <w:sz w:val="18"/>
                <w:szCs w:val="18"/>
              </w:rPr>
            </w:pPr>
            <w:r w:rsidRPr="00A14583">
              <w:rPr>
                <w:rFonts w:eastAsia="Calibri" w:cs="Times New Roman"/>
                <w:sz w:val="18"/>
                <w:szCs w:val="18"/>
              </w:rPr>
              <w:t>No records found</w:t>
            </w:r>
          </w:p>
        </w:tc>
        <w:tc>
          <w:tcPr>
            <w:tcW w:w="2552" w:type="dxa"/>
            <w:shd w:val="clear" w:color="auto" w:fill="auto"/>
          </w:tcPr>
          <w:p w14:paraId="0BA7BCCF" w14:textId="77777777" w:rsidR="003438A2" w:rsidRPr="00A14583" w:rsidRDefault="003438A2" w:rsidP="00881E29">
            <w:pPr>
              <w:spacing w:before="60" w:after="60" w:line="240" w:lineRule="auto"/>
              <w:rPr>
                <w:rFonts w:eastAsia="Calibri" w:cs="Times New Roman"/>
                <w:sz w:val="18"/>
                <w:szCs w:val="18"/>
              </w:rPr>
            </w:pPr>
            <w:r w:rsidRPr="00A14583">
              <w:rPr>
                <w:rFonts w:eastAsia="Calibri" w:cs="Times New Roman"/>
                <w:sz w:val="18"/>
                <w:szCs w:val="18"/>
              </w:rPr>
              <w:t>No. Limited information available. All reports of this pest on apple in the</w:t>
            </w:r>
            <w:r>
              <w:rPr>
                <w:rFonts w:eastAsia="Calibri" w:cs="Times New Roman"/>
                <w:sz w:val="18"/>
                <w:szCs w:val="18"/>
              </w:rPr>
              <w:t xml:space="preserve"> USA </w:t>
            </w:r>
            <w:r w:rsidRPr="00A14583">
              <w:rPr>
                <w:rFonts w:eastAsia="Calibri" w:cs="Times New Roman"/>
                <w:sz w:val="18"/>
                <w:szCs w:val="18"/>
              </w:rPr>
              <w:t>appear to be based on a</w:t>
            </w:r>
            <w:r>
              <w:rPr>
                <w:rFonts w:eastAsia="Calibri" w:cs="Times New Roman"/>
                <w:sz w:val="18"/>
                <w:szCs w:val="18"/>
              </w:rPr>
              <w:t>n</w:t>
            </w:r>
            <w:r w:rsidRPr="00A14583">
              <w:rPr>
                <w:rFonts w:eastAsia="Calibri" w:cs="Times New Roman"/>
                <w:sz w:val="18"/>
                <w:szCs w:val="18"/>
              </w:rPr>
              <w:t xml:space="preserve"> original description </w:t>
            </w:r>
            <w:r>
              <w:rPr>
                <w:rFonts w:eastAsia="Calibri" w:cs="Times New Roman"/>
                <w:noProof/>
                <w:sz w:val="18"/>
                <w:szCs w:val="18"/>
              </w:rPr>
              <w:t>(Goetz &amp; Dugan 2006)</w:t>
            </w:r>
            <w:r w:rsidRPr="00A14583">
              <w:rPr>
                <w:rFonts w:eastAsia="Calibri" w:cs="Times New Roman"/>
                <w:sz w:val="18"/>
                <w:szCs w:val="18"/>
              </w:rPr>
              <w:t xml:space="preserve">. This pest (as the name </w:t>
            </w:r>
            <w:r w:rsidRPr="00A14583">
              <w:rPr>
                <w:rFonts w:eastAsia="Calibri" w:cs="Times New Roman"/>
                <w:i/>
                <w:sz w:val="18"/>
                <w:szCs w:val="18"/>
              </w:rPr>
              <w:t>Cladosporium malorum</w:t>
            </w:r>
            <w:r w:rsidRPr="00A14583">
              <w:rPr>
                <w:rFonts w:eastAsia="Calibri" w:cs="Times New Roman"/>
                <w:sz w:val="18"/>
                <w:szCs w:val="18"/>
              </w:rPr>
              <w:t>) was among the 1</w:t>
            </w:r>
            <w:r>
              <w:rPr>
                <w:rFonts w:eastAsia="Calibri" w:cs="Times New Roman"/>
                <w:sz w:val="18"/>
                <w:szCs w:val="18"/>
              </w:rPr>
              <w:t>,</w:t>
            </w:r>
            <w:r w:rsidRPr="00A14583">
              <w:rPr>
                <w:rFonts w:eastAsia="Calibri" w:cs="Times New Roman"/>
                <w:sz w:val="18"/>
                <w:szCs w:val="18"/>
              </w:rPr>
              <w:t xml:space="preserve">118 isolations from the lesions of stored Washington apples which were studied by </w:t>
            </w:r>
            <w:r>
              <w:rPr>
                <w:rFonts w:eastAsia="Calibri" w:cs="Times New Roman"/>
                <w:sz w:val="18"/>
                <w:szCs w:val="18"/>
              </w:rPr>
              <w:t xml:space="preserve">Ruehle </w:t>
            </w:r>
            <w:r>
              <w:rPr>
                <w:rFonts w:eastAsia="Calibri" w:cs="Times New Roman"/>
                <w:noProof/>
                <w:sz w:val="18"/>
                <w:szCs w:val="18"/>
              </w:rPr>
              <w:t>(1931)</w:t>
            </w:r>
            <w:r w:rsidRPr="00A14583">
              <w:rPr>
                <w:rFonts w:eastAsia="Calibri" w:cs="Times New Roman"/>
                <w:sz w:val="18"/>
                <w:szCs w:val="18"/>
              </w:rPr>
              <w:t xml:space="preserve">. Inoculation tests indicated that </w:t>
            </w:r>
            <w:r w:rsidRPr="00A14583">
              <w:rPr>
                <w:rFonts w:eastAsia="Calibri" w:cs="Times New Roman"/>
                <w:i/>
                <w:sz w:val="18"/>
                <w:szCs w:val="18"/>
              </w:rPr>
              <w:t>Cladosporium malorum</w:t>
            </w:r>
            <w:r w:rsidRPr="00A14583">
              <w:rPr>
                <w:rFonts w:eastAsia="Calibri" w:cs="Times New Roman"/>
                <w:sz w:val="18"/>
                <w:szCs w:val="18"/>
              </w:rPr>
              <w:t xml:space="preserve"> was capable of causing decay in apple </w:t>
            </w:r>
            <w:r>
              <w:rPr>
                <w:rFonts w:eastAsia="Calibri" w:cs="Times New Roman"/>
                <w:noProof/>
                <w:sz w:val="18"/>
                <w:szCs w:val="18"/>
              </w:rPr>
              <w:t>(Ruehle 1931)</w:t>
            </w:r>
            <w:r w:rsidRPr="00A14583">
              <w:rPr>
                <w:rFonts w:eastAsia="Calibri" w:cs="Times New Roman"/>
                <w:sz w:val="18"/>
                <w:szCs w:val="18"/>
              </w:rPr>
              <w:t>. Lack of recent records and the lack of information suggests that this pathogen is not an important pest of apple in the</w:t>
            </w:r>
            <w:r>
              <w:rPr>
                <w:rFonts w:eastAsia="Calibri" w:cs="Times New Roman"/>
                <w:sz w:val="18"/>
                <w:szCs w:val="18"/>
              </w:rPr>
              <w:t xml:space="preserve"> USA.</w:t>
            </w:r>
          </w:p>
        </w:tc>
        <w:tc>
          <w:tcPr>
            <w:tcW w:w="2381" w:type="dxa"/>
            <w:shd w:val="clear" w:color="auto" w:fill="auto"/>
          </w:tcPr>
          <w:p w14:paraId="3D031443" w14:textId="77777777" w:rsidR="003438A2" w:rsidRPr="00A14583" w:rsidRDefault="003438A2" w:rsidP="00881E29">
            <w:pPr>
              <w:spacing w:before="60" w:after="60" w:line="240" w:lineRule="auto"/>
              <w:rPr>
                <w:rFonts w:eastAsia="Calibri" w:cs="Times New Roman"/>
                <w:sz w:val="18"/>
                <w:szCs w:val="18"/>
              </w:rPr>
            </w:pPr>
            <w:r w:rsidRPr="00A14583">
              <w:rPr>
                <w:rFonts w:eastAsia="Calibri" w:cs="Times New Roman"/>
                <w:sz w:val="18"/>
                <w:szCs w:val="18"/>
              </w:rPr>
              <w:t>Assessment not required</w:t>
            </w:r>
          </w:p>
        </w:tc>
        <w:tc>
          <w:tcPr>
            <w:tcW w:w="2211" w:type="dxa"/>
            <w:shd w:val="clear" w:color="auto" w:fill="auto"/>
          </w:tcPr>
          <w:p w14:paraId="3A2D179F" w14:textId="77777777" w:rsidR="003438A2" w:rsidRPr="00A14583" w:rsidRDefault="003438A2" w:rsidP="00881E29">
            <w:pPr>
              <w:spacing w:before="60" w:after="60" w:line="240" w:lineRule="auto"/>
              <w:rPr>
                <w:rFonts w:eastAsia="Calibri" w:cs="Times New Roman"/>
                <w:sz w:val="18"/>
                <w:szCs w:val="18"/>
              </w:rPr>
            </w:pPr>
            <w:r w:rsidRPr="00A14583">
              <w:rPr>
                <w:rFonts w:eastAsia="Calibri" w:cs="Times New Roman"/>
                <w:sz w:val="18"/>
                <w:szCs w:val="18"/>
              </w:rPr>
              <w:t>Assessment not required</w:t>
            </w:r>
          </w:p>
        </w:tc>
        <w:tc>
          <w:tcPr>
            <w:tcW w:w="1191" w:type="dxa"/>
            <w:shd w:val="clear" w:color="auto" w:fill="auto"/>
          </w:tcPr>
          <w:p w14:paraId="6EEFFAF6" w14:textId="77777777" w:rsidR="003438A2" w:rsidRPr="00EA4704" w:rsidRDefault="003438A2" w:rsidP="00881E29">
            <w:pPr>
              <w:spacing w:before="60" w:after="60" w:line="240" w:lineRule="auto"/>
              <w:rPr>
                <w:rFonts w:eastAsia="Calibri" w:cs="Times New Roman"/>
                <w:sz w:val="18"/>
                <w:szCs w:val="18"/>
              </w:rPr>
            </w:pPr>
            <w:r w:rsidRPr="00A14583">
              <w:rPr>
                <w:rFonts w:eastAsia="Calibri" w:cs="Times New Roman"/>
                <w:sz w:val="18"/>
                <w:szCs w:val="18"/>
              </w:rPr>
              <w:t>No</w:t>
            </w:r>
          </w:p>
        </w:tc>
      </w:tr>
      <w:tr w:rsidR="003438A2" w:rsidRPr="00EA4704" w14:paraId="24E95006" w14:textId="77777777" w:rsidTr="00C4199F">
        <w:trPr>
          <w:cantSplit/>
          <w:trHeight w:val="75"/>
          <w:jc w:val="center"/>
        </w:trPr>
        <w:tc>
          <w:tcPr>
            <w:tcW w:w="2553" w:type="dxa"/>
            <w:shd w:val="clear" w:color="auto" w:fill="auto"/>
          </w:tcPr>
          <w:p w14:paraId="2D7BB7B0" w14:textId="77777777" w:rsidR="003438A2" w:rsidRPr="00EA4704" w:rsidRDefault="003438A2" w:rsidP="00881E29">
            <w:pPr>
              <w:spacing w:before="60" w:after="60" w:line="240" w:lineRule="auto"/>
              <w:rPr>
                <w:rFonts w:eastAsia="Calibri" w:cs="Times New Roman"/>
                <w:iCs/>
                <w:sz w:val="18"/>
                <w:szCs w:val="18"/>
              </w:rPr>
            </w:pPr>
            <w:r w:rsidRPr="00EA4704">
              <w:rPr>
                <w:rFonts w:eastAsia="Calibri" w:cs="Times New Roman"/>
                <w:i/>
                <w:iCs/>
                <w:sz w:val="18"/>
                <w:szCs w:val="18"/>
              </w:rPr>
              <w:t xml:space="preserve">Colletotrichum acutatum </w:t>
            </w:r>
            <w:r w:rsidRPr="00EA4704">
              <w:rPr>
                <w:rFonts w:eastAsia="Calibri" w:cs="Times New Roman"/>
                <w:iCs/>
                <w:sz w:val="18"/>
                <w:szCs w:val="18"/>
              </w:rPr>
              <w:t>J.H. Simmonds</w:t>
            </w:r>
          </w:p>
          <w:p w14:paraId="7E42B1B3" w14:textId="77777777" w:rsidR="003438A2" w:rsidRPr="00EA4704" w:rsidRDefault="003438A2" w:rsidP="00881E29">
            <w:pPr>
              <w:spacing w:before="60" w:after="60" w:line="240" w:lineRule="auto"/>
              <w:rPr>
                <w:rFonts w:eastAsia="Calibri" w:cs="Times New Roman"/>
                <w:iCs/>
                <w:sz w:val="18"/>
                <w:szCs w:val="18"/>
              </w:rPr>
            </w:pPr>
            <w:r w:rsidRPr="00EA4704">
              <w:rPr>
                <w:rFonts w:eastAsia="Calibri" w:cs="Times New Roman"/>
                <w:iCs/>
                <w:sz w:val="18"/>
                <w:szCs w:val="18"/>
              </w:rPr>
              <w:t>[</w:t>
            </w:r>
            <w:r w:rsidRPr="00EA4704">
              <w:rPr>
                <w:rFonts w:eastAsia="Calibri" w:cs="Times New Roman"/>
                <w:sz w:val="18"/>
                <w:szCs w:val="18"/>
              </w:rPr>
              <w:t>Glomerellales:</w:t>
            </w:r>
            <w:r w:rsidRPr="00EA4704">
              <w:rPr>
                <w:rFonts w:eastAsia="Calibri" w:cs="Times New Roman"/>
                <w:iCs/>
                <w:sz w:val="18"/>
                <w:szCs w:val="18"/>
              </w:rPr>
              <w:t xml:space="preserve"> Glomerellaceae]</w:t>
            </w:r>
          </w:p>
          <w:p w14:paraId="5FA82D44" w14:textId="77777777" w:rsidR="003438A2" w:rsidRPr="00EA4704" w:rsidRDefault="003438A2" w:rsidP="00881E29">
            <w:pPr>
              <w:spacing w:before="60" w:after="60" w:line="240" w:lineRule="auto"/>
              <w:rPr>
                <w:rFonts w:eastAsia="Calibri" w:cs="Times New Roman"/>
                <w:i/>
                <w:iCs/>
                <w:sz w:val="18"/>
                <w:szCs w:val="18"/>
              </w:rPr>
            </w:pPr>
            <w:r w:rsidRPr="00EA4704">
              <w:rPr>
                <w:rFonts w:eastAsia="Calibri" w:cs="Times New Roman"/>
                <w:iCs/>
                <w:sz w:val="18"/>
                <w:szCs w:val="18"/>
              </w:rPr>
              <w:t>Anthracnose</w:t>
            </w:r>
          </w:p>
        </w:tc>
        <w:tc>
          <w:tcPr>
            <w:tcW w:w="1474" w:type="dxa"/>
            <w:shd w:val="clear" w:color="auto" w:fill="auto"/>
          </w:tcPr>
          <w:p w14:paraId="51DD72AD" w14:textId="77777777" w:rsidR="003438A2" w:rsidRPr="00EA4704" w:rsidRDefault="003438A2" w:rsidP="00881E29">
            <w:pPr>
              <w:spacing w:before="60" w:after="60" w:line="240" w:lineRule="auto"/>
              <w:rPr>
                <w:rFonts w:eastAsia="Calibri" w:cs="Times New Roman"/>
                <w:sz w:val="18"/>
                <w:szCs w:val="18"/>
                <w:lang w:val="pt-BR"/>
              </w:rPr>
            </w:pPr>
            <w:r w:rsidRPr="00EA4704">
              <w:rPr>
                <w:rFonts w:eastAsia="Calibri" w:cs="Times New Roman"/>
                <w:sz w:val="18"/>
                <w:szCs w:val="18"/>
                <w:lang w:val="pt-BR"/>
              </w:rPr>
              <w:t xml:space="preserve">Yes. </w:t>
            </w:r>
            <w:r>
              <w:rPr>
                <w:rFonts w:eastAsia="Calibri" w:cs="Times New Roman"/>
                <w:sz w:val="18"/>
                <w:szCs w:val="18"/>
                <w:lang w:val="pt-BR"/>
              </w:rPr>
              <w:t xml:space="preserve">Present in WA. Also present in </w:t>
            </w:r>
            <w:r w:rsidRPr="00EA4704">
              <w:rPr>
                <w:rFonts w:eastAsia="Calibri" w:cs="Times New Roman"/>
                <w:sz w:val="18"/>
                <w:szCs w:val="18"/>
                <w:lang w:val="pt-BR"/>
              </w:rPr>
              <w:t>AL,</w:t>
            </w:r>
            <w:r>
              <w:rPr>
                <w:rFonts w:eastAsia="Calibri" w:cs="Times New Roman"/>
                <w:sz w:val="18"/>
                <w:szCs w:val="18"/>
                <w:lang w:val="pt-BR"/>
              </w:rPr>
              <w:t xml:space="preserve"> </w:t>
            </w:r>
            <w:r w:rsidRPr="00EA4704">
              <w:rPr>
                <w:rFonts w:eastAsia="Calibri" w:cs="Times New Roman"/>
                <w:sz w:val="18"/>
                <w:szCs w:val="18"/>
                <w:lang w:val="pt-BR"/>
              </w:rPr>
              <w:t>AR, CA, CT, FL, GA, KY, LA, MD, MA, MI, MS, MO,</w:t>
            </w:r>
            <w:r>
              <w:rPr>
                <w:rFonts w:eastAsia="Calibri" w:cs="Times New Roman"/>
                <w:sz w:val="18"/>
                <w:szCs w:val="18"/>
                <w:lang w:val="pt-BR"/>
              </w:rPr>
              <w:t xml:space="preserve"> </w:t>
            </w:r>
            <w:r w:rsidRPr="00EA4704">
              <w:rPr>
                <w:rFonts w:eastAsia="Calibri" w:cs="Times New Roman"/>
                <w:sz w:val="18"/>
                <w:szCs w:val="18"/>
                <w:lang w:val="pt-BR"/>
              </w:rPr>
              <w:t>NC, NM, NY, OH, OK, PA, RI, SC, TN</w:t>
            </w:r>
            <w:r>
              <w:rPr>
                <w:rFonts w:eastAsia="Calibri" w:cs="Times New Roman"/>
                <w:sz w:val="18"/>
                <w:szCs w:val="18"/>
                <w:lang w:val="pt-BR"/>
              </w:rPr>
              <w:t xml:space="preserve"> and </w:t>
            </w:r>
            <w:r w:rsidRPr="00EA4704">
              <w:rPr>
                <w:rFonts w:eastAsia="Calibri" w:cs="Times New Roman"/>
                <w:sz w:val="18"/>
                <w:szCs w:val="18"/>
                <w:lang w:val="pt-BR"/>
              </w:rPr>
              <w:t>VA</w:t>
            </w:r>
            <w:r>
              <w:rPr>
                <w:rFonts w:eastAsia="Calibri" w:cs="Times New Roman"/>
                <w:sz w:val="18"/>
                <w:szCs w:val="18"/>
                <w:lang w:val="pt-BR"/>
              </w:rPr>
              <w:t xml:space="preserve"> </w:t>
            </w:r>
            <w:r>
              <w:rPr>
                <w:rFonts w:eastAsia="Calibri" w:cs="Times New Roman"/>
                <w:noProof/>
                <w:sz w:val="18"/>
                <w:szCs w:val="18"/>
                <w:lang w:val="pt-BR"/>
              </w:rPr>
              <w:t>(CABI 2019; EPPO 2018; Farr &amp; Rossman 2018)</w:t>
            </w:r>
          </w:p>
        </w:tc>
        <w:tc>
          <w:tcPr>
            <w:tcW w:w="1474" w:type="dxa"/>
            <w:shd w:val="clear" w:color="auto" w:fill="auto"/>
          </w:tcPr>
          <w:p w14:paraId="3785430C"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 xml:space="preserve">Yes. NSW, Qld, SA, Vic., WA </w:t>
            </w:r>
            <w:r>
              <w:rPr>
                <w:rFonts w:eastAsia="Calibri" w:cs="Times New Roman"/>
                <w:noProof/>
                <w:sz w:val="18"/>
                <w:szCs w:val="18"/>
              </w:rPr>
              <w:t>(Plant Health Australia 2018)</w:t>
            </w:r>
            <w:r w:rsidRPr="00EA4704">
              <w:rPr>
                <w:rFonts w:eastAsia="Calibri" w:cs="Times New Roman"/>
                <w:sz w:val="18"/>
                <w:szCs w:val="18"/>
              </w:rPr>
              <w:t xml:space="preserve">, Tas. </w:t>
            </w:r>
            <w:r>
              <w:rPr>
                <w:rFonts w:eastAsia="Calibri" w:cs="Times New Roman"/>
                <w:noProof/>
                <w:sz w:val="18"/>
                <w:szCs w:val="18"/>
              </w:rPr>
              <w:t>(Yuan 2017)</w:t>
            </w:r>
          </w:p>
        </w:tc>
        <w:tc>
          <w:tcPr>
            <w:tcW w:w="2552" w:type="dxa"/>
            <w:shd w:val="clear" w:color="auto" w:fill="auto"/>
          </w:tcPr>
          <w:p w14:paraId="0E69E1EE" w14:textId="77777777" w:rsidR="003438A2" w:rsidRPr="00EA4704" w:rsidRDefault="003438A2" w:rsidP="00881E29">
            <w:pPr>
              <w:spacing w:before="60" w:after="60" w:line="240" w:lineRule="auto"/>
              <w:rPr>
                <w:rFonts w:eastAsia="Calibri" w:cs="Times New Roman"/>
                <w:sz w:val="18"/>
                <w:szCs w:val="18"/>
              </w:rPr>
            </w:pPr>
            <w:r>
              <w:rPr>
                <w:rFonts w:eastAsia="Calibri" w:cs="Times New Roman"/>
                <w:sz w:val="18"/>
                <w:szCs w:val="18"/>
              </w:rPr>
              <w:t>Assessment not required</w:t>
            </w:r>
          </w:p>
        </w:tc>
        <w:tc>
          <w:tcPr>
            <w:tcW w:w="2381" w:type="dxa"/>
            <w:shd w:val="clear" w:color="auto" w:fill="auto"/>
          </w:tcPr>
          <w:p w14:paraId="0F0D0E47"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2211" w:type="dxa"/>
            <w:shd w:val="clear" w:color="auto" w:fill="auto"/>
          </w:tcPr>
          <w:p w14:paraId="02E970B8"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1191" w:type="dxa"/>
            <w:shd w:val="clear" w:color="auto" w:fill="auto"/>
          </w:tcPr>
          <w:p w14:paraId="5095FBCA"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w:t>
            </w:r>
          </w:p>
        </w:tc>
      </w:tr>
      <w:tr w:rsidR="003438A2" w:rsidRPr="00EA4704" w14:paraId="5A73E0AE" w14:textId="77777777" w:rsidTr="00C4199F">
        <w:trPr>
          <w:cantSplit/>
          <w:trHeight w:val="75"/>
          <w:jc w:val="center"/>
        </w:trPr>
        <w:tc>
          <w:tcPr>
            <w:tcW w:w="2553" w:type="dxa"/>
            <w:shd w:val="clear" w:color="auto" w:fill="auto"/>
          </w:tcPr>
          <w:p w14:paraId="25AFC648" w14:textId="77777777" w:rsidR="003438A2" w:rsidRPr="00EA4704" w:rsidRDefault="003438A2" w:rsidP="00881E29">
            <w:pPr>
              <w:spacing w:before="60" w:after="60" w:line="240" w:lineRule="auto"/>
              <w:rPr>
                <w:rFonts w:eastAsia="Calibri" w:cs="Times New Roman"/>
                <w:i/>
                <w:iCs/>
                <w:sz w:val="18"/>
                <w:szCs w:val="18"/>
              </w:rPr>
            </w:pPr>
            <w:r w:rsidRPr="00EA4704">
              <w:rPr>
                <w:rFonts w:eastAsia="Calibri" w:cs="Times New Roman"/>
                <w:i/>
                <w:iCs/>
                <w:sz w:val="18"/>
                <w:szCs w:val="18"/>
              </w:rPr>
              <w:lastRenderedPageBreak/>
              <w:t xml:space="preserve">Colletotrichum gloeosporioides </w:t>
            </w:r>
            <w:r w:rsidRPr="00EA4704">
              <w:rPr>
                <w:rFonts w:eastAsia="Calibri" w:cs="Times New Roman"/>
                <w:iCs/>
                <w:sz w:val="18"/>
                <w:szCs w:val="18"/>
              </w:rPr>
              <w:t>(Penz.) Penz. &amp; Sacc.</w:t>
            </w:r>
          </w:p>
          <w:p w14:paraId="6356724C" w14:textId="77777777" w:rsidR="003438A2" w:rsidRPr="00EA4704" w:rsidRDefault="003438A2" w:rsidP="00881E29">
            <w:pPr>
              <w:spacing w:before="60" w:after="60" w:line="240" w:lineRule="auto"/>
              <w:rPr>
                <w:rFonts w:eastAsia="Calibri" w:cs="Times New Roman"/>
                <w:iCs/>
                <w:sz w:val="18"/>
                <w:szCs w:val="18"/>
              </w:rPr>
            </w:pPr>
            <w:r w:rsidRPr="00EA4704">
              <w:rPr>
                <w:rFonts w:eastAsia="Calibri" w:cs="Times New Roman"/>
                <w:iCs/>
                <w:sz w:val="18"/>
                <w:szCs w:val="18"/>
              </w:rPr>
              <w:t>[</w:t>
            </w:r>
            <w:r w:rsidRPr="00EA4704">
              <w:rPr>
                <w:rFonts w:eastAsia="Calibri" w:cs="Times New Roman"/>
                <w:sz w:val="18"/>
                <w:szCs w:val="18"/>
              </w:rPr>
              <w:t>Glomerellales:</w:t>
            </w:r>
            <w:r w:rsidRPr="00EA4704">
              <w:rPr>
                <w:rFonts w:eastAsia="Calibri" w:cs="Times New Roman"/>
                <w:iCs/>
                <w:sz w:val="18"/>
                <w:szCs w:val="18"/>
              </w:rPr>
              <w:t xml:space="preserve"> Glomerellaceae]</w:t>
            </w:r>
          </w:p>
          <w:p w14:paraId="066BCC04" w14:textId="77777777" w:rsidR="003438A2" w:rsidRPr="00EA4704" w:rsidRDefault="003438A2" w:rsidP="00881E29">
            <w:pPr>
              <w:spacing w:before="60" w:after="60" w:line="240" w:lineRule="auto"/>
              <w:rPr>
                <w:rFonts w:eastAsia="Calibri" w:cs="Times New Roman"/>
                <w:i/>
                <w:iCs/>
                <w:sz w:val="18"/>
                <w:szCs w:val="18"/>
              </w:rPr>
            </w:pPr>
            <w:r w:rsidRPr="00EA4704">
              <w:rPr>
                <w:rFonts w:eastAsia="Calibri" w:cs="Times New Roman"/>
                <w:iCs/>
                <w:sz w:val="18"/>
                <w:szCs w:val="18"/>
              </w:rPr>
              <w:t>Anthracnose; bitter rot</w:t>
            </w:r>
          </w:p>
        </w:tc>
        <w:tc>
          <w:tcPr>
            <w:tcW w:w="1474" w:type="dxa"/>
            <w:shd w:val="clear" w:color="auto" w:fill="auto"/>
          </w:tcPr>
          <w:p w14:paraId="707E7956" w14:textId="77777777" w:rsidR="003438A2" w:rsidRPr="00EA4704" w:rsidRDefault="003438A2" w:rsidP="00881E29">
            <w:pPr>
              <w:spacing w:before="60" w:after="60" w:line="240" w:lineRule="auto"/>
              <w:rPr>
                <w:rFonts w:eastAsia="Calibri" w:cs="Times New Roman"/>
                <w:sz w:val="18"/>
                <w:szCs w:val="18"/>
                <w:lang w:val="pt-BR"/>
              </w:rPr>
            </w:pPr>
            <w:r w:rsidRPr="00EA4704">
              <w:rPr>
                <w:rFonts w:eastAsia="Calibri" w:cs="Times New Roman"/>
                <w:sz w:val="18"/>
                <w:szCs w:val="18"/>
                <w:lang w:val="pt-BR"/>
              </w:rPr>
              <w:t xml:space="preserve">Yes. </w:t>
            </w:r>
            <w:r>
              <w:rPr>
                <w:rFonts w:eastAsia="Calibri" w:cs="Times New Roman"/>
                <w:sz w:val="18"/>
                <w:szCs w:val="18"/>
                <w:lang w:val="pt-BR"/>
              </w:rPr>
              <w:t xml:space="preserve">Present in OR. Also present in </w:t>
            </w:r>
            <w:r w:rsidRPr="00EA4704">
              <w:rPr>
                <w:rFonts w:eastAsia="Calibri" w:cs="Times New Roman"/>
                <w:sz w:val="18"/>
                <w:szCs w:val="18"/>
                <w:lang w:val="pt-BR"/>
              </w:rPr>
              <w:t>AR, KY, NC</w:t>
            </w:r>
            <w:r>
              <w:rPr>
                <w:rFonts w:eastAsia="Calibri" w:cs="Times New Roman"/>
                <w:sz w:val="18"/>
                <w:szCs w:val="18"/>
                <w:lang w:val="pt-BR"/>
              </w:rPr>
              <w:t xml:space="preserve"> and</w:t>
            </w:r>
            <w:r w:rsidRPr="00EA4704">
              <w:rPr>
                <w:rFonts w:eastAsia="Calibri" w:cs="Times New Roman"/>
                <w:sz w:val="18"/>
                <w:szCs w:val="18"/>
                <w:lang w:val="pt-BR"/>
              </w:rPr>
              <w:t xml:space="preserve"> RI</w:t>
            </w:r>
            <w:r>
              <w:rPr>
                <w:rFonts w:eastAsia="Calibri" w:cs="Times New Roman"/>
                <w:sz w:val="18"/>
                <w:szCs w:val="18"/>
                <w:lang w:val="pt-BR"/>
              </w:rPr>
              <w:t xml:space="preserve"> </w:t>
            </w:r>
            <w:r>
              <w:rPr>
                <w:rFonts w:eastAsia="Times New Roman" w:cs="Calibri"/>
                <w:noProof/>
                <w:color w:val="000000"/>
                <w:sz w:val="18"/>
                <w:szCs w:val="18"/>
                <w:lang w:eastAsia="en-AU"/>
              </w:rPr>
              <w:t>(Farr &amp; Rossman 2021)</w:t>
            </w:r>
          </w:p>
        </w:tc>
        <w:tc>
          <w:tcPr>
            <w:tcW w:w="1474" w:type="dxa"/>
            <w:shd w:val="clear" w:color="auto" w:fill="auto"/>
          </w:tcPr>
          <w:p w14:paraId="3F01C7D0"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 xml:space="preserve">Yes. ACT, NSW, NT, Qld, SA, Tas. Vic., WA </w:t>
            </w:r>
            <w:r>
              <w:rPr>
                <w:rFonts w:eastAsia="Calibri" w:cs="Times New Roman"/>
                <w:noProof/>
                <w:sz w:val="18"/>
                <w:szCs w:val="18"/>
              </w:rPr>
              <w:t>(Plant Health Australia 2018; Sampson &amp; Walker 1982)</w:t>
            </w:r>
          </w:p>
        </w:tc>
        <w:tc>
          <w:tcPr>
            <w:tcW w:w="2552" w:type="dxa"/>
            <w:shd w:val="clear" w:color="auto" w:fill="auto"/>
          </w:tcPr>
          <w:p w14:paraId="425B3BDF"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2381" w:type="dxa"/>
            <w:shd w:val="clear" w:color="auto" w:fill="auto"/>
          </w:tcPr>
          <w:p w14:paraId="4114B486"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2211" w:type="dxa"/>
            <w:shd w:val="clear" w:color="auto" w:fill="auto"/>
          </w:tcPr>
          <w:p w14:paraId="525E62B4"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1191" w:type="dxa"/>
            <w:shd w:val="clear" w:color="auto" w:fill="auto"/>
          </w:tcPr>
          <w:p w14:paraId="09FD6E0F"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w:t>
            </w:r>
          </w:p>
        </w:tc>
      </w:tr>
      <w:tr w:rsidR="003438A2" w:rsidRPr="00EA4704" w14:paraId="4C4D71EA" w14:textId="77777777" w:rsidTr="00C4199F">
        <w:trPr>
          <w:cantSplit/>
          <w:trHeight w:val="75"/>
          <w:jc w:val="center"/>
        </w:trPr>
        <w:tc>
          <w:tcPr>
            <w:tcW w:w="2553" w:type="dxa"/>
            <w:shd w:val="clear" w:color="auto" w:fill="auto"/>
          </w:tcPr>
          <w:p w14:paraId="2A7F6BFF" w14:textId="77777777" w:rsidR="003438A2" w:rsidRPr="00EA4704" w:rsidRDefault="003438A2" w:rsidP="00881E29">
            <w:pPr>
              <w:spacing w:before="60" w:after="60" w:line="240" w:lineRule="auto"/>
              <w:rPr>
                <w:rFonts w:eastAsia="Calibri" w:cs="Times New Roman"/>
                <w:sz w:val="18"/>
                <w:szCs w:val="18"/>
                <w:lang w:val="pt-BR"/>
              </w:rPr>
            </w:pPr>
            <w:r w:rsidRPr="00EA4704">
              <w:rPr>
                <w:rFonts w:eastAsia="Calibri" w:cs="Times New Roman"/>
                <w:i/>
                <w:sz w:val="18"/>
                <w:szCs w:val="18"/>
                <w:lang w:val="pt-BR"/>
              </w:rPr>
              <w:t>Coniothyrium convolutum</w:t>
            </w:r>
            <w:r w:rsidRPr="00EA4704">
              <w:rPr>
                <w:rFonts w:eastAsia="Calibri" w:cs="Times New Roman"/>
                <w:sz w:val="18"/>
                <w:szCs w:val="18"/>
                <w:lang w:val="pt-BR"/>
              </w:rPr>
              <w:t xml:space="preserve"> W.T. Horne</w:t>
            </w:r>
          </w:p>
          <w:p w14:paraId="755EE7FB" w14:textId="77777777" w:rsidR="003438A2" w:rsidRPr="00EA4704" w:rsidRDefault="003438A2" w:rsidP="00881E29">
            <w:pPr>
              <w:spacing w:before="60" w:after="60" w:line="240" w:lineRule="auto"/>
              <w:rPr>
                <w:rFonts w:eastAsia="Calibri" w:cs="Times New Roman"/>
                <w:sz w:val="18"/>
                <w:szCs w:val="18"/>
                <w:lang w:val="pt-BR"/>
              </w:rPr>
            </w:pPr>
            <w:r w:rsidRPr="00EA4704">
              <w:rPr>
                <w:rFonts w:eastAsia="Calibri" w:cs="Times New Roman"/>
                <w:sz w:val="18"/>
                <w:szCs w:val="18"/>
                <w:lang w:val="pt-BR"/>
              </w:rPr>
              <w:t>[</w:t>
            </w:r>
            <w:r w:rsidRPr="00EA4704">
              <w:rPr>
                <w:rFonts w:eastAsia="Calibri" w:cs="Times New Roman"/>
                <w:sz w:val="18"/>
              </w:rPr>
              <w:t>Pleosporales:</w:t>
            </w:r>
            <w:r w:rsidRPr="00EA4704">
              <w:rPr>
                <w:rFonts w:eastAsia="Calibri" w:cs="Times New Roman"/>
                <w:sz w:val="18"/>
                <w:szCs w:val="18"/>
                <w:lang w:val="pt-BR"/>
              </w:rPr>
              <w:t xml:space="preserve"> Coniothyriaceae] </w:t>
            </w:r>
          </w:p>
        </w:tc>
        <w:tc>
          <w:tcPr>
            <w:tcW w:w="1474" w:type="dxa"/>
            <w:shd w:val="clear" w:color="auto" w:fill="auto"/>
          </w:tcPr>
          <w:p w14:paraId="54F679EC" w14:textId="77777777" w:rsidR="003438A2" w:rsidRPr="00EA4704" w:rsidRDefault="003438A2" w:rsidP="00881E29">
            <w:pPr>
              <w:spacing w:before="60" w:after="60" w:line="240" w:lineRule="auto"/>
              <w:rPr>
                <w:rFonts w:eastAsia="Calibri" w:cs="Times New Roman"/>
                <w:sz w:val="18"/>
                <w:szCs w:val="18"/>
                <w:lang w:val="pt-BR"/>
              </w:rPr>
            </w:pPr>
            <w:r w:rsidRPr="00EA4704">
              <w:rPr>
                <w:rFonts w:eastAsia="Calibri" w:cs="Times New Roman"/>
                <w:sz w:val="18"/>
                <w:szCs w:val="18"/>
                <w:lang w:val="pt-BR"/>
              </w:rPr>
              <w:t xml:space="preserve">Yes. </w:t>
            </w:r>
            <w:r>
              <w:rPr>
                <w:rFonts w:eastAsia="Calibri" w:cs="Times New Roman"/>
                <w:sz w:val="18"/>
                <w:szCs w:val="18"/>
                <w:lang w:val="pt-BR"/>
              </w:rPr>
              <w:t xml:space="preserve">Present in </w:t>
            </w:r>
            <w:r w:rsidRPr="00EA4704">
              <w:rPr>
                <w:rFonts w:eastAsia="Calibri" w:cs="Times New Roman"/>
                <w:sz w:val="18"/>
                <w:szCs w:val="18"/>
                <w:lang w:val="pt-BR"/>
              </w:rPr>
              <w:t xml:space="preserve">WA </w:t>
            </w:r>
            <w:r>
              <w:rPr>
                <w:rFonts w:eastAsia="Calibri" w:cs="Times New Roman"/>
                <w:noProof/>
                <w:sz w:val="18"/>
                <w:szCs w:val="18"/>
                <w:lang w:val="pt-BR"/>
              </w:rPr>
              <w:t>(Shaw 1973)</w:t>
            </w:r>
          </w:p>
        </w:tc>
        <w:tc>
          <w:tcPr>
            <w:tcW w:w="1474" w:type="dxa"/>
            <w:shd w:val="clear" w:color="auto" w:fill="auto"/>
          </w:tcPr>
          <w:p w14:paraId="0EB048C0"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 records found</w:t>
            </w:r>
          </w:p>
        </w:tc>
        <w:tc>
          <w:tcPr>
            <w:tcW w:w="2552" w:type="dxa"/>
            <w:shd w:val="clear" w:color="auto" w:fill="auto"/>
          </w:tcPr>
          <w:p w14:paraId="1BE3A473"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 xml:space="preserve">No. Although </w:t>
            </w:r>
            <w:r w:rsidRPr="00EA4704">
              <w:rPr>
                <w:rFonts w:eastAsia="Calibri" w:cs="Times New Roman"/>
                <w:i/>
                <w:sz w:val="18"/>
                <w:szCs w:val="18"/>
              </w:rPr>
              <w:t>Coniothyrium</w:t>
            </w:r>
            <w:r>
              <w:rPr>
                <w:rFonts w:eastAsia="Calibri" w:cs="Times New Roman"/>
                <w:i/>
                <w:sz w:val="18"/>
                <w:szCs w:val="18"/>
              </w:rPr>
              <w:t xml:space="preserve"> </w:t>
            </w:r>
            <w:r w:rsidRPr="00EA4704">
              <w:rPr>
                <w:rFonts w:eastAsia="Calibri" w:cs="Times New Roman"/>
                <w:i/>
                <w:sz w:val="18"/>
                <w:szCs w:val="18"/>
              </w:rPr>
              <w:t>convolutum</w:t>
            </w:r>
            <w:r w:rsidRPr="00EA4704">
              <w:rPr>
                <w:rFonts w:eastAsia="Calibri" w:cs="Times New Roman"/>
                <w:sz w:val="18"/>
                <w:szCs w:val="18"/>
              </w:rPr>
              <w:t xml:space="preserve"> was reported to be associated with apple fruit in Great Britain </w:t>
            </w:r>
            <w:r>
              <w:rPr>
                <w:rFonts w:eastAsia="Calibri" w:cs="Times New Roman"/>
                <w:noProof/>
                <w:sz w:val="18"/>
                <w:szCs w:val="18"/>
              </w:rPr>
              <w:t>(Horne &amp; Horne 1920)</w:t>
            </w:r>
            <w:r w:rsidRPr="00EA4704">
              <w:rPr>
                <w:rFonts w:eastAsia="Calibri" w:cs="Times New Roman"/>
                <w:sz w:val="18"/>
                <w:szCs w:val="18"/>
              </w:rPr>
              <w:t>, there is only one record of this pest in the US</w:t>
            </w:r>
            <w:r>
              <w:rPr>
                <w:rFonts w:eastAsia="Calibri" w:cs="Times New Roman"/>
                <w:sz w:val="18"/>
                <w:szCs w:val="18"/>
              </w:rPr>
              <w:t xml:space="preserve">A </w:t>
            </w:r>
            <w:r w:rsidRPr="00EA4704">
              <w:rPr>
                <w:rFonts w:eastAsia="Calibri" w:cs="Times New Roman"/>
                <w:sz w:val="18"/>
                <w:szCs w:val="18"/>
              </w:rPr>
              <w:t xml:space="preserve">on </w:t>
            </w:r>
            <w:r w:rsidRPr="00EA4704">
              <w:rPr>
                <w:rFonts w:eastAsia="Calibri" w:cs="Times New Roman"/>
                <w:i/>
                <w:sz w:val="18"/>
                <w:szCs w:val="18"/>
              </w:rPr>
              <w:t>Malus sylvestris</w:t>
            </w:r>
            <w:r w:rsidRPr="00EA4704">
              <w:rPr>
                <w:rFonts w:eastAsia="Calibri" w:cs="Times New Roman"/>
                <w:sz w:val="18"/>
                <w:szCs w:val="18"/>
              </w:rPr>
              <w:t xml:space="preserve"> in Washington </w:t>
            </w:r>
            <w:r>
              <w:rPr>
                <w:rFonts w:eastAsia="Calibri" w:cs="Times New Roman"/>
                <w:noProof/>
                <w:sz w:val="18"/>
                <w:szCs w:val="18"/>
              </w:rPr>
              <w:t>(Shaw 1973)</w:t>
            </w:r>
            <w:r w:rsidRPr="00EA4704">
              <w:rPr>
                <w:rFonts w:eastAsia="Calibri" w:cs="Times New Roman"/>
                <w:sz w:val="18"/>
                <w:szCs w:val="18"/>
              </w:rPr>
              <w:t xml:space="preserve">. This report did not specify if this pest was found on apple fruit. It appeared that </w:t>
            </w:r>
            <w:r>
              <w:rPr>
                <w:rFonts w:eastAsia="Calibri" w:cs="Times New Roman"/>
                <w:noProof/>
                <w:sz w:val="18"/>
                <w:szCs w:val="18"/>
              </w:rPr>
              <w:t>Shaw (1973)</w:t>
            </w:r>
            <w:r w:rsidRPr="00EA4704">
              <w:rPr>
                <w:rFonts w:eastAsia="Calibri" w:cs="Times New Roman"/>
                <w:sz w:val="18"/>
                <w:szCs w:val="18"/>
              </w:rPr>
              <w:t xml:space="preserve"> used the name </w:t>
            </w:r>
            <w:r w:rsidRPr="00EA4704">
              <w:rPr>
                <w:rFonts w:eastAsia="Calibri" w:cs="Times New Roman"/>
                <w:i/>
                <w:sz w:val="18"/>
                <w:szCs w:val="18"/>
              </w:rPr>
              <w:t>M. sylvestris</w:t>
            </w:r>
            <w:r w:rsidRPr="00EA4704">
              <w:rPr>
                <w:rFonts w:eastAsia="Calibri" w:cs="Times New Roman"/>
                <w:sz w:val="18"/>
                <w:szCs w:val="18"/>
              </w:rPr>
              <w:t xml:space="preserve"> for both domestic apple and crabapple. </w:t>
            </w:r>
            <w:r>
              <w:rPr>
                <w:rFonts w:eastAsia="Calibri" w:cs="Times New Roman"/>
                <w:sz w:val="18"/>
                <w:szCs w:val="18"/>
              </w:rPr>
              <w:t>There is n</w:t>
            </w:r>
            <w:r w:rsidRPr="00EA4704">
              <w:rPr>
                <w:rFonts w:eastAsia="Calibri" w:cs="Times New Roman"/>
                <w:sz w:val="18"/>
                <w:szCs w:val="18"/>
              </w:rPr>
              <w:t>o record of this pest on apple in the</w:t>
            </w:r>
            <w:r>
              <w:rPr>
                <w:rFonts w:eastAsia="Calibri" w:cs="Times New Roman"/>
                <w:sz w:val="18"/>
                <w:szCs w:val="18"/>
              </w:rPr>
              <w:t xml:space="preserve"> USA </w:t>
            </w:r>
            <w:r w:rsidRPr="00EA4704">
              <w:rPr>
                <w:rFonts w:eastAsia="Calibri" w:cs="Times New Roman"/>
                <w:sz w:val="18"/>
                <w:szCs w:val="18"/>
              </w:rPr>
              <w:t>after 1973</w:t>
            </w:r>
            <w:r>
              <w:rPr>
                <w:rFonts w:eastAsia="Calibri" w:cs="Times New Roman"/>
                <w:sz w:val="18"/>
                <w:szCs w:val="18"/>
              </w:rPr>
              <w:t>.</w:t>
            </w:r>
            <w:r w:rsidRPr="00EA4704">
              <w:rPr>
                <w:rFonts w:eastAsia="Calibri" w:cs="Times New Roman"/>
                <w:sz w:val="18"/>
                <w:szCs w:val="18"/>
              </w:rPr>
              <w:t xml:space="preserve"> </w:t>
            </w:r>
          </w:p>
        </w:tc>
        <w:tc>
          <w:tcPr>
            <w:tcW w:w="2381" w:type="dxa"/>
            <w:shd w:val="clear" w:color="auto" w:fill="auto"/>
          </w:tcPr>
          <w:p w14:paraId="07289A2F"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2211" w:type="dxa"/>
            <w:shd w:val="clear" w:color="auto" w:fill="auto"/>
          </w:tcPr>
          <w:p w14:paraId="3BAFBEB6"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1191" w:type="dxa"/>
            <w:shd w:val="clear" w:color="auto" w:fill="auto"/>
          </w:tcPr>
          <w:p w14:paraId="60342A73"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w:t>
            </w:r>
          </w:p>
        </w:tc>
      </w:tr>
      <w:tr w:rsidR="003438A2" w:rsidRPr="00EA4704" w14:paraId="6D65428B" w14:textId="77777777" w:rsidTr="00C4199F">
        <w:trPr>
          <w:cantSplit/>
          <w:trHeight w:val="75"/>
          <w:jc w:val="center"/>
        </w:trPr>
        <w:tc>
          <w:tcPr>
            <w:tcW w:w="2553" w:type="dxa"/>
            <w:shd w:val="clear" w:color="auto" w:fill="auto"/>
          </w:tcPr>
          <w:p w14:paraId="52180CAD" w14:textId="77777777" w:rsidR="003438A2" w:rsidRPr="00EA4704" w:rsidRDefault="003438A2" w:rsidP="00881E29">
            <w:pPr>
              <w:spacing w:before="60" w:after="60" w:line="240" w:lineRule="auto"/>
              <w:rPr>
                <w:rFonts w:eastAsia="Calibri" w:cs="Times New Roman"/>
                <w:iCs/>
                <w:sz w:val="18"/>
                <w:szCs w:val="18"/>
              </w:rPr>
            </w:pPr>
            <w:r w:rsidRPr="00EA4704">
              <w:rPr>
                <w:rFonts w:eastAsia="Calibri" w:cs="Times New Roman"/>
                <w:i/>
                <w:iCs/>
                <w:sz w:val="18"/>
                <w:szCs w:val="18"/>
              </w:rPr>
              <w:t xml:space="preserve">Coprinopsis psychromorbida </w:t>
            </w:r>
            <w:r w:rsidRPr="00EA4704">
              <w:rPr>
                <w:rFonts w:eastAsia="Calibri" w:cs="Times New Roman"/>
                <w:iCs/>
                <w:sz w:val="18"/>
                <w:szCs w:val="18"/>
              </w:rPr>
              <w:t>(Redhead &amp; Traquair) Redhead, Vilgalys &amp; Moncalvo</w:t>
            </w:r>
          </w:p>
          <w:p w14:paraId="7FAB2D8C" w14:textId="77777777" w:rsidR="003438A2" w:rsidRPr="00EA4704" w:rsidRDefault="003438A2" w:rsidP="00881E29">
            <w:pPr>
              <w:spacing w:before="60" w:after="60" w:line="240" w:lineRule="auto"/>
              <w:rPr>
                <w:rFonts w:eastAsia="Calibri" w:cs="Times New Roman"/>
                <w:iCs/>
                <w:sz w:val="18"/>
                <w:szCs w:val="18"/>
              </w:rPr>
            </w:pPr>
            <w:r w:rsidRPr="00EA4704">
              <w:rPr>
                <w:rFonts w:eastAsia="Calibri" w:cs="Times New Roman"/>
                <w:iCs/>
                <w:sz w:val="18"/>
                <w:szCs w:val="18"/>
              </w:rPr>
              <w:t xml:space="preserve">Synonym: </w:t>
            </w:r>
            <w:r w:rsidRPr="00EA4704">
              <w:rPr>
                <w:rFonts w:eastAsia="Calibri" w:cs="Times New Roman"/>
                <w:i/>
                <w:iCs/>
                <w:sz w:val="18"/>
                <w:szCs w:val="18"/>
              </w:rPr>
              <w:t xml:space="preserve">Coprinus psychromorbidus </w:t>
            </w:r>
            <w:r w:rsidRPr="00EA4704">
              <w:rPr>
                <w:rFonts w:eastAsia="Calibri" w:cs="Times New Roman"/>
                <w:iCs/>
                <w:sz w:val="18"/>
                <w:szCs w:val="18"/>
              </w:rPr>
              <w:t>Redhead &amp; Traquair</w:t>
            </w:r>
          </w:p>
          <w:p w14:paraId="64FF58DB"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w:t>
            </w:r>
            <w:r w:rsidRPr="00EA4704">
              <w:rPr>
                <w:rFonts w:eastAsia="Calibri" w:cs="Times New Roman"/>
                <w:iCs/>
                <w:sz w:val="18"/>
                <w:szCs w:val="18"/>
              </w:rPr>
              <w:t>Agaricales:</w:t>
            </w:r>
            <w:r w:rsidRPr="00EA4704">
              <w:rPr>
                <w:rFonts w:eastAsia="Calibri" w:cs="Times New Roman"/>
                <w:sz w:val="18"/>
                <w:szCs w:val="18"/>
              </w:rPr>
              <w:t xml:space="preserve"> Psathyrellaceae]</w:t>
            </w:r>
          </w:p>
          <w:p w14:paraId="3300B349" w14:textId="77777777" w:rsidR="003438A2" w:rsidRPr="00EA4704" w:rsidRDefault="003438A2" w:rsidP="00881E29">
            <w:pPr>
              <w:spacing w:before="60" w:after="60" w:line="240" w:lineRule="auto"/>
              <w:rPr>
                <w:rFonts w:eastAsia="Calibri" w:cs="Times New Roman"/>
                <w:i/>
                <w:sz w:val="18"/>
                <w:szCs w:val="18"/>
              </w:rPr>
            </w:pPr>
            <w:r w:rsidRPr="00EA4704">
              <w:rPr>
                <w:rFonts w:eastAsia="Calibri" w:cs="Times New Roman"/>
                <w:iCs/>
                <w:sz w:val="18"/>
                <w:szCs w:val="18"/>
              </w:rPr>
              <w:t>Coprinus rot</w:t>
            </w:r>
          </w:p>
        </w:tc>
        <w:tc>
          <w:tcPr>
            <w:tcW w:w="1474" w:type="dxa"/>
            <w:shd w:val="clear" w:color="auto" w:fill="auto"/>
          </w:tcPr>
          <w:p w14:paraId="3CEAB64F" w14:textId="77777777" w:rsidR="003438A2" w:rsidRPr="00EA4704" w:rsidRDefault="003438A2" w:rsidP="0022763E">
            <w:pPr>
              <w:spacing w:before="60" w:after="60" w:line="240" w:lineRule="auto"/>
              <w:rPr>
                <w:rFonts w:eastAsia="Calibri" w:cs="Times New Roman"/>
                <w:sz w:val="18"/>
                <w:szCs w:val="18"/>
              </w:rPr>
            </w:pPr>
            <w:r w:rsidRPr="00EA4704">
              <w:rPr>
                <w:rFonts w:eastAsia="Calibri" w:cs="Times New Roman"/>
                <w:sz w:val="18"/>
                <w:szCs w:val="18"/>
              </w:rPr>
              <w:t xml:space="preserve">Yes. </w:t>
            </w:r>
            <w:r>
              <w:rPr>
                <w:rFonts w:eastAsia="Calibri" w:cs="Times New Roman"/>
                <w:sz w:val="18"/>
                <w:szCs w:val="18"/>
              </w:rPr>
              <w:t>Present in OR (</w:t>
            </w:r>
            <w:hyperlink w:anchor="_ENREF_18" w:tooltip="Pscheidt, 2021 #44535" w:history="1">
              <w:r w:rsidRPr="003C483D">
                <w:rPr>
                  <w:rFonts w:eastAsia="Calibri" w:cs="Times New Roman"/>
                  <w:sz w:val="18"/>
                  <w:szCs w:val="18"/>
                </w:rPr>
                <w:t>Pscheidt &amp; Ocamb 2021</w:t>
              </w:r>
            </w:hyperlink>
            <w:r>
              <w:rPr>
                <w:rFonts w:eastAsia="Calibri" w:cs="Times New Roman"/>
                <w:sz w:val="18"/>
                <w:szCs w:val="18"/>
              </w:rPr>
              <w:t xml:space="preserve">; </w:t>
            </w:r>
            <w:hyperlink r:id="rId93" w:anchor="_ENREF_706" w:tooltip="Traquair, 1987 #9703" w:history="1">
              <w:r w:rsidRPr="00BF0D6B">
                <w:rPr>
                  <w:rFonts w:eastAsia="Calibri" w:cs="Times New Roman"/>
                  <w:sz w:val="18"/>
                  <w:szCs w:val="18"/>
                </w:rPr>
                <w:t>Traquair 1987</w:t>
              </w:r>
            </w:hyperlink>
            <w:r w:rsidRPr="00BF0D6B">
              <w:rPr>
                <w:rFonts w:eastAsia="Calibri" w:cs="Times New Roman"/>
                <w:sz w:val="18"/>
                <w:szCs w:val="18"/>
              </w:rPr>
              <w:t>)</w:t>
            </w:r>
          </w:p>
        </w:tc>
        <w:tc>
          <w:tcPr>
            <w:tcW w:w="1474" w:type="dxa"/>
            <w:shd w:val="clear" w:color="auto" w:fill="auto"/>
          </w:tcPr>
          <w:p w14:paraId="1360D6C9"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 records found</w:t>
            </w:r>
          </w:p>
        </w:tc>
        <w:tc>
          <w:tcPr>
            <w:tcW w:w="2552" w:type="dxa"/>
            <w:shd w:val="clear" w:color="auto" w:fill="auto"/>
          </w:tcPr>
          <w:p w14:paraId="051C8795"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 xml:space="preserve">Yes. Causes </w:t>
            </w:r>
            <w:r>
              <w:rPr>
                <w:rFonts w:eastAsia="Calibri" w:cs="Times New Roman"/>
                <w:sz w:val="18"/>
                <w:szCs w:val="18"/>
              </w:rPr>
              <w:t>post-harvest</w:t>
            </w:r>
            <w:r w:rsidRPr="00EA4704">
              <w:rPr>
                <w:rFonts w:eastAsia="Calibri" w:cs="Times New Roman"/>
                <w:sz w:val="18"/>
                <w:szCs w:val="18"/>
              </w:rPr>
              <w:t xml:space="preserve"> fruit rot of apple </w:t>
            </w:r>
            <w:r>
              <w:rPr>
                <w:rFonts w:eastAsia="Calibri" w:cs="Times New Roman"/>
                <w:noProof/>
                <w:sz w:val="18"/>
                <w:szCs w:val="18"/>
              </w:rPr>
              <w:t>(Spotts 1990b)</w:t>
            </w:r>
          </w:p>
        </w:tc>
        <w:tc>
          <w:tcPr>
            <w:tcW w:w="2381" w:type="dxa"/>
            <w:shd w:val="clear" w:color="auto" w:fill="auto"/>
          </w:tcPr>
          <w:p w14:paraId="328A1933"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Yes. I</w:t>
            </w:r>
            <w:r>
              <w:rPr>
                <w:rFonts w:eastAsia="Calibri" w:cs="Times New Roman"/>
                <w:sz w:val="18"/>
                <w:szCs w:val="18"/>
              </w:rPr>
              <w:t>t i</w:t>
            </w:r>
            <w:r w:rsidRPr="00EA4704">
              <w:rPr>
                <w:rFonts w:eastAsia="Calibri" w:cs="Times New Roman"/>
                <w:sz w:val="18"/>
                <w:szCs w:val="18"/>
              </w:rPr>
              <w:t xml:space="preserve">s a low temperature tolerant basidiomycete causing </w:t>
            </w:r>
            <w:r>
              <w:rPr>
                <w:rFonts w:eastAsia="Calibri" w:cs="Times New Roman"/>
                <w:sz w:val="18"/>
                <w:szCs w:val="18"/>
              </w:rPr>
              <w:t>post-harvest</w:t>
            </w:r>
            <w:r w:rsidRPr="00EA4704">
              <w:rPr>
                <w:rFonts w:eastAsia="Calibri" w:cs="Times New Roman"/>
                <w:sz w:val="18"/>
                <w:szCs w:val="18"/>
              </w:rPr>
              <w:t xml:space="preserve"> rot of apple and pear </w:t>
            </w:r>
            <w:r>
              <w:rPr>
                <w:rFonts w:eastAsia="Calibri" w:cs="Times New Roman"/>
                <w:noProof/>
                <w:sz w:val="18"/>
                <w:szCs w:val="18"/>
              </w:rPr>
              <w:t>(Traquair 1987)</w:t>
            </w:r>
            <w:r w:rsidRPr="00EA4704">
              <w:rPr>
                <w:rFonts w:eastAsia="Calibri" w:cs="Times New Roman"/>
                <w:sz w:val="18"/>
                <w:szCs w:val="18"/>
              </w:rPr>
              <w:t>. Also infects cereals, grasses and legumes causing snow mo</w:t>
            </w:r>
            <w:r>
              <w:rPr>
                <w:rFonts w:eastAsia="Calibri" w:cs="Times New Roman"/>
                <w:sz w:val="18"/>
                <w:szCs w:val="18"/>
              </w:rPr>
              <w:t>u</w:t>
            </w:r>
            <w:r w:rsidRPr="00EA4704">
              <w:rPr>
                <w:rFonts w:eastAsia="Calibri" w:cs="Times New Roman"/>
                <w:sz w:val="18"/>
                <w:szCs w:val="18"/>
              </w:rPr>
              <w:t xml:space="preserve">ld </w:t>
            </w:r>
            <w:r>
              <w:rPr>
                <w:rFonts w:eastAsia="Calibri" w:cs="Times New Roman"/>
                <w:noProof/>
                <w:sz w:val="18"/>
                <w:szCs w:val="18"/>
              </w:rPr>
              <w:t>(Spotts 1990b)</w:t>
            </w:r>
            <w:r w:rsidRPr="00EA4704">
              <w:rPr>
                <w:rFonts w:eastAsia="Calibri" w:cs="Times New Roman"/>
                <w:sz w:val="18"/>
                <w:szCs w:val="18"/>
              </w:rPr>
              <w:t>. Hosts are available in Australia.</w:t>
            </w:r>
            <w:r>
              <w:rPr>
                <w:rFonts w:eastAsia="Calibri" w:cs="Times New Roman"/>
                <w:sz w:val="18"/>
                <w:szCs w:val="18"/>
              </w:rPr>
              <w:t xml:space="preserve"> </w:t>
            </w:r>
            <w:r w:rsidRPr="00EA4704">
              <w:rPr>
                <w:rFonts w:eastAsia="Calibri" w:cs="Times New Roman"/>
                <w:sz w:val="18"/>
                <w:szCs w:val="18"/>
              </w:rPr>
              <w:t>The fungus grows best at 15</w:t>
            </w:r>
            <w:r>
              <w:rPr>
                <w:rFonts w:eastAsia="Calibri" w:cs="Times New Roman"/>
                <w:sz w:val="18"/>
                <w:szCs w:val="18"/>
              </w:rPr>
              <w:t>°C</w:t>
            </w:r>
            <w:r w:rsidRPr="00EA4704">
              <w:rPr>
                <w:rFonts w:eastAsia="Calibri" w:cs="Times New Roman"/>
                <w:sz w:val="18"/>
                <w:szCs w:val="18"/>
              </w:rPr>
              <w:t>, but also readily grows at 2</w:t>
            </w:r>
            <w:r>
              <w:rPr>
                <w:rFonts w:eastAsia="Calibri" w:cs="Times New Roman"/>
                <w:sz w:val="18"/>
                <w:szCs w:val="18"/>
              </w:rPr>
              <w:t>°C</w:t>
            </w:r>
            <w:r w:rsidRPr="00EA4704">
              <w:rPr>
                <w:rFonts w:eastAsia="Calibri" w:cs="Times New Roman"/>
                <w:sz w:val="18"/>
                <w:szCs w:val="18"/>
              </w:rPr>
              <w:t xml:space="preserve"> </w:t>
            </w:r>
            <w:r>
              <w:rPr>
                <w:rFonts w:eastAsia="Calibri" w:cs="Times New Roman"/>
                <w:noProof/>
                <w:sz w:val="18"/>
                <w:szCs w:val="18"/>
              </w:rPr>
              <w:t>(Gaudet, Kokko &amp; Sholberg 1990)</w:t>
            </w:r>
            <w:r>
              <w:rPr>
                <w:rFonts w:eastAsia="Calibri" w:cs="Times New Roman"/>
                <w:sz w:val="18"/>
                <w:szCs w:val="18"/>
              </w:rPr>
              <w:t>.</w:t>
            </w:r>
          </w:p>
        </w:tc>
        <w:tc>
          <w:tcPr>
            <w:tcW w:w="2211" w:type="dxa"/>
            <w:shd w:val="clear" w:color="auto" w:fill="auto"/>
          </w:tcPr>
          <w:p w14:paraId="76F58A99"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 xml:space="preserve">Yes. </w:t>
            </w:r>
            <w:r>
              <w:rPr>
                <w:rFonts w:eastAsia="Calibri" w:cs="Times New Roman"/>
                <w:sz w:val="18"/>
                <w:szCs w:val="18"/>
              </w:rPr>
              <w:t>It h</w:t>
            </w:r>
            <w:r w:rsidRPr="00EA4704">
              <w:rPr>
                <w:rFonts w:eastAsia="Calibri" w:cs="Times New Roman"/>
                <w:sz w:val="18"/>
                <w:szCs w:val="18"/>
              </w:rPr>
              <w:t xml:space="preserve">as the potential to be a serious problem, causing significant losses </w:t>
            </w:r>
            <w:r>
              <w:rPr>
                <w:rFonts w:eastAsia="Calibri" w:cs="Times New Roman"/>
                <w:noProof/>
                <w:sz w:val="18"/>
                <w:szCs w:val="18"/>
              </w:rPr>
              <w:t>(Sholberg &amp; Gaudet 1992)</w:t>
            </w:r>
            <w:r>
              <w:rPr>
                <w:rFonts w:eastAsia="Calibri" w:cs="Times New Roman"/>
                <w:sz w:val="18"/>
                <w:szCs w:val="18"/>
              </w:rPr>
              <w:t>.</w:t>
            </w:r>
          </w:p>
        </w:tc>
        <w:tc>
          <w:tcPr>
            <w:tcW w:w="1191" w:type="dxa"/>
            <w:shd w:val="clear" w:color="auto" w:fill="auto"/>
          </w:tcPr>
          <w:p w14:paraId="44D2FDF4" w14:textId="77777777" w:rsidR="003438A2" w:rsidRPr="00EA4704" w:rsidRDefault="003438A2" w:rsidP="00881E29">
            <w:pPr>
              <w:spacing w:before="60" w:after="60" w:line="240" w:lineRule="auto"/>
              <w:rPr>
                <w:rFonts w:eastAsia="Calibri" w:cs="Times New Roman"/>
                <w:sz w:val="18"/>
                <w:szCs w:val="18"/>
              </w:rPr>
            </w:pPr>
            <w:r>
              <w:rPr>
                <w:rFonts w:eastAsia="Calibri" w:cs="Times New Roman"/>
                <w:sz w:val="18"/>
                <w:szCs w:val="18"/>
              </w:rPr>
              <w:t>Yes</w:t>
            </w:r>
          </w:p>
        </w:tc>
      </w:tr>
      <w:tr w:rsidR="003438A2" w:rsidRPr="00EA4704" w14:paraId="4C23B5E6" w14:textId="77777777" w:rsidTr="00C4199F">
        <w:trPr>
          <w:cantSplit/>
          <w:trHeight w:val="75"/>
          <w:jc w:val="center"/>
        </w:trPr>
        <w:tc>
          <w:tcPr>
            <w:tcW w:w="2553" w:type="dxa"/>
            <w:shd w:val="clear" w:color="auto" w:fill="auto"/>
          </w:tcPr>
          <w:p w14:paraId="60B6C495" w14:textId="77777777" w:rsidR="003438A2" w:rsidRPr="00EA4704" w:rsidRDefault="003438A2" w:rsidP="00881E29">
            <w:pPr>
              <w:spacing w:before="60" w:after="60" w:line="240" w:lineRule="auto"/>
              <w:rPr>
                <w:rFonts w:eastAsia="Calibri" w:cs="Times New Roman"/>
                <w:iCs/>
                <w:sz w:val="18"/>
                <w:szCs w:val="18"/>
              </w:rPr>
            </w:pPr>
            <w:r w:rsidRPr="00EA4704">
              <w:rPr>
                <w:rFonts w:eastAsia="Calibri" w:cs="Times New Roman"/>
                <w:i/>
                <w:iCs/>
                <w:sz w:val="18"/>
                <w:szCs w:val="18"/>
              </w:rPr>
              <w:lastRenderedPageBreak/>
              <w:t xml:space="preserve">Cryptosporiopsis corticola </w:t>
            </w:r>
            <w:r w:rsidRPr="00EA4704">
              <w:rPr>
                <w:rFonts w:eastAsia="Calibri" w:cs="Times New Roman"/>
                <w:iCs/>
                <w:sz w:val="18"/>
                <w:szCs w:val="18"/>
              </w:rPr>
              <w:t>(Edgerton) Nannf.</w:t>
            </w:r>
          </w:p>
          <w:p w14:paraId="5EA06C28" w14:textId="77777777" w:rsidR="003438A2" w:rsidRDefault="003438A2" w:rsidP="00881E29">
            <w:pPr>
              <w:spacing w:before="60" w:after="60" w:line="240" w:lineRule="auto"/>
              <w:rPr>
                <w:rFonts w:eastAsia="Calibri" w:cs="Times New Roman"/>
                <w:iCs/>
                <w:sz w:val="18"/>
                <w:szCs w:val="18"/>
              </w:rPr>
            </w:pPr>
            <w:r w:rsidRPr="00EA4704">
              <w:rPr>
                <w:rFonts w:eastAsia="Calibri" w:cs="Times New Roman"/>
                <w:iCs/>
                <w:sz w:val="18"/>
                <w:szCs w:val="18"/>
              </w:rPr>
              <w:t>Synonym:</w:t>
            </w:r>
            <w:r w:rsidRPr="00EA4704">
              <w:rPr>
                <w:rFonts w:eastAsia="Calibri" w:cs="Times New Roman"/>
                <w:i/>
                <w:iCs/>
                <w:sz w:val="18"/>
                <w:szCs w:val="18"/>
              </w:rPr>
              <w:t xml:space="preserve"> Myxosporium corticola </w:t>
            </w:r>
            <w:r w:rsidRPr="00EA4704">
              <w:rPr>
                <w:rFonts w:eastAsia="Calibri" w:cs="Times New Roman"/>
                <w:iCs/>
                <w:sz w:val="18"/>
                <w:szCs w:val="18"/>
              </w:rPr>
              <w:t>Edgerton</w:t>
            </w:r>
          </w:p>
          <w:p w14:paraId="4B62272D" w14:textId="77777777" w:rsidR="003438A2" w:rsidRPr="00EA4704" w:rsidRDefault="003438A2" w:rsidP="00881E29">
            <w:pPr>
              <w:spacing w:before="60" w:after="60" w:line="240" w:lineRule="auto"/>
              <w:rPr>
                <w:rFonts w:eastAsia="Calibri" w:cs="Times New Roman"/>
                <w:i/>
                <w:iCs/>
                <w:sz w:val="18"/>
                <w:szCs w:val="18"/>
              </w:rPr>
            </w:pPr>
            <w:r w:rsidRPr="00EA4704">
              <w:rPr>
                <w:rFonts w:eastAsia="Calibri" w:cs="Times New Roman"/>
                <w:iCs/>
                <w:sz w:val="18"/>
                <w:szCs w:val="18"/>
              </w:rPr>
              <w:t>[Helotiales:</w:t>
            </w:r>
            <w:r w:rsidRPr="00EA4704">
              <w:rPr>
                <w:rFonts w:eastAsia="Calibri" w:cs="Times New Roman"/>
                <w:sz w:val="18"/>
                <w:szCs w:val="18"/>
              </w:rPr>
              <w:t xml:space="preserve"> Dermateaceae</w:t>
            </w:r>
            <w:r w:rsidRPr="00EA4704">
              <w:rPr>
                <w:rFonts w:eastAsia="Calibri" w:cs="Times New Roman"/>
                <w:iCs/>
                <w:sz w:val="18"/>
                <w:szCs w:val="18"/>
              </w:rPr>
              <w:t>]</w:t>
            </w:r>
          </w:p>
        </w:tc>
        <w:tc>
          <w:tcPr>
            <w:tcW w:w="1474" w:type="dxa"/>
            <w:shd w:val="clear" w:color="auto" w:fill="auto"/>
          </w:tcPr>
          <w:p w14:paraId="0F85D1BA"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lang w:val="pt-BR"/>
              </w:rPr>
              <w:t xml:space="preserve">Yes. </w:t>
            </w:r>
            <w:r>
              <w:rPr>
                <w:rFonts w:eastAsia="Calibri" w:cs="Times New Roman"/>
                <w:sz w:val="18"/>
                <w:szCs w:val="18"/>
                <w:lang w:val="pt-BR"/>
              </w:rPr>
              <w:t xml:space="preserve">Present in </w:t>
            </w:r>
            <w:r w:rsidRPr="00EA4704">
              <w:rPr>
                <w:rFonts w:eastAsia="Calibri" w:cs="Times New Roman"/>
                <w:sz w:val="18"/>
                <w:szCs w:val="18"/>
                <w:lang w:val="pt-BR"/>
              </w:rPr>
              <w:t>OR</w:t>
            </w:r>
            <w:r>
              <w:rPr>
                <w:rFonts w:eastAsia="Calibri" w:cs="Times New Roman"/>
                <w:sz w:val="18"/>
                <w:szCs w:val="18"/>
                <w:lang w:val="pt-BR"/>
              </w:rPr>
              <w:t xml:space="preserve"> and</w:t>
            </w:r>
            <w:r w:rsidRPr="00EA4704">
              <w:rPr>
                <w:rFonts w:eastAsia="Calibri" w:cs="Times New Roman"/>
                <w:sz w:val="18"/>
                <w:szCs w:val="18"/>
                <w:lang w:val="pt-BR"/>
              </w:rPr>
              <w:t xml:space="preserve"> WA</w:t>
            </w:r>
            <w:r>
              <w:rPr>
                <w:rFonts w:eastAsia="Calibri" w:cs="Times New Roman"/>
                <w:sz w:val="18"/>
                <w:szCs w:val="18"/>
                <w:lang w:val="pt-BR"/>
              </w:rPr>
              <w:t xml:space="preserve">. Also present in </w:t>
            </w:r>
            <w:r w:rsidRPr="00EA4704">
              <w:rPr>
                <w:rFonts w:eastAsia="Calibri" w:cs="Times New Roman"/>
                <w:sz w:val="18"/>
                <w:szCs w:val="18"/>
                <w:lang w:val="pt-BR"/>
              </w:rPr>
              <w:t>IL, MI, NC, northeastern states, OK</w:t>
            </w:r>
            <w:r>
              <w:rPr>
                <w:rFonts w:eastAsia="Calibri" w:cs="Times New Roman"/>
                <w:sz w:val="18"/>
                <w:szCs w:val="18"/>
                <w:lang w:val="pt-BR"/>
              </w:rPr>
              <w:t xml:space="preserve"> and</w:t>
            </w:r>
            <w:r w:rsidRPr="00EA4704">
              <w:rPr>
                <w:rFonts w:eastAsia="Calibri" w:cs="Times New Roman"/>
                <w:sz w:val="18"/>
                <w:szCs w:val="18"/>
                <w:lang w:val="pt-BR"/>
              </w:rPr>
              <w:t xml:space="preserve"> </w:t>
            </w:r>
            <w:r>
              <w:rPr>
                <w:rFonts w:eastAsia="Calibri" w:cs="Times New Roman"/>
                <w:sz w:val="18"/>
                <w:szCs w:val="18"/>
                <w:lang w:val="pt-BR"/>
              </w:rPr>
              <w:t>SD</w:t>
            </w:r>
            <w:r w:rsidRPr="00EA4704">
              <w:rPr>
                <w:rFonts w:eastAsia="Calibri" w:cs="Times New Roman"/>
                <w:sz w:val="18"/>
                <w:szCs w:val="18"/>
                <w:lang w:val="pt-BR"/>
              </w:rPr>
              <w:t xml:space="preserve"> </w:t>
            </w:r>
            <w:r>
              <w:rPr>
                <w:rFonts w:eastAsia="Calibri" w:cs="Times New Roman"/>
                <w:noProof/>
                <w:sz w:val="18"/>
                <w:szCs w:val="18"/>
                <w:lang w:val="pt-BR"/>
              </w:rPr>
              <w:t>(Farr &amp; Rossman 2018; Glawe 2009)</w:t>
            </w:r>
          </w:p>
        </w:tc>
        <w:tc>
          <w:tcPr>
            <w:tcW w:w="1474" w:type="dxa"/>
            <w:shd w:val="clear" w:color="auto" w:fill="auto"/>
          </w:tcPr>
          <w:p w14:paraId="1BCB8106"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 records found</w:t>
            </w:r>
          </w:p>
        </w:tc>
        <w:tc>
          <w:tcPr>
            <w:tcW w:w="2552" w:type="dxa"/>
            <w:shd w:val="clear" w:color="auto" w:fill="auto"/>
          </w:tcPr>
          <w:p w14:paraId="69217C59"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 xml:space="preserve">No. A superficial bark canker </w:t>
            </w:r>
            <w:r>
              <w:rPr>
                <w:rFonts w:eastAsia="Calibri" w:cs="Times New Roman"/>
                <w:noProof/>
                <w:sz w:val="18"/>
                <w:szCs w:val="18"/>
              </w:rPr>
              <w:t>(Farr &amp; Rossman 2018; Zeller 1924)</w:t>
            </w:r>
            <w:r w:rsidRPr="00EA4704">
              <w:rPr>
                <w:rFonts w:eastAsia="Calibri" w:cs="Times New Roman"/>
                <w:sz w:val="18"/>
                <w:szCs w:val="18"/>
              </w:rPr>
              <w:t xml:space="preserve"> found more often on pear than apple </w:t>
            </w:r>
            <w:r>
              <w:rPr>
                <w:rFonts w:eastAsia="Calibri" w:cs="Times New Roman"/>
                <w:noProof/>
                <w:sz w:val="18"/>
                <w:szCs w:val="18"/>
              </w:rPr>
              <w:t>(Zeller 1924)</w:t>
            </w:r>
            <w:r w:rsidRPr="00EA4704">
              <w:rPr>
                <w:rFonts w:eastAsia="Calibri" w:cs="Times New Roman"/>
                <w:sz w:val="18"/>
                <w:szCs w:val="18"/>
              </w:rPr>
              <w:t xml:space="preserve">. Not known to cause decay of fruit even when artificially inoculated </w:t>
            </w:r>
            <w:r>
              <w:rPr>
                <w:rFonts w:eastAsia="Calibri" w:cs="Times New Roman"/>
                <w:noProof/>
                <w:sz w:val="18"/>
                <w:szCs w:val="18"/>
              </w:rPr>
              <w:t>(Zeller 1924)</w:t>
            </w:r>
            <w:r w:rsidRPr="00EA4704">
              <w:rPr>
                <w:rFonts w:eastAsia="Calibri" w:cs="Times New Roman"/>
                <w:sz w:val="18"/>
                <w:szCs w:val="18"/>
              </w:rPr>
              <w:t xml:space="preserve"> </w:t>
            </w:r>
          </w:p>
        </w:tc>
        <w:tc>
          <w:tcPr>
            <w:tcW w:w="2381" w:type="dxa"/>
            <w:shd w:val="clear" w:color="auto" w:fill="auto"/>
          </w:tcPr>
          <w:p w14:paraId="44AC52E0"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2211" w:type="dxa"/>
            <w:shd w:val="clear" w:color="auto" w:fill="auto"/>
          </w:tcPr>
          <w:p w14:paraId="21F42E79"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1191" w:type="dxa"/>
            <w:shd w:val="clear" w:color="auto" w:fill="auto"/>
          </w:tcPr>
          <w:p w14:paraId="2FA79C4B"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w:t>
            </w:r>
          </w:p>
        </w:tc>
      </w:tr>
      <w:tr w:rsidR="003438A2" w:rsidRPr="00EA4704" w14:paraId="08BF12C0" w14:textId="77777777" w:rsidTr="00C4199F">
        <w:trPr>
          <w:cantSplit/>
          <w:trHeight w:val="75"/>
          <w:jc w:val="center"/>
        </w:trPr>
        <w:tc>
          <w:tcPr>
            <w:tcW w:w="2553" w:type="dxa"/>
            <w:shd w:val="clear" w:color="auto" w:fill="auto"/>
          </w:tcPr>
          <w:p w14:paraId="11060B6E" w14:textId="77777777" w:rsidR="003438A2" w:rsidRPr="00EA4704" w:rsidRDefault="003438A2" w:rsidP="00881E29">
            <w:pPr>
              <w:spacing w:before="60" w:after="60" w:line="240" w:lineRule="auto"/>
              <w:rPr>
                <w:rFonts w:eastAsia="Calibri" w:cs="Times New Roman"/>
                <w:i/>
                <w:iCs/>
                <w:sz w:val="18"/>
                <w:szCs w:val="18"/>
              </w:rPr>
            </w:pPr>
            <w:r w:rsidRPr="00EA4704">
              <w:rPr>
                <w:rFonts w:eastAsia="Calibri" w:cs="Times New Roman"/>
                <w:i/>
                <w:iCs/>
                <w:sz w:val="18"/>
                <w:szCs w:val="18"/>
              </w:rPr>
              <w:t xml:space="preserve">Cylindrocarpon angustum </w:t>
            </w:r>
            <w:r w:rsidRPr="00EA4704">
              <w:rPr>
                <w:rFonts w:eastAsia="Calibri" w:cs="Times New Roman"/>
                <w:iCs/>
                <w:sz w:val="18"/>
                <w:szCs w:val="18"/>
              </w:rPr>
              <w:t>Wollenw.</w:t>
            </w:r>
          </w:p>
          <w:p w14:paraId="2FF12A64" w14:textId="77777777" w:rsidR="003438A2" w:rsidRPr="00EA4704" w:rsidRDefault="003438A2" w:rsidP="00881E29">
            <w:pPr>
              <w:spacing w:before="60" w:after="60" w:line="240" w:lineRule="auto"/>
              <w:rPr>
                <w:rFonts w:eastAsia="Calibri" w:cs="Times New Roman"/>
                <w:sz w:val="18"/>
                <w:szCs w:val="18"/>
                <w:lang w:val="pt-BR"/>
              </w:rPr>
            </w:pPr>
            <w:r w:rsidRPr="00EA4704">
              <w:rPr>
                <w:rFonts w:eastAsia="Calibri" w:cs="Times New Roman"/>
                <w:iCs/>
                <w:sz w:val="18"/>
                <w:szCs w:val="18"/>
              </w:rPr>
              <w:t>[Hypocreales: Nectriaceae]</w:t>
            </w:r>
          </w:p>
        </w:tc>
        <w:tc>
          <w:tcPr>
            <w:tcW w:w="1474" w:type="dxa"/>
            <w:shd w:val="clear" w:color="auto" w:fill="auto"/>
          </w:tcPr>
          <w:p w14:paraId="51F41758" w14:textId="77777777" w:rsidR="003438A2" w:rsidRPr="00EA4704" w:rsidRDefault="003438A2" w:rsidP="00881E29">
            <w:pPr>
              <w:spacing w:before="60" w:after="60" w:line="240" w:lineRule="auto"/>
              <w:rPr>
                <w:rFonts w:eastAsia="Calibri" w:cs="Times New Roman"/>
                <w:sz w:val="18"/>
                <w:szCs w:val="18"/>
                <w:lang w:val="pt-BR"/>
              </w:rPr>
            </w:pPr>
            <w:r w:rsidRPr="00EA4704">
              <w:rPr>
                <w:rFonts w:eastAsia="Calibri" w:cs="Times New Roman"/>
                <w:sz w:val="18"/>
                <w:szCs w:val="18"/>
                <w:lang w:val="pt-BR"/>
              </w:rPr>
              <w:t xml:space="preserve">Yes. </w:t>
            </w:r>
            <w:r>
              <w:rPr>
                <w:rFonts w:eastAsia="Calibri" w:cs="Times New Roman"/>
                <w:sz w:val="18"/>
                <w:szCs w:val="18"/>
                <w:lang w:val="pt-BR"/>
              </w:rPr>
              <w:t xml:space="preserve">Present in </w:t>
            </w:r>
            <w:r w:rsidRPr="00EA4704">
              <w:rPr>
                <w:rFonts w:eastAsia="Calibri" w:cs="Times New Roman"/>
                <w:sz w:val="18"/>
                <w:szCs w:val="18"/>
                <w:lang w:val="pt-BR"/>
              </w:rPr>
              <w:t xml:space="preserve">OR </w:t>
            </w:r>
            <w:r>
              <w:rPr>
                <w:rFonts w:eastAsia="Calibri" w:cs="Times New Roman"/>
                <w:noProof/>
                <w:sz w:val="18"/>
                <w:szCs w:val="18"/>
                <w:lang w:val="pt-BR"/>
              </w:rPr>
              <w:t>(Shaw 1958, 1973; USDA 1960)</w:t>
            </w:r>
          </w:p>
        </w:tc>
        <w:tc>
          <w:tcPr>
            <w:tcW w:w="1474" w:type="dxa"/>
            <w:shd w:val="clear" w:color="auto" w:fill="auto"/>
          </w:tcPr>
          <w:p w14:paraId="1C305CB8"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 records found</w:t>
            </w:r>
          </w:p>
        </w:tc>
        <w:tc>
          <w:tcPr>
            <w:tcW w:w="2552" w:type="dxa"/>
            <w:shd w:val="clear" w:color="auto" w:fill="auto"/>
          </w:tcPr>
          <w:p w14:paraId="0661B8D8"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 xml:space="preserve">No. Found on bark </w:t>
            </w:r>
            <w:r>
              <w:rPr>
                <w:rFonts w:eastAsia="Calibri" w:cs="Times New Roman"/>
                <w:noProof/>
                <w:sz w:val="18"/>
                <w:szCs w:val="18"/>
              </w:rPr>
              <w:t>(Farr et al. 1989; USDA 1960)</w:t>
            </w:r>
          </w:p>
        </w:tc>
        <w:tc>
          <w:tcPr>
            <w:tcW w:w="2381" w:type="dxa"/>
            <w:shd w:val="clear" w:color="auto" w:fill="auto"/>
          </w:tcPr>
          <w:p w14:paraId="6DFCDA35"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2211" w:type="dxa"/>
            <w:shd w:val="clear" w:color="auto" w:fill="auto"/>
          </w:tcPr>
          <w:p w14:paraId="184C15BF" w14:textId="77777777" w:rsidR="003438A2" w:rsidRPr="00B106B7" w:rsidRDefault="003438A2" w:rsidP="00881E29">
            <w:pPr>
              <w:spacing w:before="60" w:after="60" w:line="240" w:lineRule="auto"/>
              <w:rPr>
                <w:rFonts w:eastAsia="Calibri" w:cs="Times New Roman"/>
                <w:sz w:val="18"/>
                <w:szCs w:val="18"/>
              </w:rPr>
            </w:pPr>
            <w:r w:rsidRPr="00B106B7">
              <w:rPr>
                <w:rFonts w:eastAsia="Calibri" w:cs="Times New Roman"/>
                <w:sz w:val="18"/>
                <w:szCs w:val="18"/>
              </w:rPr>
              <w:t>Assessment not required</w:t>
            </w:r>
          </w:p>
        </w:tc>
        <w:tc>
          <w:tcPr>
            <w:tcW w:w="1191" w:type="dxa"/>
            <w:shd w:val="clear" w:color="auto" w:fill="auto"/>
          </w:tcPr>
          <w:p w14:paraId="39EB08D8" w14:textId="77777777" w:rsidR="003438A2" w:rsidRPr="00B106B7" w:rsidRDefault="003438A2" w:rsidP="00881E29">
            <w:pPr>
              <w:spacing w:before="60" w:after="60" w:line="240" w:lineRule="auto"/>
              <w:rPr>
                <w:rFonts w:eastAsia="Calibri" w:cs="Times New Roman"/>
                <w:sz w:val="18"/>
                <w:szCs w:val="18"/>
              </w:rPr>
            </w:pPr>
            <w:r w:rsidRPr="00B106B7">
              <w:rPr>
                <w:rFonts w:eastAsia="Calibri" w:cs="Times New Roman"/>
                <w:sz w:val="18"/>
                <w:szCs w:val="18"/>
              </w:rPr>
              <w:t>No</w:t>
            </w:r>
          </w:p>
        </w:tc>
      </w:tr>
      <w:tr w:rsidR="003438A2" w:rsidRPr="00EA4704" w14:paraId="1243B41C" w14:textId="77777777" w:rsidTr="00C4199F">
        <w:trPr>
          <w:cantSplit/>
          <w:trHeight w:val="75"/>
          <w:jc w:val="center"/>
        </w:trPr>
        <w:tc>
          <w:tcPr>
            <w:tcW w:w="2553" w:type="dxa"/>
            <w:shd w:val="clear" w:color="auto" w:fill="auto"/>
          </w:tcPr>
          <w:p w14:paraId="253EFFC8" w14:textId="77777777" w:rsidR="003438A2" w:rsidRDefault="003438A2" w:rsidP="00881E29">
            <w:pPr>
              <w:spacing w:before="60" w:after="60" w:line="240" w:lineRule="auto"/>
              <w:rPr>
                <w:rFonts w:eastAsia="Calibri" w:cs="Times New Roman"/>
                <w:iCs/>
                <w:sz w:val="18"/>
                <w:szCs w:val="18"/>
              </w:rPr>
            </w:pPr>
            <w:r w:rsidRPr="00EA4704">
              <w:rPr>
                <w:rFonts w:eastAsia="Calibri" w:cs="Times New Roman"/>
                <w:i/>
                <w:iCs/>
                <w:sz w:val="18"/>
                <w:szCs w:val="18"/>
              </w:rPr>
              <w:t xml:space="preserve">Cylindrocarpon candidum </w:t>
            </w:r>
            <w:r w:rsidRPr="00EA4704">
              <w:rPr>
                <w:rFonts w:eastAsia="Calibri" w:cs="Times New Roman"/>
                <w:iCs/>
                <w:sz w:val="18"/>
                <w:szCs w:val="18"/>
              </w:rPr>
              <w:t>(Link) Wollenw.</w:t>
            </w:r>
          </w:p>
          <w:p w14:paraId="7CE75FB0" w14:textId="77777777" w:rsidR="003438A2" w:rsidRPr="00EA4704" w:rsidRDefault="003438A2" w:rsidP="00881E29">
            <w:pPr>
              <w:spacing w:before="60" w:after="60" w:line="240" w:lineRule="auto"/>
              <w:rPr>
                <w:rFonts w:eastAsia="Calibri" w:cs="Times New Roman"/>
                <w:i/>
                <w:iCs/>
                <w:sz w:val="18"/>
                <w:szCs w:val="18"/>
              </w:rPr>
            </w:pPr>
            <w:r w:rsidRPr="00EA4704">
              <w:rPr>
                <w:rFonts w:eastAsia="Calibri" w:cs="Times New Roman"/>
                <w:iCs/>
                <w:sz w:val="18"/>
                <w:szCs w:val="18"/>
              </w:rPr>
              <w:t>[Hypocreales: Nectriaceae]</w:t>
            </w:r>
          </w:p>
        </w:tc>
        <w:tc>
          <w:tcPr>
            <w:tcW w:w="1474" w:type="dxa"/>
            <w:shd w:val="clear" w:color="auto" w:fill="auto"/>
          </w:tcPr>
          <w:p w14:paraId="534EE071" w14:textId="77777777" w:rsidR="003438A2" w:rsidRPr="00EA4704" w:rsidRDefault="003438A2" w:rsidP="00881E29">
            <w:pPr>
              <w:spacing w:before="60" w:after="60" w:line="240" w:lineRule="auto"/>
              <w:rPr>
                <w:rFonts w:eastAsia="Calibri" w:cs="Times New Roman"/>
                <w:sz w:val="18"/>
                <w:szCs w:val="18"/>
                <w:lang w:val="pt-BR"/>
              </w:rPr>
            </w:pPr>
            <w:r w:rsidRPr="00EA4704">
              <w:rPr>
                <w:rFonts w:eastAsia="Calibri" w:cs="Times New Roman"/>
                <w:sz w:val="18"/>
                <w:szCs w:val="18"/>
                <w:lang w:val="pt-BR"/>
              </w:rPr>
              <w:t xml:space="preserve">Yes. </w:t>
            </w:r>
            <w:r>
              <w:rPr>
                <w:rFonts w:eastAsia="Calibri" w:cs="Times New Roman"/>
                <w:sz w:val="18"/>
                <w:szCs w:val="18"/>
                <w:lang w:val="pt-BR"/>
              </w:rPr>
              <w:t xml:space="preserve">Present in </w:t>
            </w:r>
            <w:r w:rsidRPr="00EA4704">
              <w:rPr>
                <w:rFonts w:eastAsia="Calibri" w:cs="Times New Roman"/>
                <w:sz w:val="18"/>
                <w:szCs w:val="18"/>
                <w:lang w:val="pt-BR"/>
              </w:rPr>
              <w:t>OR</w:t>
            </w:r>
            <w:r>
              <w:rPr>
                <w:rFonts w:eastAsia="Calibri" w:cs="Times New Roman"/>
                <w:sz w:val="18"/>
                <w:szCs w:val="18"/>
                <w:lang w:val="pt-BR"/>
              </w:rPr>
              <w:t xml:space="preserve"> and WA</w:t>
            </w:r>
            <w:r w:rsidRPr="00EA4704">
              <w:rPr>
                <w:rFonts w:eastAsia="Calibri" w:cs="Times New Roman"/>
                <w:sz w:val="18"/>
                <w:szCs w:val="18"/>
                <w:lang w:val="pt-BR"/>
              </w:rPr>
              <w:t xml:space="preserve"> </w:t>
            </w:r>
            <w:r>
              <w:rPr>
                <w:rFonts w:eastAsia="Calibri" w:cs="Times New Roman"/>
                <w:noProof/>
                <w:sz w:val="18"/>
                <w:szCs w:val="18"/>
                <w:lang w:val="pt-BR"/>
              </w:rPr>
              <w:t>(Shaw 1973)</w:t>
            </w:r>
          </w:p>
        </w:tc>
        <w:tc>
          <w:tcPr>
            <w:tcW w:w="1474" w:type="dxa"/>
            <w:shd w:val="clear" w:color="auto" w:fill="auto"/>
          </w:tcPr>
          <w:p w14:paraId="1405327C"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 records found</w:t>
            </w:r>
          </w:p>
        </w:tc>
        <w:tc>
          <w:tcPr>
            <w:tcW w:w="2552" w:type="dxa"/>
            <w:shd w:val="clear" w:color="auto" w:fill="auto"/>
          </w:tcPr>
          <w:p w14:paraId="266E73F3" w14:textId="77777777" w:rsidR="003438A2" w:rsidRPr="00B106B7" w:rsidRDefault="003438A2" w:rsidP="00881E29">
            <w:pPr>
              <w:spacing w:before="60" w:after="60" w:line="240" w:lineRule="auto"/>
              <w:rPr>
                <w:rFonts w:eastAsia="Calibri" w:cs="Times New Roman"/>
                <w:sz w:val="18"/>
                <w:szCs w:val="18"/>
              </w:rPr>
            </w:pPr>
            <w:r w:rsidRPr="00B106B7">
              <w:rPr>
                <w:rFonts w:eastAsia="Calibri" w:cs="Times New Roman"/>
                <w:sz w:val="18"/>
                <w:szCs w:val="18"/>
              </w:rPr>
              <w:t>No. All reports of this pest on apple in the</w:t>
            </w:r>
            <w:r>
              <w:rPr>
                <w:rFonts w:eastAsia="Calibri" w:cs="Times New Roman"/>
                <w:sz w:val="18"/>
                <w:szCs w:val="18"/>
              </w:rPr>
              <w:t xml:space="preserve"> USA </w:t>
            </w:r>
            <w:r w:rsidRPr="00B106B7">
              <w:rPr>
                <w:rFonts w:eastAsia="Calibri" w:cs="Times New Roman"/>
                <w:sz w:val="18"/>
                <w:szCs w:val="18"/>
              </w:rPr>
              <w:t xml:space="preserve">are based on only one report of this pest (as </w:t>
            </w:r>
            <w:r w:rsidRPr="00B106B7">
              <w:rPr>
                <w:rFonts w:eastAsia="Calibri" w:cs="Times New Roman"/>
                <w:i/>
                <w:sz w:val="18"/>
                <w:szCs w:val="18"/>
              </w:rPr>
              <w:t>Nectria coccinea</w:t>
            </w:r>
            <w:r w:rsidRPr="00B106B7">
              <w:rPr>
                <w:rFonts w:eastAsia="Calibri" w:cs="Times New Roman"/>
                <w:sz w:val="18"/>
                <w:szCs w:val="18"/>
              </w:rPr>
              <w:t xml:space="preserve">) on </w:t>
            </w:r>
            <w:r w:rsidRPr="00B106B7">
              <w:rPr>
                <w:rFonts w:eastAsia="Calibri" w:cs="Times New Roman"/>
                <w:i/>
                <w:sz w:val="18"/>
                <w:szCs w:val="18"/>
              </w:rPr>
              <w:t>Malus sylvestris</w:t>
            </w:r>
            <w:r w:rsidRPr="00B106B7">
              <w:rPr>
                <w:rFonts w:eastAsia="Calibri" w:cs="Times New Roman"/>
                <w:sz w:val="18"/>
                <w:szCs w:val="18"/>
              </w:rPr>
              <w:t xml:space="preserve"> in Oregon </w:t>
            </w:r>
            <w:r>
              <w:rPr>
                <w:rFonts w:eastAsia="Calibri" w:cs="Times New Roman"/>
                <w:noProof/>
                <w:sz w:val="18"/>
                <w:szCs w:val="18"/>
              </w:rPr>
              <w:t>(Shaw 1973)</w:t>
            </w:r>
            <w:r w:rsidRPr="00B106B7">
              <w:rPr>
                <w:rFonts w:eastAsia="Calibri" w:cs="Times New Roman"/>
                <w:sz w:val="18"/>
                <w:szCs w:val="18"/>
              </w:rPr>
              <w:t xml:space="preserve">. This report did not specify whether the pest was found on apple fruit. It appeared that </w:t>
            </w:r>
            <w:r>
              <w:rPr>
                <w:rFonts w:eastAsia="Calibri" w:cs="Times New Roman"/>
                <w:noProof/>
                <w:sz w:val="18"/>
                <w:szCs w:val="18"/>
              </w:rPr>
              <w:t>Shaw (1973)</w:t>
            </w:r>
            <w:r>
              <w:rPr>
                <w:rFonts w:eastAsia="Calibri" w:cs="Times New Roman"/>
                <w:sz w:val="18"/>
                <w:szCs w:val="18"/>
              </w:rPr>
              <w:t xml:space="preserve"> </w:t>
            </w:r>
            <w:r w:rsidRPr="00B106B7">
              <w:rPr>
                <w:rFonts w:eastAsia="Calibri" w:cs="Times New Roman"/>
                <w:sz w:val="18"/>
                <w:szCs w:val="18"/>
              </w:rPr>
              <w:t xml:space="preserve">used the name </w:t>
            </w:r>
            <w:r w:rsidRPr="00B106B7">
              <w:rPr>
                <w:rFonts w:eastAsia="Calibri" w:cs="Times New Roman"/>
                <w:i/>
                <w:sz w:val="18"/>
                <w:szCs w:val="18"/>
              </w:rPr>
              <w:t>M. sylvestris</w:t>
            </w:r>
            <w:r w:rsidRPr="00B106B7">
              <w:rPr>
                <w:rFonts w:eastAsia="Calibri" w:cs="Times New Roman"/>
                <w:sz w:val="18"/>
                <w:szCs w:val="18"/>
              </w:rPr>
              <w:t xml:space="preserve"> for both domestic apple and crabapple.</w:t>
            </w:r>
            <w:r>
              <w:rPr>
                <w:rFonts w:eastAsia="Calibri" w:cs="Times New Roman"/>
                <w:sz w:val="18"/>
                <w:szCs w:val="18"/>
              </w:rPr>
              <w:t xml:space="preserve"> </w:t>
            </w:r>
            <w:r w:rsidRPr="00B106B7">
              <w:rPr>
                <w:rFonts w:eastAsia="Calibri" w:cs="Times New Roman"/>
                <w:sz w:val="18"/>
                <w:szCs w:val="18"/>
              </w:rPr>
              <w:t>There have been no records of this pest on apple in the</w:t>
            </w:r>
            <w:r>
              <w:rPr>
                <w:rFonts w:eastAsia="Calibri" w:cs="Times New Roman"/>
                <w:sz w:val="18"/>
                <w:szCs w:val="18"/>
              </w:rPr>
              <w:t xml:space="preserve"> USA </w:t>
            </w:r>
            <w:r w:rsidRPr="00B106B7">
              <w:rPr>
                <w:rFonts w:eastAsia="Calibri" w:cs="Times New Roman"/>
                <w:sz w:val="18"/>
                <w:szCs w:val="18"/>
              </w:rPr>
              <w:t xml:space="preserve">since 1973. Also, according to Booth </w:t>
            </w:r>
            <w:r>
              <w:rPr>
                <w:rFonts w:eastAsia="Calibri" w:cs="Times New Roman"/>
                <w:noProof/>
                <w:sz w:val="18"/>
                <w:szCs w:val="18"/>
              </w:rPr>
              <w:t>(1977)</w:t>
            </w:r>
            <w:r w:rsidRPr="00B106B7">
              <w:rPr>
                <w:rFonts w:eastAsia="Calibri" w:cs="Times New Roman"/>
                <w:sz w:val="18"/>
                <w:szCs w:val="18"/>
              </w:rPr>
              <w:t xml:space="preserve">, </w:t>
            </w:r>
            <w:r w:rsidRPr="00B106B7">
              <w:rPr>
                <w:rFonts w:eastAsia="Calibri" w:cs="Times New Roman"/>
                <w:i/>
                <w:sz w:val="18"/>
                <w:szCs w:val="18"/>
              </w:rPr>
              <w:t>Cylindrocarpon candidum</w:t>
            </w:r>
            <w:r w:rsidRPr="00B106B7">
              <w:rPr>
                <w:rFonts w:eastAsia="Calibri" w:cs="Times New Roman"/>
                <w:sz w:val="18"/>
                <w:szCs w:val="18"/>
              </w:rPr>
              <w:t xml:space="preserve"> is a pathogen of </w:t>
            </w:r>
            <w:r w:rsidRPr="00B106B7">
              <w:rPr>
                <w:rFonts w:eastAsia="Calibri" w:cs="Times New Roman"/>
                <w:i/>
                <w:sz w:val="18"/>
                <w:szCs w:val="18"/>
              </w:rPr>
              <w:t>Fagus sylvatica</w:t>
            </w:r>
            <w:r w:rsidRPr="00B106B7">
              <w:rPr>
                <w:rFonts w:eastAsia="Calibri" w:cs="Times New Roman"/>
                <w:sz w:val="18"/>
                <w:szCs w:val="18"/>
              </w:rPr>
              <w:t xml:space="preserve"> (beech) causing beech bark disease</w:t>
            </w:r>
            <w:r>
              <w:rPr>
                <w:rFonts w:eastAsia="Calibri" w:cs="Times New Roman"/>
                <w:sz w:val="18"/>
                <w:szCs w:val="18"/>
              </w:rPr>
              <w:t>.</w:t>
            </w:r>
            <w:r w:rsidRPr="00B106B7">
              <w:rPr>
                <w:rFonts w:eastAsia="Calibri" w:cs="Times New Roman"/>
                <w:sz w:val="18"/>
                <w:szCs w:val="18"/>
              </w:rPr>
              <w:t xml:space="preserve"> </w:t>
            </w:r>
          </w:p>
        </w:tc>
        <w:tc>
          <w:tcPr>
            <w:tcW w:w="2381" w:type="dxa"/>
            <w:shd w:val="clear" w:color="auto" w:fill="auto"/>
          </w:tcPr>
          <w:p w14:paraId="7662EDE4" w14:textId="77777777" w:rsidR="003438A2" w:rsidRPr="00B106B7" w:rsidRDefault="003438A2" w:rsidP="00881E29">
            <w:pPr>
              <w:spacing w:before="60" w:after="60" w:line="240" w:lineRule="auto"/>
              <w:rPr>
                <w:rFonts w:eastAsia="Calibri" w:cs="Times New Roman"/>
                <w:sz w:val="18"/>
                <w:szCs w:val="18"/>
              </w:rPr>
            </w:pPr>
            <w:r w:rsidRPr="00B106B7">
              <w:rPr>
                <w:rFonts w:eastAsia="Calibri" w:cs="Times New Roman"/>
                <w:sz w:val="18"/>
                <w:szCs w:val="18"/>
              </w:rPr>
              <w:t>Assessment not required</w:t>
            </w:r>
          </w:p>
        </w:tc>
        <w:tc>
          <w:tcPr>
            <w:tcW w:w="2211" w:type="dxa"/>
            <w:shd w:val="clear" w:color="auto" w:fill="auto"/>
          </w:tcPr>
          <w:p w14:paraId="4C4D4202" w14:textId="77777777" w:rsidR="003438A2" w:rsidRPr="00B106B7" w:rsidRDefault="003438A2" w:rsidP="00881E29">
            <w:pPr>
              <w:spacing w:before="60" w:after="60" w:line="240" w:lineRule="auto"/>
              <w:rPr>
                <w:rFonts w:eastAsia="Calibri" w:cs="Times New Roman"/>
                <w:sz w:val="18"/>
                <w:szCs w:val="18"/>
              </w:rPr>
            </w:pPr>
            <w:r w:rsidRPr="00B106B7">
              <w:rPr>
                <w:rFonts w:eastAsia="Calibri" w:cs="Times New Roman"/>
                <w:sz w:val="18"/>
                <w:szCs w:val="18"/>
              </w:rPr>
              <w:t>Assessment not required</w:t>
            </w:r>
          </w:p>
        </w:tc>
        <w:tc>
          <w:tcPr>
            <w:tcW w:w="1191" w:type="dxa"/>
            <w:shd w:val="clear" w:color="auto" w:fill="auto"/>
          </w:tcPr>
          <w:p w14:paraId="4AEA1C12" w14:textId="77777777" w:rsidR="003438A2" w:rsidRPr="00B106B7" w:rsidRDefault="003438A2" w:rsidP="00881E29">
            <w:pPr>
              <w:spacing w:before="60" w:after="60" w:line="240" w:lineRule="auto"/>
              <w:rPr>
                <w:rFonts w:eastAsia="Calibri" w:cs="Times New Roman"/>
                <w:sz w:val="18"/>
                <w:szCs w:val="18"/>
              </w:rPr>
            </w:pPr>
            <w:r w:rsidRPr="00B106B7">
              <w:rPr>
                <w:rFonts w:eastAsia="Calibri" w:cs="Times New Roman"/>
                <w:sz w:val="18"/>
                <w:szCs w:val="18"/>
              </w:rPr>
              <w:t>No</w:t>
            </w:r>
          </w:p>
        </w:tc>
      </w:tr>
      <w:tr w:rsidR="003438A2" w:rsidRPr="00EA4704" w14:paraId="38972C59" w14:textId="77777777" w:rsidTr="00C4199F">
        <w:trPr>
          <w:cantSplit/>
          <w:trHeight w:val="75"/>
          <w:jc w:val="center"/>
        </w:trPr>
        <w:tc>
          <w:tcPr>
            <w:tcW w:w="2553" w:type="dxa"/>
            <w:shd w:val="clear" w:color="auto" w:fill="auto"/>
          </w:tcPr>
          <w:p w14:paraId="4A615A48" w14:textId="77777777" w:rsidR="003438A2" w:rsidRPr="00EA4704" w:rsidRDefault="003438A2" w:rsidP="00881E29">
            <w:pPr>
              <w:spacing w:before="60" w:after="60" w:line="240" w:lineRule="auto"/>
              <w:rPr>
                <w:rFonts w:eastAsia="Calibri" w:cs="Times New Roman"/>
                <w:iCs/>
                <w:sz w:val="18"/>
                <w:szCs w:val="18"/>
              </w:rPr>
            </w:pPr>
            <w:r w:rsidRPr="00EA4704">
              <w:rPr>
                <w:rFonts w:eastAsia="Calibri" w:cs="Times New Roman"/>
                <w:i/>
                <w:iCs/>
                <w:sz w:val="18"/>
                <w:szCs w:val="18"/>
              </w:rPr>
              <w:lastRenderedPageBreak/>
              <w:t xml:space="preserve">Cyphella marginata </w:t>
            </w:r>
            <w:r w:rsidRPr="00EA4704">
              <w:rPr>
                <w:rFonts w:eastAsia="Calibri" w:cs="Times New Roman"/>
                <w:iCs/>
                <w:sz w:val="18"/>
                <w:szCs w:val="18"/>
              </w:rPr>
              <w:t>McAlpine</w:t>
            </w:r>
          </w:p>
          <w:p w14:paraId="13D15A45" w14:textId="77777777" w:rsidR="003438A2" w:rsidRPr="00EA4704" w:rsidRDefault="003438A2" w:rsidP="00881E29">
            <w:pPr>
              <w:spacing w:before="60" w:after="60" w:line="240" w:lineRule="auto"/>
              <w:rPr>
                <w:rFonts w:eastAsia="Calibri" w:cs="Times New Roman"/>
                <w:iCs/>
                <w:sz w:val="18"/>
                <w:szCs w:val="18"/>
              </w:rPr>
            </w:pPr>
            <w:r w:rsidRPr="00EA4704">
              <w:rPr>
                <w:rFonts w:eastAsia="Calibri" w:cs="Times New Roman"/>
                <w:iCs/>
                <w:sz w:val="18"/>
                <w:szCs w:val="18"/>
              </w:rPr>
              <w:t xml:space="preserve">Synonym: </w:t>
            </w:r>
            <w:r w:rsidRPr="00EA4704">
              <w:rPr>
                <w:rFonts w:eastAsia="Calibri" w:cs="Times New Roman"/>
                <w:i/>
                <w:iCs/>
                <w:sz w:val="18"/>
                <w:szCs w:val="18"/>
              </w:rPr>
              <w:t xml:space="preserve">Maireina marginata </w:t>
            </w:r>
            <w:r w:rsidRPr="00EA4704">
              <w:rPr>
                <w:rFonts w:eastAsia="Calibri" w:cs="Times New Roman"/>
                <w:iCs/>
                <w:sz w:val="18"/>
                <w:szCs w:val="18"/>
              </w:rPr>
              <w:t>(McAlpine) W.B. Cooke</w:t>
            </w:r>
          </w:p>
          <w:p w14:paraId="6180C1EF" w14:textId="77777777" w:rsidR="003438A2" w:rsidRPr="006B0D44" w:rsidRDefault="003438A2" w:rsidP="00881E29">
            <w:pPr>
              <w:spacing w:before="60" w:after="60" w:line="240" w:lineRule="auto"/>
              <w:rPr>
                <w:rFonts w:eastAsia="Calibri" w:cs="Times New Roman"/>
                <w:sz w:val="18"/>
                <w:szCs w:val="18"/>
              </w:rPr>
            </w:pPr>
            <w:r w:rsidRPr="00EA4704">
              <w:rPr>
                <w:rFonts w:eastAsia="Calibri" w:cs="Times New Roman"/>
                <w:sz w:val="18"/>
                <w:szCs w:val="18"/>
              </w:rPr>
              <w:t>[</w:t>
            </w:r>
            <w:r w:rsidRPr="00EA4704">
              <w:rPr>
                <w:rFonts w:eastAsia="Calibri" w:cs="Times New Roman"/>
                <w:iCs/>
                <w:sz w:val="18"/>
                <w:szCs w:val="18"/>
              </w:rPr>
              <w:t>Agaricales:</w:t>
            </w:r>
            <w:r>
              <w:rPr>
                <w:rFonts w:eastAsia="Calibri" w:cs="Times New Roman"/>
                <w:sz w:val="18"/>
                <w:szCs w:val="18"/>
              </w:rPr>
              <w:t xml:space="preserve"> Cyphellaceae]</w:t>
            </w:r>
          </w:p>
        </w:tc>
        <w:tc>
          <w:tcPr>
            <w:tcW w:w="1474" w:type="dxa"/>
            <w:shd w:val="clear" w:color="auto" w:fill="auto"/>
          </w:tcPr>
          <w:p w14:paraId="239CE8DC" w14:textId="77777777" w:rsidR="003438A2" w:rsidRPr="00EA4704" w:rsidRDefault="003438A2" w:rsidP="00881E29">
            <w:pPr>
              <w:spacing w:before="60" w:after="60" w:line="240" w:lineRule="auto"/>
              <w:rPr>
                <w:rFonts w:eastAsia="Calibri" w:cs="Times New Roman"/>
                <w:sz w:val="18"/>
                <w:szCs w:val="18"/>
                <w:lang w:val="pt-BR"/>
              </w:rPr>
            </w:pPr>
            <w:r w:rsidRPr="00EA4704">
              <w:rPr>
                <w:rFonts w:eastAsia="Calibri" w:cs="Times New Roman"/>
                <w:sz w:val="18"/>
                <w:szCs w:val="18"/>
              </w:rPr>
              <w:t xml:space="preserve">Yes. </w:t>
            </w:r>
            <w:r>
              <w:rPr>
                <w:rFonts w:eastAsia="Calibri" w:cs="Times New Roman"/>
                <w:sz w:val="18"/>
                <w:szCs w:val="18"/>
              </w:rPr>
              <w:t xml:space="preserve">Present in </w:t>
            </w:r>
            <w:r w:rsidRPr="00EA4704">
              <w:rPr>
                <w:rFonts w:eastAsia="Calibri" w:cs="Times New Roman"/>
                <w:sz w:val="18"/>
                <w:szCs w:val="18"/>
              </w:rPr>
              <w:t>OR</w:t>
            </w:r>
            <w:r>
              <w:rPr>
                <w:rFonts w:eastAsia="Calibri" w:cs="Times New Roman"/>
                <w:sz w:val="18"/>
                <w:szCs w:val="18"/>
              </w:rPr>
              <w:t xml:space="preserve"> and</w:t>
            </w:r>
            <w:r w:rsidRPr="00EA4704">
              <w:rPr>
                <w:rFonts w:eastAsia="Calibri" w:cs="Times New Roman"/>
                <w:sz w:val="18"/>
                <w:szCs w:val="18"/>
              </w:rPr>
              <w:t xml:space="preserve"> WA </w:t>
            </w:r>
            <w:r>
              <w:rPr>
                <w:rFonts w:eastAsia="Calibri" w:cs="Times New Roman"/>
                <w:noProof/>
                <w:sz w:val="18"/>
                <w:szCs w:val="18"/>
              </w:rPr>
              <w:t>(Farr &amp; Rossman 2018; Glawe 2009)</w:t>
            </w:r>
          </w:p>
        </w:tc>
        <w:tc>
          <w:tcPr>
            <w:tcW w:w="1474" w:type="dxa"/>
            <w:shd w:val="clear" w:color="auto" w:fill="auto"/>
          </w:tcPr>
          <w:p w14:paraId="559DFD23"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 records found</w:t>
            </w:r>
          </w:p>
        </w:tc>
        <w:tc>
          <w:tcPr>
            <w:tcW w:w="2552" w:type="dxa"/>
            <w:shd w:val="clear" w:color="auto" w:fill="auto"/>
          </w:tcPr>
          <w:p w14:paraId="290510EA"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 xml:space="preserve">No. This fungus is known to occur on dead twigs and is not associated with the mature fresh harvested fruit of its hosts </w:t>
            </w:r>
            <w:r>
              <w:rPr>
                <w:rFonts w:eastAsia="Calibri" w:cs="Times New Roman"/>
                <w:noProof/>
                <w:sz w:val="18"/>
                <w:szCs w:val="18"/>
              </w:rPr>
              <w:t>(Farr &amp; Rossman 2018; Ginns &amp; Lefebvre 1993)</w:t>
            </w:r>
            <w:r>
              <w:rPr>
                <w:rFonts w:eastAsia="Calibri" w:cs="Times New Roman"/>
                <w:sz w:val="18"/>
                <w:szCs w:val="18"/>
              </w:rPr>
              <w:t>.</w:t>
            </w:r>
          </w:p>
        </w:tc>
        <w:tc>
          <w:tcPr>
            <w:tcW w:w="2381" w:type="dxa"/>
            <w:shd w:val="clear" w:color="auto" w:fill="auto"/>
          </w:tcPr>
          <w:p w14:paraId="4266BBBF"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2211" w:type="dxa"/>
            <w:shd w:val="clear" w:color="auto" w:fill="auto"/>
          </w:tcPr>
          <w:p w14:paraId="7A3D66F3"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1191" w:type="dxa"/>
            <w:shd w:val="clear" w:color="auto" w:fill="auto"/>
          </w:tcPr>
          <w:p w14:paraId="20A36CF1"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w:t>
            </w:r>
          </w:p>
        </w:tc>
      </w:tr>
      <w:tr w:rsidR="003438A2" w:rsidRPr="00EA4704" w14:paraId="6D1C110E" w14:textId="77777777" w:rsidTr="00C4199F">
        <w:trPr>
          <w:cantSplit/>
          <w:trHeight w:val="75"/>
          <w:jc w:val="center"/>
        </w:trPr>
        <w:tc>
          <w:tcPr>
            <w:tcW w:w="2553" w:type="dxa"/>
            <w:shd w:val="clear" w:color="auto" w:fill="auto"/>
          </w:tcPr>
          <w:p w14:paraId="1A8D2129" w14:textId="77777777" w:rsidR="003438A2" w:rsidRPr="00EA4704" w:rsidRDefault="003438A2" w:rsidP="00881E29">
            <w:pPr>
              <w:spacing w:before="60" w:after="60" w:line="240" w:lineRule="auto"/>
              <w:rPr>
                <w:rFonts w:eastAsia="Calibri" w:cs="Times New Roman"/>
                <w:iCs/>
                <w:sz w:val="18"/>
                <w:szCs w:val="18"/>
              </w:rPr>
            </w:pPr>
            <w:r w:rsidRPr="00EA4704">
              <w:rPr>
                <w:rFonts w:eastAsia="Calibri" w:cs="Times New Roman"/>
                <w:i/>
                <w:iCs/>
                <w:sz w:val="18"/>
                <w:szCs w:val="18"/>
              </w:rPr>
              <w:t xml:space="preserve">Diplodia mutila </w:t>
            </w:r>
            <w:r w:rsidRPr="00EA4704">
              <w:rPr>
                <w:rFonts w:eastAsia="Calibri" w:cs="Times New Roman"/>
                <w:iCs/>
                <w:sz w:val="18"/>
                <w:szCs w:val="18"/>
              </w:rPr>
              <w:t>(Fr.) Mont.</w:t>
            </w:r>
          </w:p>
          <w:p w14:paraId="333DD8AB" w14:textId="77777777" w:rsidR="003438A2" w:rsidRDefault="003438A2" w:rsidP="00881E29">
            <w:pPr>
              <w:spacing w:before="60" w:after="60" w:line="240" w:lineRule="auto"/>
              <w:rPr>
                <w:rFonts w:eastAsia="Calibri" w:cs="Times New Roman"/>
                <w:iCs/>
                <w:sz w:val="18"/>
                <w:szCs w:val="18"/>
              </w:rPr>
            </w:pPr>
            <w:r w:rsidRPr="00EA4704">
              <w:rPr>
                <w:rFonts w:eastAsia="Calibri" w:cs="Times New Roman"/>
                <w:iCs/>
                <w:sz w:val="18"/>
                <w:szCs w:val="18"/>
              </w:rPr>
              <w:t xml:space="preserve">Synonyms: </w:t>
            </w:r>
            <w:r w:rsidRPr="00EA4704">
              <w:rPr>
                <w:rFonts w:eastAsia="Calibri" w:cs="Times New Roman"/>
                <w:i/>
                <w:iCs/>
                <w:sz w:val="18"/>
                <w:szCs w:val="18"/>
              </w:rPr>
              <w:t>Botryosphaeria stevensii</w:t>
            </w:r>
            <w:r w:rsidRPr="00EA4704">
              <w:rPr>
                <w:rFonts w:eastAsia="Calibri" w:cs="Times New Roman"/>
                <w:iCs/>
                <w:sz w:val="18"/>
                <w:szCs w:val="18"/>
              </w:rPr>
              <w:t xml:space="preserve"> Shoemaker</w:t>
            </w:r>
            <w:r>
              <w:rPr>
                <w:rFonts w:eastAsia="Calibri" w:cs="Times New Roman"/>
                <w:iCs/>
                <w:sz w:val="18"/>
                <w:szCs w:val="18"/>
              </w:rPr>
              <w:t xml:space="preserve">; </w:t>
            </w:r>
            <w:r w:rsidRPr="00140574">
              <w:rPr>
                <w:rFonts w:eastAsia="Calibri" w:cs="Times New Roman"/>
                <w:i/>
                <w:sz w:val="18"/>
                <w:szCs w:val="18"/>
              </w:rPr>
              <w:t xml:space="preserve">Physalospora </w:t>
            </w:r>
            <w:r w:rsidRPr="00140574">
              <w:rPr>
                <w:rFonts w:eastAsia="Calibri" w:cs="Times New Roman"/>
                <w:i/>
                <w:iCs/>
                <w:sz w:val="18"/>
                <w:szCs w:val="18"/>
              </w:rPr>
              <w:t>mutila</w:t>
            </w:r>
            <w:r w:rsidRPr="00DF0591">
              <w:rPr>
                <w:rFonts w:eastAsia="Calibri" w:cs="Times New Roman"/>
                <w:iCs/>
                <w:sz w:val="18"/>
                <w:szCs w:val="18"/>
              </w:rPr>
              <w:t xml:space="preserve"> </w:t>
            </w:r>
            <w:r w:rsidRPr="00EA4704">
              <w:rPr>
                <w:rFonts w:eastAsia="Calibri" w:cs="Times New Roman"/>
                <w:iCs/>
                <w:sz w:val="18"/>
                <w:szCs w:val="18"/>
              </w:rPr>
              <w:t xml:space="preserve">(Fr.) </w:t>
            </w:r>
            <w:r w:rsidRPr="00DF0591">
              <w:rPr>
                <w:rFonts w:eastAsia="Calibri" w:cs="Times New Roman"/>
                <w:iCs/>
                <w:sz w:val="18"/>
                <w:szCs w:val="18"/>
              </w:rPr>
              <w:t xml:space="preserve">N.E. Stevens; </w:t>
            </w:r>
            <w:r w:rsidRPr="00EA4704">
              <w:rPr>
                <w:rFonts w:eastAsia="Calibri" w:cs="Times New Roman"/>
                <w:i/>
                <w:iCs/>
                <w:sz w:val="18"/>
                <w:szCs w:val="18"/>
              </w:rPr>
              <w:t>Sphaeropsis malorum</w:t>
            </w:r>
            <w:r w:rsidRPr="00EA4704">
              <w:rPr>
                <w:rFonts w:eastAsia="Calibri" w:cs="Times New Roman"/>
                <w:iCs/>
                <w:sz w:val="18"/>
                <w:szCs w:val="18"/>
              </w:rPr>
              <w:t xml:space="preserve"> (Berk.) Berk.</w:t>
            </w:r>
          </w:p>
          <w:p w14:paraId="66ADE97E" w14:textId="77777777" w:rsidR="003438A2" w:rsidRPr="00EA4704" w:rsidRDefault="003438A2" w:rsidP="00881E29">
            <w:pPr>
              <w:spacing w:before="60" w:after="60" w:line="240" w:lineRule="auto"/>
              <w:rPr>
                <w:rFonts w:eastAsia="Calibri" w:cs="Times New Roman"/>
                <w:iCs/>
                <w:sz w:val="18"/>
                <w:szCs w:val="18"/>
              </w:rPr>
            </w:pPr>
            <w:r w:rsidRPr="00EA4704">
              <w:rPr>
                <w:rFonts w:eastAsia="Calibri" w:cs="Times New Roman"/>
                <w:iCs/>
                <w:sz w:val="18"/>
                <w:szCs w:val="18"/>
              </w:rPr>
              <w:t>[</w:t>
            </w:r>
            <w:r w:rsidRPr="00EA4704">
              <w:rPr>
                <w:rFonts w:eastAsia="Calibri" w:cs="Times New Roman"/>
                <w:sz w:val="18"/>
                <w:szCs w:val="18"/>
              </w:rPr>
              <w:t>Botryosphaeriales:</w:t>
            </w:r>
            <w:r w:rsidRPr="00EA4704">
              <w:rPr>
                <w:rFonts w:eastAsia="Calibri" w:cs="Times New Roman"/>
                <w:iCs/>
                <w:sz w:val="18"/>
                <w:szCs w:val="18"/>
              </w:rPr>
              <w:t xml:space="preserve"> Botryosphaeriaceae]</w:t>
            </w:r>
          </w:p>
          <w:p w14:paraId="38E36AA7" w14:textId="77777777" w:rsidR="003438A2" w:rsidRPr="00EA4704" w:rsidRDefault="003438A2" w:rsidP="00881E29">
            <w:pPr>
              <w:spacing w:before="60" w:after="60" w:line="240" w:lineRule="auto"/>
              <w:rPr>
                <w:rFonts w:eastAsia="Calibri" w:cs="Times New Roman"/>
                <w:i/>
                <w:iCs/>
                <w:sz w:val="18"/>
                <w:szCs w:val="18"/>
              </w:rPr>
            </w:pPr>
            <w:r w:rsidRPr="00EA4704">
              <w:rPr>
                <w:rFonts w:eastAsia="Calibri" w:cs="Times New Roman"/>
                <w:iCs/>
                <w:sz w:val="18"/>
                <w:szCs w:val="18"/>
              </w:rPr>
              <w:t>Diplodia canker</w:t>
            </w:r>
          </w:p>
        </w:tc>
        <w:tc>
          <w:tcPr>
            <w:tcW w:w="1474" w:type="dxa"/>
            <w:shd w:val="clear" w:color="auto" w:fill="auto"/>
          </w:tcPr>
          <w:p w14:paraId="077F6762"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 xml:space="preserve">Yes. </w:t>
            </w:r>
            <w:r>
              <w:rPr>
                <w:rFonts w:eastAsia="Calibri" w:cs="Times New Roman"/>
                <w:sz w:val="18"/>
                <w:szCs w:val="18"/>
              </w:rPr>
              <w:t xml:space="preserve">Present in </w:t>
            </w:r>
            <w:r w:rsidRPr="00EA4704">
              <w:rPr>
                <w:rFonts w:eastAsia="Calibri" w:cs="Times New Roman"/>
                <w:sz w:val="18"/>
                <w:szCs w:val="18"/>
              </w:rPr>
              <w:t>OR</w:t>
            </w:r>
            <w:r>
              <w:rPr>
                <w:rFonts w:eastAsia="Calibri" w:cs="Times New Roman"/>
                <w:sz w:val="18"/>
                <w:szCs w:val="18"/>
              </w:rPr>
              <w:t xml:space="preserve"> and</w:t>
            </w:r>
            <w:r w:rsidRPr="00EA4704">
              <w:rPr>
                <w:rFonts w:eastAsia="Calibri" w:cs="Times New Roman"/>
                <w:sz w:val="18"/>
                <w:szCs w:val="18"/>
              </w:rPr>
              <w:t xml:space="preserve"> WA</w:t>
            </w:r>
            <w:r>
              <w:rPr>
                <w:rFonts w:eastAsia="Calibri" w:cs="Times New Roman"/>
                <w:sz w:val="18"/>
                <w:szCs w:val="18"/>
              </w:rPr>
              <w:t xml:space="preserve">. Also present in </w:t>
            </w:r>
            <w:r w:rsidRPr="00EA4704">
              <w:rPr>
                <w:rFonts w:eastAsia="Calibri" w:cs="Times New Roman"/>
                <w:sz w:val="18"/>
                <w:szCs w:val="18"/>
              </w:rPr>
              <w:t>CA</w:t>
            </w:r>
            <w:r>
              <w:rPr>
                <w:rFonts w:eastAsia="Calibri" w:cs="Times New Roman"/>
                <w:sz w:val="18"/>
                <w:szCs w:val="18"/>
              </w:rPr>
              <w:t xml:space="preserve"> and</w:t>
            </w:r>
            <w:r w:rsidRPr="00EA4704">
              <w:rPr>
                <w:rFonts w:eastAsia="Calibri" w:cs="Times New Roman"/>
                <w:sz w:val="18"/>
                <w:szCs w:val="18"/>
              </w:rPr>
              <w:t xml:space="preserve"> MT </w:t>
            </w:r>
            <w:r>
              <w:rPr>
                <w:rFonts w:eastAsia="Calibri" w:cs="Times New Roman"/>
                <w:noProof/>
                <w:sz w:val="18"/>
                <w:szCs w:val="18"/>
              </w:rPr>
              <w:t>(Farr et al. 1989; Farr &amp; Rossman 2018; Glawe 2009)</w:t>
            </w:r>
          </w:p>
        </w:tc>
        <w:tc>
          <w:tcPr>
            <w:tcW w:w="1474" w:type="dxa"/>
            <w:shd w:val="clear" w:color="auto" w:fill="auto"/>
          </w:tcPr>
          <w:p w14:paraId="3DADBE7E"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 xml:space="preserve">Yes. ACT, NSW, SA, Vic., WA </w:t>
            </w:r>
            <w:r>
              <w:rPr>
                <w:rFonts w:eastAsia="Calibri" w:cs="Times New Roman"/>
                <w:noProof/>
                <w:sz w:val="18"/>
                <w:szCs w:val="18"/>
              </w:rPr>
              <w:t>(Plant Health Australia 2018)</w:t>
            </w:r>
            <w:r w:rsidRPr="00EA4704">
              <w:rPr>
                <w:rFonts w:eastAsia="Calibri" w:cs="Times New Roman"/>
                <w:sz w:val="18"/>
                <w:szCs w:val="18"/>
              </w:rPr>
              <w:t>.</w:t>
            </w:r>
            <w:r>
              <w:rPr>
                <w:rFonts w:eastAsia="Calibri" w:cs="Times New Roman"/>
                <w:sz w:val="18"/>
                <w:szCs w:val="18"/>
              </w:rPr>
              <w:t xml:space="preserve"> </w:t>
            </w:r>
            <w:r w:rsidRPr="00EA4704">
              <w:rPr>
                <w:rFonts w:eastAsia="Calibri" w:cs="Times New Roman"/>
                <w:sz w:val="18"/>
                <w:szCs w:val="18"/>
              </w:rPr>
              <w:t>Already es</w:t>
            </w:r>
            <w:r>
              <w:rPr>
                <w:rFonts w:eastAsia="Calibri" w:cs="Times New Roman"/>
                <w:sz w:val="18"/>
                <w:szCs w:val="18"/>
              </w:rPr>
              <w:t>tablished widely in Australia</w:t>
            </w:r>
          </w:p>
        </w:tc>
        <w:tc>
          <w:tcPr>
            <w:tcW w:w="2552" w:type="dxa"/>
            <w:shd w:val="clear" w:color="auto" w:fill="auto"/>
          </w:tcPr>
          <w:p w14:paraId="4D71C1D6" w14:textId="77777777" w:rsidR="003438A2" w:rsidRPr="00EA4704" w:rsidRDefault="003438A2" w:rsidP="00881E29">
            <w:pPr>
              <w:spacing w:before="60" w:after="60" w:line="240" w:lineRule="auto"/>
              <w:rPr>
                <w:rFonts w:eastAsia="Calibri" w:cs="Times New Roman"/>
                <w:sz w:val="18"/>
                <w:szCs w:val="18"/>
              </w:rPr>
            </w:pPr>
            <w:r w:rsidRPr="00DC4240">
              <w:rPr>
                <w:rFonts w:eastAsia="Calibri" w:cs="Times New Roman"/>
                <w:sz w:val="18"/>
                <w:szCs w:val="18"/>
              </w:rPr>
              <w:t>Assessment not required</w:t>
            </w:r>
          </w:p>
        </w:tc>
        <w:tc>
          <w:tcPr>
            <w:tcW w:w="2381" w:type="dxa"/>
            <w:shd w:val="clear" w:color="auto" w:fill="auto"/>
          </w:tcPr>
          <w:p w14:paraId="20261552" w14:textId="77777777" w:rsidR="003438A2" w:rsidRPr="00EA4704" w:rsidRDefault="003438A2" w:rsidP="00881E29">
            <w:pPr>
              <w:spacing w:before="60" w:after="60" w:line="240" w:lineRule="auto"/>
              <w:rPr>
                <w:rFonts w:eastAsia="Calibri" w:cs="Times New Roman"/>
                <w:sz w:val="18"/>
                <w:szCs w:val="18"/>
              </w:rPr>
            </w:pPr>
            <w:r w:rsidRPr="00DC4240">
              <w:rPr>
                <w:rFonts w:eastAsia="Calibri" w:cs="Times New Roman"/>
                <w:sz w:val="18"/>
                <w:szCs w:val="18"/>
              </w:rPr>
              <w:t>Assessment not required</w:t>
            </w:r>
          </w:p>
        </w:tc>
        <w:tc>
          <w:tcPr>
            <w:tcW w:w="2211" w:type="dxa"/>
            <w:shd w:val="clear" w:color="auto" w:fill="auto"/>
          </w:tcPr>
          <w:p w14:paraId="700CB7D0" w14:textId="77777777" w:rsidR="003438A2" w:rsidRPr="00EA4704" w:rsidRDefault="003438A2" w:rsidP="00881E29">
            <w:pPr>
              <w:spacing w:before="60" w:after="60" w:line="240" w:lineRule="auto"/>
              <w:rPr>
                <w:rFonts w:eastAsia="Calibri" w:cs="Times New Roman"/>
                <w:sz w:val="18"/>
                <w:szCs w:val="18"/>
              </w:rPr>
            </w:pPr>
            <w:r w:rsidRPr="00DC4240">
              <w:rPr>
                <w:rFonts w:eastAsia="Calibri" w:cs="Times New Roman"/>
                <w:sz w:val="18"/>
                <w:szCs w:val="18"/>
              </w:rPr>
              <w:t>Assessment not required</w:t>
            </w:r>
          </w:p>
        </w:tc>
        <w:tc>
          <w:tcPr>
            <w:tcW w:w="1191" w:type="dxa"/>
            <w:shd w:val="clear" w:color="auto" w:fill="auto"/>
          </w:tcPr>
          <w:p w14:paraId="32F49C47"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w:t>
            </w:r>
          </w:p>
        </w:tc>
      </w:tr>
      <w:tr w:rsidR="003438A2" w:rsidRPr="00EA4704" w14:paraId="396EA691" w14:textId="77777777" w:rsidTr="00C4199F">
        <w:trPr>
          <w:cantSplit/>
          <w:trHeight w:val="75"/>
          <w:jc w:val="center"/>
        </w:trPr>
        <w:tc>
          <w:tcPr>
            <w:tcW w:w="2553" w:type="dxa"/>
            <w:shd w:val="clear" w:color="auto" w:fill="auto"/>
          </w:tcPr>
          <w:p w14:paraId="68C727F1" w14:textId="77777777" w:rsidR="003438A2" w:rsidRPr="00EA4704" w:rsidRDefault="003438A2" w:rsidP="00881E29">
            <w:pPr>
              <w:spacing w:before="60" w:after="60" w:line="240" w:lineRule="auto"/>
              <w:rPr>
                <w:rFonts w:eastAsia="Calibri" w:cs="Times New Roman"/>
                <w:iCs/>
                <w:sz w:val="18"/>
                <w:szCs w:val="18"/>
              </w:rPr>
            </w:pPr>
            <w:r w:rsidRPr="00EA4704">
              <w:rPr>
                <w:rFonts w:eastAsia="Calibri" w:cs="Times New Roman"/>
                <w:i/>
                <w:iCs/>
                <w:sz w:val="18"/>
                <w:szCs w:val="18"/>
              </w:rPr>
              <w:t xml:space="preserve">Discula pyri </w:t>
            </w:r>
            <w:r w:rsidRPr="00EA4704">
              <w:rPr>
                <w:rFonts w:eastAsia="Calibri" w:cs="Times New Roman"/>
                <w:iCs/>
                <w:sz w:val="18"/>
                <w:szCs w:val="18"/>
              </w:rPr>
              <w:t>(Fuckel) Höhn.</w:t>
            </w:r>
          </w:p>
          <w:p w14:paraId="3B542B15" w14:textId="77777777" w:rsidR="003438A2" w:rsidRPr="00EA4704" w:rsidRDefault="003438A2" w:rsidP="00881E29">
            <w:pPr>
              <w:spacing w:before="60" w:after="60" w:line="240" w:lineRule="auto"/>
              <w:rPr>
                <w:rFonts w:eastAsia="Calibri" w:cs="Times New Roman"/>
                <w:iCs/>
                <w:sz w:val="18"/>
                <w:szCs w:val="18"/>
              </w:rPr>
            </w:pPr>
            <w:r w:rsidRPr="00EA4704">
              <w:rPr>
                <w:rFonts w:eastAsia="Calibri" w:cs="Times New Roman"/>
                <w:iCs/>
                <w:sz w:val="18"/>
                <w:szCs w:val="18"/>
              </w:rPr>
              <w:t>Synonym:</w:t>
            </w:r>
            <w:r>
              <w:rPr>
                <w:rFonts w:eastAsia="Calibri" w:cs="Times New Roman"/>
                <w:iCs/>
                <w:sz w:val="18"/>
                <w:szCs w:val="18"/>
              </w:rPr>
              <w:t xml:space="preserve"> </w:t>
            </w:r>
            <w:r w:rsidRPr="00EA4704">
              <w:rPr>
                <w:rFonts w:eastAsia="Calibri" w:cs="Times New Roman"/>
                <w:i/>
                <w:iCs/>
                <w:sz w:val="18"/>
                <w:szCs w:val="18"/>
              </w:rPr>
              <w:t>Phacidiopycnis piri</w:t>
            </w:r>
            <w:r w:rsidRPr="00EA4704">
              <w:rPr>
                <w:rFonts w:eastAsia="Calibri" w:cs="Times New Roman"/>
                <w:iCs/>
                <w:sz w:val="18"/>
                <w:szCs w:val="18"/>
              </w:rPr>
              <w:t xml:space="preserve"> (Fuckel) Weindlm</w:t>
            </w:r>
          </w:p>
          <w:p w14:paraId="27059900" w14:textId="77777777" w:rsidR="003438A2" w:rsidRPr="00EA4704" w:rsidRDefault="003438A2" w:rsidP="00881E29">
            <w:pPr>
              <w:spacing w:before="60" w:after="60" w:line="240" w:lineRule="auto"/>
              <w:rPr>
                <w:rFonts w:eastAsia="Calibri" w:cs="Times New Roman"/>
                <w:iCs/>
                <w:sz w:val="18"/>
                <w:szCs w:val="18"/>
              </w:rPr>
            </w:pPr>
            <w:r w:rsidRPr="00EA4704">
              <w:rPr>
                <w:rFonts w:eastAsia="Calibri" w:cs="Times New Roman"/>
                <w:iCs/>
                <w:sz w:val="18"/>
                <w:szCs w:val="18"/>
              </w:rPr>
              <w:t>[Helotiales: Potebniamyces]</w:t>
            </w:r>
          </w:p>
          <w:p w14:paraId="1CCB5CB5" w14:textId="77777777" w:rsidR="003438A2" w:rsidRPr="00EA4704" w:rsidRDefault="003438A2" w:rsidP="00881E29">
            <w:pPr>
              <w:spacing w:before="60" w:after="60" w:line="240" w:lineRule="auto"/>
              <w:rPr>
                <w:rFonts w:eastAsia="Calibri" w:cs="Times New Roman"/>
                <w:i/>
                <w:iCs/>
                <w:sz w:val="18"/>
                <w:szCs w:val="18"/>
              </w:rPr>
            </w:pPr>
            <w:r w:rsidRPr="00EA4704">
              <w:rPr>
                <w:rFonts w:eastAsia="Calibri" w:cs="Times New Roman"/>
                <w:iCs/>
                <w:sz w:val="18"/>
                <w:szCs w:val="18"/>
              </w:rPr>
              <w:t>Phacidiopycnis rot</w:t>
            </w:r>
          </w:p>
        </w:tc>
        <w:tc>
          <w:tcPr>
            <w:tcW w:w="1474" w:type="dxa"/>
            <w:shd w:val="clear" w:color="auto" w:fill="auto"/>
          </w:tcPr>
          <w:p w14:paraId="40B05F13" w14:textId="77777777" w:rsidR="003438A2" w:rsidRDefault="003438A2" w:rsidP="00824175">
            <w:r w:rsidRPr="00EA4704">
              <w:rPr>
                <w:rFonts w:eastAsia="Calibri" w:cs="Times New Roman"/>
                <w:sz w:val="18"/>
                <w:szCs w:val="18"/>
                <w:lang w:val="pt-BR"/>
              </w:rPr>
              <w:t xml:space="preserve">Yes. </w:t>
            </w:r>
            <w:r>
              <w:rPr>
                <w:rFonts w:eastAsia="Calibri" w:cs="Times New Roman"/>
                <w:sz w:val="18"/>
                <w:szCs w:val="18"/>
                <w:lang w:val="pt-BR"/>
              </w:rPr>
              <w:t xml:space="preserve">Present in </w:t>
            </w:r>
            <w:r w:rsidRPr="00EA4704">
              <w:rPr>
                <w:rFonts w:eastAsia="Calibri" w:cs="Times New Roman"/>
                <w:sz w:val="18"/>
                <w:szCs w:val="18"/>
                <w:lang w:val="pt-BR"/>
              </w:rPr>
              <w:t>WA</w:t>
            </w:r>
            <w:r>
              <w:rPr>
                <w:rFonts w:eastAsia="Calibri" w:cs="Times New Roman"/>
                <w:sz w:val="18"/>
                <w:szCs w:val="18"/>
                <w:lang w:val="pt-BR"/>
              </w:rPr>
              <w:t xml:space="preserve"> </w:t>
            </w:r>
            <w:r>
              <w:rPr>
                <w:rFonts w:eastAsia="Calibri" w:cs="Times New Roman"/>
                <w:noProof/>
                <w:sz w:val="18"/>
                <w:szCs w:val="18"/>
                <w:lang w:val="pt-BR"/>
              </w:rPr>
              <w:t>(Kim &amp; Xiao 2006; Xiao et al. 2005)</w:t>
            </w:r>
            <w:r>
              <w:rPr>
                <w:rFonts w:eastAsia="Calibri" w:cs="Times New Roman"/>
                <w:sz w:val="18"/>
                <w:szCs w:val="18"/>
                <w:lang w:val="pt-BR"/>
              </w:rPr>
              <w:t xml:space="preserve"> and OR </w:t>
            </w:r>
            <w:r>
              <w:rPr>
                <w:rFonts w:eastAsia="Calibri" w:cs="Times New Roman"/>
                <w:noProof/>
                <w:sz w:val="18"/>
                <w:szCs w:val="18"/>
                <w:lang w:val="pt-BR"/>
              </w:rPr>
              <w:t>(Pscheidt &amp; Ocamb 2021e)</w:t>
            </w:r>
          </w:p>
          <w:p w14:paraId="493C3524" w14:textId="77777777" w:rsidR="003438A2" w:rsidRPr="00EA4704" w:rsidRDefault="003438A2" w:rsidP="00881E29">
            <w:pPr>
              <w:spacing w:before="60" w:after="60" w:line="240" w:lineRule="auto"/>
              <w:rPr>
                <w:rFonts w:eastAsia="Calibri" w:cs="Times New Roman"/>
                <w:sz w:val="18"/>
                <w:szCs w:val="18"/>
                <w:lang w:val="pt-BR"/>
              </w:rPr>
            </w:pPr>
          </w:p>
        </w:tc>
        <w:tc>
          <w:tcPr>
            <w:tcW w:w="1474" w:type="dxa"/>
            <w:shd w:val="clear" w:color="auto" w:fill="auto"/>
          </w:tcPr>
          <w:p w14:paraId="25CF8CBB"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 records found</w:t>
            </w:r>
          </w:p>
        </w:tc>
        <w:tc>
          <w:tcPr>
            <w:tcW w:w="2552" w:type="dxa"/>
            <w:shd w:val="clear" w:color="auto" w:fill="auto"/>
          </w:tcPr>
          <w:p w14:paraId="2656B5EE"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 xml:space="preserve">Yes. Causes fruit rot on pears, but has also been observed on apples in WA </w:t>
            </w:r>
            <w:r>
              <w:rPr>
                <w:rFonts w:eastAsia="Calibri" w:cs="Times New Roman"/>
                <w:noProof/>
                <w:sz w:val="18"/>
                <w:szCs w:val="18"/>
              </w:rPr>
              <w:t>(Kim &amp; Xiao 2006; Xiao et al. 2005; Xiao 2006)</w:t>
            </w:r>
            <w:r w:rsidRPr="00EA4704">
              <w:rPr>
                <w:rFonts w:eastAsia="Calibri" w:cs="Times New Roman"/>
                <w:sz w:val="18"/>
                <w:szCs w:val="18"/>
              </w:rPr>
              <w:t xml:space="preserve">. It is also associated with twig dieback and canker disease of apple and pear </w:t>
            </w:r>
            <w:r>
              <w:rPr>
                <w:rFonts w:eastAsia="Calibri" w:cs="Times New Roman"/>
                <w:noProof/>
                <w:sz w:val="18"/>
                <w:szCs w:val="18"/>
              </w:rPr>
              <w:t>(DiCosmo, Nag Raj &amp; Kendrick 1984; Xiao &amp; Boal 2005c)</w:t>
            </w:r>
            <w:r>
              <w:rPr>
                <w:rFonts w:eastAsia="Calibri" w:cs="Times New Roman"/>
                <w:sz w:val="18"/>
                <w:szCs w:val="18"/>
              </w:rPr>
              <w:t>.</w:t>
            </w:r>
          </w:p>
        </w:tc>
        <w:tc>
          <w:tcPr>
            <w:tcW w:w="2381" w:type="dxa"/>
            <w:shd w:val="clear" w:color="auto" w:fill="auto"/>
          </w:tcPr>
          <w:p w14:paraId="678E36B0"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iCs/>
                <w:sz w:val="18"/>
                <w:szCs w:val="18"/>
              </w:rPr>
              <w:t xml:space="preserve">Yes. Infection of fruit with </w:t>
            </w:r>
            <w:r w:rsidRPr="00EA4704">
              <w:rPr>
                <w:rFonts w:eastAsia="Calibri" w:cs="Times New Roman"/>
                <w:i/>
                <w:iCs/>
                <w:sz w:val="18"/>
                <w:szCs w:val="18"/>
              </w:rPr>
              <w:t>Discula p</w:t>
            </w:r>
            <w:r>
              <w:rPr>
                <w:rFonts w:eastAsia="Calibri" w:cs="Times New Roman"/>
                <w:i/>
                <w:iCs/>
                <w:sz w:val="18"/>
                <w:szCs w:val="18"/>
              </w:rPr>
              <w:t>y</w:t>
            </w:r>
            <w:r w:rsidRPr="00EA4704">
              <w:rPr>
                <w:rFonts w:eastAsia="Calibri" w:cs="Times New Roman"/>
                <w:i/>
                <w:iCs/>
                <w:sz w:val="18"/>
                <w:szCs w:val="18"/>
              </w:rPr>
              <w:t>ri</w:t>
            </w:r>
            <w:r w:rsidRPr="00EA4704">
              <w:rPr>
                <w:rFonts w:eastAsia="Calibri" w:cs="Times New Roman"/>
                <w:iCs/>
                <w:sz w:val="18"/>
                <w:szCs w:val="18"/>
              </w:rPr>
              <w:t xml:space="preserve"> occurs in the orchard</w:t>
            </w:r>
            <w:r>
              <w:rPr>
                <w:rFonts w:eastAsia="Calibri" w:cs="Times New Roman"/>
                <w:iCs/>
                <w:sz w:val="18"/>
                <w:szCs w:val="18"/>
              </w:rPr>
              <w:t>,</w:t>
            </w:r>
            <w:r w:rsidRPr="00EA4704">
              <w:rPr>
                <w:rFonts w:eastAsia="Calibri" w:cs="Times New Roman"/>
                <w:iCs/>
                <w:sz w:val="18"/>
                <w:szCs w:val="18"/>
              </w:rPr>
              <w:t xml:space="preserve"> and rot symptoms develop in storage </w:t>
            </w:r>
            <w:r>
              <w:rPr>
                <w:rFonts w:eastAsia="Calibri" w:cs="Times New Roman"/>
                <w:iCs/>
                <w:noProof/>
                <w:sz w:val="18"/>
                <w:szCs w:val="18"/>
              </w:rPr>
              <w:t>(Xiao &amp; Boal 2004b, a)</w:t>
            </w:r>
            <w:r w:rsidRPr="00EA4704">
              <w:rPr>
                <w:rFonts w:eastAsia="Calibri" w:cs="Times New Roman"/>
                <w:iCs/>
                <w:sz w:val="18"/>
                <w:szCs w:val="18"/>
              </w:rPr>
              <w:t xml:space="preserve">. Infection can also spread from fruit to fruit in storage </w:t>
            </w:r>
            <w:r>
              <w:rPr>
                <w:rFonts w:eastAsia="Calibri" w:cs="Times New Roman"/>
                <w:iCs/>
                <w:noProof/>
                <w:sz w:val="18"/>
                <w:szCs w:val="18"/>
              </w:rPr>
              <w:t>(Xiao &amp; Boal 2004b)</w:t>
            </w:r>
            <w:r w:rsidRPr="00EA4704">
              <w:rPr>
                <w:rFonts w:eastAsia="Calibri" w:cs="Times New Roman"/>
                <w:iCs/>
                <w:sz w:val="18"/>
                <w:szCs w:val="18"/>
              </w:rPr>
              <w:t>.</w:t>
            </w:r>
            <w:r>
              <w:rPr>
                <w:rFonts w:eastAsia="Calibri" w:cs="Times New Roman"/>
                <w:iCs/>
                <w:sz w:val="18"/>
                <w:szCs w:val="18"/>
              </w:rPr>
              <w:t xml:space="preserve"> </w:t>
            </w:r>
            <w:r w:rsidRPr="00EA4704">
              <w:rPr>
                <w:rFonts w:eastAsia="Calibri" w:cs="Times New Roman"/>
                <w:iCs/>
                <w:sz w:val="18"/>
                <w:szCs w:val="18"/>
              </w:rPr>
              <w:t xml:space="preserve">At advanced stages of infection, the fungus forms pycnidia on the decayed area of the fruit </w:t>
            </w:r>
            <w:r>
              <w:rPr>
                <w:rFonts w:eastAsia="Calibri" w:cs="Times New Roman"/>
                <w:iCs/>
                <w:noProof/>
                <w:sz w:val="18"/>
                <w:szCs w:val="18"/>
              </w:rPr>
              <w:t>(Xiao 2006)</w:t>
            </w:r>
            <w:r w:rsidRPr="00EA4704">
              <w:rPr>
                <w:rFonts w:eastAsia="Calibri" w:cs="Times New Roman"/>
                <w:sz w:val="18"/>
                <w:szCs w:val="18"/>
              </w:rPr>
              <w:t>. Suitable hosts are grown in Australia</w:t>
            </w:r>
            <w:r>
              <w:rPr>
                <w:rFonts w:eastAsia="Calibri" w:cs="Times New Roman"/>
                <w:sz w:val="18"/>
                <w:szCs w:val="18"/>
              </w:rPr>
              <w:t>.</w:t>
            </w:r>
          </w:p>
        </w:tc>
        <w:tc>
          <w:tcPr>
            <w:tcW w:w="2211" w:type="dxa"/>
            <w:shd w:val="clear" w:color="auto" w:fill="auto"/>
          </w:tcPr>
          <w:p w14:paraId="55D4E5DD"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 xml:space="preserve">Yes. Phacidiopycnis rot is one of the major </w:t>
            </w:r>
            <w:r>
              <w:rPr>
                <w:rFonts w:eastAsia="Calibri" w:cs="Times New Roman"/>
                <w:sz w:val="18"/>
                <w:szCs w:val="18"/>
              </w:rPr>
              <w:t>post-harvest</w:t>
            </w:r>
            <w:r w:rsidRPr="00EA4704">
              <w:rPr>
                <w:rFonts w:eastAsia="Calibri" w:cs="Times New Roman"/>
                <w:sz w:val="18"/>
                <w:szCs w:val="18"/>
              </w:rPr>
              <w:t xml:space="preserve"> fruit rots in d’Anjou pears in Washington State causing economic losses due to fruit rotting in storage </w:t>
            </w:r>
            <w:r>
              <w:rPr>
                <w:rFonts w:eastAsia="Calibri" w:cs="Times New Roman"/>
                <w:noProof/>
                <w:sz w:val="18"/>
                <w:szCs w:val="18"/>
              </w:rPr>
              <w:t>(Xiao &amp; Boal 2004b, a)</w:t>
            </w:r>
            <w:r w:rsidRPr="00EA4704">
              <w:rPr>
                <w:rFonts w:eastAsia="Calibri" w:cs="Times New Roman"/>
                <w:sz w:val="18"/>
                <w:szCs w:val="18"/>
              </w:rPr>
              <w:t xml:space="preserve">. It is much less common in apple </w:t>
            </w:r>
            <w:r>
              <w:rPr>
                <w:rFonts w:eastAsia="Calibri" w:cs="Times New Roman"/>
                <w:noProof/>
                <w:sz w:val="18"/>
                <w:szCs w:val="18"/>
              </w:rPr>
              <w:t>(Kim &amp; Xiao 2006; Xiao et al. 2005)</w:t>
            </w:r>
            <w:r w:rsidRPr="00EA4704">
              <w:rPr>
                <w:rFonts w:eastAsia="Calibri" w:cs="Times New Roman"/>
                <w:sz w:val="18"/>
                <w:szCs w:val="18"/>
              </w:rPr>
              <w:t>.</w:t>
            </w:r>
            <w:r>
              <w:rPr>
                <w:rFonts w:eastAsia="Calibri" w:cs="Times New Roman"/>
                <w:sz w:val="18"/>
                <w:szCs w:val="18"/>
              </w:rPr>
              <w:t xml:space="preserve"> </w:t>
            </w:r>
            <w:r w:rsidRPr="00EA4704">
              <w:rPr>
                <w:rFonts w:eastAsia="Calibri" w:cs="Times New Roman"/>
                <w:i/>
                <w:iCs/>
                <w:sz w:val="18"/>
                <w:szCs w:val="18"/>
              </w:rPr>
              <w:t>Discula</w:t>
            </w:r>
            <w:r w:rsidRPr="00EA4704">
              <w:rPr>
                <w:rFonts w:eastAsia="Calibri" w:cs="Times New Roman"/>
                <w:i/>
                <w:sz w:val="18"/>
                <w:szCs w:val="18"/>
              </w:rPr>
              <w:t xml:space="preserve"> p</w:t>
            </w:r>
            <w:r>
              <w:rPr>
                <w:rFonts w:eastAsia="Calibri" w:cs="Times New Roman"/>
                <w:i/>
                <w:sz w:val="18"/>
                <w:szCs w:val="18"/>
              </w:rPr>
              <w:t>y</w:t>
            </w:r>
            <w:r w:rsidRPr="00EA4704">
              <w:rPr>
                <w:rFonts w:eastAsia="Calibri" w:cs="Times New Roman"/>
                <w:i/>
                <w:sz w:val="18"/>
                <w:szCs w:val="18"/>
              </w:rPr>
              <w:t>ri</w:t>
            </w:r>
            <w:r w:rsidRPr="00EA4704">
              <w:rPr>
                <w:rFonts w:eastAsia="Calibri" w:cs="Times New Roman"/>
                <w:sz w:val="18"/>
                <w:szCs w:val="18"/>
              </w:rPr>
              <w:t xml:space="preserve"> causes twig dieback and canker disease of apple and pear </w:t>
            </w:r>
            <w:r>
              <w:rPr>
                <w:rFonts w:eastAsia="Calibri" w:cs="Times New Roman"/>
                <w:noProof/>
                <w:sz w:val="18"/>
                <w:szCs w:val="18"/>
              </w:rPr>
              <w:t>(DiCosmo, Nag Raj &amp; Kendrick 1984; Xiao &amp; Boal 2005c)</w:t>
            </w:r>
            <w:r>
              <w:rPr>
                <w:rFonts w:eastAsia="Calibri" w:cs="Times New Roman"/>
                <w:sz w:val="18"/>
                <w:szCs w:val="18"/>
              </w:rPr>
              <w:t>.</w:t>
            </w:r>
          </w:p>
        </w:tc>
        <w:tc>
          <w:tcPr>
            <w:tcW w:w="1191" w:type="dxa"/>
            <w:shd w:val="clear" w:color="auto" w:fill="auto"/>
          </w:tcPr>
          <w:p w14:paraId="638326A6"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Yes</w:t>
            </w:r>
          </w:p>
        </w:tc>
      </w:tr>
      <w:tr w:rsidR="003438A2" w:rsidRPr="00EA4704" w14:paraId="717AF583" w14:textId="77777777" w:rsidTr="00C4199F">
        <w:trPr>
          <w:cantSplit/>
          <w:trHeight w:val="75"/>
          <w:jc w:val="center"/>
        </w:trPr>
        <w:tc>
          <w:tcPr>
            <w:tcW w:w="2553" w:type="dxa"/>
            <w:shd w:val="clear" w:color="auto" w:fill="auto"/>
          </w:tcPr>
          <w:p w14:paraId="64F8D09B" w14:textId="77777777" w:rsidR="003438A2" w:rsidRPr="00EA4704" w:rsidRDefault="003438A2" w:rsidP="00881E29">
            <w:pPr>
              <w:spacing w:before="60" w:after="60" w:line="240" w:lineRule="auto"/>
              <w:rPr>
                <w:rFonts w:eastAsia="Calibri" w:cs="Times New Roman"/>
                <w:iCs/>
                <w:sz w:val="18"/>
                <w:szCs w:val="18"/>
              </w:rPr>
            </w:pPr>
            <w:r w:rsidRPr="00EA4704">
              <w:rPr>
                <w:rFonts w:eastAsia="Calibri" w:cs="Times New Roman"/>
                <w:i/>
                <w:iCs/>
                <w:sz w:val="18"/>
                <w:szCs w:val="18"/>
              </w:rPr>
              <w:lastRenderedPageBreak/>
              <w:t xml:space="preserve">Dothichiza </w:t>
            </w:r>
            <w:r w:rsidRPr="00EA4704">
              <w:rPr>
                <w:rFonts w:eastAsia="Calibri" w:cs="Times New Roman"/>
                <w:iCs/>
                <w:sz w:val="18"/>
                <w:szCs w:val="18"/>
              </w:rPr>
              <w:t>sp.</w:t>
            </w:r>
          </w:p>
          <w:p w14:paraId="3867B289" w14:textId="77777777" w:rsidR="003438A2" w:rsidRPr="00EA4704" w:rsidRDefault="003438A2" w:rsidP="00881E29">
            <w:pPr>
              <w:spacing w:before="60" w:after="60" w:line="240" w:lineRule="auto"/>
              <w:rPr>
                <w:rFonts w:eastAsia="Calibri" w:cs="Times New Roman"/>
                <w:sz w:val="18"/>
                <w:szCs w:val="18"/>
                <w:lang w:val="pt-BR"/>
              </w:rPr>
            </w:pPr>
            <w:r w:rsidRPr="00EA4704">
              <w:rPr>
                <w:rFonts w:eastAsia="Calibri" w:cs="Times New Roman"/>
                <w:iCs/>
                <w:sz w:val="18"/>
                <w:szCs w:val="18"/>
              </w:rPr>
              <w:t>[Dothideales:</w:t>
            </w:r>
            <w:r w:rsidRPr="00EA4704" w:rsidDel="004707EC">
              <w:rPr>
                <w:rFonts w:eastAsia="Calibri" w:cs="Times New Roman"/>
                <w:iCs/>
                <w:sz w:val="18"/>
                <w:szCs w:val="18"/>
              </w:rPr>
              <w:t xml:space="preserve"> </w:t>
            </w:r>
            <w:r w:rsidRPr="00EA4704">
              <w:rPr>
                <w:rFonts w:eastAsia="Calibri" w:cs="Times New Roman"/>
                <w:iCs/>
                <w:sz w:val="18"/>
                <w:szCs w:val="18"/>
              </w:rPr>
              <w:t>Dothioraceae]</w:t>
            </w:r>
          </w:p>
        </w:tc>
        <w:tc>
          <w:tcPr>
            <w:tcW w:w="1474" w:type="dxa"/>
            <w:shd w:val="clear" w:color="auto" w:fill="auto"/>
          </w:tcPr>
          <w:p w14:paraId="7D38FEA4" w14:textId="77777777" w:rsidR="003438A2" w:rsidRPr="00EA4704" w:rsidRDefault="003438A2" w:rsidP="00881E29">
            <w:pPr>
              <w:spacing w:before="60" w:after="60" w:line="240" w:lineRule="auto"/>
              <w:rPr>
                <w:rFonts w:eastAsia="Calibri" w:cs="Times New Roman"/>
                <w:sz w:val="18"/>
                <w:szCs w:val="18"/>
                <w:lang w:val="pt-BR"/>
              </w:rPr>
            </w:pPr>
            <w:r w:rsidRPr="00EA4704">
              <w:rPr>
                <w:rFonts w:eastAsia="Calibri" w:cs="Times New Roman"/>
                <w:sz w:val="18"/>
                <w:szCs w:val="18"/>
                <w:lang w:val="pt-BR"/>
              </w:rPr>
              <w:t xml:space="preserve">Yes. </w:t>
            </w:r>
            <w:r>
              <w:rPr>
                <w:rFonts w:eastAsia="Calibri" w:cs="Times New Roman"/>
                <w:sz w:val="18"/>
                <w:szCs w:val="18"/>
                <w:lang w:val="pt-BR"/>
              </w:rPr>
              <w:t xml:space="preserve">Present in </w:t>
            </w:r>
            <w:r w:rsidRPr="00EA4704">
              <w:rPr>
                <w:rFonts w:eastAsia="Calibri" w:cs="Times New Roman"/>
                <w:sz w:val="18"/>
                <w:szCs w:val="18"/>
                <w:lang w:val="pt-BR"/>
              </w:rPr>
              <w:t xml:space="preserve">WA </w:t>
            </w:r>
            <w:r>
              <w:rPr>
                <w:rFonts w:eastAsia="Calibri" w:cs="Times New Roman"/>
                <w:noProof/>
                <w:sz w:val="18"/>
                <w:szCs w:val="18"/>
                <w:lang w:val="pt-BR"/>
              </w:rPr>
              <w:t>(Shaw 1973)</w:t>
            </w:r>
          </w:p>
        </w:tc>
        <w:tc>
          <w:tcPr>
            <w:tcW w:w="1474" w:type="dxa"/>
            <w:shd w:val="clear" w:color="auto" w:fill="auto"/>
          </w:tcPr>
          <w:p w14:paraId="0E8DE7B8"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 records found</w:t>
            </w:r>
          </w:p>
        </w:tc>
        <w:tc>
          <w:tcPr>
            <w:tcW w:w="2552" w:type="dxa"/>
            <w:shd w:val="clear" w:color="auto" w:fill="auto"/>
          </w:tcPr>
          <w:p w14:paraId="74FF4758"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 xml:space="preserve">No. All of the reports of </w:t>
            </w:r>
            <w:r w:rsidRPr="004E7050">
              <w:rPr>
                <w:rFonts w:eastAsia="Calibri" w:cs="Times New Roman"/>
                <w:i/>
                <w:sz w:val="18"/>
                <w:szCs w:val="18"/>
              </w:rPr>
              <w:t>Dothichiza</w:t>
            </w:r>
            <w:r w:rsidRPr="00B34EF6">
              <w:rPr>
                <w:rFonts w:eastAsia="Calibri" w:cs="Times New Roman"/>
                <w:sz w:val="18"/>
                <w:szCs w:val="18"/>
              </w:rPr>
              <w:t xml:space="preserve"> sp. </w:t>
            </w:r>
            <w:r w:rsidRPr="00EA4704">
              <w:rPr>
                <w:rFonts w:eastAsia="Calibri" w:cs="Times New Roman"/>
                <w:sz w:val="18"/>
                <w:szCs w:val="18"/>
              </w:rPr>
              <w:t>on apple in the</w:t>
            </w:r>
            <w:r>
              <w:rPr>
                <w:rFonts w:eastAsia="Calibri" w:cs="Times New Roman"/>
                <w:sz w:val="18"/>
                <w:szCs w:val="18"/>
              </w:rPr>
              <w:t xml:space="preserve"> USA </w:t>
            </w:r>
            <w:r w:rsidRPr="00EA4704">
              <w:rPr>
                <w:rFonts w:eastAsia="Calibri" w:cs="Times New Roman"/>
                <w:sz w:val="18"/>
                <w:szCs w:val="18"/>
              </w:rPr>
              <w:t xml:space="preserve">are based on only one report of this pest on </w:t>
            </w:r>
            <w:r w:rsidRPr="004E7050">
              <w:rPr>
                <w:rFonts w:eastAsia="Calibri" w:cs="Times New Roman"/>
                <w:i/>
                <w:sz w:val="18"/>
                <w:szCs w:val="18"/>
              </w:rPr>
              <w:t>Malus sylvestris</w:t>
            </w:r>
            <w:r w:rsidRPr="00B34EF6">
              <w:rPr>
                <w:rFonts w:eastAsia="Calibri" w:cs="Times New Roman"/>
                <w:sz w:val="18"/>
                <w:szCs w:val="18"/>
              </w:rPr>
              <w:t xml:space="preserve"> </w:t>
            </w:r>
            <w:r>
              <w:rPr>
                <w:rFonts w:eastAsia="Calibri" w:cs="Times New Roman"/>
                <w:noProof/>
                <w:sz w:val="18"/>
                <w:szCs w:val="18"/>
              </w:rPr>
              <w:t>(Shaw 1973)</w:t>
            </w:r>
            <w:r w:rsidRPr="00EA4704">
              <w:rPr>
                <w:rFonts w:eastAsia="Calibri" w:cs="Times New Roman"/>
                <w:sz w:val="18"/>
                <w:szCs w:val="18"/>
              </w:rPr>
              <w:t xml:space="preserve">. This report does not specify whether </w:t>
            </w:r>
            <w:r w:rsidRPr="004E7050">
              <w:rPr>
                <w:rFonts w:eastAsia="Calibri" w:cs="Times New Roman"/>
                <w:i/>
                <w:sz w:val="18"/>
                <w:szCs w:val="18"/>
              </w:rPr>
              <w:t>Dothichiza </w:t>
            </w:r>
            <w:r w:rsidRPr="00B34EF6">
              <w:rPr>
                <w:rFonts w:eastAsia="Calibri" w:cs="Times New Roman"/>
                <w:sz w:val="18"/>
                <w:szCs w:val="18"/>
              </w:rPr>
              <w:t xml:space="preserve">sp. </w:t>
            </w:r>
            <w:r w:rsidRPr="00EA4704">
              <w:rPr>
                <w:rFonts w:eastAsia="Calibri" w:cs="Times New Roman"/>
                <w:sz w:val="18"/>
                <w:szCs w:val="18"/>
              </w:rPr>
              <w:t xml:space="preserve">was found on apple fruit. It appeared that </w:t>
            </w:r>
            <w:r>
              <w:rPr>
                <w:rFonts w:eastAsia="Calibri" w:cs="Times New Roman"/>
                <w:sz w:val="18"/>
                <w:szCs w:val="18"/>
              </w:rPr>
              <w:t xml:space="preserve">Shaw </w:t>
            </w:r>
            <w:r>
              <w:rPr>
                <w:rFonts w:eastAsia="Calibri" w:cs="Times New Roman"/>
                <w:noProof/>
                <w:sz w:val="18"/>
                <w:szCs w:val="18"/>
              </w:rPr>
              <w:t>(1973)</w:t>
            </w:r>
            <w:r w:rsidRPr="00EA4704">
              <w:rPr>
                <w:rFonts w:eastAsia="Calibri" w:cs="Times New Roman"/>
                <w:sz w:val="18"/>
                <w:szCs w:val="18"/>
              </w:rPr>
              <w:t xml:space="preserve"> used the name </w:t>
            </w:r>
            <w:r w:rsidRPr="004E7050">
              <w:rPr>
                <w:rFonts w:eastAsia="Calibri" w:cs="Times New Roman"/>
                <w:i/>
                <w:sz w:val="18"/>
                <w:szCs w:val="18"/>
              </w:rPr>
              <w:t>Malus sylvestris</w:t>
            </w:r>
            <w:r w:rsidRPr="00EA4704">
              <w:rPr>
                <w:rFonts w:eastAsia="Calibri" w:cs="Times New Roman"/>
                <w:sz w:val="18"/>
                <w:szCs w:val="18"/>
              </w:rPr>
              <w:t xml:space="preserve"> for both domestic apple and crabapple. There have been no records of this pest on apple in the</w:t>
            </w:r>
            <w:r>
              <w:rPr>
                <w:rFonts w:eastAsia="Calibri" w:cs="Times New Roman"/>
                <w:sz w:val="18"/>
                <w:szCs w:val="18"/>
              </w:rPr>
              <w:t xml:space="preserve"> USA </w:t>
            </w:r>
            <w:r w:rsidRPr="00EA4704">
              <w:rPr>
                <w:rFonts w:eastAsia="Calibri" w:cs="Times New Roman"/>
                <w:sz w:val="18"/>
                <w:szCs w:val="18"/>
              </w:rPr>
              <w:t xml:space="preserve">since 1973. </w:t>
            </w:r>
            <w:r w:rsidRPr="004E7050">
              <w:rPr>
                <w:rFonts w:eastAsia="Calibri" w:cs="Times New Roman"/>
                <w:i/>
                <w:sz w:val="18"/>
                <w:szCs w:val="18"/>
              </w:rPr>
              <w:t>Dothichiza</w:t>
            </w:r>
            <w:r w:rsidRPr="00EA4704">
              <w:rPr>
                <w:rFonts w:eastAsia="Calibri" w:cs="Times New Roman"/>
                <w:sz w:val="18"/>
                <w:szCs w:val="18"/>
              </w:rPr>
              <w:t xml:space="preserve"> spp. are not known as pests of apple fruit</w:t>
            </w:r>
            <w:r>
              <w:rPr>
                <w:rFonts w:eastAsia="Calibri" w:cs="Times New Roman"/>
                <w:sz w:val="18"/>
                <w:szCs w:val="18"/>
              </w:rPr>
              <w:t xml:space="preserve">. </w:t>
            </w:r>
          </w:p>
        </w:tc>
        <w:tc>
          <w:tcPr>
            <w:tcW w:w="2381" w:type="dxa"/>
            <w:shd w:val="clear" w:color="auto" w:fill="auto"/>
          </w:tcPr>
          <w:p w14:paraId="00610271"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2211" w:type="dxa"/>
            <w:shd w:val="clear" w:color="auto" w:fill="auto"/>
          </w:tcPr>
          <w:p w14:paraId="24A76C1D"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1191" w:type="dxa"/>
            <w:shd w:val="clear" w:color="auto" w:fill="auto"/>
          </w:tcPr>
          <w:p w14:paraId="45EB5DD1"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w:t>
            </w:r>
          </w:p>
        </w:tc>
      </w:tr>
      <w:tr w:rsidR="003438A2" w:rsidRPr="00EA4704" w14:paraId="0CF2B59A" w14:textId="77777777" w:rsidTr="00C4199F">
        <w:trPr>
          <w:cantSplit/>
          <w:trHeight w:val="75"/>
          <w:jc w:val="center"/>
        </w:trPr>
        <w:tc>
          <w:tcPr>
            <w:tcW w:w="2553" w:type="dxa"/>
            <w:shd w:val="clear" w:color="auto" w:fill="auto"/>
          </w:tcPr>
          <w:p w14:paraId="15299396" w14:textId="77777777" w:rsidR="003438A2" w:rsidRPr="00EA4704" w:rsidRDefault="003438A2" w:rsidP="00881E29">
            <w:pPr>
              <w:spacing w:before="60" w:after="60" w:line="240" w:lineRule="auto"/>
              <w:rPr>
                <w:rFonts w:eastAsia="Calibri" w:cs="Times New Roman"/>
                <w:iCs/>
                <w:sz w:val="18"/>
                <w:szCs w:val="18"/>
              </w:rPr>
            </w:pPr>
            <w:r w:rsidRPr="00EA4704">
              <w:rPr>
                <w:rFonts w:eastAsia="Calibri" w:cs="Times New Roman"/>
                <w:i/>
                <w:iCs/>
                <w:sz w:val="18"/>
                <w:szCs w:val="18"/>
              </w:rPr>
              <w:t xml:space="preserve">Dothiorella sarmentorum </w:t>
            </w:r>
            <w:r w:rsidRPr="00EA4704">
              <w:rPr>
                <w:rFonts w:eastAsia="Calibri" w:cs="Times New Roman"/>
                <w:iCs/>
                <w:sz w:val="18"/>
                <w:szCs w:val="18"/>
              </w:rPr>
              <w:t>(Fr.) A.J.L. Phillips, A. Alves &amp; J. Luque</w:t>
            </w:r>
          </w:p>
          <w:p w14:paraId="770F91AB" w14:textId="77777777" w:rsidR="003438A2" w:rsidRPr="00EA4704" w:rsidRDefault="003438A2" w:rsidP="00881E29">
            <w:pPr>
              <w:spacing w:before="60" w:after="60" w:line="240" w:lineRule="auto"/>
              <w:rPr>
                <w:rFonts w:eastAsia="Calibri" w:cs="Times New Roman"/>
                <w:iCs/>
                <w:sz w:val="18"/>
                <w:szCs w:val="18"/>
              </w:rPr>
            </w:pPr>
            <w:r w:rsidRPr="00EA4704">
              <w:rPr>
                <w:rFonts w:eastAsia="Calibri" w:cs="Times New Roman"/>
                <w:iCs/>
                <w:sz w:val="18"/>
                <w:szCs w:val="18"/>
              </w:rPr>
              <w:t>Synonym:</w:t>
            </w:r>
            <w:r w:rsidRPr="00EA4704">
              <w:rPr>
                <w:rFonts w:eastAsia="Calibri" w:cs="Times New Roman"/>
                <w:i/>
                <w:iCs/>
                <w:sz w:val="18"/>
                <w:szCs w:val="18"/>
              </w:rPr>
              <w:t xml:space="preserve"> Diplodia sarmentorum </w:t>
            </w:r>
            <w:r w:rsidRPr="00EA4704">
              <w:rPr>
                <w:rFonts w:eastAsia="Calibri" w:cs="Times New Roman"/>
                <w:iCs/>
                <w:sz w:val="18"/>
                <w:szCs w:val="18"/>
              </w:rPr>
              <w:t>(Fr.:Fr.)</w:t>
            </w:r>
          </w:p>
          <w:p w14:paraId="2B544575" w14:textId="77777777" w:rsidR="003438A2" w:rsidRPr="00EA4704" w:rsidRDefault="003438A2" w:rsidP="00881E29">
            <w:pPr>
              <w:spacing w:before="60" w:after="60" w:line="240" w:lineRule="auto"/>
              <w:rPr>
                <w:rFonts w:eastAsia="Calibri" w:cs="Times New Roman"/>
                <w:i/>
                <w:iCs/>
                <w:sz w:val="18"/>
                <w:szCs w:val="18"/>
              </w:rPr>
            </w:pPr>
            <w:r w:rsidRPr="00EA4704">
              <w:rPr>
                <w:rFonts w:eastAsia="Calibri" w:cs="Times New Roman"/>
                <w:iCs/>
                <w:sz w:val="18"/>
                <w:szCs w:val="18"/>
              </w:rPr>
              <w:t>[</w:t>
            </w:r>
            <w:r w:rsidRPr="00EA4704">
              <w:rPr>
                <w:rFonts w:eastAsia="Calibri" w:cs="Times New Roman"/>
                <w:sz w:val="18"/>
                <w:szCs w:val="18"/>
              </w:rPr>
              <w:t>Botryosphaeriales:</w:t>
            </w:r>
            <w:r w:rsidRPr="00EA4704">
              <w:rPr>
                <w:rFonts w:eastAsia="Calibri" w:cs="Times New Roman"/>
                <w:iCs/>
                <w:sz w:val="18"/>
                <w:szCs w:val="18"/>
              </w:rPr>
              <w:t xml:space="preserve"> Botryosphaeriaceae]</w:t>
            </w:r>
          </w:p>
        </w:tc>
        <w:tc>
          <w:tcPr>
            <w:tcW w:w="1474" w:type="dxa"/>
            <w:shd w:val="clear" w:color="auto" w:fill="auto"/>
          </w:tcPr>
          <w:p w14:paraId="5AF9688D"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 xml:space="preserve">Yes. </w:t>
            </w:r>
            <w:r>
              <w:rPr>
                <w:rFonts w:eastAsia="Calibri" w:cs="Times New Roman"/>
                <w:sz w:val="18"/>
                <w:szCs w:val="18"/>
              </w:rPr>
              <w:t xml:space="preserve">Present in </w:t>
            </w:r>
            <w:r w:rsidRPr="00EA4704">
              <w:rPr>
                <w:rFonts w:eastAsia="Calibri" w:cs="Times New Roman"/>
                <w:sz w:val="18"/>
                <w:szCs w:val="18"/>
              </w:rPr>
              <w:t>OR</w:t>
            </w:r>
            <w:r>
              <w:rPr>
                <w:rFonts w:eastAsia="Calibri" w:cs="Times New Roman"/>
                <w:sz w:val="18"/>
                <w:szCs w:val="18"/>
              </w:rPr>
              <w:t xml:space="preserve"> and WA</w:t>
            </w:r>
            <w:r w:rsidRPr="00EA4704">
              <w:rPr>
                <w:rFonts w:eastAsia="Calibri" w:cs="Times New Roman"/>
                <w:sz w:val="18"/>
                <w:szCs w:val="18"/>
              </w:rPr>
              <w:t xml:space="preserve"> </w:t>
            </w:r>
            <w:r>
              <w:rPr>
                <w:rFonts w:eastAsia="Calibri" w:cs="Times New Roman"/>
                <w:noProof/>
                <w:sz w:val="18"/>
                <w:szCs w:val="18"/>
              </w:rPr>
              <w:t>(Farr &amp; Rossman 2018; Glawe 2009)</w:t>
            </w:r>
          </w:p>
        </w:tc>
        <w:tc>
          <w:tcPr>
            <w:tcW w:w="1474" w:type="dxa"/>
            <w:shd w:val="clear" w:color="auto" w:fill="auto"/>
          </w:tcPr>
          <w:p w14:paraId="2D2CDB44"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 xml:space="preserve">Yes. SA, NSW, Vic. </w:t>
            </w:r>
            <w:r>
              <w:rPr>
                <w:rFonts w:eastAsia="Calibri" w:cs="Times New Roman"/>
                <w:noProof/>
                <w:sz w:val="18"/>
                <w:szCs w:val="18"/>
              </w:rPr>
              <w:t>(Plant Health Australia 2018)</w:t>
            </w:r>
            <w:r w:rsidRPr="00EA4704">
              <w:rPr>
                <w:rFonts w:eastAsia="Calibri" w:cs="Times New Roman"/>
                <w:sz w:val="18"/>
                <w:szCs w:val="18"/>
              </w:rPr>
              <w:t xml:space="preserve">. </w:t>
            </w:r>
            <w:r w:rsidRPr="00EA4704">
              <w:rPr>
                <w:sz w:val="18"/>
                <w:szCs w:val="18"/>
                <w:lang w:val="pt-BR"/>
              </w:rPr>
              <w:t xml:space="preserve">Listed as a Declared Pest, Prohibited (section 12) (C1 Prohibited) for WA </w:t>
            </w:r>
            <w:r>
              <w:rPr>
                <w:noProof/>
                <w:sz w:val="18"/>
                <w:szCs w:val="18"/>
                <w:lang w:val="pt-BR"/>
              </w:rPr>
              <w:t>(Government of Western Australia 2020)</w:t>
            </w:r>
          </w:p>
        </w:tc>
        <w:tc>
          <w:tcPr>
            <w:tcW w:w="2552" w:type="dxa"/>
            <w:shd w:val="clear" w:color="auto" w:fill="auto"/>
          </w:tcPr>
          <w:p w14:paraId="2CE484B7"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 xml:space="preserve">No. Found on limbs of apple </w:t>
            </w:r>
            <w:r>
              <w:rPr>
                <w:rFonts w:eastAsia="Calibri" w:cs="Times New Roman"/>
                <w:noProof/>
                <w:sz w:val="18"/>
                <w:szCs w:val="18"/>
              </w:rPr>
              <w:t>(Farr et al. 1989)</w:t>
            </w:r>
          </w:p>
        </w:tc>
        <w:tc>
          <w:tcPr>
            <w:tcW w:w="2381" w:type="dxa"/>
            <w:shd w:val="clear" w:color="auto" w:fill="auto"/>
          </w:tcPr>
          <w:p w14:paraId="55C41F1F"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2211" w:type="dxa"/>
            <w:shd w:val="clear" w:color="auto" w:fill="auto"/>
          </w:tcPr>
          <w:p w14:paraId="5FEABC68"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1191" w:type="dxa"/>
            <w:shd w:val="clear" w:color="auto" w:fill="auto"/>
          </w:tcPr>
          <w:p w14:paraId="4B4ABAF2"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w:t>
            </w:r>
          </w:p>
        </w:tc>
      </w:tr>
      <w:tr w:rsidR="003438A2" w:rsidRPr="00EA4704" w14:paraId="0A982DE3" w14:textId="77777777" w:rsidTr="00C4199F">
        <w:trPr>
          <w:cantSplit/>
          <w:trHeight w:val="75"/>
          <w:jc w:val="center"/>
        </w:trPr>
        <w:tc>
          <w:tcPr>
            <w:tcW w:w="2553" w:type="dxa"/>
            <w:shd w:val="clear" w:color="auto" w:fill="auto"/>
          </w:tcPr>
          <w:p w14:paraId="562D86B2" w14:textId="77777777" w:rsidR="003438A2" w:rsidRPr="00EA4704" w:rsidRDefault="003438A2" w:rsidP="00881E29">
            <w:pPr>
              <w:spacing w:before="60" w:after="60" w:line="240" w:lineRule="auto"/>
              <w:rPr>
                <w:rFonts w:eastAsia="Calibri" w:cs="Times New Roman"/>
                <w:sz w:val="18"/>
                <w:szCs w:val="18"/>
                <w:lang w:val="pt-BR"/>
              </w:rPr>
            </w:pPr>
            <w:r w:rsidRPr="00EA4704">
              <w:rPr>
                <w:rFonts w:eastAsia="Calibri" w:cs="Times New Roman"/>
                <w:i/>
                <w:sz w:val="18"/>
                <w:szCs w:val="18"/>
                <w:lang w:val="pt-BR"/>
              </w:rPr>
              <w:lastRenderedPageBreak/>
              <w:t>Elsin</w:t>
            </w:r>
            <w:r w:rsidRPr="001910A8">
              <w:rPr>
                <w:rFonts w:eastAsia="Calibri" w:cs="Times New Roman"/>
                <w:i/>
                <w:sz w:val="18"/>
                <w:szCs w:val="18"/>
                <w:lang w:val="pt-BR"/>
              </w:rPr>
              <w:t>oë</w:t>
            </w:r>
            <w:r w:rsidRPr="00EA4704">
              <w:rPr>
                <w:rFonts w:eastAsia="Calibri" w:cs="Times New Roman"/>
                <w:i/>
                <w:sz w:val="18"/>
                <w:szCs w:val="18"/>
                <w:lang w:val="pt-BR"/>
              </w:rPr>
              <w:t xml:space="preserve"> piri</w:t>
            </w:r>
            <w:r w:rsidRPr="00EA4704">
              <w:rPr>
                <w:rFonts w:eastAsia="Calibri" w:cs="Times New Roman"/>
                <w:sz w:val="18"/>
                <w:szCs w:val="18"/>
                <w:lang w:val="pt-BR"/>
              </w:rPr>
              <w:t xml:space="preserve"> (Woron.) Jenkins</w:t>
            </w:r>
          </w:p>
          <w:p w14:paraId="2B954BE2" w14:textId="77777777" w:rsidR="003438A2" w:rsidRPr="00EA4704" w:rsidRDefault="003438A2" w:rsidP="00881E29">
            <w:pPr>
              <w:spacing w:before="60" w:after="60" w:line="240" w:lineRule="auto"/>
              <w:rPr>
                <w:rFonts w:eastAsia="Calibri" w:cs="Times New Roman"/>
                <w:sz w:val="18"/>
                <w:szCs w:val="18"/>
                <w:lang w:val="pt-BR"/>
              </w:rPr>
            </w:pPr>
            <w:r w:rsidRPr="00EA4704">
              <w:rPr>
                <w:rFonts w:eastAsia="Calibri" w:cs="Times New Roman"/>
                <w:sz w:val="18"/>
                <w:szCs w:val="18"/>
                <w:lang w:val="pt-BR"/>
              </w:rPr>
              <w:t xml:space="preserve">Variant spelling: </w:t>
            </w:r>
            <w:r w:rsidRPr="00EA4704">
              <w:rPr>
                <w:rFonts w:eastAsia="Calibri" w:cs="Times New Roman"/>
                <w:i/>
                <w:sz w:val="18"/>
                <w:szCs w:val="18"/>
                <w:lang w:val="pt-BR"/>
              </w:rPr>
              <w:t>Elsin</w:t>
            </w:r>
            <w:r w:rsidRPr="001910A8">
              <w:rPr>
                <w:rFonts w:eastAsia="Calibri" w:cs="Times New Roman"/>
                <w:i/>
                <w:sz w:val="18"/>
                <w:szCs w:val="18"/>
                <w:lang w:val="pt-BR"/>
              </w:rPr>
              <w:t>oë</w:t>
            </w:r>
            <w:r>
              <w:rPr>
                <w:rFonts w:eastAsia="Calibri" w:cs="Times New Roman"/>
                <w:i/>
                <w:sz w:val="18"/>
                <w:szCs w:val="18"/>
                <w:lang w:val="pt-BR"/>
              </w:rPr>
              <w:t xml:space="preserve"> </w:t>
            </w:r>
            <w:r w:rsidRPr="00EA4704">
              <w:rPr>
                <w:rFonts w:eastAsia="Calibri" w:cs="Times New Roman"/>
                <w:i/>
                <w:sz w:val="18"/>
                <w:szCs w:val="18"/>
                <w:lang w:val="pt-BR"/>
              </w:rPr>
              <w:t>pyri</w:t>
            </w:r>
            <w:r w:rsidRPr="00EA4704">
              <w:rPr>
                <w:rFonts w:eastAsia="Calibri" w:cs="Times New Roman"/>
                <w:sz w:val="18"/>
                <w:szCs w:val="18"/>
                <w:lang w:val="pt-BR"/>
              </w:rPr>
              <w:t xml:space="preserve"> (Woron.) Jenkins</w:t>
            </w:r>
          </w:p>
          <w:p w14:paraId="198CE230" w14:textId="77777777" w:rsidR="003438A2" w:rsidRPr="00EA4704" w:rsidRDefault="003438A2" w:rsidP="00881E29">
            <w:pPr>
              <w:spacing w:before="60" w:after="60" w:line="240" w:lineRule="auto"/>
              <w:rPr>
                <w:rFonts w:eastAsia="Calibri" w:cs="Times New Roman"/>
                <w:sz w:val="18"/>
                <w:szCs w:val="18"/>
                <w:lang w:val="pt-BR"/>
              </w:rPr>
            </w:pPr>
            <w:r w:rsidRPr="00EA4704">
              <w:rPr>
                <w:rFonts w:eastAsia="Calibri" w:cs="Times New Roman"/>
                <w:sz w:val="18"/>
                <w:szCs w:val="18"/>
                <w:lang w:val="pt-BR"/>
              </w:rPr>
              <w:t>[</w:t>
            </w:r>
            <w:r w:rsidRPr="00EA4704">
              <w:rPr>
                <w:rFonts w:eastAsia="Calibri" w:cs="Times New Roman"/>
                <w:iCs/>
                <w:sz w:val="18"/>
                <w:szCs w:val="18"/>
              </w:rPr>
              <w:t>Myriangiales:</w:t>
            </w:r>
            <w:r w:rsidRPr="00EA4704">
              <w:rPr>
                <w:rFonts w:eastAsia="Calibri" w:cs="Times New Roman"/>
                <w:sz w:val="18"/>
                <w:szCs w:val="18"/>
                <w:lang w:val="pt-BR"/>
              </w:rPr>
              <w:t xml:space="preserve"> Elsinoaceae]</w:t>
            </w:r>
          </w:p>
          <w:p w14:paraId="4CCE110C" w14:textId="77777777" w:rsidR="003438A2" w:rsidRPr="00EA4704" w:rsidRDefault="003438A2" w:rsidP="00881E29">
            <w:pPr>
              <w:spacing w:before="60" w:after="60" w:line="240" w:lineRule="auto"/>
              <w:rPr>
                <w:rFonts w:eastAsia="Calibri" w:cs="Times New Roman"/>
                <w:sz w:val="18"/>
                <w:szCs w:val="18"/>
                <w:lang w:val="pt-BR"/>
              </w:rPr>
            </w:pPr>
            <w:r w:rsidRPr="00EA4704">
              <w:rPr>
                <w:rFonts w:eastAsia="Calibri" w:cs="Times New Roman"/>
                <w:sz w:val="18"/>
                <w:szCs w:val="18"/>
                <w:lang w:val="pt-BR"/>
              </w:rPr>
              <w:t>Elsinoe spot</w:t>
            </w:r>
          </w:p>
        </w:tc>
        <w:tc>
          <w:tcPr>
            <w:tcW w:w="1474" w:type="dxa"/>
            <w:shd w:val="clear" w:color="auto" w:fill="auto"/>
          </w:tcPr>
          <w:p w14:paraId="1870C963" w14:textId="77777777" w:rsidR="003438A2" w:rsidRPr="00EA4704" w:rsidRDefault="003438A2" w:rsidP="00881E29">
            <w:pPr>
              <w:spacing w:before="60" w:after="60" w:line="240" w:lineRule="auto"/>
              <w:rPr>
                <w:rFonts w:eastAsia="Calibri" w:cs="Times New Roman"/>
                <w:sz w:val="18"/>
                <w:szCs w:val="18"/>
                <w:lang w:val="pt-BR"/>
              </w:rPr>
            </w:pPr>
            <w:r w:rsidRPr="00EA4704">
              <w:rPr>
                <w:rFonts w:eastAsia="Calibri" w:cs="Times New Roman"/>
                <w:sz w:val="18"/>
                <w:szCs w:val="18"/>
                <w:lang w:val="pt-BR"/>
              </w:rPr>
              <w:t xml:space="preserve">Yes. </w:t>
            </w:r>
            <w:r>
              <w:rPr>
                <w:rFonts w:eastAsia="Calibri" w:cs="Times New Roman"/>
                <w:sz w:val="18"/>
                <w:szCs w:val="18"/>
                <w:lang w:val="pt-BR"/>
              </w:rPr>
              <w:t xml:space="preserve">Present in </w:t>
            </w:r>
            <w:r w:rsidRPr="00EA4704">
              <w:rPr>
                <w:rFonts w:eastAsia="Calibri" w:cs="Times New Roman"/>
                <w:sz w:val="18"/>
                <w:szCs w:val="18"/>
                <w:lang w:val="pt-BR"/>
              </w:rPr>
              <w:t>OR</w:t>
            </w:r>
            <w:r>
              <w:rPr>
                <w:rFonts w:eastAsia="Calibri" w:cs="Times New Roman"/>
                <w:sz w:val="18"/>
                <w:szCs w:val="18"/>
                <w:lang w:val="pt-BR"/>
              </w:rPr>
              <w:t xml:space="preserve"> and</w:t>
            </w:r>
            <w:r w:rsidRPr="00EA4704">
              <w:rPr>
                <w:rFonts w:eastAsia="Calibri" w:cs="Times New Roman"/>
                <w:sz w:val="18"/>
                <w:szCs w:val="18"/>
                <w:lang w:val="pt-BR"/>
              </w:rPr>
              <w:t xml:space="preserve"> WA </w:t>
            </w:r>
            <w:r>
              <w:rPr>
                <w:rFonts w:eastAsia="Calibri" w:cs="Times New Roman"/>
                <w:noProof/>
                <w:sz w:val="18"/>
                <w:szCs w:val="18"/>
                <w:lang w:val="pt-BR"/>
              </w:rPr>
              <w:t>(Shaw 1973)</w:t>
            </w:r>
          </w:p>
        </w:tc>
        <w:tc>
          <w:tcPr>
            <w:tcW w:w="1474" w:type="dxa"/>
            <w:shd w:val="clear" w:color="auto" w:fill="auto"/>
          </w:tcPr>
          <w:p w14:paraId="39EA8E24" w14:textId="77777777" w:rsidR="003438A2" w:rsidRPr="00E311CD" w:rsidRDefault="003438A2" w:rsidP="00881E29">
            <w:pPr>
              <w:spacing w:before="60" w:after="60" w:line="240" w:lineRule="auto"/>
              <w:rPr>
                <w:sz w:val="18"/>
                <w:szCs w:val="18"/>
                <w:lang w:val="pt-BR"/>
              </w:rPr>
            </w:pPr>
            <w:r w:rsidRPr="00EA4704">
              <w:rPr>
                <w:rFonts w:eastAsia="Calibri" w:cs="Times New Roman"/>
                <w:sz w:val="18"/>
                <w:szCs w:val="18"/>
              </w:rPr>
              <w:t xml:space="preserve">Yes. NSW, Qld </w:t>
            </w:r>
            <w:r>
              <w:rPr>
                <w:rFonts w:eastAsia="Calibri" w:cs="Times New Roman"/>
                <w:noProof/>
                <w:sz w:val="18"/>
                <w:szCs w:val="18"/>
              </w:rPr>
              <w:t>(Plant Health Australia 2018)</w:t>
            </w:r>
            <w:r w:rsidRPr="00EA4704">
              <w:rPr>
                <w:rFonts w:eastAsia="Calibri" w:cs="Times New Roman"/>
                <w:sz w:val="18"/>
                <w:szCs w:val="18"/>
              </w:rPr>
              <w:t>.</w:t>
            </w:r>
            <w:r>
              <w:rPr>
                <w:rFonts w:eastAsia="Calibri" w:cs="Times New Roman"/>
                <w:sz w:val="18"/>
                <w:szCs w:val="18"/>
              </w:rPr>
              <w:t xml:space="preserve"> </w:t>
            </w:r>
            <w:r w:rsidRPr="00EA4704">
              <w:rPr>
                <w:sz w:val="18"/>
                <w:szCs w:val="18"/>
                <w:lang w:val="pt-BR"/>
              </w:rPr>
              <w:t xml:space="preserve">Not listed as a Declared Organism for WA </w:t>
            </w:r>
            <w:r>
              <w:rPr>
                <w:noProof/>
                <w:sz w:val="18"/>
                <w:szCs w:val="18"/>
                <w:lang w:val="pt-BR"/>
              </w:rPr>
              <w:t>(Government of Western Australia 2017)</w:t>
            </w:r>
          </w:p>
        </w:tc>
        <w:tc>
          <w:tcPr>
            <w:tcW w:w="2552" w:type="dxa"/>
            <w:shd w:val="clear" w:color="auto" w:fill="auto"/>
          </w:tcPr>
          <w:p w14:paraId="765BD73D"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2381" w:type="dxa"/>
            <w:shd w:val="clear" w:color="auto" w:fill="auto"/>
          </w:tcPr>
          <w:p w14:paraId="3C5D2909"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2211" w:type="dxa"/>
            <w:shd w:val="clear" w:color="auto" w:fill="auto"/>
          </w:tcPr>
          <w:p w14:paraId="5CFC0B12"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1191" w:type="dxa"/>
            <w:shd w:val="clear" w:color="auto" w:fill="auto"/>
          </w:tcPr>
          <w:p w14:paraId="4C419259"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w:t>
            </w:r>
          </w:p>
        </w:tc>
      </w:tr>
      <w:tr w:rsidR="003438A2" w:rsidRPr="00EA4704" w14:paraId="3111DE32" w14:textId="77777777" w:rsidTr="00C4199F">
        <w:trPr>
          <w:cantSplit/>
          <w:trHeight w:val="75"/>
          <w:jc w:val="center"/>
        </w:trPr>
        <w:tc>
          <w:tcPr>
            <w:tcW w:w="2553" w:type="dxa"/>
            <w:shd w:val="clear" w:color="auto" w:fill="auto"/>
          </w:tcPr>
          <w:p w14:paraId="0B2510DF" w14:textId="77777777" w:rsidR="003438A2" w:rsidRPr="00EA4704" w:rsidRDefault="003438A2" w:rsidP="00881E29">
            <w:pPr>
              <w:spacing w:before="60" w:after="60" w:line="240" w:lineRule="auto"/>
              <w:rPr>
                <w:rFonts w:eastAsia="Calibri" w:cs="Times New Roman"/>
                <w:iCs/>
                <w:sz w:val="18"/>
                <w:szCs w:val="18"/>
              </w:rPr>
            </w:pPr>
            <w:r w:rsidRPr="00EA4704">
              <w:rPr>
                <w:rFonts w:eastAsia="Calibri" w:cs="Times New Roman"/>
                <w:i/>
                <w:iCs/>
                <w:sz w:val="18"/>
                <w:szCs w:val="18"/>
              </w:rPr>
              <w:t xml:space="preserve">Epicoccum granulatum </w:t>
            </w:r>
            <w:r w:rsidRPr="00EA4704">
              <w:rPr>
                <w:rFonts w:eastAsia="Calibri" w:cs="Times New Roman"/>
                <w:iCs/>
                <w:sz w:val="18"/>
                <w:szCs w:val="18"/>
              </w:rPr>
              <w:t>Penz.</w:t>
            </w:r>
          </w:p>
          <w:p w14:paraId="2804DF5B" w14:textId="77777777" w:rsidR="003438A2" w:rsidRPr="00EA4704" w:rsidRDefault="003438A2" w:rsidP="00881E29">
            <w:pPr>
              <w:spacing w:before="60" w:after="60" w:line="240" w:lineRule="auto"/>
              <w:rPr>
                <w:rFonts w:eastAsia="Calibri" w:cs="Times New Roman"/>
                <w:i/>
                <w:iCs/>
                <w:sz w:val="18"/>
                <w:szCs w:val="18"/>
              </w:rPr>
            </w:pPr>
            <w:r w:rsidRPr="00EA4704">
              <w:rPr>
                <w:rFonts w:eastAsia="Calibri" w:cs="Times New Roman"/>
                <w:iCs/>
                <w:sz w:val="18"/>
                <w:szCs w:val="18"/>
              </w:rPr>
              <w:t>[</w:t>
            </w:r>
            <w:r w:rsidRPr="00EA4704">
              <w:rPr>
                <w:rFonts w:eastAsia="Calibri" w:cs="Times New Roman"/>
                <w:sz w:val="18"/>
              </w:rPr>
              <w:t>Pleosporales:</w:t>
            </w:r>
            <w:r w:rsidRPr="00EA4704">
              <w:rPr>
                <w:rFonts w:eastAsia="Calibri" w:cs="Times New Roman"/>
                <w:iCs/>
                <w:sz w:val="18"/>
                <w:szCs w:val="18"/>
              </w:rPr>
              <w:t xml:space="preserve"> Didymellaceae]</w:t>
            </w:r>
          </w:p>
        </w:tc>
        <w:tc>
          <w:tcPr>
            <w:tcW w:w="1474" w:type="dxa"/>
            <w:shd w:val="clear" w:color="auto" w:fill="auto"/>
          </w:tcPr>
          <w:p w14:paraId="5DF95D34" w14:textId="77777777" w:rsidR="003438A2" w:rsidRPr="00EA4704" w:rsidRDefault="003438A2" w:rsidP="00881E29">
            <w:pPr>
              <w:spacing w:before="60" w:after="60" w:line="240" w:lineRule="auto"/>
              <w:rPr>
                <w:rFonts w:eastAsia="Calibri" w:cs="Times New Roman"/>
                <w:sz w:val="18"/>
                <w:szCs w:val="18"/>
                <w:lang w:val="pt-BR"/>
              </w:rPr>
            </w:pPr>
            <w:r w:rsidRPr="00EA4704">
              <w:rPr>
                <w:rFonts w:eastAsia="Calibri" w:cs="Times New Roman"/>
                <w:sz w:val="18"/>
                <w:szCs w:val="18"/>
                <w:lang w:val="pt-BR"/>
              </w:rPr>
              <w:t xml:space="preserve">Yes. </w:t>
            </w:r>
            <w:r>
              <w:rPr>
                <w:rFonts w:eastAsia="Calibri" w:cs="Times New Roman"/>
                <w:sz w:val="18"/>
                <w:szCs w:val="18"/>
                <w:lang w:val="pt-BR"/>
              </w:rPr>
              <w:t xml:space="preserve">Present in WA. Also present in </w:t>
            </w:r>
            <w:r w:rsidRPr="00EA4704">
              <w:rPr>
                <w:rFonts w:eastAsia="Calibri" w:cs="Times New Roman"/>
                <w:sz w:val="18"/>
                <w:szCs w:val="18"/>
                <w:lang w:val="pt-BR"/>
              </w:rPr>
              <w:t>WV</w:t>
            </w:r>
            <w:r>
              <w:rPr>
                <w:rFonts w:eastAsia="Calibri" w:cs="Times New Roman"/>
                <w:sz w:val="18"/>
                <w:szCs w:val="18"/>
                <w:lang w:val="pt-BR"/>
              </w:rPr>
              <w:t xml:space="preserve"> </w:t>
            </w:r>
            <w:r>
              <w:rPr>
                <w:rFonts w:eastAsia="Calibri" w:cs="Times New Roman"/>
                <w:noProof/>
                <w:sz w:val="18"/>
                <w:szCs w:val="18"/>
                <w:lang w:val="pt-BR"/>
              </w:rPr>
              <w:t>(Adams &amp; Tamburo 1957; Shaw 1973; USDA 1960)</w:t>
            </w:r>
            <w:r>
              <w:rPr>
                <w:rFonts w:eastAsia="Calibri" w:cs="Times New Roman"/>
                <w:sz w:val="18"/>
                <w:szCs w:val="18"/>
                <w:lang w:val="pt-BR"/>
              </w:rPr>
              <w:t xml:space="preserve"> </w:t>
            </w:r>
          </w:p>
        </w:tc>
        <w:tc>
          <w:tcPr>
            <w:tcW w:w="1474" w:type="dxa"/>
            <w:shd w:val="clear" w:color="auto" w:fill="auto"/>
          </w:tcPr>
          <w:p w14:paraId="4279881B" w14:textId="77777777" w:rsidR="003438A2" w:rsidRPr="00EA4704" w:rsidRDefault="003438A2" w:rsidP="00881E29">
            <w:pPr>
              <w:spacing w:before="60" w:after="60" w:line="240" w:lineRule="auto"/>
              <w:rPr>
                <w:rFonts w:eastAsia="Calibri" w:cs="Times New Roman"/>
                <w:sz w:val="18"/>
                <w:szCs w:val="18"/>
              </w:rPr>
            </w:pPr>
            <w:r>
              <w:rPr>
                <w:rFonts w:eastAsia="Calibri" w:cs="Times New Roman"/>
                <w:sz w:val="18"/>
                <w:szCs w:val="18"/>
              </w:rPr>
              <w:t>No records found</w:t>
            </w:r>
          </w:p>
        </w:tc>
        <w:tc>
          <w:tcPr>
            <w:tcW w:w="2552" w:type="dxa"/>
            <w:shd w:val="clear" w:color="auto" w:fill="auto"/>
          </w:tcPr>
          <w:p w14:paraId="4B674315"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 xml:space="preserve">No. </w:t>
            </w:r>
            <w:r>
              <w:rPr>
                <w:rFonts w:eastAsia="Calibri" w:cs="Times New Roman"/>
                <w:sz w:val="18"/>
                <w:szCs w:val="18"/>
              </w:rPr>
              <w:t>R</w:t>
            </w:r>
            <w:r w:rsidRPr="00EA4704">
              <w:rPr>
                <w:rFonts w:eastAsia="Calibri" w:cs="Times New Roman"/>
                <w:sz w:val="18"/>
                <w:szCs w:val="18"/>
              </w:rPr>
              <w:t xml:space="preserve">eported to cause fruit rot </w:t>
            </w:r>
            <w:r>
              <w:rPr>
                <w:rFonts w:eastAsia="Calibri" w:cs="Times New Roman"/>
                <w:noProof/>
                <w:sz w:val="18"/>
                <w:szCs w:val="18"/>
              </w:rPr>
              <w:t>(Adams &amp; Tamburo 1957; Heald &amp; Ruehle 1931)</w:t>
            </w:r>
            <w:r w:rsidRPr="00EA4704">
              <w:rPr>
                <w:rFonts w:eastAsia="Calibri" w:cs="Times New Roman"/>
                <w:sz w:val="18"/>
                <w:szCs w:val="18"/>
              </w:rPr>
              <w:t xml:space="preserve">. However, all reports of </w:t>
            </w:r>
            <w:r w:rsidRPr="00EA4704">
              <w:rPr>
                <w:rFonts w:eastAsia="Calibri" w:cs="Times New Roman"/>
                <w:i/>
                <w:sz w:val="18"/>
                <w:szCs w:val="18"/>
              </w:rPr>
              <w:t>E. granulatum</w:t>
            </w:r>
            <w:r w:rsidRPr="00EA4704">
              <w:rPr>
                <w:rFonts w:eastAsia="Calibri" w:cs="Times New Roman"/>
                <w:sz w:val="18"/>
                <w:szCs w:val="18"/>
              </w:rPr>
              <w:t xml:space="preserve"> on apple in the</w:t>
            </w:r>
            <w:r>
              <w:rPr>
                <w:rFonts w:eastAsia="Calibri" w:cs="Times New Roman"/>
                <w:sz w:val="18"/>
                <w:szCs w:val="18"/>
              </w:rPr>
              <w:t xml:space="preserve"> USA </w:t>
            </w:r>
            <w:r w:rsidRPr="00EA4704">
              <w:rPr>
                <w:rFonts w:eastAsia="Calibri" w:cs="Times New Roman"/>
                <w:sz w:val="18"/>
                <w:szCs w:val="18"/>
              </w:rPr>
              <w:t xml:space="preserve">are based on reports prior to 1974 </w:t>
            </w:r>
            <w:r>
              <w:rPr>
                <w:rFonts w:eastAsia="Calibri" w:cs="Times New Roman"/>
                <w:noProof/>
                <w:sz w:val="18"/>
                <w:szCs w:val="18"/>
              </w:rPr>
              <w:t>(Adams &amp; Tamburo 1957; Shaw 1973; USDA 1960)</w:t>
            </w:r>
            <w:r w:rsidRPr="00EA4704">
              <w:rPr>
                <w:rFonts w:eastAsia="Calibri" w:cs="Times New Roman"/>
                <w:sz w:val="18"/>
                <w:szCs w:val="18"/>
              </w:rPr>
              <w:t>. There have been no records of this pest on apple in the</w:t>
            </w:r>
            <w:r>
              <w:rPr>
                <w:rFonts w:eastAsia="Calibri" w:cs="Times New Roman"/>
                <w:sz w:val="18"/>
                <w:szCs w:val="18"/>
              </w:rPr>
              <w:t xml:space="preserve"> USA </w:t>
            </w:r>
            <w:r w:rsidRPr="00EA4704">
              <w:rPr>
                <w:rFonts w:eastAsia="Calibri" w:cs="Times New Roman"/>
                <w:sz w:val="18"/>
                <w:szCs w:val="18"/>
              </w:rPr>
              <w:t>since 1973</w:t>
            </w:r>
            <w:r>
              <w:rPr>
                <w:rFonts w:eastAsia="Calibri" w:cs="Times New Roman"/>
                <w:sz w:val="18"/>
                <w:szCs w:val="18"/>
              </w:rPr>
              <w:t>.</w:t>
            </w:r>
          </w:p>
        </w:tc>
        <w:tc>
          <w:tcPr>
            <w:tcW w:w="2381" w:type="dxa"/>
            <w:shd w:val="clear" w:color="auto" w:fill="auto"/>
          </w:tcPr>
          <w:p w14:paraId="53855D36"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2211" w:type="dxa"/>
            <w:shd w:val="clear" w:color="auto" w:fill="auto"/>
          </w:tcPr>
          <w:p w14:paraId="3E55BFA0"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1191" w:type="dxa"/>
            <w:shd w:val="clear" w:color="auto" w:fill="auto"/>
          </w:tcPr>
          <w:p w14:paraId="7AA54340"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w:t>
            </w:r>
          </w:p>
        </w:tc>
      </w:tr>
      <w:tr w:rsidR="003438A2" w:rsidRPr="00EA4704" w14:paraId="681C2A6E" w14:textId="77777777" w:rsidTr="00C4199F">
        <w:trPr>
          <w:cantSplit/>
          <w:trHeight w:val="75"/>
          <w:jc w:val="center"/>
        </w:trPr>
        <w:tc>
          <w:tcPr>
            <w:tcW w:w="2553" w:type="dxa"/>
            <w:shd w:val="clear" w:color="auto" w:fill="auto"/>
          </w:tcPr>
          <w:p w14:paraId="1585E607" w14:textId="77777777" w:rsidR="003438A2" w:rsidRPr="00EA4704" w:rsidRDefault="003438A2" w:rsidP="00881E29">
            <w:pPr>
              <w:spacing w:before="60" w:after="60" w:line="240" w:lineRule="auto"/>
              <w:rPr>
                <w:rFonts w:eastAsia="Calibri" w:cs="Times New Roman"/>
                <w:iCs/>
                <w:sz w:val="18"/>
                <w:szCs w:val="18"/>
              </w:rPr>
            </w:pPr>
            <w:r w:rsidRPr="00EA4704">
              <w:rPr>
                <w:rFonts w:eastAsia="Calibri" w:cs="Times New Roman"/>
                <w:i/>
                <w:iCs/>
                <w:sz w:val="18"/>
                <w:szCs w:val="18"/>
              </w:rPr>
              <w:t xml:space="preserve">Eutypa lata </w:t>
            </w:r>
            <w:r w:rsidRPr="00EA4704">
              <w:rPr>
                <w:rFonts w:eastAsia="Calibri" w:cs="Times New Roman"/>
                <w:iCs/>
                <w:sz w:val="18"/>
                <w:szCs w:val="18"/>
              </w:rPr>
              <w:t>(Pers.) Tul. &amp; C.Tul.</w:t>
            </w:r>
          </w:p>
          <w:p w14:paraId="4CD6676B" w14:textId="77777777" w:rsidR="003438A2" w:rsidRPr="00EA4704" w:rsidRDefault="003438A2" w:rsidP="00881E29">
            <w:pPr>
              <w:spacing w:before="60" w:after="60" w:line="240" w:lineRule="auto"/>
              <w:rPr>
                <w:rFonts w:eastAsia="Calibri" w:cs="Times New Roman"/>
                <w:iCs/>
                <w:sz w:val="18"/>
                <w:szCs w:val="18"/>
              </w:rPr>
            </w:pPr>
            <w:r w:rsidRPr="00EA4704">
              <w:rPr>
                <w:rFonts w:eastAsia="Calibri" w:cs="Times New Roman"/>
                <w:iCs/>
                <w:sz w:val="18"/>
                <w:szCs w:val="18"/>
              </w:rPr>
              <w:t>Synonym</w:t>
            </w:r>
            <w:r>
              <w:rPr>
                <w:rFonts w:eastAsia="Calibri" w:cs="Times New Roman"/>
                <w:iCs/>
                <w:sz w:val="18"/>
                <w:szCs w:val="18"/>
              </w:rPr>
              <w:t>s</w:t>
            </w:r>
            <w:r w:rsidRPr="00EA4704">
              <w:rPr>
                <w:rFonts w:eastAsia="Calibri" w:cs="Times New Roman"/>
                <w:iCs/>
                <w:sz w:val="18"/>
                <w:szCs w:val="18"/>
              </w:rPr>
              <w:t xml:space="preserve">: </w:t>
            </w:r>
            <w:r w:rsidRPr="00EA4704">
              <w:rPr>
                <w:rFonts w:eastAsia="Calibri" w:cs="Times New Roman"/>
                <w:i/>
                <w:iCs/>
                <w:sz w:val="18"/>
                <w:szCs w:val="18"/>
              </w:rPr>
              <w:t>Eutypa armeniacae</w:t>
            </w:r>
            <w:r w:rsidRPr="00EA4704">
              <w:rPr>
                <w:rFonts w:eastAsia="Calibri" w:cs="Times New Roman"/>
                <w:iCs/>
                <w:sz w:val="18"/>
                <w:szCs w:val="18"/>
              </w:rPr>
              <w:t xml:space="preserve"> Hansf. &amp; M.V. Carter; </w:t>
            </w:r>
            <w:r w:rsidRPr="00EA4704">
              <w:rPr>
                <w:rFonts w:eastAsia="Calibri" w:cs="Times New Roman"/>
                <w:i/>
                <w:iCs/>
                <w:sz w:val="18"/>
                <w:szCs w:val="18"/>
              </w:rPr>
              <w:t>Libertella blepharis</w:t>
            </w:r>
            <w:r w:rsidRPr="00EA4704">
              <w:rPr>
                <w:rFonts w:eastAsia="Calibri" w:cs="Times New Roman"/>
                <w:iCs/>
                <w:sz w:val="18"/>
                <w:szCs w:val="18"/>
              </w:rPr>
              <w:t xml:space="preserve"> A.L. Sm.</w:t>
            </w:r>
          </w:p>
          <w:p w14:paraId="584A5BA5" w14:textId="77777777" w:rsidR="003438A2" w:rsidRPr="00EA4704" w:rsidRDefault="003438A2" w:rsidP="00881E29">
            <w:pPr>
              <w:spacing w:before="60" w:after="60" w:line="240" w:lineRule="auto"/>
              <w:rPr>
                <w:rFonts w:eastAsia="Calibri" w:cs="Times New Roman"/>
                <w:iCs/>
                <w:sz w:val="18"/>
                <w:szCs w:val="18"/>
              </w:rPr>
            </w:pPr>
            <w:r w:rsidRPr="00EA4704">
              <w:rPr>
                <w:rFonts w:eastAsia="Calibri" w:cs="Times New Roman"/>
                <w:iCs/>
                <w:sz w:val="18"/>
                <w:szCs w:val="18"/>
              </w:rPr>
              <w:t>[</w:t>
            </w:r>
            <w:r w:rsidRPr="00EA4704">
              <w:rPr>
                <w:rFonts w:eastAsia="Calibri" w:cs="Times New Roman"/>
                <w:sz w:val="18"/>
                <w:szCs w:val="18"/>
              </w:rPr>
              <w:t>Xylariales:</w:t>
            </w:r>
            <w:r w:rsidRPr="00EA4704">
              <w:rPr>
                <w:rFonts w:eastAsia="Calibri" w:cs="Times New Roman"/>
                <w:iCs/>
                <w:sz w:val="18"/>
                <w:szCs w:val="18"/>
              </w:rPr>
              <w:t xml:space="preserve"> Diatrypaceae]</w:t>
            </w:r>
          </w:p>
          <w:p w14:paraId="37AAB8BC" w14:textId="77777777" w:rsidR="003438A2" w:rsidRPr="00EA4704" w:rsidRDefault="003438A2" w:rsidP="00881E29">
            <w:pPr>
              <w:spacing w:before="60" w:after="60" w:line="240" w:lineRule="auto"/>
              <w:rPr>
                <w:rFonts w:eastAsia="Calibri" w:cs="Times New Roman"/>
                <w:sz w:val="18"/>
                <w:szCs w:val="18"/>
                <w:lang w:val="pt-BR"/>
              </w:rPr>
            </w:pPr>
            <w:r w:rsidRPr="00EA4704">
              <w:rPr>
                <w:rFonts w:eastAsia="Calibri" w:cs="Times New Roman"/>
                <w:iCs/>
                <w:sz w:val="18"/>
                <w:szCs w:val="18"/>
              </w:rPr>
              <w:t>Eutypa dieback</w:t>
            </w:r>
          </w:p>
        </w:tc>
        <w:tc>
          <w:tcPr>
            <w:tcW w:w="1474" w:type="dxa"/>
            <w:shd w:val="clear" w:color="auto" w:fill="auto"/>
          </w:tcPr>
          <w:p w14:paraId="2B7DDE70" w14:textId="77777777" w:rsidR="003438A2" w:rsidRPr="00EA4704" w:rsidRDefault="003438A2" w:rsidP="00881E29">
            <w:pPr>
              <w:spacing w:before="60" w:after="60" w:line="240" w:lineRule="auto"/>
              <w:rPr>
                <w:rFonts w:eastAsia="Calibri" w:cs="Times New Roman"/>
                <w:sz w:val="18"/>
                <w:szCs w:val="18"/>
                <w:lang w:val="pt-BR"/>
              </w:rPr>
            </w:pPr>
            <w:r>
              <w:rPr>
                <w:rFonts w:eastAsia="Calibri" w:cs="Times New Roman"/>
                <w:sz w:val="18"/>
                <w:szCs w:val="18"/>
              </w:rPr>
              <w:t>No</w:t>
            </w:r>
            <w:r w:rsidRPr="00EA4704">
              <w:rPr>
                <w:rFonts w:eastAsia="Calibri" w:cs="Times New Roman"/>
                <w:sz w:val="18"/>
                <w:szCs w:val="18"/>
              </w:rPr>
              <w:t xml:space="preserve">. Reported on apple in WA in 1982, but no further reports from this region </w:t>
            </w:r>
            <w:r>
              <w:rPr>
                <w:rFonts w:eastAsia="Calibri" w:cs="Times New Roman"/>
                <w:noProof/>
                <w:sz w:val="18"/>
                <w:szCs w:val="18"/>
              </w:rPr>
              <w:t>(Carter 1991)</w:t>
            </w:r>
            <w:r w:rsidRPr="00EA4704">
              <w:rPr>
                <w:rFonts w:eastAsia="Calibri" w:cs="Times New Roman"/>
                <w:sz w:val="18"/>
                <w:szCs w:val="18"/>
              </w:rPr>
              <w:t>.</w:t>
            </w:r>
            <w:r>
              <w:rPr>
                <w:rFonts w:eastAsia="Calibri" w:cs="Times New Roman"/>
                <w:sz w:val="18"/>
                <w:szCs w:val="18"/>
              </w:rPr>
              <w:t xml:space="preserve"> Present in</w:t>
            </w:r>
            <w:r w:rsidRPr="00EA4704">
              <w:rPr>
                <w:rFonts w:eastAsia="Calibri" w:cs="Times New Roman"/>
                <w:sz w:val="18"/>
                <w:szCs w:val="18"/>
              </w:rPr>
              <w:t xml:space="preserve"> California,</w:t>
            </w:r>
            <w:r>
              <w:rPr>
                <w:rFonts w:eastAsia="Calibri" w:cs="Times New Roman"/>
                <w:sz w:val="18"/>
                <w:szCs w:val="18"/>
              </w:rPr>
              <w:t xml:space="preserve"> in</w:t>
            </w:r>
            <w:r w:rsidRPr="00EA4704">
              <w:rPr>
                <w:rFonts w:eastAsia="Calibri" w:cs="Times New Roman"/>
                <w:sz w:val="18"/>
                <w:szCs w:val="18"/>
              </w:rPr>
              <w:t xml:space="preserve"> crabapple </w:t>
            </w:r>
            <w:r>
              <w:rPr>
                <w:rFonts w:eastAsia="Calibri" w:cs="Times New Roman"/>
                <w:noProof/>
                <w:sz w:val="18"/>
                <w:szCs w:val="18"/>
              </w:rPr>
              <w:t>(Gubler et al. 2009)</w:t>
            </w:r>
            <w:r>
              <w:rPr>
                <w:rFonts w:eastAsia="Calibri" w:cs="Times New Roman"/>
                <w:sz w:val="18"/>
                <w:szCs w:val="18"/>
              </w:rPr>
              <w:t xml:space="preserve">. </w:t>
            </w:r>
          </w:p>
        </w:tc>
        <w:tc>
          <w:tcPr>
            <w:tcW w:w="1474" w:type="dxa"/>
            <w:shd w:val="clear" w:color="auto" w:fill="auto"/>
          </w:tcPr>
          <w:p w14:paraId="16CB35DF" w14:textId="77777777" w:rsidR="003438A2" w:rsidRPr="00EA4704" w:rsidRDefault="003438A2" w:rsidP="00881E29">
            <w:pPr>
              <w:spacing w:before="60" w:after="60" w:line="240" w:lineRule="auto"/>
              <w:rPr>
                <w:rFonts w:eastAsia="Calibri" w:cs="Times New Roman"/>
                <w:sz w:val="18"/>
                <w:szCs w:val="18"/>
              </w:rPr>
            </w:pPr>
            <w:r>
              <w:rPr>
                <w:rFonts w:eastAsia="Calibri" w:cs="Times New Roman"/>
                <w:sz w:val="18"/>
                <w:szCs w:val="18"/>
              </w:rPr>
              <w:t xml:space="preserve">Yes. NSW, Qld, SA, Tas., </w:t>
            </w:r>
            <w:r w:rsidRPr="00EA4704">
              <w:rPr>
                <w:rFonts w:eastAsia="Calibri" w:cs="Times New Roman"/>
                <w:sz w:val="18"/>
                <w:szCs w:val="18"/>
              </w:rPr>
              <w:t xml:space="preserve">Vic. </w:t>
            </w:r>
            <w:r>
              <w:rPr>
                <w:rFonts w:eastAsia="Calibri" w:cs="Times New Roman"/>
                <w:noProof/>
                <w:sz w:val="18"/>
                <w:szCs w:val="18"/>
              </w:rPr>
              <w:t>(Plant Health Australia 2018)</w:t>
            </w:r>
            <w:r w:rsidRPr="00EA4704">
              <w:rPr>
                <w:rFonts w:eastAsia="Calibri" w:cs="Times New Roman"/>
                <w:sz w:val="18"/>
                <w:szCs w:val="18"/>
              </w:rPr>
              <w:t>.</w:t>
            </w:r>
            <w:r>
              <w:rPr>
                <w:rFonts w:eastAsia="Calibri" w:cs="Times New Roman"/>
                <w:sz w:val="18"/>
                <w:szCs w:val="18"/>
              </w:rPr>
              <w:t xml:space="preserve"> </w:t>
            </w:r>
            <w:r w:rsidRPr="00037ECE">
              <w:rPr>
                <w:rFonts w:eastAsia="Calibri" w:cs="Times New Roman"/>
                <w:sz w:val="18"/>
                <w:szCs w:val="18"/>
              </w:rPr>
              <w:t xml:space="preserve">Listed as a Declared Pest, Prohibited (section 12) (C1 Prohibited) for WA </w:t>
            </w:r>
            <w:r>
              <w:rPr>
                <w:rFonts w:eastAsia="Calibri" w:cs="Times New Roman"/>
                <w:noProof/>
                <w:sz w:val="18"/>
                <w:szCs w:val="18"/>
              </w:rPr>
              <w:t>(Government of Western Australia 2017)</w:t>
            </w:r>
          </w:p>
        </w:tc>
        <w:tc>
          <w:tcPr>
            <w:tcW w:w="2552" w:type="dxa"/>
            <w:shd w:val="clear" w:color="auto" w:fill="auto"/>
          </w:tcPr>
          <w:p w14:paraId="0CDE74EC" w14:textId="77777777" w:rsidR="003438A2" w:rsidRPr="00EA4704" w:rsidRDefault="003438A2" w:rsidP="00881E29">
            <w:pPr>
              <w:spacing w:before="60" w:after="60" w:line="240" w:lineRule="auto"/>
              <w:rPr>
                <w:rFonts w:eastAsia="Calibri" w:cs="Times New Roman"/>
                <w:sz w:val="18"/>
                <w:szCs w:val="18"/>
              </w:rPr>
            </w:pPr>
            <w:r w:rsidRPr="00657E70">
              <w:rPr>
                <w:rFonts w:eastAsia="Calibri" w:cs="Times New Roman"/>
                <w:sz w:val="18"/>
                <w:szCs w:val="18"/>
              </w:rPr>
              <w:t>Assessment not required</w:t>
            </w:r>
          </w:p>
        </w:tc>
        <w:tc>
          <w:tcPr>
            <w:tcW w:w="2381" w:type="dxa"/>
            <w:shd w:val="clear" w:color="auto" w:fill="auto"/>
          </w:tcPr>
          <w:p w14:paraId="4D382B18"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2211" w:type="dxa"/>
            <w:shd w:val="clear" w:color="auto" w:fill="auto"/>
          </w:tcPr>
          <w:p w14:paraId="7EDA1BBF"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1191" w:type="dxa"/>
            <w:shd w:val="clear" w:color="auto" w:fill="auto"/>
          </w:tcPr>
          <w:p w14:paraId="10675B09"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w:t>
            </w:r>
          </w:p>
        </w:tc>
      </w:tr>
      <w:tr w:rsidR="003438A2" w:rsidRPr="00EA4704" w14:paraId="300ED632" w14:textId="77777777" w:rsidTr="00C4199F">
        <w:trPr>
          <w:cantSplit/>
          <w:trHeight w:val="75"/>
          <w:jc w:val="center"/>
        </w:trPr>
        <w:tc>
          <w:tcPr>
            <w:tcW w:w="2553" w:type="dxa"/>
            <w:shd w:val="clear" w:color="auto" w:fill="auto"/>
          </w:tcPr>
          <w:p w14:paraId="1B94A6B7" w14:textId="77777777" w:rsidR="003438A2" w:rsidRPr="00EA4704" w:rsidRDefault="003438A2" w:rsidP="00881E29">
            <w:pPr>
              <w:spacing w:before="60" w:after="60" w:line="240" w:lineRule="auto"/>
              <w:rPr>
                <w:rFonts w:eastAsia="Calibri" w:cs="Times New Roman"/>
                <w:iCs/>
                <w:sz w:val="18"/>
                <w:szCs w:val="18"/>
              </w:rPr>
            </w:pPr>
            <w:r w:rsidRPr="00EA4704">
              <w:rPr>
                <w:rFonts w:eastAsia="Calibri" w:cs="Times New Roman"/>
                <w:i/>
                <w:iCs/>
                <w:sz w:val="18"/>
                <w:szCs w:val="18"/>
              </w:rPr>
              <w:lastRenderedPageBreak/>
              <w:t xml:space="preserve">Eutypella prunastri </w:t>
            </w:r>
            <w:r w:rsidRPr="00EA4704">
              <w:rPr>
                <w:rFonts w:eastAsia="Calibri" w:cs="Times New Roman"/>
                <w:iCs/>
                <w:sz w:val="18"/>
                <w:szCs w:val="18"/>
              </w:rPr>
              <w:t>(Pers.) Sacc.</w:t>
            </w:r>
          </w:p>
          <w:p w14:paraId="30CC6B69" w14:textId="77777777" w:rsidR="003438A2" w:rsidRPr="00EA4704" w:rsidRDefault="003438A2" w:rsidP="00881E29">
            <w:pPr>
              <w:spacing w:before="60" w:after="60" w:line="240" w:lineRule="auto"/>
              <w:rPr>
                <w:rFonts w:eastAsia="Calibri" w:cs="Times New Roman"/>
                <w:sz w:val="18"/>
                <w:szCs w:val="18"/>
                <w:lang w:val="pt-BR"/>
              </w:rPr>
            </w:pPr>
            <w:r w:rsidRPr="00EA4704">
              <w:rPr>
                <w:rFonts w:eastAsia="Calibri" w:cs="Times New Roman"/>
                <w:iCs/>
                <w:sz w:val="18"/>
                <w:szCs w:val="18"/>
              </w:rPr>
              <w:t>[</w:t>
            </w:r>
            <w:r w:rsidRPr="00EA4704">
              <w:rPr>
                <w:rFonts w:eastAsia="Calibri" w:cs="Times New Roman"/>
                <w:sz w:val="18"/>
                <w:szCs w:val="18"/>
              </w:rPr>
              <w:t>Xylariales:</w:t>
            </w:r>
            <w:r w:rsidRPr="00EA4704">
              <w:rPr>
                <w:rFonts w:eastAsia="Calibri" w:cs="Times New Roman"/>
                <w:iCs/>
                <w:sz w:val="18"/>
                <w:szCs w:val="18"/>
              </w:rPr>
              <w:t xml:space="preserve"> Diatrypaceae]</w:t>
            </w:r>
          </w:p>
        </w:tc>
        <w:tc>
          <w:tcPr>
            <w:tcW w:w="1474" w:type="dxa"/>
            <w:shd w:val="clear" w:color="auto" w:fill="auto"/>
          </w:tcPr>
          <w:p w14:paraId="2D416613" w14:textId="77777777" w:rsidR="003438A2" w:rsidRPr="00EA4704" w:rsidRDefault="003438A2" w:rsidP="00881E29">
            <w:pPr>
              <w:spacing w:before="60" w:after="60" w:line="240" w:lineRule="auto"/>
              <w:rPr>
                <w:rFonts w:eastAsia="Calibri" w:cs="Times New Roman"/>
                <w:sz w:val="18"/>
                <w:szCs w:val="18"/>
                <w:lang w:val="pt-BR"/>
              </w:rPr>
            </w:pPr>
            <w:r w:rsidRPr="00EA4704">
              <w:rPr>
                <w:rFonts w:eastAsia="Calibri" w:cs="Times New Roman"/>
                <w:sz w:val="18"/>
                <w:szCs w:val="18"/>
              </w:rPr>
              <w:t xml:space="preserve">Yes. </w:t>
            </w:r>
            <w:r>
              <w:rPr>
                <w:rFonts w:eastAsia="Calibri" w:cs="Times New Roman"/>
                <w:sz w:val="18"/>
                <w:szCs w:val="18"/>
              </w:rPr>
              <w:t xml:space="preserve">Present in </w:t>
            </w:r>
            <w:r w:rsidRPr="00EA4704">
              <w:rPr>
                <w:rFonts w:eastAsia="Calibri" w:cs="Times New Roman"/>
                <w:sz w:val="18"/>
                <w:szCs w:val="18"/>
              </w:rPr>
              <w:t xml:space="preserve">OR </w:t>
            </w:r>
            <w:r>
              <w:rPr>
                <w:rFonts w:eastAsia="Calibri" w:cs="Times New Roman"/>
                <w:noProof/>
                <w:sz w:val="18"/>
                <w:szCs w:val="18"/>
              </w:rPr>
              <w:t>(Shaw 1973)</w:t>
            </w:r>
          </w:p>
        </w:tc>
        <w:tc>
          <w:tcPr>
            <w:tcW w:w="1474" w:type="dxa"/>
            <w:shd w:val="clear" w:color="auto" w:fill="auto"/>
          </w:tcPr>
          <w:p w14:paraId="40F5B2F4"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iCs/>
                <w:sz w:val="18"/>
                <w:szCs w:val="18"/>
              </w:rPr>
              <w:t>No records found</w:t>
            </w:r>
          </w:p>
        </w:tc>
        <w:tc>
          <w:tcPr>
            <w:tcW w:w="2552" w:type="dxa"/>
            <w:shd w:val="clear" w:color="auto" w:fill="auto"/>
          </w:tcPr>
          <w:p w14:paraId="2CDF227E"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 Has been reported on winter</w:t>
            </w:r>
            <w:r w:rsidRPr="00EA4704">
              <w:rPr>
                <w:rFonts w:eastAsia="Calibri" w:cs="Times New Roman"/>
                <w:sz w:val="18"/>
                <w:szCs w:val="18"/>
              </w:rPr>
              <w:noBreakHyphen/>
              <w:t xml:space="preserve">injured apple bark in Oregon in 1925 </w:t>
            </w:r>
            <w:r>
              <w:rPr>
                <w:rFonts w:eastAsia="Calibri" w:cs="Times New Roman"/>
                <w:noProof/>
                <w:sz w:val="18"/>
                <w:szCs w:val="18"/>
              </w:rPr>
              <w:t>(Zeller 1927)</w:t>
            </w:r>
            <w:r w:rsidRPr="00EA4704">
              <w:rPr>
                <w:rFonts w:eastAsia="Calibri" w:cs="Times New Roman"/>
                <w:sz w:val="18"/>
                <w:szCs w:val="18"/>
              </w:rPr>
              <w:t xml:space="preserve">. All reports of </w:t>
            </w:r>
            <w:r w:rsidRPr="00EA4704">
              <w:rPr>
                <w:rFonts w:eastAsia="Calibri" w:cs="Times New Roman"/>
                <w:i/>
                <w:sz w:val="18"/>
                <w:szCs w:val="18"/>
              </w:rPr>
              <w:t>E. prunastri</w:t>
            </w:r>
            <w:r w:rsidRPr="00EA4704">
              <w:rPr>
                <w:rFonts w:eastAsia="Calibri" w:cs="Times New Roman"/>
                <w:sz w:val="18"/>
                <w:szCs w:val="18"/>
              </w:rPr>
              <w:t xml:space="preserve"> on apple in the</w:t>
            </w:r>
            <w:r>
              <w:rPr>
                <w:rFonts w:eastAsia="Calibri" w:cs="Times New Roman"/>
                <w:sz w:val="18"/>
                <w:szCs w:val="18"/>
              </w:rPr>
              <w:t xml:space="preserve"> USA </w:t>
            </w:r>
            <w:r w:rsidRPr="00EA4704">
              <w:rPr>
                <w:rFonts w:eastAsia="Calibri" w:cs="Times New Roman"/>
                <w:sz w:val="18"/>
                <w:szCs w:val="18"/>
              </w:rPr>
              <w:t xml:space="preserve">are based on a report of this pest on </w:t>
            </w:r>
            <w:r w:rsidRPr="00EA4704">
              <w:rPr>
                <w:rFonts w:eastAsia="Calibri" w:cs="Times New Roman"/>
                <w:i/>
                <w:sz w:val="18"/>
                <w:szCs w:val="18"/>
              </w:rPr>
              <w:t>Malus sylvestris</w:t>
            </w:r>
            <w:r w:rsidRPr="00EA4704">
              <w:rPr>
                <w:rFonts w:eastAsia="Calibri" w:cs="Times New Roman"/>
                <w:sz w:val="18"/>
                <w:szCs w:val="18"/>
              </w:rPr>
              <w:t xml:space="preserve"> in Washington </w:t>
            </w:r>
            <w:r>
              <w:rPr>
                <w:rFonts w:eastAsia="Calibri" w:cs="Times New Roman"/>
                <w:noProof/>
                <w:sz w:val="18"/>
                <w:szCs w:val="18"/>
              </w:rPr>
              <w:t>(Shaw 1973)</w:t>
            </w:r>
            <w:r w:rsidRPr="00EA4704">
              <w:rPr>
                <w:rFonts w:eastAsia="Calibri" w:cs="Times New Roman"/>
                <w:sz w:val="18"/>
                <w:szCs w:val="18"/>
              </w:rPr>
              <w:t xml:space="preserve">. This report did not specify if this pest was found on apple fruit. It appeared that </w:t>
            </w:r>
            <w:r>
              <w:rPr>
                <w:rFonts w:eastAsia="Calibri" w:cs="Times New Roman"/>
                <w:sz w:val="18"/>
                <w:szCs w:val="18"/>
              </w:rPr>
              <w:t xml:space="preserve">Shaw </w:t>
            </w:r>
            <w:r>
              <w:rPr>
                <w:rFonts w:eastAsia="Calibri" w:cs="Times New Roman"/>
                <w:noProof/>
                <w:sz w:val="18"/>
                <w:szCs w:val="18"/>
              </w:rPr>
              <w:t>(1973)</w:t>
            </w:r>
            <w:r w:rsidRPr="00EA4704">
              <w:rPr>
                <w:rFonts w:eastAsia="Calibri" w:cs="Times New Roman"/>
                <w:sz w:val="18"/>
                <w:szCs w:val="18"/>
              </w:rPr>
              <w:t xml:space="preserve"> used the name </w:t>
            </w:r>
            <w:r w:rsidRPr="00EA4704">
              <w:rPr>
                <w:rFonts w:eastAsia="Calibri" w:cs="Times New Roman"/>
                <w:i/>
                <w:sz w:val="18"/>
                <w:szCs w:val="18"/>
              </w:rPr>
              <w:t>M. sylvestris</w:t>
            </w:r>
            <w:r w:rsidRPr="00EA4704">
              <w:rPr>
                <w:rFonts w:eastAsia="Calibri" w:cs="Times New Roman"/>
                <w:sz w:val="18"/>
                <w:szCs w:val="18"/>
              </w:rPr>
              <w:t xml:space="preserve"> for both domestic apple and crabapple. Lack of recent records and the lack of information suggest that this pathogen is not an important pest of apple</w:t>
            </w:r>
            <w:r>
              <w:rPr>
                <w:rFonts w:eastAsia="Calibri" w:cs="Times New Roman"/>
                <w:sz w:val="18"/>
                <w:szCs w:val="18"/>
              </w:rPr>
              <w:t>.</w:t>
            </w:r>
          </w:p>
        </w:tc>
        <w:tc>
          <w:tcPr>
            <w:tcW w:w="2381" w:type="dxa"/>
            <w:shd w:val="clear" w:color="auto" w:fill="auto"/>
          </w:tcPr>
          <w:p w14:paraId="073B0C2D"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2211" w:type="dxa"/>
            <w:shd w:val="clear" w:color="auto" w:fill="auto"/>
          </w:tcPr>
          <w:p w14:paraId="7F4ECA00"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1191" w:type="dxa"/>
            <w:shd w:val="clear" w:color="auto" w:fill="auto"/>
          </w:tcPr>
          <w:p w14:paraId="0CA84FEC"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w:t>
            </w:r>
          </w:p>
        </w:tc>
      </w:tr>
      <w:tr w:rsidR="003438A2" w:rsidRPr="00EA4704" w14:paraId="71275854" w14:textId="77777777" w:rsidTr="00C4199F">
        <w:trPr>
          <w:cantSplit/>
          <w:trHeight w:val="75"/>
          <w:jc w:val="center"/>
        </w:trPr>
        <w:tc>
          <w:tcPr>
            <w:tcW w:w="2553" w:type="dxa"/>
            <w:shd w:val="clear" w:color="auto" w:fill="auto"/>
          </w:tcPr>
          <w:p w14:paraId="443BFE40" w14:textId="77777777" w:rsidR="003438A2" w:rsidRPr="00EA4704" w:rsidRDefault="003438A2" w:rsidP="00881E29">
            <w:pPr>
              <w:spacing w:before="60" w:after="60" w:line="240" w:lineRule="auto"/>
              <w:rPr>
                <w:rFonts w:eastAsia="Calibri" w:cs="Times New Roman"/>
                <w:iCs/>
                <w:sz w:val="18"/>
                <w:szCs w:val="18"/>
              </w:rPr>
            </w:pPr>
            <w:r w:rsidRPr="00EA4704">
              <w:rPr>
                <w:rFonts w:eastAsia="Calibri" w:cs="Times New Roman"/>
                <w:i/>
                <w:iCs/>
                <w:sz w:val="18"/>
                <w:szCs w:val="18"/>
              </w:rPr>
              <w:t xml:space="preserve">Fusarium roseum </w:t>
            </w:r>
            <w:r w:rsidRPr="00EA4704">
              <w:rPr>
                <w:rFonts w:eastAsia="Calibri" w:cs="Times New Roman"/>
                <w:iCs/>
                <w:sz w:val="18"/>
                <w:szCs w:val="18"/>
              </w:rPr>
              <w:t>Link</w:t>
            </w:r>
          </w:p>
          <w:p w14:paraId="4C95BF08" w14:textId="77777777" w:rsidR="003438A2" w:rsidRDefault="003438A2" w:rsidP="00881E29">
            <w:pPr>
              <w:spacing w:before="60" w:after="60" w:line="240" w:lineRule="auto"/>
              <w:rPr>
                <w:rFonts w:eastAsia="Calibri" w:cs="Times New Roman"/>
                <w:iCs/>
                <w:sz w:val="18"/>
                <w:szCs w:val="18"/>
              </w:rPr>
            </w:pPr>
            <w:r w:rsidRPr="00EA4704">
              <w:rPr>
                <w:rFonts w:eastAsia="Calibri" w:cs="Times New Roman"/>
                <w:iCs/>
                <w:sz w:val="18"/>
                <w:szCs w:val="18"/>
              </w:rPr>
              <w:t>[Hypocreales: Nectriaceae]</w:t>
            </w:r>
          </w:p>
          <w:p w14:paraId="27CE7152" w14:textId="66AB44F9" w:rsidR="003438A2" w:rsidRPr="00CD1CA1" w:rsidRDefault="003438A2" w:rsidP="00881E29">
            <w:pPr>
              <w:spacing w:before="60" w:after="60" w:line="240" w:lineRule="auto"/>
              <w:rPr>
                <w:rFonts w:eastAsia="Calibri" w:cs="Times New Roman"/>
                <w:sz w:val="18"/>
                <w:szCs w:val="18"/>
                <w:lang w:val="pt-BR"/>
              </w:rPr>
            </w:pPr>
          </w:p>
        </w:tc>
        <w:tc>
          <w:tcPr>
            <w:tcW w:w="1474" w:type="dxa"/>
            <w:shd w:val="clear" w:color="auto" w:fill="auto"/>
          </w:tcPr>
          <w:p w14:paraId="35DE2158" w14:textId="77777777" w:rsidR="003438A2" w:rsidRPr="00EA4704" w:rsidRDefault="003438A2" w:rsidP="00881E29">
            <w:pPr>
              <w:spacing w:before="60" w:after="60" w:line="240" w:lineRule="auto"/>
              <w:rPr>
                <w:rFonts w:eastAsia="Calibri" w:cs="Times New Roman"/>
                <w:sz w:val="18"/>
                <w:szCs w:val="18"/>
                <w:lang w:val="pt-BR"/>
              </w:rPr>
            </w:pPr>
            <w:r w:rsidRPr="00EA4704">
              <w:rPr>
                <w:rFonts w:eastAsia="Calibri" w:cs="Times New Roman"/>
                <w:sz w:val="18"/>
                <w:szCs w:val="18"/>
                <w:lang w:val="pt-BR"/>
              </w:rPr>
              <w:t xml:space="preserve">Yes. </w:t>
            </w:r>
            <w:r>
              <w:rPr>
                <w:rFonts w:eastAsia="Calibri" w:cs="Times New Roman"/>
                <w:sz w:val="18"/>
                <w:szCs w:val="18"/>
                <w:lang w:val="pt-BR"/>
              </w:rPr>
              <w:t xml:space="preserve">Present in </w:t>
            </w:r>
            <w:r w:rsidRPr="00EA4704">
              <w:rPr>
                <w:rFonts w:eastAsia="Calibri" w:cs="Times New Roman"/>
                <w:sz w:val="18"/>
                <w:szCs w:val="18"/>
                <w:lang w:val="pt-BR"/>
              </w:rPr>
              <w:t xml:space="preserve">WA </w:t>
            </w:r>
            <w:r>
              <w:rPr>
                <w:rFonts w:eastAsia="Calibri" w:cs="Times New Roman"/>
                <w:noProof/>
                <w:sz w:val="18"/>
                <w:szCs w:val="18"/>
                <w:lang w:val="pt-BR"/>
              </w:rPr>
              <w:t>(Shaw 1973)</w:t>
            </w:r>
          </w:p>
        </w:tc>
        <w:tc>
          <w:tcPr>
            <w:tcW w:w="1474" w:type="dxa"/>
            <w:shd w:val="clear" w:color="auto" w:fill="auto"/>
          </w:tcPr>
          <w:p w14:paraId="25B1FC8B" w14:textId="6126F499" w:rsidR="003438A2" w:rsidRPr="00EA4704" w:rsidRDefault="0097352A" w:rsidP="00881E29">
            <w:pPr>
              <w:spacing w:before="60" w:after="60" w:line="240" w:lineRule="auto"/>
              <w:rPr>
                <w:rFonts w:eastAsia="Calibri" w:cs="Times New Roman"/>
                <w:sz w:val="18"/>
                <w:szCs w:val="18"/>
              </w:rPr>
            </w:pPr>
            <w:r w:rsidRPr="00EA4704">
              <w:rPr>
                <w:rFonts w:eastAsia="Calibri" w:cs="Times New Roman"/>
                <w:sz w:val="18"/>
                <w:szCs w:val="18"/>
              </w:rPr>
              <w:t>Yes. NSW, Qld</w:t>
            </w:r>
            <w:r>
              <w:rPr>
                <w:rFonts w:eastAsia="Calibri" w:cs="Times New Roman"/>
                <w:sz w:val="18"/>
                <w:szCs w:val="18"/>
              </w:rPr>
              <w:t xml:space="preserve">, </w:t>
            </w:r>
            <w:r w:rsidRPr="00EA4704">
              <w:rPr>
                <w:rFonts w:eastAsia="Calibri" w:cs="Times New Roman"/>
                <w:sz w:val="18"/>
                <w:szCs w:val="18"/>
              </w:rPr>
              <w:t xml:space="preserve">NT, Vic., WA </w:t>
            </w:r>
            <w:r>
              <w:rPr>
                <w:rFonts w:eastAsia="Calibri" w:cs="Times New Roman"/>
                <w:sz w:val="18"/>
                <w:szCs w:val="18"/>
              </w:rPr>
              <w:fldChar w:fldCharType="begin" w:fldLock="1"/>
            </w:r>
            <w:r>
              <w:rPr>
                <w:rFonts w:eastAsia="Calibri" w:cs="Times New Roman"/>
                <w:sz w:val="18"/>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Pr>
                <w:rFonts w:eastAsia="Calibri" w:cs="Times New Roman"/>
                <w:sz w:val="18"/>
                <w:szCs w:val="18"/>
              </w:rPr>
              <w:fldChar w:fldCharType="separate"/>
            </w:r>
            <w:r>
              <w:rPr>
                <w:rFonts w:eastAsia="Calibri" w:cs="Times New Roman"/>
                <w:noProof/>
                <w:sz w:val="18"/>
                <w:szCs w:val="18"/>
              </w:rPr>
              <w:t>(</w:t>
            </w:r>
            <w:hyperlink w:anchor="_ENREF_575" w:tooltip="Plant Health Australia, 2018 #30228" w:history="1">
              <w:r>
                <w:rPr>
                  <w:rFonts w:eastAsia="Calibri" w:cs="Times New Roman"/>
                  <w:noProof/>
                  <w:sz w:val="18"/>
                  <w:szCs w:val="18"/>
                </w:rPr>
                <w:t>Plant Health Australia 2018</w:t>
              </w:r>
            </w:hyperlink>
            <w:r>
              <w:rPr>
                <w:rFonts w:eastAsia="Calibri" w:cs="Times New Roman"/>
                <w:noProof/>
                <w:sz w:val="18"/>
                <w:szCs w:val="18"/>
              </w:rPr>
              <w:t>)</w:t>
            </w:r>
            <w:r>
              <w:rPr>
                <w:rFonts w:eastAsia="Calibri" w:cs="Times New Roman"/>
                <w:sz w:val="18"/>
                <w:szCs w:val="18"/>
              </w:rPr>
              <w:fldChar w:fldCharType="end"/>
            </w:r>
          </w:p>
        </w:tc>
        <w:tc>
          <w:tcPr>
            <w:tcW w:w="2552" w:type="dxa"/>
            <w:shd w:val="clear" w:color="auto" w:fill="auto"/>
          </w:tcPr>
          <w:p w14:paraId="38323697"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r w:rsidRPr="00EA4704" w:rsidDel="007C3A09">
              <w:rPr>
                <w:rFonts w:eastAsia="Calibri" w:cs="Times New Roman"/>
                <w:sz w:val="18"/>
                <w:szCs w:val="18"/>
              </w:rPr>
              <w:t xml:space="preserve"> </w:t>
            </w:r>
          </w:p>
        </w:tc>
        <w:tc>
          <w:tcPr>
            <w:tcW w:w="2381" w:type="dxa"/>
            <w:shd w:val="clear" w:color="auto" w:fill="auto"/>
          </w:tcPr>
          <w:p w14:paraId="79650D61"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2211" w:type="dxa"/>
            <w:shd w:val="clear" w:color="auto" w:fill="auto"/>
          </w:tcPr>
          <w:p w14:paraId="34BF29DD"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1191" w:type="dxa"/>
            <w:shd w:val="clear" w:color="auto" w:fill="auto"/>
          </w:tcPr>
          <w:p w14:paraId="24B5E538"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w:t>
            </w:r>
          </w:p>
        </w:tc>
      </w:tr>
      <w:tr w:rsidR="003438A2" w:rsidRPr="00EA4704" w14:paraId="0BD9968D" w14:textId="77777777" w:rsidTr="00C4199F">
        <w:trPr>
          <w:cantSplit/>
          <w:trHeight w:val="75"/>
          <w:jc w:val="center"/>
        </w:trPr>
        <w:tc>
          <w:tcPr>
            <w:tcW w:w="2553" w:type="dxa"/>
            <w:shd w:val="clear" w:color="auto" w:fill="auto"/>
          </w:tcPr>
          <w:p w14:paraId="0D747732" w14:textId="77777777" w:rsidR="003438A2" w:rsidRPr="00EA4704" w:rsidRDefault="003438A2" w:rsidP="00881E29">
            <w:pPr>
              <w:spacing w:before="60" w:after="60" w:line="240" w:lineRule="auto"/>
              <w:rPr>
                <w:rFonts w:eastAsia="Calibri" w:cs="Times New Roman"/>
                <w:iCs/>
                <w:sz w:val="18"/>
                <w:szCs w:val="18"/>
              </w:rPr>
            </w:pPr>
            <w:r w:rsidRPr="00EA4704">
              <w:rPr>
                <w:rFonts w:eastAsia="Calibri" w:cs="Times New Roman"/>
                <w:i/>
                <w:iCs/>
                <w:sz w:val="18"/>
                <w:szCs w:val="18"/>
              </w:rPr>
              <w:t xml:space="preserve">Fusicoccum pyrorum </w:t>
            </w:r>
            <w:r w:rsidRPr="00EA4704">
              <w:rPr>
                <w:rFonts w:eastAsia="Calibri" w:cs="Times New Roman"/>
                <w:iCs/>
                <w:sz w:val="18"/>
                <w:szCs w:val="18"/>
              </w:rPr>
              <w:t>Chupp &amp; Clapp</w:t>
            </w:r>
          </w:p>
          <w:p w14:paraId="480D6333" w14:textId="77777777" w:rsidR="003438A2" w:rsidRPr="00EA4704" w:rsidRDefault="003438A2" w:rsidP="00881E29">
            <w:pPr>
              <w:spacing w:before="60" w:after="60" w:line="240" w:lineRule="auto"/>
              <w:rPr>
                <w:rFonts w:eastAsia="Calibri" w:cs="Times New Roman"/>
                <w:i/>
                <w:iCs/>
                <w:sz w:val="18"/>
                <w:szCs w:val="18"/>
              </w:rPr>
            </w:pPr>
            <w:r w:rsidRPr="00EA4704">
              <w:rPr>
                <w:rFonts w:eastAsia="Calibri" w:cs="Times New Roman"/>
                <w:iCs/>
                <w:sz w:val="18"/>
                <w:szCs w:val="18"/>
              </w:rPr>
              <w:t>[</w:t>
            </w:r>
            <w:r w:rsidRPr="00EA4704">
              <w:rPr>
                <w:rFonts w:eastAsia="Calibri" w:cs="Times New Roman"/>
                <w:sz w:val="18"/>
                <w:szCs w:val="18"/>
              </w:rPr>
              <w:t>Botryosphaeriales:</w:t>
            </w:r>
            <w:r w:rsidRPr="00EA4704">
              <w:rPr>
                <w:rFonts w:eastAsia="Calibri" w:cs="Times New Roman"/>
                <w:iCs/>
                <w:sz w:val="18"/>
                <w:szCs w:val="18"/>
              </w:rPr>
              <w:t xml:space="preserve"> Botryosphaeriaceae]</w:t>
            </w:r>
          </w:p>
        </w:tc>
        <w:tc>
          <w:tcPr>
            <w:tcW w:w="1474" w:type="dxa"/>
            <w:shd w:val="clear" w:color="auto" w:fill="auto"/>
          </w:tcPr>
          <w:p w14:paraId="44A3718C"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 xml:space="preserve">Yes. </w:t>
            </w:r>
            <w:r>
              <w:rPr>
                <w:rFonts w:eastAsia="Calibri" w:cs="Times New Roman"/>
                <w:sz w:val="18"/>
                <w:szCs w:val="18"/>
              </w:rPr>
              <w:t xml:space="preserve">Present in </w:t>
            </w:r>
            <w:r w:rsidRPr="00EA4704">
              <w:rPr>
                <w:rFonts w:eastAsia="Calibri" w:cs="Times New Roman"/>
                <w:sz w:val="18"/>
                <w:szCs w:val="18"/>
              </w:rPr>
              <w:t xml:space="preserve">OR </w:t>
            </w:r>
            <w:r>
              <w:rPr>
                <w:rFonts w:eastAsia="Calibri" w:cs="Times New Roman"/>
                <w:noProof/>
                <w:sz w:val="18"/>
                <w:szCs w:val="18"/>
              </w:rPr>
              <w:t>(Shaw 1973; Zeller 1929)</w:t>
            </w:r>
            <w:r>
              <w:rPr>
                <w:rFonts w:eastAsia="Calibri" w:cs="Times New Roman"/>
                <w:sz w:val="18"/>
                <w:szCs w:val="18"/>
              </w:rPr>
              <w:t xml:space="preserve"> </w:t>
            </w:r>
          </w:p>
        </w:tc>
        <w:tc>
          <w:tcPr>
            <w:tcW w:w="1474" w:type="dxa"/>
            <w:shd w:val="clear" w:color="auto" w:fill="auto"/>
          </w:tcPr>
          <w:p w14:paraId="4D47CF6A" w14:textId="77777777" w:rsidR="003438A2" w:rsidRPr="00EA4704" w:rsidRDefault="003438A2" w:rsidP="00881E29">
            <w:pPr>
              <w:spacing w:before="60" w:after="60" w:line="240" w:lineRule="auto"/>
              <w:rPr>
                <w:rFonts w:eastAsia="Calibri" w:cs="Times New Roman"/>
                <w:sz w:val="18"/>
                <w:szCs w:val="18"/>
              </w:rPr>
            </w:pPr>
            <w:r>
              <w:rPr>
                <w:rFonts w:eastAsia="Calibri" w:cs="Times New Roman"/>
                <w:sz w:val="18"/>
                <w:szCs w:val="18"/>
              </w:rPr>
              <w:t>No records found</w:t>
            </w:r>
          </w:p>
        </w:tc>
        <w:tc>
          <w:tcPr>
            <w:tcW w:w="2552" w:type="dxa"/>
            <w:shd w:val="clear" w:color="auto" w:fill="auto"/>
          </w:tcPr>
          <w:p w14:paraId="56ED0141"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 xml:space="preserve">No. Found on dieback twigs of apple </w:t>
            </w:r>
            <w:r>
              <w:rPr>
                <w:rFonts w:eastAsia="Calibri" w:cs="Times New Roman"/>
                <w:noProof/>
                <w:sz w:val="18"/>
                <w:szCs w:val="18"/>
              </w:rPr>
              <w:t>(Zeller 1929)</w:t>
            </w:r>
            <w:r w:rsidRPr="00EA4704">
              <w:rPr>
                <w:rFonts w:eastAsia="Calibri" w:cs="Times New Roman"/>
                <w:sz w:val="18"/>
                <w:szCs w:val="18"/>
              </w:rPr>
              <w:t xml:space="preserve">. Produces cankers on branches and trunk of apple, and is not known to infect apple fruit under natural conditions </w:t>
            </w:r>
            <w:r>
              <w:rPr>
                <w:rFonts w:eastAsia="Calibri" w:cs="Times New Roman"/>
                <w:noProof/>
                <w:sz w:val="18"/>
                <w:szCs w:val="18"/>
              </w:rPr>
              <w:t>(Chupp &amp; Clapp 1923)</w:t>
            </w:r>
          </w:p>
        </w:tc>
        <w:tc>
          <w:tcPr>
            <w:tcW w:w="2381" w:type="dxa"/>
            <w:shd w:val="clear" w:color="auto" w:fill="auto"/>
          </w:tcPr>
          <w:p w14:paraId="5D55FC18"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2211" w:type="dxa"/>
            <w:shd w:val="clear" w:color="auto" w:fill="auto"/>
          </w:tcPr>
          <w:p w14:paraId="46B50A9F"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Assessment not required</w:t>
            </w:r>
          </w:p>
        </w:tc>
        <w:tc>
          <w:tcPr>
            <w:tcW w:w="1191" w:type="dxa"/>
            <w:shd w:val="clear" w:color="auto" w:fill="auto"/>
          </w:tcPr>
          <w:p w14:paraId="2A6550CD" w14:textId="77777777" w:rsidR="003438A2" w:rsidRPr="00EA4704" w:rsidRDefault="003438A2" w:rsidP="00881E29">
            <w:pPr>
              <w:spacing w:before="60" w:after="60" w:line="240" w:lineRule="auto"/>
              <w:rPr>
                <w:rFonts w:eastAsia="Calibri" w:cs="Times New Roman"/>
                <w:sz w:val="18"/>
                <w:szCs w:val="18"/>
              </w:rPr>
            </w:pPr>
            <w:r w:rsidRPr="00EA4704">
              <w:rPr>
                <w:rFonts w:eastAsia="Calibri" w:cs="Times New Roman"/>
                <w:sz w:val="18"/>
                <w:szCs w:val="18"/>
              </w:rPr>
              <w:t>No</w:t>
            </w:r>
          </w:p>
        </w:tc>
      </w:tr>
    </w:tbl>
    <w:p w14:paraId="35715D0A" w14:textId="77777777" w:rsidR="003438A2" w:rsidRDefault="003438A2"/>
    <w:p w14:paraId="590B1CDA" w14:textId="77777777" w:rsidR="003438A2" w:rsidRDefault="003438A2">
      <w:pPr>
        <w:spacing w:after="0" w:line="240" w:lineRule="auto"/>
      </w:pPr>
      <w:r>
        <w:br w:type="page"/>
      </w:r>
    </w:p>
    <w:tbl>
      <w:tblPr>
        <w:tblW w:w="0" w:type="auto"/>
        <w:jc w:val="center"/>
        <w:tblBorders>
          <w:top w:val="single" w:sz="4" w:space="0" w:color="auto"/>
          <w:bottom w:val="single" w:sz="4" w:space="0" w:color="auto"/>
          <w:insideH w:val="single" w:sz="4" w:space="0" w:color="BFBFBF"/>
        </w:tblBorders>
        <w:tblLayout w:type="fixed"/>
        <w:tblLook w:val="00A0" w:firstRow="1" w:lastRow="0" w:firstColumn="1" w:lastColumn="0" w:noHBand="0" w:noVBand="0"/>
      </w:tblPr>
      <w:tblGrid>
        <w:gridCol w:w="1985"/>
        <w:gridCol w:w="1474"/>
        <w:gridCol w:w="1474"/>
        <w:gridCol w:w="2552"/>
        <w:gridCol w:w="2381"/>
        <w:gridCol w:w="2211"/>
        <w:gridCol w:w="1191"/>
      </w:tblGrid>
      <w:tr w:rsidR="003438A2" w:rsidRPr="00243E34" w14:paraId="5300F76D" w14:textId="77777777" w:rsidTr="00E7562D">
        <w:trPr>
          <w:cantSplit/>
          <w:tblHeader/>
          <w:jc w:val="center"/>
        </w:trPr>
        <w:tc>
          <w:tcPr>
            <w:tcW w:w="1985" w:type="dxa"/>
            <w:shd w:val="clear" w:color="auto" w:fill="auto"/>
            <w:vAlign w:val="bottom"/>
          </w:tcPr>
          <w:p w14:paraId="1A5EB755" w14:textId="77777777" w:rsidR="003438A2" w:rsidRPr="00243E34" w:rsidRDefault="003438A2" w:rsidP="00881E29">
            <w:pPr>
              <w:keepNext/>
              <w:spacing w:before="60" w:after="60" w:line="240" w:lineRule="auto"/>
              <w:rPr>
                <w:rFonts w:eastAsia="Calibri" w:cs="Times New Roman"/>
                <w:b/>
                <w:sz w:val="18"/>
              </w:rPr>
            </w:pPr>
            <w:r w:rsidRPr="00243E34">
              <w:rPr>
                <w:rFonts w:eastAsia="Calibri" w:cs="Times New Roman"/>
                <w:b/>
                <w:sz w:val="18"/>
              </w:rPr>
              <w:lastRenderedPageBreak/>
              <w:t>Pest</w:t>
            </w:r>
          </w:p>
        </w:tc>
        <w:tc>
          <w:tcPr>
            <w:tcW w:w="1474" w:type="dxa"/>
            <w:shd w:val="clear" w:color="auto" w:fill="auto"/>
            <w:vAlign w:val="bottom"/>
          </w:tcPr>
          <w:p w14:paraId="3EABED14" w14:textId="77777777" w:rsidR="003438A2" w:rsidRPr="00243E34" w:rsidRDefault="003438A2" w:rsidP="00881E29">
            <w:pPr>
              <w:keepNext/>
              <w:spacing w:before="60" w:after="60" w:line="240" w:lineRule="auto"/>
              <w:rPr>
                <w:rFonts w:eastAsia="Calibri" w:cs="Times New Roman"/>
                <w:b/>
                <w:sz w:val="18"/>
              </w:rPr>
            </w:pPr>
            <w:r w:rsidRPr="00243E34">
              <w:rPr>
                <w:rFonts w:eastAsia="Calibri" w:cs="Times New Roman"/>
                <w:b/>
                <w:sz w:val="18"/>
              </w:rPr>
              <w:t>Present in</w:t>
            </w:r>
            <w:r w:rsidRPr="00243E34">
              <w:rPr>
                <w:rFonts w:eastAsia="Calibri" w:cs="Times New Roman"/>
                <w:b/>
                <w:color w:val="FF0000"/>
                <w:sz w:val="18"/>
              </w:rPr>
              <w:t xml:space="preserve"> </w:t>
            </w:r>
            <w:r>
              <w:rPr>
                <w:rFonts w:eastAsia="Calibri" w:cs="Times New Roman"/>
                <w:b/>
                <w:sz w:val="18"/>
              </w:rPr>
              <w:t>PNW-USA</w:t>
            </w:r>
          </w:p>
        </w:tc>
        <w:tc>
          <w:tcPr>
            <w:tcW w:w="1474" w:type="dxa"/>
            <w:shd w:val="clear" w:color="auto" w:fill="auto"/>
            <w:vAlign w:val="bottom"/>
          </w:tcPr>
          <w:p w14:paraId="64B2F0C1" w14:textId="77777777" w:rsidR="003438A2" w:rsidRPr="00243E34" w:rsidRDefault="003438A2" w:rsidP="00881E29">
            <w:pPr>
              <w:keepNext/>
              <w:spacing w:before="60" w:after="60" w:line="240" w:lineRule="auto"/>
              <w:rPr>
                <w:rFonts w:eastAsia="Calibri" w:cs="Times New Roman"/>
                <w:b/>
                <w:sz w:val="18"/>
              </w:rPr>
            </w:pPr>
            <w:r w:rsidRPr="00243E34">
              <w:rPr>
                <w:rFonts w:eastAsia="Calibri" w:cs="Times New Roman"/>
                <w:b/>
                <w:sz w:val="18"/>
              </w:rPr>
              <w:t>Present within Australia</w:t>
            </w:r>
          </w:p>
        </w:tc>
        <w:tc>
          <w:tcPr>
            <w:tcW w:w="2552" w:type="dxa"/>
            <w:shd w:val="clear" w:color="auto" w:fill="auto"/>
            <w:vAlign w:val="bottom"/>
          </w:tcPr>
          <w:p w14:paraId="3FCB09CF" w14:textId="77777777" w:rsidR="003438A2" w:rsidRPr="00243E34" w:rsidRDefault="003438A2" w:rsidP="00881E29">
            <w:pPr>
              <w:keepNext/>
              <w:spacing w:before="60" w:after="60" w:line="240" w:lineRule="auto"/>
              <w:rPr>
                <w:rFonts w:eastAsia="Calibri" w:cs="Times New Roman"/>
                <w:b/>
                <w:sz w:val="18"/>
              </w:rPr>
            </w:pPr>
            <w:r w:rsidRPr="00243E34">
              <w:rPr>
                <w:rFonts w:eastAsia="Calibri" w:cs="Times New Roman"/>
                <w:b/>
                <w:sz w:val="18"/>
              </w:rPr>
              <w:t>Potential to be on pathway</w:t>
            </w:r>
          </w:p>
        </w:tc>
        <w:tc>
          <w:tcPr>
            <w:tcW w:w="2381" w:type="dxa"/>
            <w:shd w:val="clear" w:color="auto" w:fill="auto"/>
            <w:vAlign w:val="bottom"/>
          </w:tcPr>
          <w:p w14:paraId="6B44210A" w14:textId="77777777" w:rsidR="003438A2" w:rsidRPr="00243E34" w:rsidRDefault="003438A2" w:rsidP="00881E29">
            <w:pPr>
              <w:keepNext/>
              <w:spacing w:before="60" w:after="60" w:line="240" w:lineRule="auto"/>
              <w:rPr>
                <w:rFonts w:eastAsia="Calibri" w:cs="Times New Roman"/>
                <w:b/>
                <w:sz w:val="18"/>
              </w:rPr>
            </w:pPr>
            <w:r w:rsidRPr="00243E34">
              <w:rPr>
                <w:rFonts w:eastAsia="Calibri" w:cs="Times New Roman"/>
                <w:b/>
                <w:sz w:val="18"/>
              </w:rPr>
              <w:t>Potential for establishment and spread</w:t>
            </w:r>
          </w:p>
        </w:tc>
        <w:tc>
          <w:tcPr>
            <w:tcW w:w="2211" w:type="dxa"/>
            <w:shd w:val="clear" w:color="auto" w:fill="auto"/>
            <w:vAlign w:val="bottom"/>
          </w:tcPr>
          <w:p w14:paraId="2FB46A7B" w14:textId="77777777" w:rsidR="003438A2" w:rsidRPr="00243E34" w:rsidRDefault="003438A2" w:rsidP="00881E29">
            <w:pPr>
              <w:keepNext/>
              <w:spacing w:before="60" w:after="60" w:line="240" w:lineRule="auto"/>
              <w:rPr>
                <w:rFonts w:eastAsia="Calibri" w:cs="Times New Roman"/>
                <w:b/>
                <w:sz w:val="18"/>
              </w:rPr>
            </w:pPr>
            <w:r w:rsidRPr="00243E34">
              <w:rPr>
                <w:rFonts w:eastAsia="Calibri" w:cs="Times New Roman"/>
                <w:b/>
                <w:sz w:val="18"/>
              </w:rPr>
              <w:t>Potential for economic consequences</w:t>
            </w:r>
          </w:p>
        </w:tc>
        <w:tc>
          <w:tcPr>
            <w:tcW w:w="1191" w:type="dxa"/>
            <w:shd w:val="clear" w:color="auto" w:fill="auto"/>
            <w:vAlign w:val="bottom"/>
          </w:tcPr>
          <w:p w14:paraId="3765AF40" w14:textId="77777777" w:rsidR="003438A2" w:rsidRPr="00243E34" w:rsidRDefault="003438A2" w:rsidP="00881E29">
            <w:pPr>
              <w:keepNext/>
              <w:spacing w:before="60" w:after="60" w:line="240" w:lineRule="auto"/>
              <w:rPr>
                <w:rFonts w:eastAsia="Calibri" w:cs="Times New Roman"/>
                <w:b/>
                <w:sz w:val="18"/>
              </w:rPr>
            </w:pPr>
            <w:r w:rsidRPr="00243E34">
              <w:rPr>
                <w:rFonts w:eastAsia="Calibri" w:cs="Times New Roman"/>
                <w:b/>
                <w:sz w:val="18"/>
              </w:rPr>
              <w:t>Pest risk assessment required</w:t>
            </w:r>
          </w:p>
        </w:tc>
      </w:tr>
      <w:tr w:rsidR="003438A2" w:rsidRPr="00D95799" w14:paraId="00756DFC" w14:textId="77777777" w:rsidTr="00DF7C5E">
        <w:trPr>
          <w:cantSplit/>
          <w:trHeight w:val="75"/>
          <w:jc w:val="center"/>
        </w:trPr>
        <w:tc>
          <w:tcPr>
            <w:tcW w:w="1985" w:type="dxa"/>
            <w:shd w:val="clear" w:color="auto" w:fill="auto"/>
          </w:tcPr>
          <w:p w14:paraId="6720EDE2" w14:textId="77777777" w:rsidR="003438A2" w:rsidRPr="00D95799" w:rsidRDefault="003438A2" w:rsidP="00881E29">
            <w:pPr>
              <w:spacing w:before="60" w:after="60" w:line="240" w:lineRule="auto"/>
              <w:rPr>
                <w:rFonts w:eastAsia="Calibri" w:cs="Times New Roman"/>
                <w:iCs/>
                <w:sz w:val="18"/>
                <w:szCs w:val="18"/>
              </w:rPr>
            </w:pPr>
            <w:bookmarkStart w:id="549" w:name="_Hlk48049600"/>
            <w:r w:rsidRPr="00D95799">
              <w:rPr>
                <w:rFonts w:eastAsia="Calibri" w:cs="Times New Roman"/>
                <w:i/>
                <w:iCs/>
                <w:sz w:val="18"/>
                <w:szCs w:val="18"/>
              </w:rPr>
              <w:t xml:space="preserve">Gymnosporangium clavipes </w:t>
            </w:r>
            <w:r w:rsidRPr="00D95799">
              <w:rPr>
                <w:rFonts w:eastAsia="Calibri" w:cs="Times New Roman"/>
                <w:iCs/>
                <w:sz w:val="18"/>
                <w:szCs w:val="18"/>
              </w:rPr>
              <w:t>Cooke &amp; Peck</w:t>
            </w:r>
          </w:p>
          <w:p w14:paraId="7552D668"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w:t>
            </w:r>
            <w:r w:rsidRPr="00D95799">
              <w:rPr>
                <w:rFonts w:eastAsia="Calibri" w:cs="Times New Roman"/>
                <w:sz w:val="18"/>
                <w:szCs w:val="18"/>
              </w:rPr>
              <w:t>Pucciniales:</w:t>
            </w:r>
            <w:r w:rsidRPr="00D95799">
              <w:rPr>
                <w:rFonts w:eastAsia="Calibri" w:cs="Times New Roman"/>
                <w:iCs/>
                <w:sz w:val="18"/>
                <w:szCs w:val="18"/>
              </w:rPr>
              <w:t xml:space="preserve"> Pucciniaceae]</w:t>
            </w:r>
          </w:p>
          <w:p w14:paraId="05F855C9" w14:textId="77777777" w:rsidR="003438A2" w:rsidRPr="00D95799" w:rsidRDefault="003438A2" w:rsidP="00881E29">
            <w:pPr>
              <w:spacing w:before="60" w:after="60" w:line="240" w:lineRule="auto"/>
              <w:rPr>
                <w:rFonts w:eastAsia="Calibri" w:cs="Times New Roman"/>
                <w:i/>
                <w:iCs/>
                <w:sz w:val="18"/>
                <w:szCs w:val="18"/>
              </w:rPr>
            </w:pPr>
            <w:r w:rsidRPr="00D95799">
              <w:rPr>
                <w:rFonts w:eastAsia="Calibri" w:cs="Times New Roman"/>
                <w:iCs/>
                <w:sz w:val="18"/>
                <w:szCs w:val="18"/>
              </w:rPr>
              <w:t>Quince rust</w:t>
            </w:r>
          </w:p>
        </w:tc>
        <w:tc>
          <w:tcPr>
            <w:tcW w:w="1474" w:type="dxa"/>
            <w:shd w:val="clear" w:color="auto" w:fill="auto"/>
          </w:tcPr>
          <w:p w14:paraId="22FFB931"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w:t>
            </w:r>
            <w:r>
              <w:rPr>
                <w:rFonts w:eastAsia="Calibri" w:cs="Times New Roman"/>
                <w:sz w:val="18"/>
                <w:szCs w:val="18"/>
              </w:rPr>
              <w:t xml:space="preserve">Present in WA. Also present in </w:t>
            </w:r>
            <w:r w:rsidRPr="00D95799">
              <w:rPr>
                <w:rFonts w:eastAsia="Calibri" w:cs="Times New Roman"/>
                <w:sz w:val="18"/>
                <w:szCs w:val="18"/>
              </w:rPr>
              <w:t>AR, eastern states, MI</w:t>
            </w:r>
            <w:r>
              <w:rPr>
                <w:rFonts w:eastAsia="Calibri" w:cs="Times New Roman"/>
                <w:sz w:val="18"/>
                <w:szCs w:val="18"/>
              </w:rPr>
              <w:t xml:space="preserve"> and</w:t>
            </w:r>
            <w:r w:rsidRPr="00D95799">
              <w:rPr>
                <w:rFonts w:eastAsia="Calibri" w:cs="Times New Roman"/>
                <w:sz w:val="18"/>
                <w:szCs w:val="18"/>
              </w:rPr>
              <w:t xml:space="preserve"> MS</w:t>
            </w:r>
            <w:r w:rsidRPr="00D95799">
              <w:rPr>
                <w:rFonts w:eastAsia="Calibri" w:cs="Times New Roman"/>
                <w:iCs/>
                <w:sz w:val="18"/>
                <w:szCs w:val="18"/>
              </w:rPr>
              <w:t xml:space="preserve"> </w:t>
            </w:r>
            <w:r>
              <w:rPr>
                <w:rFonts w:eastAsia="Calibri" w:cs="Times New Roman"/>
                <w:iCs/>
                <w:noProof/>
                <w:sz w:val="18"/>
                <w:szCs w:val="18"/>
              </w:rPr>
              <w:t>(Farr &amp; Rossman 2018)</w:t>
            </w:r>
            <w:r w:rsidRPr="00D95799">
              <w:rPr>
                <w:rFonts w:eastAsia="Calibri" w:cs="Times New Roman"/>
                <w:iCs/>
                <w:sz w:val="18"/>
                <w:szCs w:val="18"/>
              </w:rPr>
              <w:t>.</w:t>
            </w:r>
          </w:p>
        </w:tc>
        <w:tc>
          <w:tcPr>
            <w:tcW w:w="1474" w:type="dxa"/>
            <w:shd w:val="clear" w:color="auto" w:fill="auto"/>
          </w:tcPr>
          <w:p w14:paraId="477056FB"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No. One report on </w:t>
            </w:r>
            <w:r w:rsidRPr="00D95799">
              <w:rPr>
                <w:rFonts w:eastAsia="Calibri" w:cs="Times New Roman"/>
                <w:i/>
                <w:sz w:val="18"/>
                <w:szCs w:val="18"/>
              </w:rPr>
              <w:t xml:space="preserve">Crataegus monogyna </w:t>
            </w:r>
            <w:r w:rsidRPr="00D95799">
              <w:rPr>
                <w:rFonts w:eastAsia="Calibri" w:cs="Times New Roman"/>
                <w:sz w:val="18"/>
                <w:szCs w:val="18"/>
              </w:rPr>
              <w:t xml:space="preserve">(English hawthorn) in Vic. </w:t>
            </w:r>
            <w:r>
              <w:rPr>
                <w:rFonts w:eastAsia="Calibri" w:cs="Times New Roman"/>
                <w:noProof/>
                <w:sz w:val="18"/>
                <w:szCs w:val="18"/>
              </w:rPr>
              <w:t>(Chambers 1982)</w:t>
            </w:r>
            <w:r w:rsidRPr="00D95799">
              <w:rPr>
                <w:rFonts w:eastAsia="Calibri" w:cs="Times New Roman"/>
                <w:sz w:val="18"/>
                <w:szCs w:val="18"/>
              </w:rPr>
              <w:t>, but no herbarium specimen and no record in Australia since 1982</w:t>
            </w:r>
          </w:p>
        </w:tc>
        <w:tc>
          <w:tcPr>
            <w:tcW w:w="2552" w:type="dxa"/>
            <w:shd w:val="clear" w:color="auto" w:fill="auto"/>
          </w:tcPr>
          <w:p w14:paraId="3BC5AE48" w14:textId="77777777" w:rsidR="003438A2" w:rsidRDefault="003438A2" w:rsidP="00881E29">
            <w:pPr>
              <w:spacing w:before="60" w:after="60" w:line="240" w:lineRule="auto"/>
              <w:rPr>
                <w:rFonts w:eastAsia="Calibri" w:cs="Times New Roman"/>
                <w:sz w:val="18"/>
                <w:szCs w:val="18"/>
              </w:rPr>
            </w:pPr>
            <w:r>
              <w:rPr>
                <w:rFonts w:eastAsia="Calibri" w:cs="Times New Roman"/>
                <w:sz w:val="18"/>
                <w:szCs w:val="18"/>
              </w:rPr>
              <w:t>Yes</w:t>
            </w:r>
            <w:r w:rsidRPr="00D95799">
              <w:rPr>
                <w:rFonts w:eastAsia="Calibri" w:cs="Times New Roman"/>
                <w:sz w:val="18"/>
                <w:szCs w:val="18"/>
              </w:rPr>
              <w:t>.</w:t>
            </w:r>
            <w:r>
              <w:rPr>
                <w:rFonts w:eastAsia="Calibri" w:cs="Times New Roman"/>
                <w:sz w:val="18"/>
                <w:szCs w:val="18"/>
              </w:rPr>
              <w:t xml:space="preserve"> </w:t>
            </w:r>
            <w:r w:rsidRPr="00D95799">
              <w:rPr>
                <w:rFonts w:eastAsia="Calibri" w:cs="Times New Roman"/>
                <w:sz w:val="18"/>
                <w:szCs w:val="18"/>
              </w:rPr>
              <w:t xml:space="preserve">Infects fruit of apple </w:t>
            </w:r>
            <w:r>
              <w:rPr>
                <w:rFonts w:eastAsia="Calibri" w:cs="Times New Roman"/>
                <w:noProof/>
                <w:sz w:val="18"/>
                <w:szCs w:val="18"/>
              </w:rPr>
              <w:t>(Aldwinckle 1990c; Sinclair &amp; Lyon 2005)</w:t>
            </w:r>
            <w:r>
              <w:rPr>
                <w:rFonts w:eastAsia="Calibri" w:cs="Times New Roman"/>
                <w:sz w:val="18"/>
                <w:szCs w:val="18"/>
              </w:rPr>
              <w:t xml:space="preserve">. </w:t>
            </w:r>
            <w:r w:rsidRPr="00D95799">
              <w:rPr>
                <w:rFonts w:eastAsia="Calibri" w:cs="Times New Roman"/>
                <w:sz w:val="18"/>
                <w:szCs w:val="18"/>
              </w:rPr>
              <w:t xml:space="preserve">Has been reported on </w:t>
            </w:r>
            <w:r w:rsidRPr="00D95799">
              <w:rPr>
                <w:rFonts w:eastAsia="Calibri" w:cs="Times New Roman"/>
                <w:i/>
                <w:sz w:val="18"/>
                <w:szCs w:val="18"/>
              </w:rPr>
              <w:t xml:space="preserve">Crataegus douglasii </w:t>
            </w:r>
            <w:r w:rsidRPr="00D95799">
              <w:rPr>
                <w:rFonts w:eastAsia="Calibri" w:cs="Times New Roman"/>
                <w:sz w:val="18"/>
                <w:szCs w:val="18"/>
              </w:rPr>
              <w:t xml:space="preserve">(black hawthorn) and </w:t>
            </w:r>
            <w:r w:rsidRPr="00D95799">
              <w:rPr>
                <w:rFonts w:eastAsia="Calibri" w:cs="Times New Roman"/>
                <w:i/>
                <w:sz w:val="18"/>
                <w:szCs w:val="18"/>
              </w:rPr>
              <w:t>Juniperus communis</w:t>
            </w:r>
            <w:r w:rsidRPr="00D95799">
              <w:rPr>
                <w:rFonts w:eastAsia="Calibri" w:cs="Times New Roman"/>
                <w:sz w:val="18"/>
                <w:szCs w:val="18"/>
              </w:rPr>
              <w:t xml:space="preserve"> (common juniper) in </w:t>
            </w:r>
            <w:r w:rsidRPr="00E71836">
              <w:rPr>
                <w:rFonts w:eastAsia="Calibri" w:cs="Times New Roman"/>
                <w:sz w:val="18"/>
                <w:szCs w:val="18"/>
              </w:rPr>
              <w:t xml:space="preserve">Washington </w:t>
            </w:r>
            <w:r>
              <w:rPr>
                <w:rFonts w:eastAsia="Calibri" w:cs="Times New Roman"/>
                <w:sz w:val="18"/>
                <w:szCs w:val="18"/>
              </w:rPr>
              <w:t xml:space="preserve">State </w:t>
            </w:r>
            <w:r>
              <w:rPr>
                <w:rFonts w:eastAsia="Calibri" w:cs="Times New Roman"/>
                <w:noProof/>
                <w:sz w:val="18"/>
                <w:szCs w:val="18"/>
              </w:rPr>
              <w:t>(Farr &amp; Rossman 2018)</w:t>
            </w:r>
          </w:p>
          <w:p w14:paraId="29BBC47E" w14:textId="77777777" w:rsidR="003438A2" w:rsidRPr="00D95799" w:rsidRDefault="003438A2" w:rsidP="00881E29">
            <w:pPr>
              <w:spacing w:before="60" w:after="60" w:line="240" w:lineRule="auto"/>
              <w:rPr>
                <w:rFonts w:eastAsia="Calibri" w:cs="Times New Roman"/>
                <w:sz w:val="18"/>
                <w:szCs w:val="18"/>
              </w:rPr>
            </w:pPr>
          </w:p>
        </w:tc>
        <w:tc>
          <w:tcPr>
            <w:tcW w:w="2381" w:type="dxa"/>
            <w:shd w:val="clear" w:color="auto" w:fill="auto"/>
          </w:tcPr>
          <w:p w14:paraId="236DE26D"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Is heteroecious with apple as aecial host </w:t>
            </w:r>
            <w:r>
              <w:rPr>
                <w:rFonts w:eastAsia="Calibri" w:cs="Times New Roman"/>
                <w:noProof/>
                <w:sz w:val="18"/>
                <w:szCs w:val="18"/>
              </w:rPr>
              <w:t>(Farr &amp; Rossman 2018)</w:t>
            </w:r>
            <w:r w:rsidRPr="00D95799">
              <w:rPr>
                <w:rFonts w:eastAsia="Calibri" w:cs="Times New Roman"/>
                <w:sz w:val="18"/>
                <w:szCs w:val="18"/>
              </w:rPr>
              <w:t xml:space="preserve">. Requires </w:t>
            </w:r>
            <w:r w:rsidRPr="00D95799">
              <w:rPr>
                <w:rFonts w:eastAsia="Calibri" w:cs="Times New Roman"/>
                <w:i/>
                <w:sz w:val="18"/>
                <w:szCs w:val="18"/>
              </w:rPr>
              <w:t>Juniperus communis</w:t>
            </w:r>
            <w:r w:rsidRPr="00D95799">
              <w:rPr>
                <w:rFonts w:eastAsia="Calibri" w:cs="Times New Roman"/>
                <w:sz w:val="18"/>
                <w:szCs w:val="18"/>
              </w:rPr>
              <w:t xml:space="preserve"> L. (common juniper) or </w:t>
            </w:r>
            <w:r w:rsidRPr="00D95799">
              <w:rPr>
                <w:rFonts w:eastAsia="Calibri" w:cs="Times New Roman"/>
                <w:i/>
                <w:sz w:val="18"/>
                <w:szCs w:val="18"/>
              </w:rPr>
              <w:t>J. virginiana</w:t>
            </w:r>
            <w:r w:rsidRPr="00D95799">
              <w:rPr>
                <w:rFonts w:eastAsia="Calibri" w:cs="Times New Roman"/>
                <w:sz w:val="18"/>
                <w:szCs w:val="18"/>
              </w:rPr>
              <w:t xml:space="preserve"> L. (eastern red</w:t>
            </w:r>
            <w:r w:rsidRPr="00D95799">
              <w:rPr>
                <w:rFonts w:eastAsia="Calibri" w:cs="Times New Roman"/>
                <w:sz w:val="18"/>
                <w:szCs w:val="18"/>
              </w:rPr>
              <w:noBreakHyphen/>
              <w:t xml:space="preserve">cedar) as </w:t>
            </w:r>
            <w:r>
              <w:rPr>
                <w:rFonts w:eastAsia="Calibri" w:cs="Times New Roman"/>
                <w:sz w:val="18"/>
                <w:szCs w:val="18"/>
              </w:rPr>
              <w:t xml:space="preserve">an </w:t>
            </w:r>
            <w:r w:rsidRPr="00D95799">
              <w:rPr>
                <w:rFonts w:eastAsia="Calibri" w:cs="Times New Roman"/>
                <w:sz w:val="18"/>
                <w:szCs w:val="18"/>
              </w:rPr>
              <w:t xml:space="preserve">alternate host to complete its life cycle </w:t>
            </w:r>
            <w:r>
              <w:rPr>
                <w:rFonts w:eastAsia="Calibri" w:cs="Times New Roman"/>
                <w:noProof/>
                <w:sz w:val="18"/>
                <w:szCs w:val="18"/>
              </w:rPr>
              <w:t>(Aldwinckle 1990c)</w:t>
            </w:r>
            <w:r w:rsidRPr="00D95799">
              <w:rPr>
                <w:rFonts w:eastAsia="Calibri" w:cs="Times New Roman"/>
                <w:sz w:val="18"/>
                <w:szCs w:val="18"/>
              </w:rPr>
              <w:t xml:space="preserve">. Juniper hosts are grown as ornamentals in Australia </w:t>
            </w:r>
            <w:r>
              <w:rPr>
                <w:rFonts w:eastAsia="Calibri" w:cs="Times New Roman"/>
                <w:noProof/>
                <w:sz w:val="18"/>
                <w:szCs w:val="18"/>
              </w:rPr>
              <w:t>(ABC 2008)</w:t>
            </w:r>
            <w:r w:rsidRPr="00D95799">
              <w:rPr>
                <w:rFonts w:eastAsia="Calibri" w:cs="Times New Roman"/>
                <w:sz w:val="18"/>
                <w:szCs w:val="18"/>
              </w:rPr>
              <w:t xml:space="preserve">. It is dispersed by wind </w:t>
            </w:r>
            <w:r>
              <w:rPr>
                <w:rFonts w:eastAsia="Calibri" w:cs="Times New Roman"/>
                <w:noProof/>
                <w:sz w:val="18"/>
                <w:szCs w:val="18"/>
              </w:rPr>
              <w:t>(Sinclair &amp; Lyon 2005)</w:t>
            </w:r>
            <w:r>
              <w:rPr>
                <w:rFonts w:eastAsia="Calibri" w:cs="Times New Roman"/>
                <w:sz w:val="18"/>
                <w:szCs w:val="18"/>
              </w:rPr>
              <w:t>.</w:t>
            </w:r>
          </w:p>
        </w:tc>
        <w:tc>
          <w:tcPr>
            <w:tcW w:w="2211" w:type="dxa"/>
            <w:shd w:val="clear" w:color="auto" w:fill="auto"/>
          </w:tcPr>
          <w:p w14:paraId="49944278"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w:t>
            </w:r>
            <w:r w:rsidRPr="00D95799">
              <w:rPr>
                <w:rFonts w:eastAsia="Calibri" w:cs="Times New Roman"/>
                <w:iCs/>
                <w:sz w:val="18"/>
                <w:szCs w:val="18"/>
              </w:rPr>
              <w:t>Quince rust</w:t>
            </w:r>
            <w:r w:rsidRPr="00D95799">
              <w:rPr>
                <w:rFonts w:eastAsia="Calibri" w:cs="Times New Roman"/>
                <w:sz w:val="18"/>
                <w:szCs w:val="18"/>
              </w:rPr>
              <w:t xml:space="preserve"> is an important disease of apple in eastern North America </w:t>
            </w:r>
            <w:r>
              <w:rPr>
                <w:rFonts w:eastAsia="Calibri" w:cs="Times New Roman"/>
                <w:noProof/>
                <w:sz w:val="18"/>
                <w:szCs w:val="18"/>
              </w:rPr>
              <w:t>(Aldwinckle 1990c)</w:t>
            </w:r>
            <w:r w:rsidRPr="00D95799">
              <w:rPr>
                <w:rFonts w:eastAsia="Calibri" w:cs="Times New Roman"/>
                <w:sz w:val="18"/>
                <w:szCs w:val="18"/>
              </w:rPr>
              <w:t xml:space="preserve">. It is the most damaging of the </w:t>
            </w:r>
            <w:r w:rsidRPr="00D95799">
              <w:rPr>
                <w:rFonts w:eastAsia="Calibri" w:cs="Times New Roman"/>
                <w:i/>
                <w:sz w:val="18"/>
                <w:szCs w:val="18"/>
              </w:rPr>
              <w:t>Gymnosporangium</w:t>
            </w:r>
            <w:r w:rsidRPr="00D95799">
              <w:rPr>
                <w:rFonts w:eastAsia="Calibri" w:cs="Times New Roman"/>
                <w:sz w:val="18"/>
                <w:szCs w:val="18"/>
              </w:rPr>
              <w:t xml:space="preserve"> rusts to rosaceous species </w:t>
            </w:r>
            <w:r>
              <w:rPr>
                <w:rFonts w:eastAsia="Calibri" w:cs="Times New Roman"/>
                <w:noProof/>
                <w:sz w:val="18"/>
                <w:szCs w:val="18"/>
              </w:rPr>
              <w:t>(Sinclair &amp; Lyon 2005)</w:t>
            </w:r>
            <w:r>
              <w:rPr>
                <w:rFonts w:eastAsia="Calibri" w:cs="Times New Roman"/>
                <w:sz w:val="18"/>
                <w:szCs w:val="18"/>
              </w:rPr>
              <w:t>.</w:t>
            </w:r>
          </w:p>
        </w:tc>
        <w:tc>
          <w:tcPr>
            <w:tcW w:w="1191" w:type="dxa"/>
            <w:shd w:val="clear" w:color="auto" w:fill="auto"/>
          </w:tcPr>
          <w:p w14:paraId="57C6CB63"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Yes</w:t>
            </w:r>
          </w:p>
        </w:tc>
      </w:tr>
      <w:tr w:rsidR="003438A2" w:rsidRPr="00D95799" w14:paraId="64F9205B" w14:textId="77777777" w:rsidTr="00DF7C5E">
        <w:trPr>
          <w:cantSplit/>
          <w:trHeight w:val="75"/>
          <w:jc w:val="center"/>
        </w:trPr>
        <w:tc>
          <w:tcPr>
            <w:tcW w:w="1985" w:type="dxa"/>
            <w:shd w:val="clear" w:color="auto" w:fill="auto"/>
          </w:tcPr>
          <w:p w14:paraId="340907EE"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
                <w:iCs/>
                <w:sz w:val="18"/>
                <w:szCs w:val="18"/>
              </w:rPr>
              <w:t xml:space="preserve">Gymnosporangium juniperi-virginianae </w:t>
            </w:r>
            <w:r w:rsidRPr="00D95799">
              <w:rPr>
                <w:rFonts w:eastAsia="Calibri" w:cs="Times New Roman"/>
                <w:iCs/>
                <w:sz w:val="18"/>
                <w:szCs w:val="18"/>
              </w:rPr>
              <w:t>Schwein.</w:t>
            </w:r>
          </w:p>
          <w:p w14:paraId="598215D2"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w:t>
            </w:r>
            <w:r w:rsidRPr="00D95799">
              <w:rPr>
                <w:rFonts w:eastAsia="Calibri" w:cs="Times New Roman"/>
                <w:sz w:val="18"/>
                <w:szCs w:val="18"/>
              </w:rPr>
              <w:t>Pucciniales:</w:t>
            </w:r>
            <w:r w:rsidRPr="00D95799">
              <w:rPr>
                <w:rFonts w:eastAsia="Calibri" w:cs="Times New Roman"/>
                <w:iCs/>
                <w:sz w:val="18"/>
                <w:szCs w:val="18"/>
              </w:rPr>
              <w:t xml:space="preserve"> Pucciniaceae]</w:t>
            </w:r>
          </w:p>
          <w:p w14:paraId="6E8BEEE4" w14:textId="77777777" w:rsidR="003438A2" w:rsidRPr="00D95799" w:rsidRDefault="003438A2" w:rsidP="00881E29">
            <w:pPr>
              <w:spacing w:before="60" w:after="60" w:line="240" w:lineRule="auto"/>
              <w:rPr>
                <w:rFonts w:eastAsia="Calibri" w:cs="Times New Roman"/>
                <w:i/>
                <w:iCs/>
                <w:sz w:val="18"/>
                <w:szCs w:val="18"/>
              </w:rPr>
            </w:pPr>
            <w:r w:rsidRPr="00D95799">
              <w:rPr>
                <w:rFonts w:eastAsia="Calibri" w:cs="Times New Roman"/>
                <w:iCs/>
                <w:sz w:val="18"/>
                <w:szCs w:val="18"/>
              </w:rPr>
              <w:t>Cedar apple rust</w:t>
            </w:r>
          </w:p>
        </w:tc>
        <w:tc>
          <w:tcPr>
            <w:tcW w:w="1474" w:type="dxa"/>
            <w:shd w:val="clear" w:color="auto" w:fill="auto"/>
          </w:tcPr>
          <w:p w14:paraId="0958A202"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w:t>
            </w:r>
            <w:r>
              <w:rPr>
                <w:rFonts w:eastAsia="Calibri" w:cs="Times New Roman"/>
                <w:sz w:val="18"/>
                <w:szCs w:val="18"/>
              </w:rPr>
              <w:t xml:space="preserve">Present in WA </w:t>
            </w:r>
            <w:r>
              <w:rPr>
                <w:rFonts w:eastAsia="Calibri" w:cs="Times New Roman"/>
                <w:noProof/>
                <w:sz w:val="18"/>
                <w:szCs w:val="18"/>
              </w:rPr>
              <w:t>(Sinclair &amp; Lyon 2005)</w:t>
            </w:r>
            <w:r>
              <w:rPr>
                <w:rFonts w:eastAsia="Calibri" w:cs="Times New Roman"/>
                <w:sz w:val="18"/>
                <w:szCs w:val="18"/>
              </w:rPr>
              <w:t xml:space="preserve">. Also present in </w:t>
            </w:r>
            <w:r w:rsidRPr="00D95799">
              <w:rPr>
                <w:rFonts w:eastAsia="Calibri" w:cs="Times New Roman"/>
                <w:sz w:val="18"/>
                <w:szCs w:val="18"/>
              </w:rPr>
              <w:t>AL, CT, eastern states, GA, IA, IN, MA, ME, MS, NH, OK, PA, RI, SD, VA, VT</w:t>
            </w:r>
            <w:r>
              <w:rPr>
                <w:rFonts w:eastAsia="Calibri" w:cs="Times New Roman"/>
                <w:sz w:val="18"/>
                <w:szCs w:val="18"/>
              </w:rPr>
              <w:t xml:space="preserve"> and </w:t>
            </w:r>
            <w:r w:rsidRPr="00D95799">
              <w:rPr>
                <w:rFonts w:eastAsia="Calibri" w:cs="Times New Roman"/>
                <w:iCs/>
                <w:sz w:val="18"/>
                <w:szCs w:val="18"/>
              </w:rPr>
              <w:t xml:space="preserve">CA </w:t>
            </w:r>
            <w:r>
              <w:rPr>
                <w:rFonts w:eastAsia="Calibri" w:cs="Times New Roman"/>
                <w:iCs/>
                <w:noProof/>
                <w:sz w:val="18"/>
                <w:szCs w:val="18"/>
              </w:rPr>
              <w:t>(Farr &amp; Rossman 2018; Sinclair &amp; Lyon 2005)</w:t>
            </w:r>
          </w:p>
        </w:tc>
        <w:tc>
          <w:tcPr>
            <w:tcW w:w="1474" w:type="dxa"/>
            <w:shd w:val="clear" w:color="auto" w:fill="auto"/>
          </w:tcPr>
          <w:p w14:paraId="284BDFE6"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 records found</w:t>
            </w:r>
          </w:p>
        </w:tc>
        <w:tc>
          <w:tcPr>
            <w:tcW w:w="2552" w:type="dxa"/>
            <w:shd w:val="clear" w:color="auto" w:fill="auto"/>
          </w:tcPr>
          <w:p w14:paraId="01D944BD"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Infects leaves, petioles and fruit </w:t>
            </w:r>
            <w:r>
              <w:rPr>
                <w:rFonts w:eastAsia="Calibri" w:cs="Times New Roman"/>
                <w:noProof/>
                <w:sz w:val="18"/>
                <w:szCs w:val="18"/>
              </w:rPr>
              <w:t>(Aldwinckle 1990a)</w:t>
            </w:r>
            <w:r w:rsidRPr="00D95799">
              <w:rPr>
                <w:rFonts w:eastAsia="Calibri" w:cs="Times New Roman"/>
                <w:sz w:val="18"/>
                <w:szCs w:val="18"/>
              </w:rPr>
              <w:t>.</w:t>
            </w:r>
            <w:r>
              <w:rPr>
                <w:rFonts w:eastAsia="Calibri" w:cs="Times New Roman"/>
                <w:sz w:val="18"/>
                <w:szCs w:val="18"/>
              </w:rPr>
              <w:t xml:space="preserve"> </w:t>
            </w:r>
            <w:r w:rsidRPr="00D95799">
              <w:rPr>
                <w:rFonts w:eastAsia="Calibri" w:cs="Times New Roman"/>
                <w:sz w:val="18"/>
                <w:szCs w:val="18"/>
              </w:rPr>
              <w:t>Is widespread in the</w:t>
            </w:r>
            <w:r>
              <w:rPr>
                <w:rFonts w:eastAsia="Calibri" w:cs="Times New Roman"/>
                <w:sz w:val="18"/>
                <w:szCs w:val="18"/>
              </w:rPr>
              <w:t xml:space="preserve"> USA </w:t>
            </w:r>
            <w:r w:rsidRPr="00D95799">
              <w:rPr>
                <w:rFonts w:eastAsia="Calibri" w:cs="Times New Roman"/>
                <w:sz w:val="18"/>
                <w:szCs w:val="18"/>
              </w:rPr>
              <w:t xml:space="preserve">east of the Rocky Mountains, also in California </w:t>
            </w:r>
            <w:r>
              <w:rPr>
                <w:rFonts w:eastAsia="Calibri" w:cs="Times New Roman"/>
                <w:noProof/>
                <w:sz w:val="18"/>
                <w:szCs w:val="18"/>
              </w:rPr>
              <w:t>(Laundon 1977)</w:t>
            </w:r>
          </w:p>
        </w:tc>
        <w:tc>
          <w:tcPr>
            <w:tcW w:w="2381" w:type="dxa"/>
            <w:shd w:val="clear" w:color="auto" w:fill="auto"/>
          </w:tcPr>
          <w:p w14:paraId="072EB365"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w:t>
            </w:r>
            <w:r>
              <w:rPr>
                <w:rFonts w:eastAsia="Calibri" w:cs="Times New Roman"/>
                <w:sz w:val="18"/>
                <w:szCs w:val="18"/>
              </w:rPr>
              <w:t>It i</w:t>
            </w:r>
            <w:r w:rsidRPr="00D95799">
              <w:rPr>
                <w:rFonts w:eastAsia="Calibri" w:cs="Times New Roman"/>
                <w:sz w:val="18"/>
                <w:szCs w:val="18"/>
              </w:rPr>
              <w:t xml:space="preserve">s heteroecious with apple as aecial host </w:t>
            </w:r>
            <w:r>
              <w:rPr>
                <w:rFonts w:eastAsia="Calibri" w:cs="Times New Roman"/>
                <w:noProof/>
                <w:sz w:val="18"/>
                <w:szCs w:val="18"/>
              </w:rPr>
              <w:t>(Farr et al. 1989)</w:t>
            </w:r>
            <w:r w:rsidRPr="00D95799">
              <w:rPr>
                <w:rFonts w:eastAsia="Calibri" w:cs="Times New Roman"/>
                <w:sz w:val="18"/>
                <w:szCs w:val="18"/>
              </w:rPr>
              <w:t>.</w:t>
            </w:r>
            <w:r>
              <w:rPr>
                <w:rFonts w:eastAsia="Calibri" w:cs="Times New Roman"/>
                <w:sz w:val="18"/>
                <w:szCs w:val="18"/>
              </w:rPr>
              <w:t xml:space="preserve"> </w:t>
            </w:r>
            <w:r w:rsidRPr="00D95799">
              <w:rPr>
                <w:rFonts w:eastAsia="Calibri" w:cs="Times New Roman"/>
                <w:sz w:val="18"/>
                <w:szCs w:val="18"/>
              </w:rPr>
              <w:t>Requires eastern red cedar (</w:t>
            </w:r>
            <w:r w:rsidRPr="00D95799">
              <w:rPr>
                <w:rFonts w:eastAsia="Calibri" w:cs="Times New Roman"/>
                <w:i/>
                <w:sz w:val="18"/>
                <w:szCs w:val="18"/>
              </w:rPr>
              <w:t>Juniperus virginiana</w:t>
            </w:r>
            <w:r w:rsidRPr="00D95799">
              <w:rPr>
                <w:rFonts w:eastAsia="Calibri" w:cs="Times New Roman"/>
                <w:sz w:val="18"/>
                <w:szCs w:val="18"/>
              </w:rPr>
              <w:t xml:space="preserve"> L.) as </w:t>
            </w:r>
            <w:r>
              <w:rPr>
                <w:rFonts w:eastAsia="Calibri" w:cs="Times New Roman"/>
                <w:sz w:val="18"/>
                <w:szCs w:val="18"/>
              </w:rPr>
              <w:t xml:space="preserve">an </w:t>
            </w:r>
            <w:r w:rsidRPr="00D95799">
              <w:rPr>
                <w:rFonts w:eastAsia="Calibri" w:cs="Times New Roman"/>
                <w:sz w:val="18"/>
                <w:szCs w:val="18"/>
              </w:rPr>
              <w:t xml:space="preserve">alternate host to complete its life cycle </w:t>
            </w:r>
            <w:r>
              <w:rPr>
                <w:rFonts w:eastAsia="Calibri" w:cs="Times New Roman"/>
                <w:noProof/>
                <w:sz w:val="18"/>
                <w:szCs w:val="18"/>
              </w:rPr>
              <w:t>(Aldwinckle 1990a)</w:t>
            </w:r>
            <w:r w:rsidRPr="00D95799">
              <w:rPr>
                <w:rFonts w:eastAsia="Calibri" w:cs="Times New Roman"/>
                <w:sz w:val="18"/>
                <w:szCs w:val="18"/>
              </w:rPr>
              <w:t xml:space="preserve">. Juniper hosts are grown as ornamentals in Australia </w:t>
            </w:r>
            <w:r>
              <w:rPr>
                <w:rFonts w:eastAsia="Calibri" w:cs="Times New Roman"/>
                <w:noProof/>
                <w:sz w:val="18"/>
                <w:szCs w:val="18"/>
              </w:rPr>
              <w:t>(ABC 2008)</w:t>
            </w:r>
            <w:r>
              <w:rPr>
                <w:rFonts w:eastAsia="Calibri" w:cs="Times New Roman"/>
                <w:sz w:val="18"/>
                <w:szCs w:val="18"/>
              </w:rPr>
              <w:t xml:space="preserve">. </w:t>
            </w:r>
            <w:r w:rsidRPr="00D95799">
              <w:rPr>
                <w:rFonts w:eastAsia="Calibri" w:cs="Times New Roman"/>
                <w:sz w:val="18"/>
                <w:szCs w:val="18"/>
              </w:rPr>
              <w:t xml:space="preserve">It is dispersed by wind </w:t>
            </w:r>
            <w:r>
              <w:rPr>
                <w:rFonts w:eastAsia="Calibri" w:cs="Times New Roman"/>
                <w:noProof/>
                <w:sz w:val="18"/>
                <w:szCs w:val="18"/>
              </w:rPr>
              <w:t>(Sinclair &amp; Lyon 2005)</w:t>
            </w:r>
            <w:r w:rsidRPr="00D95799">
              <w:rPr>
                <w:rFonts w:eastAsia="Calibri" w:cs="Times New Roman"/>
                <w:sz w:val="18"/>
                <w:szCs w:val="18"/>
              </w:rPr>
              <w:t xml:space="preserve">. Spores from cedar sources mostly infect alternate hosts at distances of a few hundred metres but may remain able to germinate while being carried for several kilometres in air </w:t>
            </w:r>
            <w:r>
              <w:rPr>
                <w:rFonts w:eastAsia="Calibri" w:cs="Times New Roman"/>
                <w:noProof/>
                <w:sz w:val="18"/>
                <w:szCs w:val="18"/>
              </w:rPr>
              <w:t>(Sinclair &amp; Lyon 2005)</w:t>
            </w:r>
            <w:r>
              <w:rPr>
                <w:rFonts w:eastAsia="Calibri" w:cs="Times New Roman"/>
                <w:sz w:val="18"/>
                <w:szCs w:val="18"/>
              </w:rPr>
              <w:t>.</w:t>
            </w:r>
          </w:p>
        </w:tc>
        <w:tc>
          <w:tcPr>
            <w:tcW w:w="2211" w:type="dxa"/>
            <w:shd w:val="clear" w:color="auto" w:fill="auto"/>
          </w:tcPr>
          <w:p w14:paraId="25A4EE08"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w:t>
            </w:r>
            <w:r w:rsidRPr="00D95799">
              <w:rPr>
                <w:rFonts w:eastAsia="Calibri" w:cs="Times New Roman"/>
                <w:iCs/>
                <w:sz w:val="18"/>
                <w:szCs w:val="18"/>
              </w:rPr>
              <w:t>Cedar apple rust</w:t>
            </w:r>
            <w:r w:rsidRPr="00D95799">
              <w:rPr>
                <w:rFonts w:eastAsia="Calibri" w:cs="Times New Roman"/>
                <w:sz w:val="18"/>
                <w:szCs w:val="18"/>
              </w:rPr>
              <w:t xml:space="preserve"> is the most economically important of the </w:t>
            </w:r>
            <w:r w:rsidRPr="00D95799">
              <w:rPr>
                <w:rFonts w:eastAsia="Calibri" w:cs="Times New Roman"/>
                <w:i/>
                <w:sz w:val="18"/>
                <w:szCs w:val="18"/>
              </w:rPr>
              <w:t>Gymnosporangium</w:t>
            </w:r>
            <w:r w:rsidRPr="00D95799">
              <w:rPr>
                <w:rFonts w:eastAsia="Calibri" w:cs="Times New Roman"/>
                <w:sz w:val="18"/>
                <w:szCs w:val="18"/>
              </w:rPr>
              <w:t xml:space="preserve"> rusts </w:t>
            </w:r>
            <w:r>
              <w:rPr>
                <w:rFonts w:eastAsia="Calibri" w:cs="Times New Roman"/>
                <w:noProof/>
                <w:sz w:val="18"/>
                <w:szCs w:val="18"/>
              </w:rPr>
              <w:t>(Aldwinckle 1990a; Sinclair &amp; Lyon 2005)</w:t>
            </w:r>
            <w:r w:rsidRPr="00D95799">
              <w:rPr>
                <w:rFonts w:eastAsia="Calibri" w:cs="Times New Roman"/>
                <w:sz w:val="18"/>
                <w:szCs w:val="18"/>
              </w:rPr>
              <w:t xml:space="preserve">. In areas where eastern red cedar or Rocky Mountain juniper is abundant, this disease can cause severe losses due to fruit infection and premature defoliation </w:t>
            </w:r>
            <w:r>
              <w:rPr>
                <w:rFonts w:eastAsia="Calibri" w:cs="Times New Roman"/>
                <w:noProof/>
                <w:sz w:val="18"/>
                <w:szCs w:val="18"/>
              </w:rPr>
              <w:t>(Sinclair &amp; Lyon 2005)</w:t>
            </w:r>
            <w:r>
              <w:rPr>
                <w:rFonts w:eastAsia="Calibri" w:cs="Times New Roman"/>
                <w:sz w:val="18"/>
                <w:szCs w:val="18"/>
              </w:rPr>
              <w:t>.</w:t>
            </w:r>
          </w:p>
        </w:tc>
        <w:tc>
          <w:tcPr>
            <w:tcW w:w="1191" w:type="dxa"/>
            <w:shd w:val="clear" w:color="auto" w:fill="auto"/>
          </w:tcPr>
          <w:p w14:paraId="434C6630" w14:textId="77777777" w:rsidR="003438A2" w:rsidRPr="00D95799" w:rsidRDefault="003438A2" w:rsidP="00881E29">
            <w:pPr>
              <w:spacing w:before="60" w:after="60" w:line="240" w:lineRule="auto"/>
              <w:rPr>
                <w:rFonts w:eastAsia="Calibri" w:cs="Times New Roman"/>
                <w:sz w:val="18"/>
                <w:szCs w:val="18"/>
              </w:rPr>
            </w:pPr>
            <w:r w:rsidRPr="001235CF">
              <w:rPr>
                <w:rFonts w:eastAsia="Calibri" w:cs="Times New Roman"/>
                <w:sz w:val="18"/>
                <w:szCs w:val="18"/>
              </w:rPr>
              <w:t>Yes</w:t>
            </w:r>
          </w:p>
        </w:tc>
      </w:tr>
      <w:tr w:rsidR="003438A2" w:rsidRPr="00D95799" w14:paraId="6BC0AD8C" w14:textId="77777777" w:rsidTr="00DF7C5E">
        <w:trPr>
          <w:cantSplit/>
          <w:trHeight w:val="75"/>
          <w:jc w:val="center"/>
        </w:trPr>
        <w:tc>
          <w:tcPr>
            <w:tcW w:w="1985" w:type="dxa"/>
            <w:shd w:val="clear" w:color="auto" w:fill="auto"/>
          </w:tcPr>
          <w:p w14:paraId="445B2E35"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
                <w:iCs/>
                <w:sz w:val="18"/>
                <w:szCs w:val="18"/>
              </w:rPr>
              <w:lastRenderedPageBreak/>
              <w:t xml:space="preserve">Gymnosporangium libocedri </w:t>
            </w:r>
            <w:r w:rsidRPr="00D95799">
              <w:rPr>
                <w:rFonts w:eastAsia="Calibri" w:cs="Times New Roman"/>
                <w:iCs/>
                <w:sz w:val="18"/>
                <w:szCs w:val="18"/>
              </w:rPr>
              <w:t>(Henn.) F. Kern</w:t>
            </w:r>
          </w:p>
          <w:p w14:paraId="79087759"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w:t>
            </w:r>
            <w:r w:rsidRPr="00D95799">
              <w:rPr>
                <w:rFonts w:eastAsia="Calibri" w:cs="Times New Roman"/>
                <w:sz w:val="18"/>
                <w:szCs w:val="18"/>
              </w:rPr>
              <w:t>Pucciniales:</w:t>
            </w:r>
            <w:r w:rsidRPr="00D95799">
              <w:rPr>
                <w:rFonts w:eastAsia="Calibri" w:cs="Times New Roman"/>
                <w:iCs/>
                <w:sz w:val="18"/>
                <w:szCs w:val="18"/>
              </w:rPr>
              <w:t xml:space="preserve"> Pucciniaceae]</w:t>
            </w:r>
          </w:p>
          <w:p w14:paraId="54D79834" w14:textId="77777777" w:rsidR="003438A2" w:rsidRPr="00D95799" w:rsidRDefault="003438A2" w:rsidP="00881E29">
            <w:pPr>
              <w:spacing w:before="60" w:after="60" w:line="240" w:lineRule="auto"/>
              <w:rPr>
                <w:rFonts w:eastAsia="Calibri" w:cs="Times New Roman"/>
                <w:i/>
                <w:iCs/>
                <w:sz w:val="18"/>
                <w:szCs w:val="18"/>
              </w:rPr>
            </w:pPr>
            <w:r w:rsidRPr="00D95799">
              <w:rPr>
                <w:rFonts w:eastAsia="Calibri" w:cs="Times New Roman"/>
                <w:iCs/>
                <w:sz w:val="18"/>
                <w:szCs w:val="18"/>
              </w:rPr>
              <w:t>Pacific Coast pear rust</w:t>
            </w:r>
          </w:p>
        </w:tc>
        <w:tc>
          <w:tcPr>
            <w:tcW w:w="1474" w:type="dxa"/>
            <w:shd w:val="clear" w:color="auto" w:fill="auto"/>
          </w:tcPr>
          <w:p w14:paraId="6DF6DAEE" w14:textId="77777777" w:rsidR="003438A2" w:rsidRDefault="003438A2" w:rsidP="00823001">
            <w:pPr>
              <w:pStyle w:val="TableText"/>
            </w:pPr>
            <w:r w:rsidRPr="00D95799">
              <w:t xml:space="preserve">Yes. </w:t>
            </w:r>
            <w:r>
              <w:t xml:space="preserve">Present in OR and WA. Also present in </w:t>
            </w:r>
            <w:r w:rsidRPr="00D95799">
              <w:t>CA</w:t>
            </w:r>
            <w:r>
              <w:t xml:space="preserve"> </w:t>
            </w:r>
            <w:r>
              <w:rPr>
                <w:noProof/>
              </w:rPr>
              <w:t>(Aldwinckle 1990b; Farr &amp; Rossman 2018; PNW Handbooks 2019a; Sinclair &amp; Lyon 2005)</w:t>
            </w:r>
          </w:p>
          <w:p w14:paraId="3239C6B6" w14:textId="77777777" w:rsidR="003438A2" w:rsidRPr="00D95799" w:rsidRDefault="003438A2" w:rsidP="00881E29">
            <w:pPr>
              <w:spacing w:before="60" w:after="60" w:line="240" w:lineRule="auto"/>
              <w:rPr>
                <w:rFonts w:eastAsia="Calibri" w:cs="Times New Roman"/>
                <w:sz w:val="18"/>
                <w:szCs w:val="18"/>
              </w:rPr>
            </w:pPr>
          </w:p>
        </w:tc>
        <w:tc>
          <w:tcPr>
            <w:tcW w:w="1474" w:type="dxa"/>
            <w:shd w:val="clear" w:color="auto" w:fill="auto"/>
          </w:tcPr>
          <w:p w14:paraId="6D88FD78"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 records found</w:t>
            </w:r>
          </w:p>
        </w:tc>
        <w:tc>
          <w:tcPr>
            <w:tcW w:w="2552" w:type="dxa"/>
            <w:shd w:val="clear" w:color="auto" w:fill="auto"/>
          </w:tcPr>
          <w:p w14:paraId="3B70DE21"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Causes malformation and premature drop of fruit </w:t>
            </w:r>
            <w:r>
              <w:rPr>
                <w:rFonts w:eastAsia="Calibri" w:cs="Times New Roman"/>
                <w:noProof/>
                <w:sz w:val="18"/>
                <w:szCs w:val="18"/>
              </w:rPr>
              <w:t>(Aldwinckle 1990b)</w:t>
            </w:r>
            <w:r w:rsidRPr="00D95799">
              <w:rPr>
                <w:rFonts w:eastAsia="Calibri" w:cs="Times New Roman"/>
                <w:sz w:val="18"/>
                <w:szCs w:val="18"/>
              </w:rPr>
              <w:t xml:space="preserve">. Is most severe on pear, but also attacks apple </w:t>
            </w:r>
            <w:r>
              <w:rPr>
                <w:rFonts w:eastAsia="Calibri" w:cs="Times New Roman"/>
                <w:noProof/>
                <w:sz w:val="18"/>
                <w:szCs w:val="18"/>
              </w:rPr>
              <w:t>(Aldwinckle 1990b)</w:t>
            </w:r>
          </w:p>
        </w:tc>
        <w:tc>
          <w:tcPr>
            <w:tcW w:w="2381" w:type="dxa"/>
            <w:shd w:val="clear" w:color="auto" w:fill="auto"/>
          </w:tcPr>
          <w:p w14:paraId="74066370"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Yes. I</w:t>
            </w:r>
            <w:r>
              <w:rPr>
                <w:rFonts w:eastAsia="Calibri" w:cs="Times New Roman"/>
                <w:sz w:val="18"/>
                <w:szCs w:val="18"/>
              </w:rPr>
              <w:t>t i</w:t>
            </w:r>
            <w:r w:rsidRPr="00D95799">
              <w:rPr>
                <w:rFonts w:eastAsia="Calibri" w:cs="Times New Roman"/>
                <w:sz w:val="18"/>
                <w:szCs w:val="18"/>
              </w:rPr>
              <w:t xml:space="preserve">s heteroecious with apple as </w:t>
            </w:r>
            <w:r>
              <w:rPr>
                <w:rFonts w:eastAsia="Calibri" w:cs="Times New Roman"/>
                <w:sz w:val="18"/>
                <w:szCs w:val="18"/>
              </w:rPr>
              <w:t xml:space="preserve">the </w:t>
            </w:r>
            <w:r w:rsidRPr="00D95799">
              <w:rPr>
                <w:rFonts w:eastAsia="Calibri" w:cs="Times New Roman"/>
                <w:sz w:val="18"/>
                <w:szCs w:val="18"/>
              </w:rPr>
              <w:t xml:space="preserve">aecial host </w:t>
            </w:r>
            <w:r>
              <w:rPr>
                <w:rFonts w:eastAsia="Calibri" w:cs="Times New Roman"/>
                <w:noProof/>
                <w:sz w:val="18"/>
                <w:szCs w:val="18"/>
              </w:rPr>
              <w:t>(Farr et al. 1989)</w:t>
            </w:r>
            <w:r w:rsidRPr="00D95799">
              <w:rPr>
                <w:rFonts w:eastAsia="Calibri" w:cs="Times New Roman"/>
                <w:sz w:val="18"/>
                <w:szCs w:val="18"/>
              </w:rPr>
              <w:t>.</w:t>
            </w:r>
            <w:r>
              <w:rPr>
                <w:rFonts w:eastAsia="Calibri" w:cs="Times New Roman"/>
                <w:sz w:val="18"/>
                <w:szCs w:val="18"/>
              </w:rPr>
              <w:t xml:space="preserve"> </w:t>
            </w:r>
            <w:r w:rsidRPr="00D95799">
              <w:rPr>
                <w:rFonts w:eastAsia="Calibri" w:cs="Times New Roman"/>
                <w:sz w:val="18"/>
                <w:szCs w:val="18"/>
              </w:rPr>
              <w:t>Requires incense cedar (</w:t>
            </w:r>
            <w:r w:rsidRPr="00D95799">
              <w:rPr>
                <w:rFonts w:eastAsia="Calibri" w:cs="Times New Roman"/>
                <w:i/>
                <w:sz w:val="18"/>
                <w:szCs w:val="18"/>
              </w:rPr>
              <w:t>Calocedrus decurrens</w:t>
            </w:r>
            <w:r w:rsidRPr="00D95799">
              <w:rPr>
                <w:rFonts w:eastAsia="Calibri" w:cs="Times New Roman"/>
                <w:sz w:val="18"/>
                <w:szCs w:val="18"/>
              </w:rPr>
              <w:t xml:space="preserve"> (Torr.) Florin) as </w:t>
            </w:r>
            <w:r>
              <w:rPr>
                <w:rFonts w:eastAsia="Calibri" w:cs="Times New Roman"/>
                <w:sz w:val="18"/>
                <w:szCs w:val="18"/>
              </w:rPr>
              <w:t xml:space="preserve">an </w:t>
            </w:r>
            <w:r w:rsidRPr="00D95799">
              <w:rPr>
                <w:rFonts w:eastAsia="Calibri" w:cs="Times New Roman"/>
                <w:sz w:val="18"/>
                <w:szCs w:val="18"/>
              </w:rPr>
              <w:t xml:space="preserve">alternate host to complete its life cycle </w:t>
            </w:r>
            <w:r>
              <w:rPr>
                <w:rFonts w:eastAsia="Calibri" w:cs="Times New Roman"/>
                <w:noProof/>
                <w:sz w:val="18"/>
                <w:szCs w:val="18"/>
              </w:rPr>
              <w:t>(Aldwinckle 1990b)</w:t>
            </w:r>
            <w:r w:rsidRPr="00D95799">
              <w:rPr>
                <w:rFonts w:eastAsia="Calibri" w:cs="Times New Roman"/>
                <w:sz w:val="18"/>
                <w:szCs w:val="18"/>
              </w:rPr>
              <w:t xml:space="preserve">. </w:t>
            </w:r>
            <w:r w:rsidRPr="00D95799">
              <w:rPr>
                <w:rFonts w:eastAsia="Calibri" w:cs="Times New Roman"/>
                <w:i/>
                <w:sz w:val="18"/>
                <w:szCs w:val="18"/>
              </w:rPr>
              <w:t>Calocedrus decurrens</w:t>
            </w:r>
            <w:r w:rsidRPr="00D95799">
              <w:rPr>
                <w:rFonts w:eastAsia="Calibri" w:cs="Times New Roman"/>
                <w:sz w:val="18"/>
                <w:szCs w:val="18"/>
              </w:rPr>
              <w:t xml:space="preserve">, although not widespread, is grown as </w:t>
            </w:r>
            <w:r>
              <w:rPr>
                <w:rFonts w:eastAsia="Calibri" w:cs="Times New Roman"/>
                <w:sz w:val="18"/>
                <w:szCs w:val="18"/>
              </w:rPr>
              <w:t xml:space="preserve">an </w:t>
            </w:r>
            <w:r w:rsidRPr="00D95799">
              <w:rPr>
                <w:rFonts w:eastAsia="Calibri" w:cs="Times New Roman"/>
                <w:sz w:val="18"/>
                <w:szCs w:val="18"/>
              </w:rPr>
              <w:t xml:space="preserve">ornamental in Australia </w:t>
            </w:r>
            <w:r>
              <w:rPr>
                <w:rFonts w:eastAsia="Calibri" w:cs="Times New Roman"/>
                <w:noProof/>
                <w:sz w:val="18"/>
                <w:szCs w:val="18"/>
              </w:rPr>
              <w:t>(ABC 2008)</w:t>
            </w:r>
            <w:r w:rsidRPr="00D95799">
              <w:rPr>
                <w:rFonts w:eastAsia="Calibri" w:cs="Times New Roman"/>
                <w:sz w:val="18"/>
                <w:szCs w:val="18"/>
              </w:rPr>
              <w:t xml:space="preserve">. Spores are dispersed by wind </w:t>
            </w:r>
            <w:r>
              <w:rPr>
                <w:rFonts w:eastAsia="Calibri" w:cs="Times New Roman"/>
                <w:noProof/>
                <w:sz w:val="18"/>
                <w:szCs w:val="18"/>
              </w:rPr>
              <w:t>(Sinclair &amp; Lyon 2005)</w:t>
            </w:r>
            <w:r w:rsidRPr="00D95799">
              <w:rPr>
                <w:rFonts w:eastAsia="Calibri" w:cs="Times New Roman"/>
                <w:sz w:val="18"/>
                <w:szCs w:val="18"/>
              </w:rPr>
              <w:t xml:space="preserve">. Rosaceous hosts can become infected at distances as great as 12–16 km from infected incense cedars </w:t>
            </w:r>
            <w:r>
              <w:rPr>
                <w:rFonts w:eastAsia="Calibri" w:cs="Times New Roman"/>
                <w:noProof/>
                <w:sz w:val="18"/>
                <w:szCs w:val="18"/>
              </w:rPr>
              <w:t>(Sinclair &amp; Lyon 2005)</w:t>
            </w:r>
            <w:r>
              <w:rPr>
                <w:rFonts w:eastAsia="Calibri" w:cs="Times New Roman"/>
                <w:sz w:val="18"/>
                <w:szCs w:val="18"/>
              </w:rPr>
              <w:t>.</w:t>
            </w:r>
          </w:p>
        </w:tc>
        <w:tc>
          <w:tcPr>
            <w:tcW w:w="2211" w:type="dxa"/>
            <w:shd w:val="clear" w:color="auto" w:fill="auto"/>
          </w:tcPr>
          <w:p w14:paraId="3421BC85"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Has occasionally caused severe infections of pear and quince </w:t>
            </w:r>
            <w:r>
              <w:rPr>
                <w:rFonts w:eastAsia="Calibri" w:cs="Times New Roman"/>
                <w:sz w:val="18"/>
                <w:szCs w:val="18"/>
              </w:rPr>
              <w:t>fruit</w:t>
            </w:r>
            <w:r w:rsidRPr="00D95799">
              <w:rPr>
                <w:rFonts w:eastAsia="Calibri" w:cs="Times New Roman"/>
                <w:sz w:val="18"/>
                <w:szCs w:val="18"/>
              </w:rPr>
              <w:t xml:space="preserve"> in orchards in the Northwest of the</w:t>
            </w:r>
            <w:r>
              <w:rPr>
                <w:rFonts w:eastAsia="Calibri" w:cs="Times New Roman"/>
                <w:sz w:val="18"/>
                <w:szCs w:val="18"/>
              </w:rPr>
              <w:t xml:space="preserve"> USA </w:t>
            </w:r>
            <w:r w:rsidRPr="00D95799">
              <w:rPr>
                <w:rFonts w:eastAsia="Calibri" w:cs="Times New Roman"/>
                <w:sz w:val="18"/>
                <w:szCs w:val="18"/>
              </w:rPr>
              <w:t xml:space="preserve">where incense cedar was growing nearby </w:t>
            </w:r>
            <w:r>
              <w:rPr>
                <w:rFonts w:eastAsia="Calibri" w:cs="Times New Roman"/>
                <w:noProof/>
                <w:sz w:val="18"/>
                <w:szCs w:val="18"/>
              </w:rPr>
              <w:t>(Sinclair &amp; Lyon 2005)</w:t>
            </w:r>
            <w:r w:rsidRPr="00D95799">
              <w:rPr>
                <w:rFonts w:eastAsia="Calibri" w:cs="Times New Roman"/>
                <w:sz w:val="18"/>
                <w:szCs w:val="18"/>
              </w:rPr>
              <w:t>.</w:t>
            </w:r>
            <w:r>
              <w:rPr>
                <w:rFonts w:eastAsia="Calibri" w:cs="Times New Roman"/>
                <w:sz w:val="18"/>
                <w:szCs w:val="18"/>
              </w:rPr>
              <w:t xml:space="preserve"> </w:t>
            </w:r>
            <w:r w:rsidRPr="00D95799">
              <w:rPr>
                <w:rFonts w:eastAsia="Calibri" w:cs="Times New Roman"/>
                <w:iCs/>
                <w:sz w:val="18"/>
                <w:szCs w:val="18"/>
              </w:rPr>
              <w:t>Pacific Coast pear rust</w:t>
            </w:r>
            <w:r w:rsidRPr="00D95799">
              <w:rPr>
                <w:rFonts w:eastAsia="Calibri" w:cs="Times New Roman"/>
                <w:sz w:val="18"/>
                <w:szCs w:val="18"/>
              </w:rPr>
              <w:t xml:space="preserve"> is a serious disease of pear in the western US. It is most severe on pear, but also attacks apple, quince and ornamental and wild rosaceous species </w:t>
            </w:r>
            <w:r>
              <w:rPr>
                <w:rFonts w:eastAsia="Calibri" w:cs="Times New Roman"/>
                <w:noProof/>
                <w:sz w:val="18"/>
                <w:szCs w:val="18"/>
              </w:rPr>
              <w:t>(Aldwinckle 1990b)</w:t>
            </w:r>
            <w:r>
              <w:rPr>
                <w:rFonts w:eastAsia="Calibri" w:cs="Times New Roman"/>
                <w:sz w:val="18"/>
                <w:szCs w:val="18"/>
              </w:rPr>
              <w:t>.</w:t>
            </w:r>
          </w:p>
        </w:tc>
        <w:tc>
          <w:tcPr>
            <w:tcW w:w="1191" w:type="dxa"/>
            <w:shd w:val="clear" w:color="auto" w:fill="auto"/>
          </w:tcPr>
          <w:p w14:paraId="0D4A0579"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Yes</w:t>
            </w:r>
          </w:p>
        </w:tc>
      </w:tr>
      <w:bookmarkEnd w:id="549"/>
      <w:tr w:rsidR="003438A2" w:rsidRPr="00D95799" w14:paraId="4937877C" w14:textId="77777777" w:rsidTr="00DF7C5E">
        <w:trPr>
          <w:cantSplit/>
          <w:trHeight w:val="75"/>
          <w:jc w:val="center"/>
        </w:trPr>
        <w:tc>
          <w:tcPr>
            <w:tcW w:w="1985" w:type="dxa"/>
            <w:shd w:val="clear" w:color="auto" w:fill="auto"/>
          </w:tcPr>
          <w:p w14:paraId="59CED5B5" w14:textId="77777777" w:rsidR="003438A2" w:rsidRPr="00B14E6A" w:rsidRDefault="003438A2" w:rsidP="00881E29">
            <w:pPr>
              <w:spacing w:before="60" w:after="60" w:line="240" w:lineRule="auto"/>
              <w:rPr>
                <w:rFonts w:eastAsia="Calibri" w:cs="Times New Roman"/>
                <w:sz w:val="18"/>
                <w:szCs w:val="18"/>
                <w:lang w:val="pt-BR"/>
              </w:rPr>
            </w:pPr>
            <w:r w:rsidRPr="00B14E6A">
              <w:rPr>
                <w:rFonts w:eastAsia="Calibri" w:cs="Times New Roman"/>
                <w:i/>
                <w:sz w:val="18"/>
                <w:szCs w:val="18"/>
                <w:lang w:val="pt-BR"/>
              </w:rPr>
              <w:t>Helminthosporium papulosum</w:t>
            </w:r>
            <w:r w:rsidRPr="00B14E6A">
              <w:rPr>
                <w:rFonts w:eastAsia="Calibri" w:cs="Times New Roman"/>
                <w:sz w:val="18"/>
                <w:szCs w:val="18"/>
                <w:lang w:val="pt-BR"/>
              </w:rPr>
              <w:t xml:space="preserve"> Anth. Berg</w:t>
            </w:r>
          </w:p>
          <w:p w14:paraId="6EE978B6" w14:textId="77777777" w:rsidR="003438A2" w:rsidRPr="00B14E6A" w:rsidRDefault="003438A2" w:rsidP="00881E29">
            <w:pPr>
              <w:spacing w:before="60" w:after="60" w:line="240" w:lineRule="auto"/>
              <w:rPr>
                <w:rFonts w:eastAsia="Calibri" w:cs="Times New Roman"/>
                <w:sz w:val="18"/>
                <w:szCs w:val="18"/>
                <w:lang w:val="pt-BR"/>
              </w:rPr>
            </w:pPr>
            <w:r w:rsidRPr="00B14E6A">
              <w:rPr>
                <w:rFonts w:eastAsia="Calibri" w:cs="Times New Roman"/>
                <w:sz w:val="18"/>
                <w:szCs w:val="18"/>
                <w:lang w:val="pt-BR"/>
              </w:rPr>
              <w:t>[</w:t>
            </w:r>
            <w:r w:rsidRPr="00B14E6A">
              <w:rPr>
                <w:rFonts w:eastAsia="Calibri" w:cs="Times New Roman"/>
                <w:sz w:val="18"/>
              </w:rPr>
              <w:t>Pleosporales:</w:t>
            </w:r>
            <w:r w:rsidRPr="00B14E6A">
              <w:rPr>
                <w:rFonts w:eastAsia="Calibri" w:cs="Times New Roman"/>
                <w:sz w:val="18"/>
                <w:szCs w:val="18"/>
                <w:lang w:val="pt-BR"/>
              </w:rPr>
              <w:t xml:space="preserve"> Massarinaceae]</w:t>
            </w:r>
          </w:p>
          <w:p w14:paraId="0DC8D6E8" w14:textId="77777777" w:rsidR="003438A2" w:rsidRPr="00B14E6A" w:rsidRDefault="003438A2" w:rsidP="00881E29">
            <w:pPr>
              <w:spacing w:before="60" w:after="60" w:line="240" w:lineRule="auto"/>
              <w:rPr>
                <w:rFonts w:eastAsia="Calibri" w:cs="Times New Roman"/>
                <w:sz w:val="18"/>
                <w:szCs w:val="18"/>
                <w:lang w:val="pt-BR"/>
              </w:rPr>
            </w:pPr>
            <w:r w:rsidRPr="00B14E6A">
              <w:rPr>
                <w:rFonts w:eastAsia="Calibri" w:cs="Times New Roman"/>
                <w:sz w:val="18"/>
                <w:szCs w:val="18"/>
                <w:lang w:val="pt-BR"/>
              </w:rPr>
              <w:t>Black pox</w:t>
            </w:r>
          </w:p>
        </w:tc>
        <w:tc>
          <w:tcPr>
            <w:tcW w:w="1474" w:type="dxa"/>
            <w:shd w:val="clear" w:color="auto" w:fill="auto"/>
          </w:tcPr>
          <w:p w14:paraId="6CE92E43" w14:textId="77777777" w:rsidR="003438A2" w:rsidRPr="00B14E6A" w:rsidRDefault="003438A2" w:rsidP="00881E29">
            <w:pPr>
              <w:spacing w:before="60" w:after="60" w:line="240" w:lineRule="auto"/>
              <w:rPr>
                <w:rFonts w:eastAsia="Calibri" w:cs="Times New Roman"/>
                <w:sz w:val="18"/>
                <w:szCs w:val="18"/>
                <w:lang w:val="pt-BR"/>
              </w:rPr>
            </w:pPr>
            <w:r w:rsidRPr="00B14E6A">
              <w:rPr>
                <w:rFonts w:eastAsia="Calibri" w:cs="Times New Roman"/>
                <w:sz w:val="18"/>
                <w:szCs w:val="18"/>
                <w:lang w:val="pt-BR"/>
              </w:rPr>
              <w:t xml:space="preserve">Yes. </w:t>
            </w:r>
            <w:r>
              <w:rPr>
                <w:rFonts w:eastAsia="Calibri" w:cs="Times New Roman"/>
                <w:sz w:val="18"/>
                <w:szCs w:val="18"/>
                <w:lang w:val="pt-BR"/>
              </w:rPr>
              <w:t>Present in OR. Also present in</w:t>
            </w:r>
            <w:r w:rsidRPr="00B14E6A">
              <w:rPr>
                <w:rFonts w:eastAsia="Calibri" w:cs="Times New Roman"/>
                <w:sz w:val="18"/>
                <w:szCs w:val="18"/>
                <w:lang w:val="pt-BR"/>
              </w:rPr>
              <w:t xml:space="preserve"> </w:t>
            </w:r>
            <w:r>
              <w:rPr>
                <w:rFonts w:eastAsia="Calibri" w:cs="Times New Roman"/>
                <w:sz w:val="18"/>
                <w:szCs w:val="18"/>
                <w:lang w:val="pt-BR"/>
              </w:rPr>
              <w:t>s</w:t>
            </w:r>
            <w:r w:rsidRPr="00B14E6A">
              <w:rPr>
                <w:rFonts w:eastAsia="Calibri" w:cs="Times New Roman"/>
                <w:sz w:val="18"/>
                <w:szCs w:val="18"/>
                <w:lang w:val="pt-BR"/>
              </w:rPr>
              <w:t xml:space="preserve">outheastern USA </w:t>
            </w:r>
            <w:r>
              <w:rPr>
                <w:rFonts w:eastAsia="Calibri" w:cs="Times New Roman"/>
                <w:noProof/>
                <w:sz w:val="18"/>
                <w:szCs w:val="18"/>
                <w:lang w:val="pt-BR"/>
              </w:rPr>
              <w:t>(Glawe 2008; Grove et al. 2003; Taylor 1963)</w:t>
            </w:r>
          </w:p>
        </w:tc>
        <w:tc>
          <w:tcPr>
            <w:tcW w:w="1474" w:type="dxa"/>
            <w:shd w:val="clear" w:color="auto" w:fill="auto"/>
          </w:tcPr>
          <w:p w14:paraId="48A0B215" w14:textId="77777777" w:rsidR="003438A2" w:rsidRPr="00B14E6A" w:rsidRDefault="003438A2" w:rsidP="00881E29">
            <w:pPr>
              <w:spacing w:before="60" w:after="60" w:line="240" w:lineRule="auto"/>
              <w:rPr>
                <w:rFonts w:eastAsia="Calibri" w:cs="Times New Roman"/>
                <w:sz w:val="18"/>
                <w:szCs w:val="18"/>
              </w:rPr>
            </w:pPr>
            <w:r w:rsidRPr="00B14E6A">
              <w:rPr>
                <w:rFonts w:eastAsia="Calibri" w:cs="Times New Roman"/>
                <w:sz w:val="18"/>
                <w:szCs w:val="18"/>
              </w:rPr>
              <w:t>No records found</w:t>
            </w:r>
          </w:p>
        </w:tc>
        <w:tc>
          <w:tcPr>
            <w:tcW w:w="2552" w:type="dxa"/>
            <w:shd w:val="clear" w:color="auto" w:fill="auto"/>
          </w:tcPr>
          <w:p w14:paraId="57DC9F47" w14:textId="77777777" w:rsidR="003438A2" w:rsidRPr="00B14E6A" w:rsidRDefault="003438A2" w:rsidP="00881E29">
            <w:pPr>
              <w:autoSpaceDE w:val="0"/>
              <w:autoSpaceDN w:val="0"/>
              <w:adjustRightInd w:val="0"/>
              <w:spacing w:before="60" w:after="60" w:line="240" w:lineRule="auto"/>
              <w:rPr>
                <w:rFonts w:eastAsia="Calibri" w:cs="Times New Roman"/>
                <w:sz w:val="18"/>
                <w:szCs w:val="18"/>
              </w:rPr>
            </w:pPr>
            <w:r w:rsidRPr="00B14E6A">
              <w:rPr>
                <w:rFonts w:eastAsia="Calibri" w:cs="Times New Roman"/>
                <w:sz w:val="18"/>
                <w:szCs w:val="18"/>
              </w:rPr>
              <w:t xml:space="preserve">No. This is a minor fungal disease which can affect apple bark, fruit, and foliage and causes lesions on the surface of apple fruit </w:t>
            </w:r>
            <w:r>
              <w:rPr>
                <w:rFonts w:eastAsia="Calibri" w:cs="Times New Roman"/>
                <w:noProof/>
                <w:sz w:val="18"/>
                <w:szCs w:val="18"/>
              </w:rPr>
              <w:t>(Yoder 2009)</w:t>
            </w:r>
            <w:r w:rsidRPr="00B14E6A">
              <w:rPr>
                <w:rFonts w:eastAsia="Calibri" w:cs="Times New Roman"/>
                <w:sz w:val="18"/>
                <w:szCs w:val="18"/>
              </w:rPr>
              <w:t xml:space="preserve">. The disease is more common from southern Virginia southward </w:t>
            </w:r>
            <w:r>
              <w:rPr>
                <w:rFonts w:eastAsia="Calibri" w:cs="Times New Roman"/>
                <w:noProof/>
                <w:sz w:val="18"/>
                <w:szCs w:val="18"/>
              </w:rPr>
              <w:t>(Yoder 2009)</w:t>
            </w:r>
            <w:r w:rsidRPr="00B14E6A">
              <w:rPr>
                <w:rFonts w:eastAsia="Calibri" w:cs="Times New Roman"/>
                <w:sz w:val="18"/>
                <w:szCs w:val="18"/>
              </w:rPr>
              <w:t>.</w:t>
            </w:r>
            <w:r>
              <w:rPr>
                <w:rFonts w:eastAsia="Calibri" w:cs="Times New Roman"/>
                <w:sz w:val="18"/>
                <w:szCs w:val="18"/>
              </w:rPr>
              <w:t xml:space="preserve"> </w:t>
            </w:r>
            <w:r w:rsidRPr="00B14E6A">
              <w:rPr>
                <w:rFonts w:eastAsia="Calibri" w:cs="Times New Roman"/>
                <w:sz w:val="18"/>
                <w:szCs w:val="18"/>
              </w:rPr>
              <w:t xml:space="preserve">If it appeared in orchards, fruit symptoms will be visible and infected fruit will be discarded during commercial </w:t>
            </w:r>
            <w:r>
              <w:rPr>
                <w:rFonts w:eastAsia="Calibri" w:cs="Times New Roman"/>
                <w:sz w:val="18"/>
                <w:szCs w:val="18"/>
              </w:rPr>
              <w:t>harvest</w:t>
            </w:r>
            <w:r w:rsidRPr="00B14E6A">
              <w:rPr>
                <w:rFonts w:eastAsia="Calibri" w:cs="Times New Roman"/>
                <w:sz w:val="18"/>
                <w:szCs w:val="18"/>
              </w:rPr>
              <w:t>, sorting and packing processes</w:t>
            </w:r>
            <w:r>
              <w:rPr>
                <w:rFonts w:eastAsia="Calibri" w:cs="Times New Roman"/>
                <w:sz w:val="18"/>
                <w:szCs w:val="18"/>
              </w:rPr>
              <w:t>.</w:t>
            </w:r>
          </w:p>
        </w:tc>
        <w:tc>
          <w:tcPr>
            <w:tcW w:w="2381" w:type="dxa"/>
            <w:shd w:val="clear" w:color="auto" w:fill="auto"/>
          </w:tcPr>
          <w:p w14:paraId="45D743DB" w14:textId="77777777" w:rsidR="003438A2" w:rsidRPr="00B14E6A" w:rsidRDefault="003438A2" w:rsidP="00881E29">
            <w:pPr>
              <w:spacing w:before="60" w:after="60" w:line="240" w:lineRule="auto"/>
              <w:rPr>
                <w:rFonts w:eastAsia="Calibri" w:cs="Times New Roman"/>
                <w:sz w:val="18"/>
                <w:szCs w:val="18"/>
              </w:rPr>
            </w:pPr>
            <w:r w:rsidRPr="00B14E6A">
              <w:rPr>
                <w:rFonts w:eastAsia="Calibri" w:cs="Times New Roman"/>
                <w:sz w:val="18"/>
                <w:szCs w:val="18"/>
              </w:rPr>
              <w:t>Assessment not required</w:t>
            </w:r>
          </w:p>
        </w:tc>
        <w:tc>
          <w:tcPr>
            <w:tcW w:w="2211" w:type="dxa"/>
            <w:shd w:val="clear" w:color="auto" w:fill="auto"/>
          </w:tcPr>
          <w:p w14:paraId="6E52F2F6" w14:textId="77777777" w:rsidR="003438A2" w:rsidRPr="00B14E6A" w:rsidRDefault="003438A2" w:rsidP="00881E29">
            <w:pPr>
              <w:spacing w:before="60" w:after="60" w:line="240" w:lineRule="auto"/>
              <w:rPr>
                <w:rFonts w:eastAsia="Calibri" w:cs="Times New Roman"/>
                <w:sz w:val="18"/>
                <w:szCs w:val="18"/>
              </w:rPr>
            </w:pPr>
            <w:r w:rsidRPr="00B14E6A">
              <w:rPr>
                <w:rFonts w:eastAsia="Calibri" w:cs="Times New Roman"/>
                <w:sz w:val="18"/>
                <w:szCs w:val="18"/>
              </w:rPr>
              <w:t>Assessment not required</w:t>
            </w:r>
          </w:p>
        </w:tc>
        <w:tc>
          <w:tcPr>
            <w:tcW w:w="1191" w:type="dxa"/>
            <w:shd w:val="clear" w:color="auto" w:fill="auto"/>
          </w:tcPr>
          <w:p w14:paraId="7F3FAF5D" w14:textId="77777777" w:rsidR="003438A2" w:rsidRPr="00D95799" w:rsidRDefault="003438A2" w:rsidP="00881E29">
            <w:pPr>
              <w:spacing w:before="60" w:after="60" w:line="240" w:lineRule="auto"/>
              <w:rPr>
                <w:rFonts w:eastAsia="Calibri" w:cs="Times New Roman"/>
                <w:sz w:val="18"/>
                <w:szCs w:val="18"/>
              </w:rPr>
            </w:pPr>
            <w:r w:rsidRPr="00B14E6A">
              <w:rPr>
                <w:rFonts w:eastAsia="Calibri" w:cs="Times New Roman"/>
                <w:sz w:val="18"/>
                <w:szCs w:val="18"/>
              </w:rPr>
              <w:t>No</w:t>
            </w:r>
          </w:p>
        </w:tc>
      </w:tr>
      <w:tr w:rsidR="003438A2" w:rsidRPr="00D95799" w14:paraId="20FA2E4C" w14:textId="77777777" w:rsidTr="00DF7C5E">
        <w:trPr>
          <w:cantSplit/>
          <w:trHeight w:val="75"/>
          <w:jc w:val="center"/>
        </w:trPr>
        <w:tc>
          <w:tcPr>
            <w:tcW w:w="1985" w:type="dxa"/>
            <w:shd w:val="clear" w:color="auto" w:fill="auto"/>
          </w:tcPr>
          <w:p w14:paraId="72556DE5"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
                <w:iCs/>
                <w:sz w:val="18"/>
                <w:szCs w:val="18"/>
              </w:rPr>
              <w:lastRenderedPageBreak/>
              <w:t xml:space="preserve">Hyphoderma litschaueri </w:t>
            </w:r>
            <w:r w:rsidRPr="00D95799">
              <w:rPr>
                <w:rFonts w:eastAsia="Calibri" w:cs="Times New Roman"/>
                <w:iCs/>
                <w:sz w:val="18"/>
                <w:szCs w:val="18"/>
              </w:rPr>
              <w:t xml:space="preserve">(Burt) J. Erikss. &amp; </w:t>
            </w:r>
            <w:r w:rsidRPr="00D95799">
              <w:rPr>
                <w:rFonts w:eastAsia="Calibri" w:cs="Arial"/>
                <w:iCs/>
                <w:sz w:val="18"/>
                <w:szCs w:val="18"/>
              </w:rPr>
              <w:t>Å</w:t>
            </w:r>
            <w:r w:rsidRPr="00D95799">
              <w:rPr>
                <w:rFonts w:eastAsia="Calibri" w:cs="Times New Roman"/>
                <w:iCs/>
                <w:sz w:val="18"/>
                <w:szCs w:val="18"/>
              </w:rPr>
              <w:t>. Strid</w:t>
            </w:r>
          </w:p>
          <w:p w14:paraId="5265DFD4"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 xml:space="preserve">Synonym: </w:t>
            </w:r>
            <w:r w:rsidRPr="00D95799">
              <w:rPr>
                <w:rFonts w:eastAsia="Calibri" w:cs="Times New Roman"/>
                <w:i/>
                <w:iCs/>
                <w:sz w:val="18"/>
                <w:szCs w:val="18"/>
              </w:rPr>
              <w:t xml:space="preserve">Corticium litschaueri </w:t>
            </w:r>
            <w:r w:rsidRPr="00D95799">
              <w:rPr>
                <w:rFonts w:eastAsia="Calibri" w:cs="Times New Roman"/>
                <w:iCs/>
                <w:sz w:val="18"/>
                <w:szCs w:val="18"/>
              </w:rPr>
              <w:t>Burt</w:t>
            </w:r>
          </w:p>
          <w:p w14:paraId="2948A8C0" w14:textId="77777777" w:rsidR="003438A2" w:rsidRPr="00D95799" w:rsidRDefault="003438A2" w:rsidP="00881E29">
            <w:pPr>
              <w:spacing w:before="60" w:after="60" w:line="240" w:lineRule="auto"/>
              <w:rPr>
                <w:rFonts w:eastAsia="Calibri" w:cs="Times New Roman"/>
                <w:i/>
                <w:iCs/>
                <w:sz w:val="18"/>
                <w:szCs w:val="18"/>
              </w:rPr>
            </w:pPr>
            <w:r w:rsidRPr="00D95799">
              <w:rPr>
                <w:rFonts w:eastAsia="Calibri" w:cs="Times New Roman"/>
                <w:iCs/>
                <w:sz w:val="18"/>
                <w:szCs w:val="18"/>
              </w:rPr>
              <w:t>[</w:t>
            </w:r>
            <w:r w:rsidRPr="00D95799">
              <w:rPr>
                <w:rFonts w:eastAsia="Calibri" w:cs="Times New Roman"/>
                <w:sz w:val="18"/>
                <w:szCs w:val="18"/>
              </w:rPr>
              <w:t>Polyporales:</w:t>
            </w:r>
            <w:r>
              <w:rPr>
                <w:rFonts w:eastAsia="Calibri" w:cs="Times New Roman"/>
                <w:iCs/>
                <w:sz w:val="18"/>
                <w:szCs w:val="18"/>
              </w:rPr>
              <w:t xml:space="preserve"> Meruliaceae]</w:t>
            </w:r>
          </w:p>
        </w:tc>
        <w:tc>
          <w:tcPr>
            <w:tcW w:w="1474" w:type="dxa"/>
            <w:shd w:val="clear" w:color="auto" w:fill="auto"/>
          </w:tcPr>
          <w:p w14:paraId="637E9455"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w:t>
            </w:r>
            <w:r>
              <w:rPr>
                <w:rFonts w:eastAsia="Calibri" w:cs="Times New Roman"/>
                <w:sz w:val="18"/>
                <w:szCs w:val="18"/>
              </w:rPr>
              <w:t xml:space="preserve">Present in OR. Also present in </w:t>
            </w:r>
            <w:r w:rsidRPr="00D95799">
              <w:rPr>
                <w:rFonts w:eastAsia="Calibri" w:cs="Times New Roman"/>
                <w:sz w:val="18"/>
                <w:szCs w:val="18"/>
              </w:rPr>
              <w:t xml:space="preserve">ND </w:t>
            </w:r>
            <w:r>
              <w:rPr>
                <w:rFonts w:eastAsia="Calibri" w:cs="Times New Roman"/>
                <w:noProof/>
                <w:sz w:val="18"/>
                <w:szCs w:val="18"/>
              </w:rPr>
              <w:t>(Farr &amp; Rossman 2018; Glawe 2009)</w:t>
            </w:r>
          </w:p>
        </w:tc>
        <w:tc>
          <w:tcPr>
            <w:tcW w:w="1474" w:type="dxa"/>
            <w:shd w:val="clear" w:color="auto" w:fill="auto"/>
          </w:tcPr>
          <w:p w14:paraId="0A0D5EC5" w14:textId="77777777" w:rsidR="003438A2" w:rsidRPr="00D95799" w:rsidRDefault="003438A2" w:rsidP="00881E29">
            <w:pPr>
              <w:spacing w:before="60" w:after="60" w:line="240" w:lineRule="auto"/>
              <w:rPr>
                <w:rFonts w:eastAsia="Calibri" w:cs="Times New Roman"/>
                <w:sz w:val="18"/>
                <w:szCs w:val="18"/>
              </w:rPr>
            </w:pPr>
            <w:r>
              <w:rPr>
                <w:rFonts w:eastAsia="Calibri" w:cs="Times New Roman"/>
                <w:sz w:val="18"/>
                <w:szCs w:val="18"/>
              </w:rPr>
              <w:t xml:space="preserve">No records found </w:t>
            </w:r>
          </w:p>
        </w:tc>
        <w:tc>
          <w:tcPr>
            <w:tcW w:w="2552" w:type="dxa"/>
            <w:shd w:val="clear" w:color="auto" w:fill="auto"/>
          </w:tcPr>
          <w:p w14:paraId="3DF94F88"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No. </w:t>
            </w:r>
            <w:r>
              <w:rPr>
                <w:rFonts w:eastAsia="Calibri" w:cs="Times New Roman"/>
                <w:sz w:val="18"/>
                <w:szCs w:val="18"/>
              </w:rPr>
              <w:t>It i</w:t>
            </w:r>
            <w:r w:rsidRPr="00D95799">
              <w:rPr>
                <w:rFonts w:eastAsia="Calibri" w:cs="Times New Roman"/>
                <w:sz w:val="18"/>
                <w:szCs w:val="18"/>
              </w:rPr>
              <w:t xml:space="preserve">s associated with bark and wood </w:t>
            </w:r>
            <w:r>
              <w:rPr>
                <w:rFonts w:eastAsia="Calibri" w:cs="Times New Roman"/>
                <w:noProof/>
                <w:sz w:val="18"/>
                <w:szCs w:val="18"/>
              </w:rPr>
              <w:t>(Ginns &amp; Lefebvre 1993)</w:t>
            </w:r>
            <w:r>
              <w:rPr>
                <w:rFonts w:eastAsia="Calibri" w:cs="Times New Roman"/>
                <w:sz w:val="18"/>
                <w:szCs w:val="18"/>
              </w:rPr>
              <w:t xml:space="preserve">. </w:t>
            </w:r>
          </w:p>
        </w:tc>
        <w:tc>
          <w:tcPr>
            <w:tcW w:w="2381" w:type="dxa"/>
            <w:shd w:val="clear" w:color="auto" w:fill="auto"/>
          </w:tcPr>
          <w:p w14:paraId="206CF571"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211" w:type="dxa"/>
            <w:shd w:val="clear" w:color="auto" w:fill="auto"/>
          </w:tcPr>
          <w:p w14:paraId="0F10AC26"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auto"/>
          </w:tcPr>
          <w:p w14:paraId="0DA8D4D9"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95799" w14:paraId="6686BCD3" w14:textId="77777777" w:rsidTr="00DF7C5E">
        <w:trPr>
          <w:cantSplit/>
          <w:trHeight w:val="75"/>
          <w:jc w:val="center"/>
        </w:trPr>
        <w:tc>
          <w:tcPr>
            <w:tcW w:w="1985" w:type="dxa"/>
            <w:shd w:val="clear" w:color="auto" w:fill="auto"/>
          </w:tcPr>
          <w:p w14:paraId="38CEEC8E" w14:textId="77777777" w:rsidR="003438A2" w:rsidRDefault="003438A2" w:rsidP="00881E29">
            <w:pPr>
              <w:spacing w:before="60" w:after="60" w:line="240" w:lineRule="auto"/>
              <w:rPr>
                <w:rFonts w:eastAsia="Calibri" w:cs="Times New Roman"/>
                <w:i/>
                <w:iCs/>
                <w:sz w:val="18"/>
                <w:szCs w:val="18"/>
              </w:rPr>
            </w:pPr>
            <w:r w:rsidRPr="00D95799">
              <w:rPr>
                <w:rFonts w:eastAsia="Calibri" w:cs="Times New Roman"/>
                <w:i/>
                <w:iCs/>
                <w:sz w:val="18"/>
                <w:szCs w:val="18"/>
              </w:rPr>
              <w:t>Hysteropatella sp.</w:t>
            </w:r>
          </w:p>
          <w:p w14:paraId="7555E058"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[Hysteriales: Hysteriaceae]</w:t>
            </w:r>
          </w:p>
        </w:tc>
        <w:tc>
          <w:tcPr>
            <w:tcW w:w="1474" w:type="dxa"/>
            <w:shd w:val="clear" w:color="auto" w:fill="auto"/>
          </w:tcPr>
          <w:p w14:paraId="7A8C8B39"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sz w:val="18"/>
                <w:szCs w:val="18"/>
                <w:lang w:val="pt-BR"/>
              </w:rPr>
              <w:t xml:space="preserve">Yes. </w:t>
            </w:r>
            <w:r>
              <w:rPr>
                <w:rFonts w:eastAsia="Calibri" w:cs="Times New Roman"/>
                <w:sz w:val="18"/>
                <w:szCs w:val="18"/>
                <w:lang w:val="pt-BR"/>
              </w:rPr>
              <w:t xml:space="preserve">Present in ID and </w:t>
            </w:r>
            <w:r w:rsidRPr="00D95799">
              <w:rPr>
                <w:rFonts w:eastAsia="Calibri" w:cs="Times New Roman"/>
                <w:sz w:val="18"/>
                <w:szCs w:val="18"/>
                <w:lang w:val="pt-BR"/>
              </w:rPr>
              <w:t xml:space="preserve">WA </w:t>
            </w:r>
            <w:r>
              <w:rPr>
                <w:rFonts w:eastAsia="Calibri" w:cs="Times New Roman"/>
                <w:noProof/>
                <w:sz w:val="18"/>
                <w:szCs w:val="18"/>
                <w:lang w:val="pt-BR"/>
              </w:rPr>
              <w:t>(Farr &amp; Rossman 2018; Shaw 1973)</w:t>
            </w:r>
          </w:p>
        </w:tc>
        <w:tc>
          <w:tcPr>
            <w:tcW w:w="1474" w:type="dxa"/>
            <w:shd w:val="clear" w:color="auto" w:fill="auto"/>
          </w:tcPr>
          <w:p w14:paraId="7CC60243"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 records found</w:t>
            </w:r>
          </w:p>
        </w:tc>
        <w:tc>
          <w:tcPr>
            <w:tcW w:w="2552" w:type="dxa"/>
            <w:shd w:val="clear" w:color="auto" w:fill="auto"/>
          </w:tcPr>
          <w:p w14:paraId="5351CE95"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No. All of the reports of </w:t>
            </w:r>
            <w:r w:rsidRPr="000F73CD">
              <w:rPr>
                <w:rFonts w:eastAsia="Calibri" w:cs="Times New Roman"/>
                <w:i/>
                <w:sz w:val="18"/>
                <w:szCs w:val="18"/>
              </w:rPr>
              <w:t>Hysteropatella</w:t>
            </w:r>
            <w:r w:rsidRPr="00D95799">
              <w:rPr>
                <w:rFonts w:eastAsia="Calibri" w:cs="Times New Roman"/>
                <w:sz w:val="18"/>
                <w:szCs w:val="18"/>
              </w:rPr>
              <w:t xml:space="preserve"> sp. on apple in the</w:t>
            </w:r>
            <w:r>
              <w:rPr>
                <w:rFonts w:eastAsia="Calibri" w:cs="Times New Roman"/>
                <w:sz w:val="18"/>
                <w:szCs w:val="18"/>
              </w:rPr>
              <w:t xml:space="preserve"> USA </w:t>
            </w:r>
            <w:r w:rsidRPr="00D95799">
              <w:rPr>
                <w:rFonts w:eastAsia="Calibri" w:cs="Times New Roman"/>
                <w:sz w:val="18"/>
                <w:szCs w:val="18"/>
              </w:rPr>
              <w:t xml:space="preserve">are based on only one report of this pest on </w:t>
            </w:r>
            <w:r w:rsidRPr="007456AF">
              <w:rPr>
                <w:rFonts w:eastAsia="Calibri" w:cs="Times New Roman"/>
                <w:i/>
                <w:sz w:val="18"/>
                <w:szCs w:val="18"/>
              </w:rPr>
              <w:t>Malus sylvestris</w:t>
            </w:r>
            <w:r w:rsidRPr="00D95799">
              <w:rPr>
                <w:rFonts w:eastAsia="Calibri" w:cs="Times New Roman"/>
                <w:sz w:val="18"/>
                <w:szCs w:val="18"/>
              </w:rPr>
              <w:t xml:space="preserve"> in Washington </w:t>
            </w:r>
            <w:r>
              <w:rPr>
                <w:rFonts w:eastAsia="Calibri" w:cs="Times New Roman"/>
                <w:noProof/>
                <w:sz w:val="18"/>
                <w:szCs w:val="18"/>
              </w:rPr>
              <w:t>(Shaw 1973)</w:t>
            </w:r>
            <w:r w:rsidRPr="00D95799">
              <w:rPr>
                <w:rFonts w:eastAsia="Calibri" w:cs="Times New Roman"/>
                <w:sz w:val="18"/>
                <w:szCs w:val="18"/>
              </w:rPr>
              <w:t xml:space="preserve">. This report did not specify whether this pest was found on apple fruit. It appeared that </w:t>
            </w:r>
            <w:r>
              <w:rPr>
                <w:rFonts w:eastAsia="Calibri" w:cs="Times New Roman"/>
                <w:sz w:val="18"/>
                <w:szCs w:val="18"/>
              </w:rPr>
              <w:t xml:space="preserve">Shaw </w:t>
            </w:r>
            <w:r>
              <w:rPr>
                <w:rFonts w:eastAsia="Calibri" w:cs="Times New Roman"/>
                <w:noProof/>
                <w:sz w:val="18"/>
                <w:szCs w:val="18"/>
              </w:rPr>
              <w:t>(1973)</w:t>
            </w:r>
            <w:r w:rsidRPr="00D95799">
              <w:rPr>
                <w:rFonts w:eastAsia="Calibri" w:cs="Times New Roman"/>
                <w:sz w:val="18"/>
                <w:szCs w:val="18"/>
              </w:rPr>
              <w:t xml:space="preserve"> used the name </w:t>
            </w:r>
            <w:r w:rsidRPr="007456AF">
              <w:rPr>
                <w:rFonts w:eastAsia="Calibri" w:cs="Times New Roman"/>
                <w:i/>
                <w:sz w:val="18"/>
                <w:szCs w:val="18"/>
              </w:rPr>
              <w:t>M. sylvestris</w:t>
            </w:r>
            <w:r w:rsidRPr="00D95799">
              <w:rPr>
                <w:rFonts w:eastAsia="Calibri" w:cs="Times New Roman"/>
                <w:sz w:val="18"/>
                <w:szCs w:val="18"/>
              </w:rPr>
              <w:t xml:space="preserve"> for both domestic apple and crabapple. There have been no records of this pest on apple in the</w:t>
            </w:r>
            <w:r>
              <w:rPr>
                <w:rFonts w:eastAsia="Calibri" w:cs="Times New Roman"/>
                <w:sz w:val="18"/>
                <w:szCs w:val="18"/>
              </w:rPr>
              <w:t xml:space="preserve"> USA </w:t>
            </w:r>
            <w:r w:rsidRPr="00D95799">
              <w:rPr>
                <w:rFonts w:eastAsia="Calibri" w:cs="Times New Roman"/>
                <w:sz w:val="18"/>
                <w:szCs w:val="18"/>
              </w:rPr>
              <w:t xml:space="preserve">since 1973. </w:t>
            </w:r>
          </w:p>
        </w:tc>
        <w:tc>
          <w:tcPr>
            <w:tcW w:w="2381" w:type="dxa"/>
            <w:shd w:val="clear" w:color="auto" w:fill="auto"/>
          </w:tcPr>
          <w:p w14:paraId="046F08EB"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211" w:type="dxa"/>
            <w:shd w:val="clear" w:color="auto" w:fill="auto"/>
          </w:tcPr>
          <w:p w14:paraId="32B5CA3B"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auto"/>
          </w:tcPr>
          <w:p w14:paraId="031C0F61"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8B3D16" w14:paraId="784BEA45" w14:textId="77777777" w:rsidTr="001F363B">
        <w:trPr>
          <w:cantSplit/>
          <w:trHeight w:val="75"/>
          <w:jc w:val="center"/>
        </w:trPr>
        <w:tc>
          <w:tcPr>
            <w:tcW w:w="1985" w:type="dxa"/>
            <w:shd w:val="clear" w:color="auto" w:fill="auto"/>
          </w:tcPr>
          <w:p w14:paraId="5A06DA85" w14:textId="77777777" w:rsidR="003438A2" w:rsidRPr="008B3D16" w:rsidRDefault="003438A2" w:rsidP="00881E29">
            <w:pPr>
              <w:spacing w:before="60" w:after="60" w:line="240" w:lineRule="auto"/>
              <w:rPr>
                <w:rFonts w:eastAsia="Calibri" w:cs="Times New Roman"/>
                <w:sz w:val="18"/>
                <w:szCs w:val="18"/>
              </w:rPr>
            </w:pPr>
            <w:r w:rsidRPr="008B3D16">
              <w:rPr>
                <w:rFonts w:eastAsia="Calibri" w:cs="Times New Roman"/>
                <w:i/>
                <w:iCs/>
                <w:sz w:val="18"/>
                <w:szCs w:val="18"/>
              </w:rPr>
              <w:t xml:space="preserve">Lambertella corni-maris </w:t>
            </w:r>
            <w:r w:rsidRPr="008B3D16">
              <w:rPr>
                <w:rFonts w:eastAsia="Calibri" w:cs="Times New Roman"/>
                <w:sz w:val="18"/>
                <w:szCs w:val="18"/>
              </w:rPr>
              <w:t>Höhn. 1918</w:t>
            </w:r>
          </w:p>
          <w:p w14:paraId="53FA186D" w14:textId="77777777" w:rsidR="003438A2" w:rsidRPr="008B3D16" w:rsidRDefault="003438A2" w:rsidP="00881E29">
            <w:pPr>
              <w:spacing w:before="60" w:after="60" w:line="240" w:lineRule="auto"/>
              <w:rPr>
                <w:rFonts w:eastAsia="Calibri" w:cs="Times New Roman"/>
                <w:sz w:val="18"/>
                <w:szCs w:val="18"/>
              </w:rPr>
            </w:pPr>
            <w:r w:rsidRPr="008B3D16">
              <w:rPr>
                <w:rFonts w:eastAsia="Calibri" w:cs="Times New Roman"/>
                <w:sz w:val="18"/>
                <w:szCs w:val="18"/>
              </w:rPr>
              <w:t>[Rutstroemiaceae]</w:t>
            </w:r>
          </w:p>
          <w:p w14:paraId="3C87EDF5" w14:textId="77777777" w:rsidR="003438A2" w:rsidRPr="008B3D16" w:rsidRDefault="003438A2" w:rsidP="00881E29">
            <w:pPr>
              <w:spacing w:before="60" w:after="60" w:line="240" w:lineRule="auto"/>
              <w:rPr>
                <w:rFonts w:eastAsia="Calibri" w:cs="Times New Roman"/>
                <w:sz w:val="18"/>
                <w:szCs w:val="18"/>
              </w:rPr>
            </w:pPr>
            <w:r w:rsidRPr="008B3D16">
              <w:rPr>
                <w:rFonts w:eastAsia="Calibri" w:cs="Times New Roman"/>
                <w:sz w:val="18"/>
                <w:szCs w:val="18"/>
              </w:rPr>
              <w:t>Lambertella rot/yellow rot</w:t>
            </w:r>
          </w:p>
          <w:p w14:paraId="45C09A1C" w14:textId="77777777" w:rsidR="003438A2" w:rsidRPr="008B3D16" w:rsidRDefault="003438A2" w:rsidP="00881E29">
            <w:pPr>
              <w:spacing w:before="60" w:after="60" w:line="240" w:lineRule="auto"/>
              <w:rPr>
                <w:rFonts w:eastAsia="Calibri" w:cs="Times New Roman"/>
                <w:i/>
                <w:iCs/>
                <w:sz w:val="18"/>
                <w:szCs w:val="18"/>
              </w:rPr>
            </w:pPr>
          </w:p>
        </w:tc>
        <w:tc>
          <w:tcPr>
            <w:tcW w:w="1474" w:type="dxa"/>
            <w:shd w:val="clear" w:color="auto" w:fill="auto"/>
          </w:tcPr>
          <w:p w14:paraId="08E4F04D" w14:textId="77777777" w:rsidR="003438A2" w:rsidRPr="00CB6414" w:rsidRDefault="003438A2" w:rsidP="00CB6414">
            <w:pPr>
              <w:pStyle w:val="TableText"/>
              <w:rPr>
                <w:sz w:val="22"/>
              </w:rPr>
            </w:pPr>
            <w:r w:rsidRPr="008B3D16">
              <w:rPr>
                <w:lang w:val="pt-BR"/>
              </w:rPr>
              <w:t xml:space="preserve">Yes. Present in </w:t>
            </w:r>
            <w:r w:rsidRPr="008B3D16">
              <w:rPr>
                <w:noProof/>
                <w:lang w:val="pt-BR"/>
              </w:rPr>
              <w:t>WA</w:t>
            </w:r>
            <w:r>
              <w:rPr>
                <w:noProof/>
                <w:lang w:val="pt-BR"/>
              </w:rPr>
              <w:t xml:space="preserve"> (Amiri 2020; Pscheidt &amp; Ocamb 2021c; Wiseman, Dugan &amp; Xiao 2016)</w:t>
            </w:r>
            <w:r w:rsidRPr="008B3D16">
              <w:rPr>
                <w:lang w:val="pt-BR"/>
              </w:rPr>
              <w:t xml:space="preserve">. First confirmed in 2015 </w:t>
            </w:r>
            <w:r w:rsidRPr="008B3D16">
              <w:rPr>
                <w:noProof/>
                <w:lang w:val="pt-BR"/>
              </w:rPr>
              <w:t>(Wiseman et al. 2015)</w:t>
            </w:r>
          </w:p>
        </w:tc>
        <w:tc>
          <w:tcPr>
            <w:tcW w:w="1474" w:type="dxa"/>
            <w:shd w:val="clear" w:color="auto" w:fill="auto"/>
          </w:tcPr>
          <w:p w14:paraId="51E3826D" w14:textId="77777777" w:rsidR="003438A2" w:rsidRPr="008B3D16" w:rsidRDefault="003438A2" w:rsidP="00881E29">
            <w:pPr>
              <w:spacing w:before="60" w:after="60" w:line="240" w:lineRule="auto"/>
              <w:rPr>
                <w:rFonts w:eastAsia="Calibri" w:cs="Times New Roman"/>
                <w:sz w:val="18"/>
                <w:szCs w:val="18"/>
              </w:rPr>
            </w:pPr>
            <w:r w:rsidRPr="008B3D16">
              <w:rPr>
                <w:rFonts w:eastAsia="Calibri" w:cs="Times New Roman"/>
                <w:sz w:val="18"/>
                <w:szCs w:val="18"/>
              </w:rPr>
              <w:t xml:space="preserve">No. Two reports in Tarra Bulga National park, Victoria </w:t>
            </w:r>
            <w:r w:rsidRPr="008B3D16">
              <w:rPr>
                <w:rFonts w:eastAsia="Calibri" w:cs="Times New Roman"/>
                <w:noProof/>
                <w:sz w:val="18"/>
                <w:szCs w:val="18"/>
              </w:rPr>
              <w:t>(ALA 2021)</w:t>
            </w:r>
            <w:r w:rsidRPr="008B3D16">
              <w:rPr>
                <w:rFonts w:eastAsia="Calibri" w:cs="Times New Roman"/>
                <w:sz w:val="18"/>
                <w:szCs w:val="18"/>
              </w:rPr>
              <w:t>. Host not listed. No record in Australia since 1958</w:t>
            </w:r>
          </w:p>
        </w:tc>
        <w:tc>
          <w:tcPr>
            <w:tcW w:w="2552" w:type="dxa"/>
            <w:shd w:val="clear" w:color="auto" w:fill="auto"/>
          </w:tcPr>
          <w:p w14:paraId="200F823D" w14:textId="77777777" w:rsidR="003438A2" w:rsidRPr="008B3D16" w:rsidRDefault="003438A2" w:rsidP="00D33987">
            <w:pPr>
              <w:pStyle w:val="TableText"/>
            </w:pPr>
            <w:r w:rsidRPr="008B3D16">
              <w:t>No. Causes post-harvest Lambertella rot or yellow rot of stored apples, but requires a wound to infect apples</w:t>
            </w:r>
            <w:r>
              <w:t xml:space="preserve"> </w:t>
            </w:r>
            <w:r>
              <w:rPr>
                <w:noProof/>
              </w:rPr>
              <w:t>(Amiri &amp; Ali 2018; Pscheidt &amp; Ocamb 2021c; Wiseman et al. 2015)</w:t>
            </w:r>
            <w:r>
              <w:t xml:space="preserve">, </w:t>
            </w:r>
            <w:r w:rsidRPr="008B3D16">
              <w:rPr>
                <w:lang w:val="pt-BR"/>
              </w:rPr>
              <w:t>which is not likely to occur in commercially produced apples</w:t>
            </w:r>
            <w:r w:rsidRPr="008B3D16">
              <w:t xml:space="preserve">. </w:t>
            </w:r>
            <w:hyperlink w:anchor="_ENREF_4" w:tooltip="Amiri, 2020 #39349" w:history="1">
              <w:r w:rsidRPr="008B3D16">
                <w:rPr>
                  <w:noProof/>
                  <w:lang w:val="pt-BR"/>
                </w:rPr>
                <w:t xml:space="preserve">Amiri </w:t>
              </w:r>
              <w:r>
                <w:rPr>
                  <w:noProof/>
                  <w:lang w:val="pt-BR"/>
                </w:rPr>
                <w:t>(</w:t>
              </w:r>
              <w:r w:rsidRPr="008B3D16">
                <w:rPr>
                  <w:noProof/>
                  <w:lang w:val="pt-BR"/>
                </w:rPr>
                <w:t>2020b</w:t>
              </w:r>
            </w:hyperlink>
            <w:r>
              <w:rPr>
                <w:noProof/>
                <w:lang w:val="pt-BR"/>
              </w:rPr>
              <w:t xml:space="preserve">) </w:t>
            </w:r>
            <w:r w:rsidRPr="008B3D16">
              <w:t>indicated that they could not rule out other means of infection</w:t>
            </w:r>
            <w:r>
              <w:t>.</w:t>
            </w:r>
            <w:r w:rsidRPr="008B3D16">
              <w:t xml:space="preserve"> </w:t>
            </w:r>
          </w:p>
        </w:tc>
        <w:tc>
          <w:tcPr>
            <w:tcW w:w="2381" w:type="dxa"/>
            <w:shd w:val="clear" w:color="auto" w:fill="auto"/>
          </w:tcPr>
          <w:p w14:paraId="0E04348E" w14:textId="77777777" w:rsidR="003438A2" w:rsidRPr="008B3D16" w:rsidRDefault="003438A2" w:rsidP="00881E29">
            <w:pPr>
              <w:spacing w:before="60" w:after="60" w:line="240" w:lineRule="auto"/>
              <w:rPr>
                <w:rFonts w:eastAsia="Calibri" w:cs="Times New Roman"/>
                <w:sz w:val="18"/>
                <w:szCs w:val="18"/>
              </w:rPr>
            </w:pPr>
            <w:r w:rsidRPr="008B3D16">
              <w:rPr>
                <w:rFonts w:eastAsia="Calibri" w:cs="Times New Roman"/>
                <w:sz w:val="18"/>
                <w:szCs w:val="18"/>
              </w:rPr>
              <w:t>Assessment not required</w:t>
            </w:r>
          </w:p>
        </w:tc>
        <w:tc>
          <w:tcPr>
            <w:tcW w:w="2211" w:type="dxa"/>
            <w:shd w:val="clear" w:color="auto" w:fill="auto"/>
          </w:tcPr>
          <w:p w14:paraId="5260EF9F" w14:textId="77777777" w:rsidR="003438A2" w:rsidRPr="008B3D16" w:rsidRDefault="003438A2" w:rsidP="00881E29">
            <w:pPr>
              <w:spacing w:before="60" w:after="60" w:line="240" w:lineRule="auto"/>
              <w:rPr>
                <w:rFonts w:eastAsia="Calibri" w:cs="Times New Roman"/>
                <w:sz w:val="18"/>
                <w:szCs w:val="18"/>
              </w:rPr>
            </w:pPr>
            <w:r w:rsidRPr="008B3D16">
              <w:rPr>
                <w:rFonts w:eastAsia="Calibri" w:cs="Times New Roman"/>
                <w:sz w:val="18"/>
                <w:szCs w:val="18"/>
              </w:rPr>
              <w:t>Assessment not required</w:t>
            </w:r>
          </w:p>
        </w:tc>
        <w:tc>
          <w:tcPr>
            <w:tcW w:w="1191" w:type="dxa"/>
            <w:shd w:val="clear" w:color="auto" w:fill="auto"/>
          </w:tcPr>
          <w:p w14:paraId="6BD57DE7" w14:textId="77777777" w:rsidR="003438A2" w:rsidRPr="008B3D16" w:rsidRDefault="003438A2" w:rsidP="00881E29">
            <w:pPr>
              <w:spacing w:before="60" w:after="60" w:line="240" w:lineRule="auto"/>
              <w:rPr>
                <w:rFonts w:eastAsia="Calibri" w:cs="Times New Roman"/>
                <w:sz w:val="18"/>
                <w:szCs w:val="18"/>
              </w:rPr>
            </w:pPr>
            <w:r w:rsidRPr="008B3D16">
              <w:rPr>
                <w:rFonts w:eastAsia="Calibri" w:cs="Times New Roman"/>
                <w:sz w:val="18"/>
                <w:szCs w:val="18"/>
              </w:rPr>
              <w:t>No</w:t>
            </w:r>
          </w:p>
        </w:tc>
      </w:tr>
      <w:tr w:rsidR="003438A2" w:rsidRPr="00D95799" w14:paraId="15948157" w14:textId="77777777" w:rsidTr="007B7E24">
        <w:trPr>
          <w:cantSplit/>
          <w:trHeight w:val="75"/>
          <w:jc w:val="center"/>
        </w:trPr>
        <w:tc>
          <w:tcPr>
            <w:tcW w:w="1985" w:type="dxa"/>
            <w:shd w:val="clear" w:color="auto" w:fill="auto"/>
          </w:tcPr>
          <w:p w14:paraId="136753E0" w14:textId="77777777" w:rsidR="003438A2" w:rsidRPr="00D95799" w:rsidRDefault="003438A2" w:rsidP="00881E29">
            <w:pPr>
              <w:spacing w:before="60" w:after="60" w:line="240" w:lineRule="auto"/>
              <w:rPr>
                <w:rFonts w:eastAsia="Calibri" w:cs="Times New Roman"/>
                <w:i/>
                <w:iCs/>
                <w:sz w:val="18"/>
                <w:szCs w:val="18"/>
              </w:rPr>
            </w:pPr>
            <w:r w:rsidRPr="00D95799">
              <w:rPr>
                <w:rFonts w:eastAsia="Calibri" w:cs="Times New Roman"/>
                <w:i/>
                <w:iCs/>
                <w:sz w:val="18"/>
                <w:szCs w:val="18"/>
              </w:rPr>
              <w:lastRenderedPageBreak/>
              <w:t xml:space="preserve">Microsphaeropsis olivacea </w:t>
            </w:r>
            <w:r w:rsidRPr="00D95799">
              <w:rPr>
                <w:rFonts w:eastAsia="Calibri" w:cs="Times New Roman"/>
                <w:iCs/>
                <w:sz w:val="18"/>
                <w:szCs w:val="18"/>
              </w:rPr>
              <w:t>(Bonord.) Höhn.</w:t>
            </w:r>
          </w:p>
          <w:p w14:paraId="7E09871F"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Syno</w:t>
            </w:r>
            <w:r>
              <w:rPr>
                <w:rFonts w:eastAsia="Calibri" w:cs="Times New Roman"/>
                <w:iCs/>
                <w:sz w:val="18"/>
                <w:szCs w:val="18"/>
              </w:rPr>
              <w:t>n</w:t>
            </w:r>
            <w:r w:rsidRPr="00D95799">
              <w:rPr>
                <w:rFonts w:eastAsia="Calibri" w:cs="Times New Roman"/>
                <w:iCs/>
                <w:sz w:val="18"/>
                <w:szCs w:val="18"/>
              </w:rPr>
              <w:t xml:space="preserve">ym: </w:t>
            </w:r>
            <w:r w:rsidRPr="00D95799">
              <w:rPr>
                <w:rFonts w:eastAsia="Calibri" w:cs="Times New Roman"/>
                <w:i/>
                <w:iCs/>
                <w:sz w:val="18"/>
                <w:szCs w:val="18"/>
              </w:rPr>
              <w:t>Coniothyrium olivaceum</w:t>
            </w:r>
            <w:r w:rsidRPr="00D95799">
              <w:rPr>
                <w:rFonts w:eastAsia="Calibri" w:cs="Times New Roman"/>
                <w:iCs/>
                <w:sz w:val="18"/>
                <w:szCs w:val="18"/>
              </w:rPr>
              <w:t xml:space="preserve"> Bonord.</w:t>
            </w:r>
          </w:p>
          <w:p w14:paraId="4E91ACCB"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iCs/>
                <w:sz w:val="18"/>
                <w:szCs w:val="18"/>
              </w:rPr>
              <w:t>[</w:t>
            </w:r>
            <w:r w:rsidRPr="00D95799">
              <w:rPr>
                <w:rFonts w:eastAsia="Calibri" w:cs="Times New Roman"/>
                <w:sz w:val="18"/>
              </w:rPr>
              <w:t>Pleosporales:</w:t>
            </w:r>
            <w:r w:rsidRPr="00D95799">
              <w:rPr>
                <w:rFonts w:eastAsia="Calibri" w:cs="Times New Roman"/>
                <w:iCs/>
                <w:sz w:val="18"/>
                <w:szCs w:val="18"/>
              </w:rPr>
              <w:t xml:space="preserve"> Montagnulaceae]</w:t>
            </w:r>
          </w:p>
        </w:tc>
        <w:tc>
          <w:tcPr>
            <w:tcW w:w="1474" w:type="dxa"/>
            <w:shd w:val="clear" w:color="auto" w:fill="auto"/>
          </w:tcPr>
          <w:p w14:paraId="459EBD64" w14:textId="77777777" w:rsidR="003438A2" w:rsidRPr="00D95799" w:rsidRDefault="003438A2" w:rsidP="00881E29">
            <w:pPr>
              <w:spacing w:before="60" w:after="60" w:line="240" w:lineRule="auto"/>
              <w:rPr>
                <w:rFonts w:eastAsia="Calibri" w:cs="Times New Roman"/>
                <w:sz w:val="18"/>
                <w:szCs w:val="18"/>
                <w:lang w:val="pt-BR"/>
              </w:rPr>
            </w:pPr>
            <w:r>
              <w:rPr>
                <w:rFonts w:eastAsia="Calibri" w:cs="Times New Roman"/>
                <w:sz w:val="18"/>
                <w:szCs w:val="18"/>
                <w:lang w:val="pt-BR"/>
              </w:rPr>
              <w:t xml:space="preserve">Yes </w:t>
            </w:r>
            <w:r>
              <w:rPr>
                <w:rFonts w:eastAsia="Calibri" w:cs="Times New Roman"/>
                <w:noProof/>
                <w:sz w:val="18"/>
                <w:szCs w:val="18"/>
                <w:lang w:val="pt-BR"/>
              </w:rPr>
              <w:t>(Farr &amp; Rossman 2018; Glawe 2009)</w:t>
            </w:r>
          </w:p>
        </w:tc>
        <w:tc>
          <w:tcPr>
            <w:tcW w:w="1474" w:type="dxa"/>
            <w:shd w:val="clear" w:color="auto" w:fill="auto"/>
          </w:tcPr>
          <w:p w14:paraId="75D47067"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Australia </w:t>
            </w:r>
            <w:r>
              <w:rPr>
                <w:rFonts w:eastAsia="Calibri" w:cs="Times New Roman"/>
                <w:noProof/>
                <w:sz w:val="18"/>
                <w:szCs w:val="18"/>
              </w:rPr>
              <w:t>(Taylor &amp; Hyde 2003)</w:t>
            </w:r>
            <w:r w:rsidRPr="00D95799">
              <w:rPr>
                <w:rFonts w:eastAsia="Calibri" w:cs="Times New Roman"/>
                <w:sz w:val="18"/>
                <w:szCs w:val="18"/>
              </w:rPr>
              <w:t xml:space="preserve">; WA </w:t>
            </w:r>
            <w:r>
              <w:rPr>
                <w:rFonts w:eastAsia="Calibri" w:cs="Times New Roman"/>
                <w:noProof/>
                <w:sz w:val="18"/>
                <w:szCs w:val="18"/>
              </w:rPr>
              <w:t>(Shivas 1989)</w:t>
            </w:r>
          </w:p>
        </w:tc>
        <w:tc>
          <w:tcPr>
            <w:tcW w:w="2552" w:type="dxa"/>
            <w:shd w:val="clear" w:color="auto" w:fill="auto"/>
          </w:tcPr>
          <w:p w14:paraId="71E91FC4"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381" w:type="dxa"/>
            <w:shd w:val="clear" w:color="auto" w:fill="auto"/>
          </w:tcPr>
          <w:p w14:paraId="1774A841"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211" w:type="dxa"/>
            <w:shd w:val="clear" w:color="auto" w:fill="auto"/>
          </w:tcPr>
          <w:p w14:paraId="71677770"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auto"/>
          </w:tcPr>
          <w:p w14:paraId="295DFBE0"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95799" w14:paraId="21B9D6A6" w14:textId="77777777" w:rsidTr="007B7E24">
        <w:trPr>
          <w:cantSplit/>
          <w:trHeight w:val="75"/>
          <w:jc w:val="center"/>
        </w:trPr>
        <w:tc>
          <w:tcPr>
            <w:tcW w:w="1985" w:type="dxa"/>
            <w:shd w:val="clear" w:color="auto" w:fill="auto"/>
          </w:tcPr>
          <w:p w14:paraId="7D32AC96"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
                <w:iCs/>
                <w:sz w:val="18"/>
                <w:szCs w:val="18"/>
              </w:rPr>
              <w:t xml:space="preserve">Mucor mucedo </w:t>
            </w:r>
            <w:r w:rsidRPr="00D95799">
              <w:rPr>
                <w:rFonts w:eastAsia="Calibri" w:cs="Times New Roman"/>
                <w:iCs/>
                <w:sz w:val="18"/>
                <w:szCs w:val="18"/>
              </w:rPr>
              <w:t>Fresen.</w:t>
            </w:r>
          </w:p>
          <w:p w14:paraId="1C13E95C"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[Hysteriales: Mucoraceae]</w:t>
            </w:r>
          </w:p>
          <w:p w14:paraId="42EC336E"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iCs/>
                <w:sz w:val="18"/>
                <w:szCs w:val="18"/>
              </w:rPr>
              <w:t>Mucor rot</w:t>
            </w:r>
          </w:p>
        </w:tc>
        <w:tc>
          <w:tcPr>
            <w:tcW w:w="1474" w:type="dxa"/>
            <w:shd w:val="clear" w:color="auto" w:fill="auto"/>
          </w:tcPr>
          <w:p w14:paraId="7A7DE7F6"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sz w:val="18"/>
                <w:szCs w:val="18"/>
                <w:lang w:val="pt-BR"/>
              </w:rPr>
              <w:t xml:space="preserve">Yes. </w:t>
            </w:r>
            <w:r>
              <w:rPr>
                <w:rFonts w:eastAsia="Calibri" w:cs="Times New Roman"/>
                <w:sz w:val="18"/>
                <w:szCs w:val="18"/>
                <w:lang w:val="pt-BR"/>
              </w:rPr>
              <w:t xml:space="preserve">Present in </w:t>
            </w:r>
            <w:r w:rsidRPr="00D95799">
              <w:rPr>
                <w:rFonts w:eastAsia="Calibri" w:cs="Times New Roman"/>
                <w:sz w:val="18"/>
                <w:szCs w:val="18"/>
                <w:lang w:val="pt-BR"/>
              </w:rPr>
              <w:t xml:space="preserve">WA </w:t>
            </w:r>
            <w:r>
              <w:rPr>
                <w:rFonts w:eastAsia="Calibri" w:cs="Times New Roman"/>
                <w:noProof/>
                <w:sz w:val="18"/>
                <w:szCs w:val="18"/>
                <w:lang w:val="pt-BR"/>
              </w:rPr>
              <w:t>(Shaw 1973)</w:t>
            </w:r>
          </w:p>
        </w:tc>
        <w:tc>
          <w:tcPr>
            <w:tcW w:w="1474" w:type="dxa"/>
            <w:shd w:val="clear" w:color="auto" w:fill="auto"/>
          </w:tcPr>
          <w:p w14:paraId="4B38C2E0"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 records found</w:t>
            </w:r>
          </w:p>
        </w:tc>
        <w:tc>
          <w:tcPr>
            <w:tcW w:w="2552" w:type="dxa"/>
            <w:shd w:val="clear" w:color="auto" w:fill="auto"/>
          </w:tcPr>
          <w:p w14:paraId="5B98E49D"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No. </w:t>
            </w:r>
            <w:r w:rsidRPr="00D95799">
              <w:rPr>
                <w:rFonts w:eastAsia="Calibri" w:cs="Arial"/>
                <w:i/>
                <w:sz w:val="18"/>
                <w:szCs w:val="18"/>
              </w:rPr>
              <w:t>Mucor mucedo</w:t>
            </w:r>
            <w:r w:rsidRPr="00D95799">
              <w:rPr>
                <w:rFonts w:eastAsia="Calibri" w:cs="Arial"/>
                <w:sz w:val="18"/>
                <w:szCs w:val="18"/>
              </w:rPr>
              <w:t xml:space="preserve"> has been reported to cause decay in apple fruit in Northern Ireland </w:t>
            </w:r>
            <w:r>
              <w:rPr>
                <w:rFonts w:eastAsia="Calibri" w:cs="Arial"/>
                <w:noProof/>
                <w:sz w:val="18"/>
                <w:szCs w:val="18"/>
              </w:rPr>
              <w:t>(Colhoun 1938)</w:t>
            </w:r>
            <w:r>
              <w:rPr>
                <w:rFonts w:eastAsia="Calibri" w:cs="Arial"/>
                <w:sz w:val="18"/>
                <w:szCs w:val="18"/>
              </w:rPr>
              <w:t>, and in</w:t>
            </w:r>
            <w:r w:rsidRPr="00D95799">
              <w:rPr>
                <w:rFonts w:eastAsia="Calibri" w:cs="Arial"/>
                <w:sz w:val="18"/>
                <w:szCs w:val="18"/>
              </w:rPr>
              <w:t xml:space="preserve"> strawberry, raspberry</w:t>
            </w:r>
            <w:r>
              <w:rPr>
                <w:rFonts w:eastAsia="Calibri" w:cs="Arial"/>
                <w:sz w:val="18"/>
                <w:szCs w:val="18"/>
              </w:rPr>
              <w:t>,</w:t>
            </w:r>
            <w:r w:rsidRPr="00D95799">
              <w:rPr>
                <w:rFonts w:eastAsia="Calibri" w:cs="Arial"/>
                <w:sz w:val="18"/>
                <w:szCs w:val="18"/>
              </w:rPr>
              <w:t xml:space="preserve"> blackberry </w:t>
            </w:r>
            <w:r>
              <w:rPr>
                <w:rFonts w:eastAsia="Calibri" w:cs="Arial"/>
                <w:noProof/>
                <w:sz w:val="18"/>
                <w:szCs w:val="18"/>
              </w:rPr>
              <w:t>(Dennis &amp; Mountford 1975)</w:t>
            </w:r>
            <w:r w:rsidRPr="00D95799">
              <w:rPr>
                <w:rFonts w:eastAsia="Calibri" w:cs="Arial"/>
                <w:sz w:val="18"/>
                <w:szCs w:val="18"/>
              </w:rPr>
              <w:t xml:space="preserve"> and tomato </w:t>
            </w:r>
            <w:r>
              <w:rPr>
                <w:rFonts w:eastAsia="Calibri" w:cs="Arial"/>
                <w:noProof/>
                <w:sz w:val="18"/>
                <w:szCs w:val="18"/>
              </w:rPr>
              <w:t>(Moline &amp; Kuti 1984)</w:t>
            </w:r>
            <w:r w:rsidRPr="00D95799">
              <w:rPr>
                <w:rFonts w:eastAsia="Calibri" w:cs="Arial"/>
                <w:sz w:val="18"/>
                <w:szCs w:val="18"/>
              </w:rPr>
              <w:t xml:space="preserve">. </w:t>
            </w:r>
            <w:r>
              <w:rPr>
                <w:rFonts w:eastAsia="Calibri" w:cs="Times New Roman"/>
                <w:sz w:val="18"/>
                <w:szCs w:val="18"/>
              </w:rPr>
              <w:t xml:space="preserve">Michailides </w:t>
            </w:r>
            <w:r>
              <w:rPr>
                <w:rFonts w:eastAsia="Calibri" w:cs="Times New Roman"/>
                <w:noProof/>
                <w:sz w:val="18"/>
                <w:szCs w:val="18"/>
              </w:rPr>
              <w:t>(1990)</w:t>
            </w:r>
            <w:r w:rsidRPr="00D95799">
              <w:rPr>
                <w:rFonts w:eastAsia="Calibri" w:cs="Times New Roman"/>
                <w:sz w:val="18"/>
                <w:szCs w:val="18"/>
              </w:rPr>
              <w:t xml:space="preserve"> reported that</w:t>
            </w:r>
            <w:r w:rsidRPr="00D95799">
              <w:rPr>
                <w:rFonts w:eastAsia="Calibri" w:cs="Times New Roman"/>
                <w:i/>
                <w:sz w:val="18"/>
                <w:szCs w:val="18"/>
              </w:rPr>
              <w:t xml:space="preserve"> </w:t>
            </w:r>
            <w:r w:rsidRPr="00D95799">
              <w:rPr>
                <w:rFonts w:eastAsia="Calibri" w:cs="Times New Roman"/>
                <w:sz w:val="18"/>
                <w:szCs w:val="18"/>
              </w:rPr>
              <w:t xml:space="preserve">Mucor rot of apples in the PNW is caused only by </w:t>
            </w:r>
            <w:r w:rsidRPr="00D95799">
              <w:rPr>
                <w:rFonts w:eastAsia="Calibri" w:cs="Times New Roman"/>
                <w:i/>
                <w:sz w:val="18"/>
                <w:szCs w:val="18"/>
              </w:rPr>
              <w:t>M. piriformis</w:t>
            </w:r>
            <w:r w:rsidRPr="00D95799">
              <w:rPr>
                <w:rFonts w:eastAsia="Calibri" w:cs="Times New Roman"/>
                <w:sz w:val="18"/>
                <w:szCs w:val="18"/>
              </w:rPr>
              <w:t xml:space="preserve">. All reports of </w:t>
            </w:r>
            <w:r w:rsidRPr="00D95799">
              <w:rPr>
                <w:rFonts w:eastAsia="Calibri" w:cs="Times New Roman"/>
                <w:i/>
                <w:sz w:val="18"/>
                <w:szCs w:val="18"/>
              </w:rPr>
              <w:t>Mucor mucedo</w:t>
            </w:r>
            <w:r w:rsidRPr="00D95799">
              <w:rPr>
                <w:rFonts w:eastAsia="Calibri" w:cs="Times New Roman"/>
                <w:sz w:val="18"/>
                <w:szCs w:val="18"/>
              </w:rPr>
              <w:t xml:space="preserve"> associated with apples in the</w:t>
            </w:r>
            <w:r>
              <w:rPr>
                <w:rFonts w:eastAsia="Calibri" w:cs="Times New Roman"/>
                <w:sz w:val="18"/>
                <w:szCs w:val="18"/>
              </w:rPr>
              <w:t xml:space="preserve"> USA </w:t>
            </w:r>
            <w:r w:rsidRPr="00D95799">
              <w:rPr>
                <w:rFonts w:eastAsia="Calibri" w:cs="Times New Roman"/>
                <w:sz w:val="18"/>
                <w:szCs w:val="18"/>
              </w:rPr>
              <w:t xml:space="preserve">are based on a report of this pest on </w:t>
            </w:r>
            <w:r w:rsidRPr="00D95799">
              <w:rPr>
                <w:rFonts w:eastAsia="Calibri" w:cs="Times New Roman"/>
                <w:i/>
                <w:sz w:val="18"/>
                <w:szCs w:val="18"/>
              </w:rPr>
              <w:t>Malus sylvestris</w:t>
            </w:r>
            <w:r w:rsidRPr="00D95799">
              <w:rPr>
                <w:rFonts w:eastAsia="Calibri" w:cs="Times New Roman"/>
                <w:sz w:val="18"/>
                <w:szCs w:val="18"/>
              </w:rPr>
              <w:t xml:space="preserve"> in Washington </w:t>
            </w:r>
            <w:r>
              <w:rPr>
                <w:rFonts w:eastAsia="Calibri" w:cs="Times New Roman"/>
                <w:noProof/>
                <w:sz w:val="18"/>
                <w:szCs w:val="18"/>
              </w:rPr>
              <w:t>(Shaw 1973)</w:t>
            </w:r>
            <w:r>
              <w:rPr>
                <w:rFonts w:eastAsia="Calibri" w:cs="Times New Roman"/>
                <w:sz w:val="18"/>
                <w:szCs w:val="18"/>
              </w:rPr>
              <w:t>.</w:t>
            </w:r>
            <w:r w:rsidRPr="00D95799">
              <w:rPr>
                <w:rFonts w:eastAsia="Calibri" w:cs="Times New Roman"/>
                <w:sz w:val="18"/>
                <w:szCs w:val="18"/>
              </w:rPr>
              <w:t xml:space="preserve"> </w:t>
            </w:r>
          </w:p>
        </w:tc>
        <w:tc>
          <w:tcPr>
            <w:tcW w:w="2381" w:type="dxa"/>
            <w:shd w:val="clear" w:color="auto" w:fill="auto"/>
          </w:tcPr>
          <w:p w14:paraId="138741B1"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211" w:type="dxa"/>
            <w:shd w:val="clear" w:color="auto" w:fill="auto"/>
          </w:tcPr>
          <w:p w14:paraId="46EFD0EF"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auto"/>
          </w:tcPr>
          <w:p w14:paraId="792F2C0D"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95799" w14:paraId="47FF3058" w14:textId="77777777" w:rsidTr="007B7E24">
        <w:trPr>
          <w:cantSplit/>
          <w:trHeight w:val="75"/>
          <w:jc w:val="center"/>
        </w:trPr>
        <w:tc>
          <w:tcPr>
            <w:tcW w:w="1985" w:type="dxa"/>
            <w:shd w:val="clear" w:color="auto" w:fill="FFFFFF" w:themeFill="background1"/>
          </w:tcPr>
          <w:p w14:paraId="716C75BE" w14:textId="77777777" w:rsidR="003438A2" w:rsidRPr="00CD4A64" w:rsidRDefault="003438A2" w:rsidP="00881E29">
            <w:pPr>
              <w:spacing w:before="60" w:after="60" w:line="240" w:lineRule="auto"/>
              <w:rPr>
                <w:rFonts w:eastAsia="Calibri" w:cs="Times New Roman"/>
                <w:sz w:val="18"/>
                <w:szCs w:val="18"/>
                <w:lang w:val="pt-BR"/>
              </w:rPr>
            </w:pPr>
            <w:r w:rsidRPr="00CD4A64">
              <w:rPr>
                <w:rFonts w:eastAsia="Calibri" w:cs="Times New Roman"/>
                <w:i/>
                <w:sz w:val="18"/>
                <w:szCs w:val="18"/>
                <w:lang w:val="pt-BR"/>
              </w:rPr>
              <w:t>Mycosphaerella pomi</w:t>
            </w:r>
            <w:r w:rsidRPr="00CD4A64">
              <w:rPr>
                <w:rFonts w:eastAsia="Calibri" w:cs="Times New Roman"/>
                <w:sz w:val="18"/>
                <w:szCs w:val="18"/>
                <w:lang w:val="pt-BR"/>
              </w:rPr>
              <w:t xml:space="preserve"> (Pass.) Lindau</w:t>
            </w:r>
          </w:p>
          <w:p w14:paraId="68EDF940" w14:textId="77777777" w:rsidR="003438A2" w:rsidRDefault="003438A2" w:rsidP="00881E29">
            <w:pPr>
              <w:spacing w:before="60" w:after="60" w:line="240" w:lineRule="auto"/>
              <w:rPr>
                <w:rFonts w:eastAsia="Calibri" w:cs="Times New Roman"/>
                <w:sz w:val="18"/>
                <w:szCs w:val="18"/>
                <w:lang w:val="pt-BR"/>
              </w:rPr>
            </w:pPr>
            <w:r w:rsidRPr="00CD4A64">
              <w:rPr>
                <w:rFonts w:eastAsia="Calibri" w:cs="Times New Roman"/>
                <w:sz w:val="18"/>
                <w:szCs w:val="18"/>
                <w:lang w:val="pt-BR"/>
              </w:rPr>
              <w:t xml:space="preserve">Synonym: </w:t>
            </w:r>
            <w:r w:rsidRPr="00CD4A64">
              <w:rPr>
                <w:rFonts w:eastAsia="Calibri" w:cs="Times New Roman"/>
                <w:i/>
                <w:sz w:val="18"/>
                <w:szCs w:val="18"/>
                <w:lang w:val="pt-BR"/>
              </w:rPr>
              <w:t>Cylindrosporium pomi</w:t>
            </w:r>
            <w:r w:rsidRPr="00CD4A64">
              <w:rPr>
                <w:rFonts w:eastAsia="Calibri" w:cs="Times New Roman"/>
                <w:sz w:val="18"/>
                <w:szCs w:val="18"/>
                <w:lang w:val="pt-BR"/>
              </w:rPr>
              <w:t xml:space="preserve"> C. Brooks</w:t>
            </w:r>
          </w:p>
          <w:p w14:paraId="0C7FF694" w14:textId="77777777" w:rsidR="003438A2" w:rsidRPr="00CD4A64" w:rsidRDefault="003438A2" w:rsidP="00881E29">
            <w:pPr>
              <w:spacing w:before="60" w:after="60" w:line="240" w:lineRule="auto"/>
              <w:rPr>
                <w:rFonts w:eastAsia="Calibri" w:cs="Times New Roman"/>
                <w:sz w:val="18"/>
                <w:szCs w:val="18"/>
                <w:lang w:val="pt-BR"/>
              </w:rPr>
            </w:pPr>
            <w:r w:rsidRPr="00CD4A64">
              <w:rPr>
                <w:rFonts w:eastAsia="Calibri" w:cs="Times New Roman"/>
                <w:iCs/>
                <w:sz w:val="18"/>
                <w:szCs w:val="18"/>
              </w:rPr>
              <w:t>[Capnodiales:</w:t>
            </w:r>
            <w:r w:rsidRPr="00CD4A64" w:rsidDel="003C455C">
              <w:rPr>
                <w:rFonts w:eastAsia="Calibri" w:cs="Times New Roman"/>
                <w:iCs/>
                <w:sz w:val="18"/>
                <w:szCs w:val="18"/>
              </w:rPr>
              <w:t xml:space="preserve"> </w:t>
            </w:r>
            <w:r w:rsidRPr="00CD4A64">
              <w:rPr>
                <w:rFonts w:eastAsia="Calibri" w:cs="Times New Roman"/>
                <w:sz w:val="18"/>
                <w:szCs w:val="18"/>
                <w:lang w:val="pt-BR"/>
              </w:rPr>
              <w:t>Mycosphaerellaceae]</w:t>
            </w:r>
          </w:p>
          <w:p w14:paraId="24233594" w14:textId="77777777" w:rsidR="003438A2" w:rsidRPr="00CD4A64" w:rsidRDefault="003438A2" w:rsidP="00881E29">
            <w:pPr>
              <w:spacing w:before="60" w:after="60" w:line="240" w:lineRule="auto"/>
              <w:rPr>
                <w:rFonts w:eastAsia="Calibri" w:cs="Times New Roman"/>
                <w:sz w:val="18"/>
                <w:szCs w:val="18"/>
                <w:lang w:val="pt-BR"/>
              </w:rPr>
            </w:pPr>
            <w:r w:rsidRPr="00CD4A64">
              <w:rPr>
                <w:rFonts w:eastAsia="Calibri" w:cs="Times New Roman"/>
                <w:sz w:val="18"/>
                <w:szCs w:val="18"/>
                <w:lang w:val="pt-BR"/>
              </w:rPr>
              <w:t>Brooks fruit spot</w:t>
            </w:r>
          </w:p>
        </w:tc>
        <w:tc>
          <w:tcPr>
            <w:tcW w:w="1474" w:type="dxa"/>
            <w:shd w:val="clear" w:color="auto" w:fill="FFFFFF" w:themeFill="background1"/>
          </w:tcPr>
          <w:p w14:paraId="75CB2FE0" w14:textId="77777777" w:rsidR="003438A2" w:rsidRPr="00CD4A64" w:rsidRDefault="003438A2" w:rsidP="00881E29">
            <w:pPr>
              <w:spacing w:before="60" w:after="60" w:line="240" w:lineRule="auto"/>
              <w:rPr>
                <w:rFonts w:eastAsia="Calibri" w:cs="Times New Roman"/>
                <w:sz w:val="18"/>
                <w:szCs w:val="18"/>
                <w:lang w:val="pt-BR"/>
              </w:rPr>
            </w:pPr>
            <w:r>
              <w:rPr>
                <w:rFonts w:eastAsia="Calibri" w:cs="Times New Roman"/>
                <w:sz w:val="18"/>
                <w:szCs w:val="18"/>
                <w:lang w:val="pt-BR"/>
              </w:rPr>
              <w:t>No</w:t>
            </w:r>
            <w:r w:rsidRPr="00CD4A64">
              <w:rPr>
                <w:rFonts w:eastAsia="Calibri" w:cs="Times New Roman"/>
                <w:sz w:val="18"/>
                <w:szCs w:val="18"/>
                <w:lang w:val="pt-BR"/>
              </w:rPr>
              <w:t xml:space="preserve">. </w:t>
            </w:r>
            <w:r>
              <w:rPr>
                <w:rFonts w:eastAsia="Calibri" w:cs="Times New Roman"/>
                <w:sz w:val="18"/>
                <w:szCs w:val="18"/>
                <w:lang w:val="pt-BR"/>
              </w:rPr>
              <w:t xml:space="preserve">Present in </w:t>
            </w:r>
            <w:r w:rsidRPr="00CD4A64">
              <w:rPr>
                <w:rFonts w:eastAsia="Calibri" w:cs="Times New Roman"/>
                <w:sz w:val="18"/>
                <w:szCs w:val="18"/>
                <w:lang w:val="pt-BR"/>
              </w:rPr>
              <w:t>AR, eastern states, IA, MO</w:t>
            </w:r>
            <w:r>
              <w:rPr>
                <w:rFonts w:eastAsia="Calibri" w:cs="Times New Roman"/>
                <w:sz w:val="18"/>
                <w:szCs w:val="18"/>
                <w:lang w:val="pt-BR"/>
              </w:rPr>
              <w:t xml:space="preserve"> and</w:t>
            </w:r>
            <w:r w:rsidRPr="00CD4A64">
              <w:rPr>
                <w:rFonts w:eastAsia="Calibri" w:cs="Times New Roman"/>
                <w:sz w:val="18"/>
                <w:szCs w:val="18"/>
                <w:lang w:val="pt-BR"/>
              </w:rPr>
              <w:t xml:space="preserve"> NC </w:t>
            </w:r>
            <w:r>
              <w:rPr>
                <w:rFonts w:eastAsia="Calibri" w:cs="Times New Roman"/>
                <w:noProof/>
                <w:sz w:val="18"/>
                <w:szCs w:val="18"/>
                <w:lang w:val="pt-BR"/>
              </w:rPr>
              <w:t>(Farr &amp; Rossman 2018)</w:t>
            </w:r>
            <w:r w:rsidRPr="00CD4A64">
              <w:rPr>
                <w:rFonts w:eastAsia="Calibri" w:cs="Times New Roman"/>
                <w:sz w:val="18"/>
                <w:szCs w:val="18"/>
                <w:lang w:val="pt-BR"/>
              </w:rPr>
              <w:t xml:space="preserve">. </w:t>
            </w:r>
          </w:p>
        </w:tc>
        <w:tc>
          <w:tcPr>
            <w:tcW w:w="1474" w:type="dxa"/>
            <w:shd w:val="clear" w:color="auto" w:fill="FFFFFF" w:themeFill="background1"/>
          </w:tcPr>
          <w:p w14:paraId="0EF89EA9" w14:textId="47619ACE" w:rsidR="003438A2" w:rsidRPr="00CC7E54" w:rsidRDefault="003438A2" w:rsidP="00CC7E54">
            <w:pPr>
              <w:pStyle w:val="TableText"/>
            </w:pPr>
            <w:r w:rsidRPr="00CC7E54">
              <w:t>Yes. NSW</w:t>
            </w:r>
            <w:r w:rsidR="006D33F2" w:rsidRPr="00CC7E54">
              <w:t xml:space="preserve"> </w:t>
            </w:r>
            <w:r w:rsidR="006D33F2" w:rsidRPr="00CC7E54">
              <w:fldChar w:fldCharType="begin"/>
            </w:r>
            <w:r w:rsidR="006D33F2" w:rsidRPr="00CC7E54">
              <w:instrText xml:space="preserve"> ADDIN EN.CITE &lt;EndNote&gt;&lt;Cite&gt;&lt;Author&gt;CABI&lt;/Author&gt;&lt;Year&gt;2022&lt;/Year&gt;&lt;RecNum&gt;45371&lt;/RecNum&gt;&lt;DisplayText&gt;(CABI 2022)&lt;/DisplayText&gt;&lt;record&gt;&lt;rec-number&gt;45371&lt;/rec-number&gt;&lt;foreign-keys&gt;&lt;key app="EN" db-id="pxwxw0er9zv2fxezxdk5tt5utz5p5vtrwdv0" timestamp="1641257038"&gt;45371&lt;/key&gt;&lt;/foreign-keys&gt;&lt;ref-type name="Databases"&gt;45&lt;/ref-type&gt;&lt;contributors&gt;&lt;authors&gt;&lt;author&gt;CABI,&lt;/author&gt;&lt;/authors&gt;&lt;/contributors&gt;&lt;titles&gt;&lt;title&gt;Crop Protection Compendium&lt;/title&gt;&lt;/titles&gt;&lt;dates&gt;&lt;year&gt;2022&lt;/year&gt;&lt;pub-dates&gt;&lt;date&gt;2022&lt;/date&gt;&lt;/pub-dates&gt;&lt;/dates&gt;&lt;pub-location&gt;Wallingford, UK&lt;/pub-location&gt;&lt;publisher&gt;CAB International&lt;/publisher&gt;&lt;label&gt;Hosts&amp;#xD;Pests&amp;#xD;Protection&amp;#xD;Host plants&amp;#xD;Distribution&amp;#xD;Dispersal&amp;#xD;Control&amp;#xD;Damage&amp;#xD;Synonyms&amp;#xD;Economic importance&lt;/label&gt;&lt;urls&gt;&lt;related-urls&gt;&lt;url&gt;http://www.cabi.org/cpc/&lt;/url&gt;&lt;/related-urls&gt;&lt;/urls&gt;&lt;custom1&gt;updated_RG&lt;/custom1&gt;&lt;/record&gt;&lt;/Cite&gt;&lt;/EndNote&gt;</w:instrText>
            </w:r>
            <w:r w:rsidR="006D33F2" w:rsidRPr="00CC7E54">
              <w:fldChar w:fldCharType="separate"/>
            </w:r>
            <w:r w:rsidR="006D33F2" w:rsidRPr="00CC7E54">
              <w:t>(CABI 2022)</w:t>
            </w:r>
            <w:r w:rsidR="006D33F2" w:rsidRPr="00CC7E54">
              <w:fldChar w:fldCharType="end"/>
            </w:r>
            <w:r w:rsidR="006D33F2" w:rsidRPr="00CC7E54">
              <w:t xml:space="preserve"> </w:t>
            </w:r>
          </w:p>
        </w:tc>
        <w:tc>
          <w:tcPr>
            <w:tcW w:w="2552" w:type="dxa"/>
            <w:shd w:val="clear" w:color="auto" w:fill="FFFFFF" w:themeFill="background1"/>
          </w:tcPr>
          <w:p w14:paraId="72EB7DA7" w14:textId="77777777" w:rsidR="003438A2" w:rsidRPr="00CD4A64" w:rsidRDefault="003438A2" w:rsidP="00881E29">
            <w:pPr>
              <w:spacing w:before="60" w:after="60" w:line="240" w:lineRule="auto"/>
              <w:rPr>
                <w:rFonts w:eastAsia="Calibri" w:cs="Times New Roman"/>
                <w:sz w:val="18"/>
                <w:szCs w:val="18"/>
              </w:rPr>
            </w:pPr>
            <w:r w:rsidRPr="00CD4A64">
              <w:rPr>
                <w:rFonts w:eastAsia="Calibri" w:cs="Times New Roman"/>
                <w:sz w:val="18"/>
                <w:szCs w:val="18"/>
              </w:rPr>
              <w:t>Assessment not required</w:t>
            </w:r>
          </w:p>
        </w:tc>
        <w:tc>
          <w:tcPr>
            <w:tcW w:w="2381" w:type="dxa"/>
            <w:shd w:val="clear" w:color="auto" w:fill="FFFFFF" w:themeFill="background1"/>
          </w:tcPr>
          <w:p w14:paraId="4F405BB7" w14:textId="77777777" w:rsidR="003438A2" w:rsidRPr="00CD4A64" w:rsidRDefault="003438A2" w:rsidP="00881E29">
            <w:pPr>
              <w:spacing w:before="60" w:after="60" w:line="240" w:lineRule="auto"/>
              <w:rPr>
                <w:rFonts w:eastAsia="Calibri" w:cs="Times New Roman"/>
                <w:sz w:val="18"/>
                <w:szCs w:val="18"/>
              </w:rPr>
            </w:pPr>
            <w:r w:rsidRPr="00CD4A64">
              <w:rPr>
                <w:rFonts w:eastAsia="Calibri" w:cs="Times New Roman"/>
                <w:sz w:val="18"/>
                <w:szCs w:val="18"/>
              </w:rPr>
              <w:t>Assessment not required</w:t>
            </w:r>
            <w:r w:rsidRPr="00CD4A64" w:rsidDel="00E0413D">
              <w:rPr>
                <w:rFonts w:eastAsia="Calibri" w:cs="Times New Roman"/>
                <w:sz w:val="18"/>
                <w:szCs w:val="18"/>
              </w:rPr>
              <w:t xml:space="preserve"> </w:t>
            </w:r>
          </w:p>
        </w:tc>
        <w:tc>
          <w:tcPr>
            <w:tcW w:w="2211" w:type="dxa"/>
            <w:shd w:val="clear" w:color="auto" w:fill="FFFFFF" w:themeFill="background1"/>
          </w:tcPr>
          <w:p w14:paraId="730B529F" w14:textId="77777777" w:rsidR="003438A2" w:rsidRPr="00CD4A64" w:rsidRDefault="003438A2" w:rsidP="00881E29">
            <w:pPr>
              <w:spacing w:before="60" w:after="60" w:line="240" w:lineRule="auto"/>
              <w:rPr>
                <w:rFonts w:eastAsia="Calibri" w:cs="Times New Roman"/>
                <w:sz w:val="18"/>
                <w:szCs w:val="18"/>
              </w:rPr>
            </w:pPr>
            <w:r w:rsidRPr="00CD4A64">
              <w:rPr>
                <w:rFonts w:eastAsia="Calibri" w:cs="Times New Roman"/>
                <w:sz w:val="18"/>
                <w:szCs w:val="18"/>
              </w:rPr>
              <w:t>Assessment not required</w:t>
            </w:r>
            <w:r w:rsidRPr="00CD4A64" w:rsidDel="00E0413D">
              <w:rPr>
                <w:rFonts w:eastAsia="Calibri" w:cs="Times New Roman"/>
                <w:sz w:val="18"/>
                <w:szCs w:val="18"/>
              </w:rPr>
              <w:t xml:space="preserve"> </w:t>
            </w:r>
          </w:p>
        </w:tc>
        <w:tc>
          <w:tcPr>
            <w:tcW w:w="1191" w:type="dxa"/>
            <w:shd w:val="clear" w:color="auto" w:fill="FFFFFF" w:themeFill="background1"/>
          </w:tcPr>
          <w:p w14:paraId="146D811F" w14:textId="77777777" w:rsidR="003438A2" w:rsidRPr="00D95799" w:rsidRDefault="003438A2" w:rsidP="00881E29">
            <w:pPr>
              <w:spacing w:before="60" w:after="60" w:line="240" w:lineRule="auto"/>
              <w:rPr>
                <w:rFonts w:eastAsia="Calibri" w:cs="Times New Roman"/>
                <w:sz w:val="18"/>
                <w:szCs w:val="18"/>
              </w:rPr>
            </w:pPr>
            <w:r w:rsidRPr="00CD4A64">
              <w:rPr>
                <w:rFonts w:eastAsia="Calibri" w:cs="Times New Roman"/>
                <w:sz w:val="18"/>
                <w:szCs w:val="18"/>
              </w:rPr>
              <w:t>No</w:t>
            </w:r>
          </w:p>
        </w:tc>
      </w:tr>
      <w:tr w:rsidR="003438A2" w:rsidRPr="00D95799" w14:paraId="7217EFE5" w14:textId="77777777" w:rsidTr="00D14B28">
        <w:trPr>
          <w:cantSplit/>
          <w:trHeight w:val="75"/>
          <w:jc w:val="center"/>
        </w:trPr>
        <w:tc>
          <w:tcPr>
            <w:tcW w:w="1985" w:type="dxa"/>
            <w:shd w:val="clear" w:color="auto" w:fill="auto"/>
          </w:tcPr>
          <w:p w14:paraId="23EE6EA5"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
                <w:iCs/>
                <w:sz w:val="18"/>
                <w:szCs w:val="18"/>
              </w:rPr>
              <w:lastRenderedPageBreak/>
              <w:t xml:space="preserve">Nectria cinnabarina </w:t>
            </w:r>
            <w:r w:rsidRPr="00D95799">
              <w:rPr>
                <w:rFonts w:eastAsia="Calibri" w:cs="Times New Roman"/>
                <w:iCs/>
                <w:sz w:val="18"/>
                <w:szCs w:val="18"/>
              </w:rPr>
              <w:t>(Tode) Fr.</w:t>
            </w:r>
          </w:p>
          <w:p w14:paraId="0D177F25"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 xml:space="preserve">Synonym: </w:t>
            </w:r>
            <w:r w:rsidRPr="00D95799">
              <w:rPr>
                <w:rFonts w:eastAsia="Calibri" w:cs="Times New Roman"/>
                <w:i/>
                <w:iCs/>
                <w:sz w:val="18"/>
                <w:szCs w:val="18"/>
              </w:rPr>
              <w:t xml:space="preserve">Tubercularia vulgaris </w:t>
            </w:r>
            <w:r w:rsidRPr="00D95799">
              <w:rPr>
                <w:rFonts w:eastAsia="Calibri" w:cs="Times New Roman"/>
                <w:iCs/>
                <w:sz w:val="18"/>
                <w:szCs w:val="18"/>
              </w:rPr>
              <w:t>Tode</w:t>
            </w:r>
          </w:p>
          <w:p w14:paraId="597561B1"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 xml:space="preserve">[Hypocreales: </w:t>
            </w:r>
            <w:r w:rsidRPr="00D95799">
              <w:rPr>
                <w:rFonts w:eastAsia="Calibri" w:cs="Times New Roman"/>
                <w:sz w:val="18"/>
                <w:szCs w:val="18"/>
              </w:rPr>
              <w:t>Nectriaceae</w:t>
            </w:r>
            <w:r w:rsidRPr="00D95799">
              <w:rPr>
                <w:rFonts w:eastAsia="Calibri" w:cs="Times New Roman"/>
                <w:iCs/>
                <w:sz w:val="18"/>
                <w:szCs w:val="18"/>
              </w:rPr>
              <w:t>]</w:t>
            </w:r>
          </w:p>
          <w:p w14:paraId="0731A66F"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iCs/>
                <w:sz w:val="18"/>
                <w:szCs w:val="18"/>
              </w:rPr>
              <w:t>Nectria twig blight</w:t>
            </w:r>
          </w:p>
        </w:tc>
        <w:tc>
          <w:tcPr>
            <w:tcW w:w="1474" w:type="dxa"/>
            <w:shd w:val="clear" w:color="auto" w:fill="auto"/>
          </w:tcPr>
          <w:p w14:paraId="16CAAFB7"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sz w:val="18"/>
                <w:szCs w:val="18"/>
                <w:lang w:val="pt-BR"/>
              </w:rPr>
              <w:t xml:space="preserve">Yes. </w:t>
            </w:r>
            <w:r>
              <w:rPr>
                <w:rFonts w:eastAsia="Calibri" w:cs="Times New Roman"/>
                <w:sz w:val="18"/>
                <w:szCs w:val="18"/>
                <w:lang w:val="pt-BR"/>
              </w:rPr>
              <w:t xml:space="preserve">Present in </w:t>
            </w:r>
            <w:r w:rsidRPr="00D95799">
              <w:rPr>
                <w:rFonts w:eastAsia="Calibri" w:cs="Times New Roman"/>
                <w:sz w:val="18"/>
                <w:szCs w:val="18"/>
                <w:lang w:val="pt-BR"/>
              </w:rPr>
              <w:t>ID, OR</w:t>
            </w:r>
            <w:r>
              <w:rPr>
                <w:rFonts w:eastAsia="Calibri" w:cs="Times New Roman"/>
                <w:sz w:val="18"/>
                <w:szCs w:val="18"/>
                <w:lang w:val="pt-BR"/>
              </w:rPr>
              <w:t xml:space="preserve"> and</w:t>
            </w:r>
            <w:r w:rsidRPr="00D95799">
              <w:rPr>
                <w:rFonts w:eastAsia="Calibri" w:cs="Times New Roman"/>
                <w:sz w:val="18"/>
                <w:szCs w:val="18"/>
                <w:lang w:val="pt-BR"/>
              </w:rPr>
              <w:t xml:space="preserve"> WA</w:t>
            </w:r>
            <w:r>
              <w:rPr>
                <w:rFonts w:eastAsia="Calibri" w:cs="Times New Roman"/>
                <w:sz w:val="18"/>
                <w:szCs w:val="18"/>
                <w:lang w:val="pt-BR"/>
              </w:rPr>
              <w:t>. Also present in AK, MI and NC</w:t>
            </w:r>
            <w:r w:rsidRPr="00D95799">
              <w:rPr>
                <w:rFonts w:eastAsia="Calibri" w:cs="Times New Roman"/>
                <w:sz w:val="18"/>
                <w:szCs w:val="18"/>
                <w:lang w:val="pt-BR"/>
              </w:rPr>
              <w:t xml:space="preserve"> </w:t>
            </w:r>
            <w:r>
              <w:rPr>
                <w:rFonts w:eastAsia="Calibri" w:cs="Times New Roman"/>
                <w:noProof/>
                <w:sz w:val="18"/>
                <w:szCs w:val="18"/>
                <w:lang w:val="pt-BR"/>
              </w:rPr>
              <w:t>(APHIS 2007; Farr &amp; Rossman 2018; Glawe 2009)</w:t>
            </w:r>
          </w:p>
        </w:tc>
        <w:tc>
          <w:tcPr>
            <w:tcW w:w="1474" w:type="dxa"/>
            <w:shd w:val="clear" w:color="auto" w:fill="auto"/>
          </w:tcPr>
          <w:p w14:paraId="78C3CC94"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Qld, NSW, Vic., Tas. </w:t>
            </w:r>
            <w:r>
              <w:rPr>
                <w:rFonts w:eastAsia="Calibri" w:cs="Times New Roman"/>
                <w:noProof/>
                <w:sz w:val="18"/>
                <w:szCs w:val="18"/>
              </w:rPr>
              <w:t>(Plant Health Australia 2018)</w:t>
            </w:r>
          </w:p>
        </w:tc>
        <w:tc>
          <w:tcPr>
            <w:tcW w:w="2552" w:type="dxa"/>
            <w:shd w:val="clear" w:color="auto" w:fill="auto"/>
          </w:tcPr>
          <w:p w14:paraId="0A8C4673" w14:textId="77777777" w:rsidR="003438A2" w:rsidRPr="00D95799" w:rsidRDefault="003438A2" w:rsidP="00881E29">
            <w:pPr>
              <w:autoSpaceDE w:val="0"/>
              <w:autoSpaceDN w:val="0"/>
              <w:adjustRightInd w:val="0"/>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381" w:type="dxa"/>
            <w:shd w:val="clear" w:color="auto" w:fill="auto"/>
          </w:tcPr>
          <w:p w14:paraId="427766D8"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211" w:type="dxa"/>
            <w:shd w:val="clear" w:color="auto" w:fill="auto"/>
          </w:tcPr>
          <w:p w14:paraId="79B147BA"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auto"/>
          </w:tcPr>
          <w:p w14:paraId="2119B3EB"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95799" w14:paraId="15C956A5" w14:textId="77777777" w:rsidTr="00D14B28">
        <w:trPr>
          <w:cantSplit/>
          <w:trHeight w:val="75"/>
          <w:jc w:val="center"/>
        </w:trPr>
        <w:tc>
          <w:tcPr>
            <w:tcW w:w="1985" w:type="dxa"/>
            <w:shd w:val="clear" w:color="auto" w:fill="auto"/>
          </w:tcPr>
          <w:p w14:paraId="1B5B26DE"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i/>
                <w:sz w:val="18"/>
                <w:szCs w:val="18"/>
              </w:rPr>
              <w:t xml:space="preserve">Nectria sanguinea </w:t>
            </w:r>
            <w:r w:rsidRPr="00D95799">
              <w:rPr>
                <w:rFonts w:eastAsia="Calibri" w:cs="Times New Roman"/>
                <w:sz w:val="18"/>
                <w:szCs w:val="18"/>
              </w:rPr>
              <w:t>Fr.</w:t>
            </w:r>
          </w:p>
          <w:p w14:paraId="12EEE419" w14:textId="77777777" w:rsidR="003438A2" w:rsidRPr="00E311CD"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 xml:space="preserve">[Hypocreales: </w:t>
            </w:r>
            <w:r w:rsidRPr="00D95799">
              <w:rPr>
                <w:rFonts w:eastAsia="Calibri" w:cs="Times New Roman"/>
                <w:sz w:val="18"/>
                <w:szCs w:val="18"/>
              </w:rPr>
              <w:t>Nectriaceae</w:t>
            </w:r>
            <w:r>
              <w:rPr>
                <w:rFonts w:eastAsia="Calibri" w:cs="Times New Roman"/>
                <w:iCs/>
                <w:sz w:val="18"/>
                <w:szCs w:val="18"/>
              </w:rPr>
              <w:t>]</w:t>
            </w:r>
          </w:p>
        </w:tc>
        <w:tc>
          <w:tcPr>
            <w:tcW w:w="1474" w:type="dxa"/>
            <w:shd w:val="clear" w:color="auto" w:fill="auto"/>
          </w:tcPr>
          <w:p w14:paraId="71B15790" w14:textId="77777777" w:rsidR="003438A2" w:rsidRPr="00D95799" w:rsidRDefault="003438A2" w:rsidP="00881E29">
            <w:pPr>
              <w:spacing w:before="60" w:after="60" w:line="240" w:lineRule="auto"/>
              <w:rPr>
                <w:rFonts w:eastAsia="Calibri" w:cs="Times New Roman"/>
                <w:sz w:val="18"/>
                <w:szCs w:val="18"/>
                <w:lang w:val="pt-BR"/>
              </w:rPr>
            </w:pPr>
            <w:r>
              <w:rPr>
                <w:rFonts w:eastAsia="Calibri" w:cs="Times New Roman"/>
                <w:sz w:val="18"/>
                <w:szCs w:val="18"/>
              </w:rPr>
              <w:t>No</w:t>
            </w:r>
            <w:r w:rsidRPr="00D95799">
              <w:rPr>
                <w:rFonts w:eastAsia="Calibri" w:cs="Times New Roman"/>
                <w:sz w:val="18"/>
                <w:szCs w:val="18"/>
              </w:rPr>
              <w:t xml:space="preserve">. </w:t>
            </w:r>
            <w:r>
              <w:rPr>
                <w:rFonts w:eastAsia="Calibri" w:cs="Times New Roman"/>
                <w:sz w:val="18"/>
                <w:szCs w:val="18"/>
              </w:rPr>
              <w:t xml:space="preserve">Was once reported in </w:t>
            </w:r>
            <w:r w:rsidRPr="00D95799">
              <w:rPr>
                <w:rFonts w:eastAsia="Calibri" w:cs="Times New Roman"/>
                <w:sz w:val="18"/>
                <w:szCs w:val="18"/>
              </w:rPr>
              <w:t xml:space="preserve">OR </w:t>
            </w:r>
            <w:r>
              <w:rPr>
                <w:rFonts w:eastAsia="Calibri" w:cs="Times New Roman"/>
                <w:noProof/>
                <w:sz w:val="18"/>
                <w:szCs w:val="18"/>
              </w:rPr>
              <w:t>(Shaw 1973)</w:t>
            </w:r>
            <w:r w:rsidRPr="00D95799">
              <w:rPr>
                <w:rFonts w:eastAsia="Calibri" w:cs="Times New Roman"/>
                <w:sz w:val="18"/>
                <w:szCs w:val="18"/>
              </w:rPr>
              <w:t xml:space="preserve">. However, no type specimen exists for </w:t>
            </w:r>
            <w:r w:rsidRPr="00D95799">
              <w:rPr>
                <w:rFonts w:eastAsia="Calibri" w:cs="Times New Roman"/>
                <w:i/>
                <w:sz w:val="18"/>
                <w:szCs w:val="18"/>
              </w:rPr>
              <w:t>N. sanguinea</w:t>
            </w:r>
            <w:r w:rsidRPr="00D95799">
              <w:rPr>
                <w:rFonts w:eastAsia="Calibri" w:cs="Times New Roman"/>
                <w:sz w:val="18"/>
                <w:szCs w:val="18"/>
              </w:rPr>
              <w:t xml:space="preserve">. Most specimens identified as this species have been reidentified as other </w:t>
            </w:r>
            <w:r w:rsidRPr="00D95799">
              <w:rPr>
                <w:rFonts w:eastAsia="Calibri" w:cs="Times New Roman"/>
                <w:i/>
                <w:sz w:val="18"/>
                <w:szCs w:val="18"/>
              </w:rPr>
              <w:t>Nectria</w:t>
            </w:r>
            <w:r w:rsidRPr="00D95799">
              <w:rPr>
                <w:rFonts w:eastAsia="Calibri" w:cs="Times New Roman"/>
                <w:sz w:val="18"/>
                <w:szCs w:val="18"/>
              </w:rPr>
              <w:t xml:space="preserve"> species </w:t>
            </w:r>
            <w:r>
              <w:rPr>
                <w:rFonts w:eastAsia="Calibri" w:cs="Times New Roman"/>
                <w:noProof/>
                <w:sz w:val="18"/>
                <w:szCs w:val="18"/>
              </w:rPr>
              <w:t>(Farr &amp; Rossman 2018)</w:t>
            </w:r>
            <w:r>
              <w:rPr>
                <w:rFonts w:eastAsia="Calibri" w:cs="Times New Roman"/>
                <w:sz w:val="18"/>
                <w:szCs w:val="18"/>
              </w:rPr>
              <w:t>.</w:t>
            </w:r>
          </w:p>
        </w:tc>
        <w:tc>
          <w:tcPr>
            <w:tcW w:w="1474" w:type="dxa"/>
            <w:shd w:val="clear" w:color="auto" w:fill="auto"/>
          </w:tcPr>
          <w:p w14:paraId="3B793044"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 records found</w:t>
            </w:r>
          </w:p>
        </w:tc>
        <w:tc>
          <w:tcPr>
            <w:tcW w:w="2552" w:type="dxa"/>
            <w:shd w:val="clear" w:color="auto" w:fill="auto"/>
          </w:tcPr>
          <w:p w14:paraId="333D6B68"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381" w:type="dxa"/>
            <w:shd w:val="clear" w:color="auto" w:fill="auto"/>
          </w:tcPr>
          <w:p w14:paraId="564E524A"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211" w:type="dxa"/>
            <w:shd w:val="clear" w:color="auto" w:fill="auto"/>
          </w:tcPr>
          <w:p w14:paraId="15B7D519"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auto"/>
          </w:tcPr>
          <w:p w14:paraId="4876EF5B"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95799" w14:paraId="5DB9EBE2" w14:textId="77777777" w:rsidTr="00D14B28">
        <w:trPr>
          <w:cantSplit/>
          <w:trHeight w:val="75"/>
          <w:jc w:val="center"/>
        </w:trPr>
        <w:tc>
          <w:tcPr>
            <w:tcW w:w="1985" w:type="dxa"/>
            <w:shd w:val="clear" w:color="auto" w:fill="auto"/>
          </w:tcPr>
          <w:p w14:paraId="680DB096" w14:textId="77777777" w:rsidR="003438A2" w:rsidRPr="00143A2A" w:rsidRDefault="003438A2" w:rsidP="00881E29">
            <w:pPr>
              <w:spacing w:before="60" w:after="60" w:line="240" w:lineRule="auto"/>
              <w:rPr>
                <w:rFonts w:eastAsia="Calibri" w:cs="Times New Roman"/>
                <w:iCs/>
                <w:sz w:val="18"/>
                <w:szCs w:val="18"/>
              </w:rPr>
            </w:pPr>
            <w:r w:rsidRPr="00143A2A">
              <w:rPr>
                <w:rFonts w:eastAsia="Calibri" w:cs="Times New Roman"/>
                <w:i/>
                <w:iCs/>
                <w:sz w:val="18"/>
                <w:szCs w:val="18"/>
              </w:rPr>
              <w:t xml:space="preserve">Neofabraea kienholzii </w:t>
            </w:r>
            <w:r w:rsidRPr="00143A2A">
              <w:rPr>
                <w:rFonts w:eastAsia="Calibri" w:cs="Times New Roman"/>
                <w:iCs/>
                <w:sz w:val="18"/>
                <w:szCs w:val="18"/>
              </w:rPr>
              <w:t>(Seifert, Spotts &amp; Lévesque) Spotts, Lévesque &amp; Seifert</w:t>
            </w:r>
          </w:p>
          <w:p w14:paraId="703C509E" w14:textId="77777777" w:rsidR="003438A2" w:rsidRPr="00143A2A" w:rsidRDefault="003438A2" w:rsidP="00881E29">
            <w:pPr>
              <w:spacing w:before="60" w:after="60" w:line="240" w:lineRule="auto"/>
              <w:rPr>
                <w:rFonts w:eastAsia="Calibri" w:cs="Times New Roman"/>
                <w:iCs/>
                <w:sz w:val="18"/>
                <w:szCs w:val="18"/>
              </w:rPr>
            </w:pPr>
            <w:r w:rsidRPr="00143A2A">
              <w:rPr>
                <w:rFonts w:eastAsia="Calibri" w:cs="Times New Roman"/>
                <w:iCs/>
                <w:sz w:val="18"/>
                <w:szCs w:val="18"/>
              </w:rPr>
              <w:t>Synonym:</w:t>
            </w:r>
            <w:r w:rsidRPr="00143A2A">
              <w:rPr>
                <w:rFonts w:eastAsia="Calibri" w:cs="Times New Roman"/>
                <w:i/>
                <w:iCs/>
                <w:sz w:val="18"/>
                <w:szCs w:val="18"/>
              </w:rPr>
              <w:t xml:space="preserve"> Cryptosporiopsis kienholzii</w:t>
            </w:r>
            <w:r>
              <w:rPr>
                <w:rFonts w:eastAsia="Calibri" w:cs="Times New Roman"/>
                <w:i/>
                <w:iCs/>
                <w:sz w:val="18"/>
                <w:szCs w:val="18"/>
              </w:rPr>
              <w:t xml:space="preserve"> </w:t>
            </w:r>
            <w:r w:rsidRPr="00143A2A">
              <w:rPr>
                <w:rFonts w:eastAsia="Calibri" w:cs="Times New Roman"/>
                <w:iCs/>
                <w:sz w:val="18"/>
                <w:szCs w:val="18"/>
              </w:rPr>
              <w:t>Seifert, Spotts &amp; Lévesque</w:t>
            </w:r>
          </w:p>
          <w:p w14:paraId="54EDAD57" w14:textId="77777777" w:rsidR="003438A2" w:rsidRPr="00143A2A" w:rsidRDefault="003438A2" w:rsidP="00881E29">
            <w:pPr>
              <w:spacing w:before="60" w:after="60" w:line="240" w:lineRule="auto"/>
              <w:rPr>
                <w:rFonts w:eastAsia="Calibri" w:cs="Times New Roman"/>
                <w:iCs/>
                <w:sz w:val="18"/>
                <w:szCs w:val="18"/>
              </w:rPr>
            </w:pPr>
            <w:r w:rsidRPr="00143A2A">
              <w:rPr>
                <w:rFonts w:eastAsia="Calibri" w:cs="Times New Roman"/>
                <w:iCs/>
                <w:sz w:val="18"/>
                <w:szCs w:val="18"/>
              </w:rPr>
              <w:t>[Helotiales: Dermateaceae]</w:t>
            </w:r>
          </w:p>
          <w:p w14:paraId="3D1FCAD5" w14:textId="77777777" w:rsidR="003438A2" w:rsidRPr="00143A2A" w:rsidRDefault="003438A2" w:rsidP="00881E29">
            <w:pPr>
              <w:spacing w:before="60" w:after="60" w:line="240" w:lineRule="auto"/>
              <w:rPr>
                <w:rFonts w:eastAsia="Calibri" w:cs="Times New Roman"/>
                <w:i/>
                <w:iCs/>
                <w:sz w:val="18"/>
                <w:szCs w:val="18"/>
              </w:rPr>
            </w:pPr>
            <w:r w:rsidRPr="00143A2A">
              <w:rPr>
                <w:rFonts w:eastAsia="Calibri" w:cs="Times New Roman"/>
                <w:iCs/>
                <w:sz w:val="18"/>
                <w:szCs w:val="18"/>
              </w:rPr>
              <w:t>Bull’s-eye rot</w:t>
            </w:r>
          </w:p>
        </w:tc>
        <w:tc>
          <w:tcPr>
            <w:tcW w:w="1474" w:type="dxa"/>
            <w:shd w:val="clear" w:color="auto" w:fill="auto"/>
          </w:tcPr>
          <w:p w14:paraId="07B51A42" w14:textId="77777777" w:rsidR="003438A2" w:rsidRPr="00143A2A" w:rsidRDefault="003438A2" w:rsidP="00881E29">
            <w:pPr>
              <w:spacing w:before="60" w:after="60" w:line="240" w:lineRule="auto"/>
              <w:rPr>
                <w:rFonts w:eastAsia="Calibri" w:cs="Times New Roman"/>
                <w:sz w:val="18"/>
                <w:szCs w:val="18"/>
                <w:lang w:val="pt-BR"/>
              </w:rPr>
            </w:pPr>
            <w:r w:rsidRPr="00143A2A">
              <w:rPr>
                <w:rFonts w:eastAsia="Calibri" w:cs="Times New Roman"/>
                <w:sz w:val="18"/>
                <w:szCs w:val="18"/>
                <w:lang w:val="pt-BR"/>
              </w:rPr>
              <w:t xml:space="preserve">Yes. </w:t>
            </w:r>
            <w:r>
              <w:rPr>
                <w:rFonts w:eastAsia="Calibri" w:cs="Times New Roman"/>
                <w:sz w:val="18"/>
                <w:szCs w:val="18"/>
                <w:lang w:val="pt-BR"/>
              </w:rPr>
              <w:t xml:space="preserve">Present in </w:t>
            </w:r>
            <w:r w:rsidRPr="00143A2A">
              <w:rPr>
                <w:rFonts w:eastAsia="Calibri" w:cs="Times New Roman"/>
                <w:sz w:val="18"/>
                <w:szCs w:val="18"/>
                <w:lang w:val="pt-BR"/>
              </w:rPr>
              <w:t>OR</w:t>
            </w:r>
            <w:r>
              <w:rPr>
                <w:rFonts w:eastAsia="Calibri" w:cs="Times New Roman"/>
                <w:sz w:val="18"/>
                <w:szCs w:val="18"/>
                <w:lang w:val="pt-BR"/>
              </w:rPr>
              <w:t xml:space="preserve"> and</w:t>
            </w:r>
            <w:r w:rsidRPr="00143A2A">
              <w:rPr>
                <w:rFonts w:eastAsia="Calibri" w:cs="Times New Roman"/>
                <w:sz w:val="18"/>
                <w:szCs w:val="18"/>
                <w:lang w:val="pt-BR"/>
              </w:rPr>
              <w:t xml:space="preserve"> WA </w:t>
            </w:r>
            <w:r>
              <w:rPr>
                <w:rFonts w:eastAsia="Calibri" w:cs="Times New Roman"/>
                <w:noProof/>
                <w:sz w:val="18"/>
                <w:szCs w:val="18"/>
                <w:lang w:val="pt-BR"/>
              </w:rPr>
              <w:t>(Spotts et al. 2009)</w:t>
            </w:r>
            <w:r>
              <w:rPr>
                <w:rFonts w:eastAsia="Calibri" w:cs="Times New Roman"/>
                <w:sz w:val="18"/>
                <w:szCs w:val="18"/>
                <w:lang w:val="pt-BR"/>
              </w:rPr>
              <w:t xml:space="preserve"> </w:t>
            </w:r>
          </w:p>
        </w:tc>
        <w:tc>
          <w:tcPr>
            <w:tcW w:w="1474" w:type="dxa"/>
            <w:shd w:val="clear" w:color="auto" w:fill="auto"/>
          </w:tcPr>
          <w:p w14:paraId="49BD1764" w14:textId="552027C6" w:rsidR="003438A2" w:rsidRPr="00143A2A" w:rsidRDefault="003438A2" w:rsidP="00881E29">
            <w:pPr>
              <w:spacing w:before="60" w:after="60" w:line="240" w:lineRule="auto"/>
              <w:rPr>
                <w:rFonts w:eastAsia="Calibri" w:cs="Times New Roman"/>
                <w:sz w:val="18"/>
                <w:szCs w:val="18"/>
              </w:rPr>
            </w:pPr>
            <w:r w:rsidRPr="00143A2A">
              <w:rPr>
                <w:rFonts w:eastAsia="Calibri" w:cs="Times New Roman"/>
                <w:sz w:val="18"/>
                <w:szCs w:val="18"/>
              </w:rPr>
              <w:t xml:space="preserve">Yes. </w:t>
            </w:r>
            <w:r w:rsidR="00F414ED">
              <w:rPr>
                <w:rFonts w:eastAsia="Calibri" w:cs="Times New Roman"/>
                <w:sz w:val="18"/>
                <w:szCs w:val="18"/>
              </w:rPr>
              <w:t>NSW</w:t>
            </w:r>
            <w:r w:rsidRPr="00143A2A">
              <w:rPr>
                <w:rFonts w:eastAsia="Calibri" w:cs="Times New Roman"/>
                <w:sz w:val="18"/>
                <w:szCs w:val="18"/>
              </w:rPr>
              <w:t xml:space="preserve">, WA </w:t>
            </w:r>
            <w:r>
              <w:rPr>
                <w:rFonts w:eastAsia="Calibri" w:cs="Times New Roman"/>
                <w:noProof/>
                <w:sz w:val="18"/>
                <w:szCs w:val="18"/>
              </w:rPr>
              <w:t>(Cunnington 2004)</w:t>
            </w:r>
            <w:r w:rsidRPr="00143A2A">
              <w:rPr>
                <w:rFonts w:eastAsia="Calibri" w:cs="Times New Roman"/>
                <w:sz w:val="18"/>
                <w:szCs w:val="18"/>
              </w:rPr>
              <w:t xml:space="preserve">. </w:t>
            </w:r>
            <w:r w:rsidRPr="00522E2D">
              <w:rPr>
                <w:rFonts w:eastAsia="Calibri" w:cs="Times New Roman"/>
                <w:i/>
                <w:sz w:val="18"/>
                <w:szCs w:val="18"/>
              </w:rPr>
              <w:t>Cryptosporiops kienholzii</w:t>
            </w:r>
            <w:r w:rsidRPr="00143A2A">
              <w:rPr>
                <w:rFonts w:eastAsia="Calibri" w:cs="Times New Roman"/>
                <w:sz w:val="18"/>
                <w:szCs w:val="18"/>
              </w:rPr>
              <w:t xml:space="preserve"> is </w:t>
            </w:r>
            <w:r w:rsidR="00DC3122">
              <w:rPr>
                <w:rFonts w:eastAsia="Calibri" w:cs="Times New Roman"/>
                <w:sz w:val="18"/>
                <w:szCs w:val="18"/>
              </w:rPr>
              <w:t xml:space="preserve">linked to </w:t>
            </w:r>
            <w:r w:rsidRPr="00143A2A">
              <w:rPr>
                <w:rFonts w:eastAsia="Calibri" w:cs="Times New Roman"/>
                <w:sz w:val="18"/>
                <w:szCs w:val="18"/>
              </w:rPr>
              <w:t xml:space="preserve">the “undescribed </w:t>
            </w:r>
            <w:r w:rsidRPr="006D6859">
              <w:rPr>
                <w:rFonts w:eastAsia="Calibri" w:cs="Times New Roman"/>
                <w:i/>
                <w:sz w:val="18"/>
                <w:szCs w:val="18"/>
              </w:rPr>
              <w:t xml:space="preserve">Neofabraea </w:t>
            </w:r>
            <w:r w:rsidRPr="00143A2A">
              <w:rPr>
                <w:rFonts w:eastAsia="Calibri" w:cs="Times New Roman"/>
                <w:sz w:val="18"/>
                <w:szCs w:val="18"/>
              </w:rPr>
              <w:t>sp</w:t>
            </w:r>
            <w:r>
              <w:rPr>
                <w:rFonts w:eastAsia="Calibri" w:cs="Times New Roman"/>
                <w:sz w:val="18"/>
                <w:szCs w:val="18"/>
              </w:rPr>
              <w:t>p</w:t>
            </w:r>
            <w:r w:rsidR="007008B1">
              <w:rPr>
                <w:rFonts w:eastAsia="Calibri" w:cs="Times New Roman"/>
                <w:sz w:val="18"/>
                <w:szCs w:val="18"/>
              </w:rPr>
              <w:t>.”</w:t>
            </w:r>
            <w:r w:rsidRPr="00143A2A">
              <w:rPr>
                <w:rFonts w:eastAsia="Calibri" w:cs="Times New Roman"/>
                <w:sz w:val="18"/>
                <w:szCs w:val="18"/>
              </w:rPr>
              <w:t xml:space="preserve"> found by </w:t>
            </w:r>
            <w:r>
              <w:rPr>
                <w:rFonts w:eastAsia="Calibri" w:cs="Times New Roman"/>
                <w:sz w:val="18"/>
                <w:szCs w:val="18"/>
              </w:rPr>
              <w:t xml:space="preserve">de Jong </w:t>
            </w:r>
            <w:r>
              <w:rPr>
                <w:rFonts w:eastAsia="Calibri" w:cs="Times New Roman"/>
                <w:noProof/>
                <w:sz w:val="18"/>
                <w:szCs w:val="18"/>
              </w:rPr>
              <w:t>(2001)</w:t>
            </w:r>
          </w:p>
        </w:tc>
        <w:tc>
          <w:tcPr>
            <w:tcW w:w="2552" w:type="dxa"/>
            <w:shd w:val="clear" w:color="auto" w:fill="auto"/>
          </w:tcPr>
          <w:p w14:paraId="763720C1" w14:textId="77777777" w:rsidR="003438A2" w:rsidRPr="00143A2A" w:rsidRDefault="003438A2" w:rsidP="00881E29">
            <w:pPr>
              <w:spacing w:before="60" w:after="60" w:line="240" w:lineRule="auto"/>
              <w:rPr>
                <w:rFonts w:eastAsia="Calibri" w:cs="Times New Roman"/>
                <w:sz w:val="18"/>
                <w:szCs w:val="18"/>
              </w:rPr>
            </w:pPr>
            <w:r w:rsidRPr="00143A2A">
              <w:rPr>
                <w:rFonts w:eastAsia="Calibri" w:cs="Times New Roman"/>
                <w:sz w:val="18"/>
                <w:szCs w:val="18"/>
              </w:rPr>
              <w:t>Assessment not required</w:t>
            </w:r>
          </w:p>
        </w:tc>
        <w:tc>
          <w:tcPr>
            <w:tcW w:w="2381" w:type="dxa"/>
            <w:shd w:val="clear" w:color="auto" w:fill="auto"/>
          </w:tcPr>
          <w:p w14:paraId="3BF08C9E" w14:textId="77777777" w:rsidR="003438A2" w:rsidRPr="00143A2A" w:rsidRDefault="003438A2" w:rsidP="00881E29">
            <w:pPr>
              <w:spacing w:before="60" w:after="60" w:line="240" w:lineRule="auto"/>
              <w:rPr>
                <w:rFonts w:eastAsia="Calibri" w:cs="Times New Roman"/>
                <w:sz w:val="18"/>
                <w:szCs w:val="18"/>
              </w:rPr>
            </w:pPr>
            <w:r w:rsidRPr="00143A2A">
              <w:rPr>
                <w:rFonts w:eastAsia="Calibri" w:cs="Times New Roman"/>
                <w:sz w:val="18"/>
                <w:szCs w:val="18"/>
              </w:rPr>
              <w:t>Assessment not required</w:t>
            </w:r>
          </w:p>
        </w:tc>
        <w:tc>
          <w:tcPr>
            <w:tcW w:w="2211" w:type="dxa"/>
            <w:shd w:val="clear" w:color="auto" w:fill="auto"/>
          </w:tcPr>
          <w:p w14:paraId="164F50A8" w14:textId="77777777" w:rsidR="003438A2" w:rsidRPr="00143A2A" w:rsidRDefault="003438A2" w:rsidP="00881E29">
            <w:pPr>
              <w:spacing w:before="60" w:after="60" w:line="240" w:lineRule="auto"/>
              <w:rPr>
                <w:rFonts w:eastAsia="Calibri" w:cs="Times New Roman"/>
                <w:sz w:val="18"/>
                <w:szCs w:val="18"/>
              </w:rPr>
            </w:pPr>
            <w:r w:rsidRPr="00143A2A">
              <w:rPr>
                <w:rFonts w:eastAsia="Calibri" w:cs="Times New Roman"/>
                <w:sz w:val="18"/>
                <w:szCs w:val="18"/>
              </w:rPr>
              <w:t>Assessment not required</w:t>
            </w:r>
          </w:p>
        </w:tc>
        <w:tc>
          <w:tcPr>
            <w:tcW w:w="1191" w:type="dxa"/>
            <w:shd w:val="clear" w:color="auto" w:fill="auto"/>
          </w:tcPr>
          <w:p w14:paraId="7BD60CE7" w14:textId="77777777" w:rsidR="003438A2" w:rsidRPr="00D95799" w:rsidRDefault="003438A2" w:rsidP="00881E29">
            <w:pPr>
              <w:spacing w:before="60" w:after="60" w:line="240" w:lineRule="auto"/>
              <w:rPr>
                <w:rFonts w:eastAsia="Calibri" w:cs="Times New Roman"/>
                <w:sz w:val="18"/>
                <w:szCs w:val="18"/>
              </w:rPr>
            </w:pPr>
            <w:r w:rsidRPr="00143A2A">
              <w:rPr>
                <w:rFonts w:eastAsia="Calibri" w:cs="Times New Roman"/>
                <w:sz w:val="18"/>
                <w:szCs w:val="18"/>
              </w:rPr>
              <w:t>No</w:t>
            </w:r>
          </w:p>
        </w:tc>
      </w:tr>
      <w:tr w:rsidR="003438A2" w:rsidRPr="00012983" w14:paraId="760AD1FD" w14:textId="77777777" w:rsidTr="001F363B">
        <w:trPr>
          <w:cantSplit/>
          <w:trHeight w:val="75"/>
          <w:jc w:val="center"/>
        </w:trPr>
        <w:tc>
          <w:tcPr>
            <w:tcW w:w="1985" w:type="dxa"/>
            <w:shd w:val="clear" w:color="auto" w:fill="auto"/>
          </w:tcPr>
          <w:p w14:paraId="409B2195" w14:textId="77777777" w:rsidR="003438A2" w:rsidRPr="00012983" w:rsidRDefault="003438A2" w:rsidP="00881E29">
            <w:pPr>
              <w:spacing w:before="60" w:after="60" w:line="240" w:lineRule="auto"/>
              <w:rPr>
                <w:rFonts w:eastAsia="Calibri" w:cs="Times New Roman"/>
                <w:i/>
                <w:iCs/>
                <w:sz w:val="18"/>
                <w:szCs w:val="18"/>
              </w:rPr>
            </w:pPr>
            <w:r w:rsidRPr="00012983">
              <w:rPr>
                <w:rFonts w:eastAsia="Calibri" w:cs="Times New Roman"/>
                <w:i/>
                <w:iCs/>
                <w:sz w:val="18"/>
                <w:szCs w:val="18"/>
              </w:rPr>
              <w:lastRenderedPageBreak/>
              <w:t xml:space="preserve">Neofabraea malicorticis </w:t>
            </w:r>
            <w:r w:rsidRPr="00012983">
              <w:rPr>
                <w:rFonts w:eastAsia="Calibri" w:cs="Times New Roman"/>
                <w:iCs/>
                <w:sz w:val="18"/>
                <w:szCs w:val="18"/>
              </w:rPr>
              <w:t>(Cordley)</w:t>
            </w:r>
            <w:r w:rsidRPr="00012983">
              <w:rPr>
                <w:rFonts w:eastAsia="Calibri" w:cs="Times New Roman"/>
                <w:i/>
                <w:iCs/>
                <w:sz w:val="18"/>
                <w:szCs w:val="18"/>
              </w:rPr>
              <w:t xml:space="preserve"> </w:t>
            </w:r>
            <w:r w:rsidRPr="00012983">
              <w:rPr>
                <w:rFonts w:eastAsia="Calibri" w:cs="Times New Roman"/>
                <w:iCs/>
                <w:sz w:val="18"/>
                <w:szCs w:val="18"/>
              </w:rPr>
              <w:t>H.S. Jacks.</w:t>
            </w:r>
          </w:p>
          <w:p w14:paraId="1A641ADC" w14:textId="77777777" w:rsidR="003438A2" w:rsidRPr="00012983" w:rsidRDefault="003438A2" w:rsidP="00881E29">
            <w:pPr>
              <w:spacing w:before="60" w:after="60" w:line="240" w:lineRule="auto"/>
              <w:rPr>
                <w:rFonts w:eastAsia="Calibri" w:cs="Times New Roman"/>
                <w:iCs/>
                <w:sz w:val="18"/>
                <w:szCs w:val="18"/>
              </w:rPr>
            </w:pPr>
            <w:r w:rsidRPr="00012983">
              <w:rPr>
                <w:rFonts w:eastAsia="Calibri" w:cs="Times New Roman"/>
                <w:iCs/>
                <w:sz w:val="18"/>
                <w:szCs w:val="18"/>
              </w:rPr>
              <w:t>Synonyms:</w:t>
            </w:r>
            <w:r w:rsidRPr="00012983">
              <w:rPr>
                <w:rFonts w:eastAsia="Calibri" w:cs="Times New Roman"/>
                <w:i/>
                <w:iCs/>
                <w:sz w:val="18"/>
                <w:szCs w:val="18"/>
              </w:rPr>
              <w:t xml:space="preserve"> Cryptosporiopsis curvispora </w:t>
            </w:r>
            <w:r w:rsidRPr="00012983">
              <w:rPr>
                <w:rFonts w:eastAsia="Calibri" w:cs="Times New Roman"/>
                <w:iCs/>
                <w:sz w:val="18"/>
                <w:szCs w:val="18"/>
              </w:rPr>
              <w:t>(Peck)</w:t>
            </w:r>
            <w:r w:rsidRPr="00012983">
              <w:rPr>
                <w:rFonts w:eastAsia="Calibri" w:cs="Times New Roman"/>
                <w:i/>
                <w:iCs/>
                <w:sz w:val="18"/>
                <w:szCs w:val="18"/>
              </w:rPr>
              <w:t xml:space="preserve"> </w:t>
            </w:r>
            <w:r w:rsidRPr="00012983">
              <w:rPr>
                <w:rFonts w:eastAsia="Calibri" w:cs="Times New Roman"/>
                <w:iCs/>
                <w:sz w:val="18"/>
                <w:szCs w:val="18"/>
              </w:rPr>
              <w:t xml:space="preserve">Gremmen; </w:t>
            </w:r>
            <w:r w:rsidRPr="00012983">
              <w:rPr>
                <w:rFonts w:eastAsia="Calibri" w:cs="Times New Roman"/>
                <w:i/>
                <w:iCs/>
                <w:sz w:val="18"/>
                <w:szCs w:val="18"/>
              </w:rPr>
              <w:t xml:space="preserve">Pezicula malicorticis </w:t>
            </w:r>
            <w:r w:rsidRPr="00012983">
              <w:rPr>
                <w:rFonts w:eastAsia="Calibri" w:cs="Times New Roman"/>
                <w:iCs/>
                <w:sz w:val="18"/>
                <w:szCs w:val="18"/>
              </w:rPr>
              <w:t>(H. Jacks.) Nannf.</w:t>
            </w:r>
          </w:p>
          <w:p w14:paraId="0D673993" w14:textId="77777777" w:rsidR="003438A2" w:rsidRPr="00012983" w:rsidRDefault="003438A2" w:rsidP="00881E29">
            <w:pPr>
              <w:spacing w:before="60" w:after="60" w:line="240" w:lineRule="auto"/>
              <w:rPr>
                <w:rFonts w:eastAsia="Calibri" w:cs="Times New Roman"/>
                <w:iCs/>
                <w:sz w:val="18"/>
                <w:szCs w:val="18"/>
              </w:rPr>
            </w:pPr>
            <w:r w:rsidRPr="00012983">
              <w:rPr>
                <w:rFonts w:eastAsia="Calibri" w:cs="Times New Roman"/>
                <w:iCs/>
                <w:sz w:val="18"/>
                <w:szCs w:val="18"/>
              </w:rPr>
              <w:t>[Helotiales;</w:t>
            </w:r>
            <w:r w:rsidRPr="00012983" w:rsidDel="00057E57">
              <w:rPr>
                <w:rFonts w:eastAsia="Calibri" w:cs="Times New Roman"/>
                <w:iCs/>
                <w:sz w:val="18"/>
                <w:szCs w:val="18"/>
              </w:rPr>
              <w:t xml:space="preserve"> </w:t>
            </w:r>
            <w:r w:rsidRPr="00012983">
              <w:rPr>
                <w:rFonts w:eastAsia="Calibri" w:cs="Times New Roman"/>
                <w:iCs/>
                <w:sz w:val="18"/>
                <w:szCs w:val="18"/>
              </w:rPr>
              <w:t>Dermateaceae]</w:t>
            </w:r>
          </w:p>
          <w:p w14:paraId="4C187319" w14:textId="77777777" w:rsidR="003438A2" w:rsidRPr="00012983" w:rsidRDefault="003438A2" w:rsidP="00881E29">
            <w:pPr>
              <w:spacing w:before="60" w:after="60" w:line="240" w:lineRule="auto"/>
              <w:rPr>
                <w:rFonts w:eastAsia="Calibri" w:cs="Times New Roman"/>
                <w:iCs/>
                <w:sz w:val="18"/>
                <w:szCs w:val="18"/>
              </w:rPr>
            </w:pPr>
            <w:r w:rsidRPr="00012983">
              <w:rPr>
                <w:rFonts w:eastAsia="Calibri" w:cs="Times New Roman"/>
                <w:iCs/>
                <w:sz w:val="18"/>
                <w:szCs w:val="18"/>
              </w:rPr>
              <w:t>Anthracnose canker and bull’s-eye rot</w:t>
            </w:r>
          </w:p>
        </w:tc>
        <w:tc>
          <w:tcPr>
            <w:tcW w:w="1474" w:type="dxa"/>
            <w:shd w:val="clear" w:color="auto" w:fill="auto"/>
          </w:tcPr>
          <w:p w14:paraId="610476D9" w14:textId="77777777" w:rsidR="003438A2" w:rsidRPr="00012983" w:rsidRDefault="003438A2" w:rsidP="00881E29">
            <w:pPr>
              <w:spacing w:before="60" w:after="60" w:line="240" w:lineRule="auto"/>
              <w:rPr>
                <w:rFonts w:eastAsia="Calibri" w:cs="Times New Roman"/>
                <w:sz w:val="18"/>
                <w:szCs w:val="18"/>
                <w:lang w:val="pt-BR"/>
              </w:rPr>
            </w:pPr>
            <w:r w:rsidRPr="00012983">
              <w:rPr>
                <w:rFonts w:eastAsia="Calibri" w:cs="Times New Roman"/>
                <w:sz w:val="18"/>
                <w:szCs w:val="18"/>
                <w:lang w:val="pt-BR"/>
              </w:rPr>
              <w:t xml:space="preserve">Yes. Present in ID, OR and WA. Also present in CA, IL, MA, ME, MT and OK </w:t>
            </w:r>
            <w:r>
              <w:rPr>
                <w:rFonts w:eastAsia="Calibri" w:cs="Times New Roman"/>
                <w:noProof/>
                <w:sz w:val="18"/>
                <w:szCs w:val="18"/>
                <w:lang w:val="pt-BR"/>
              </w:rPr>
              <w:t>(APHIS 2007; Farr &amp; Rossman 2018)</w:t>
            </w:r>
            <w:r w:rsidRPr="00012983">
              <w:rPr>
                <w:rFonts w:eastAsia="Calibri" w:cs="Times New Roman"/>
                <w:sz w:val="18"/>
                <w:szCs w:val="18"/>
                <w:lang w:val="pt-BR"/>
              </w:rPr>
              <w:t xml:space="preserve">. Prevalent in the PNW-USA </w:t>
            </w:r>
            <w:r w:rsidRPr="00012983">
              <w:rPr>
                <w:rFonts w:eastAsia="Calibri" w:cs="Times New Roman"/>
                <w:noProof/>
                <w:sz w:val="18"/>
                <w:szCs w:val="18"/>
                <w:lang w:val="pt-BR"/>
              </w:rPr>
              <w:t>(Grove 1990a)</w:t>
            </w:r>
            <w:r w:rsidRPr="00012983">
              <w:rPr>
                <w:rFonts w:eastAsia="Calibri" w:cs="Times New Roman"/>
                <w:sz w:val="18"/>
                <w:szCs w:val="18"/>
                <w:lang w:val="pt-BR"/>
              </w:rPr>
              <w:t xml:space="preserve">, particularly in wet areas west of the Cascades </w:t>
            </w:r>
            <w:r w:rsidRPr="00012983">
              <w:rPr>
                <w:rFonts w:eastAsia="Calibri" w:cs="Times New Roman"/>
                <w:noProof/>
                <w:sz w:val="18"/>
                <w:szCs w:val="18"/>
                <w:lang w:val="pt-BR"/>
              </w:rPr>
              <w:t>(Dugan, Grove &amp; Rogers 1993)</w:t>
            </w:r>
          </w:p>
        </w:tc>
        <w:tc>
          <w:tcPr>
            <w:tcW w:w="1474" w:type="dxa"/>
            <w:shd w:val="clear" w:color="auto" w:fill="auto"/>
          </w:tcPr>
          <w:p w14:paraId="03504AD6" w14:textId="77777777" w:rsidR="003438A2" w:rsidRPr="00012983" w:rsidRDefault="003438A2" w:rsidP="00881E29">
            <w:pPr>
              <w:spacing w:before="60" w:after="60" w:line="240" w:lineRule="auto"/>
              <w:rPr>
                <w:rFonts w:eastAsia="Calibri" w:cs="Times New Roman"/>
                <w:sz w:val="18"/>
                <w:szCs w:val="18"/>
              </w:rPr>
            </w:pPr>
            <w:r w:rsidRPr="00012983">
              <w:rPr>
                <w:rFonts w:eastAsia="Calibri" w:cs="Times New Roman"/>
                <w:sz w:val="18"/>
                <w:szCs w:val="18"/>
              </w:rPr>
              <w:t>No records found</w:t>
            </w:r>
          </w:p>
        </w:tc>
        <w:tc>
          <w:tcPr>
            <w:tcW w:w="2552" w:type="dxa"/>
            <w:shd w:val="clear" w:color="auto" w:fill="auto"/>
          </w:tcPr>
          <w:p w14:paraId="3A53ABB7" w14:textId="77777777" w:rsidR="003438A2" w:rsidRPr="00012983" w:rsidRDefault="003438A2" w:rsidP="00881E29">
            <w:pPr>
              <w:spacing w:before="60" w:after="60" w:line="240" w:lineRule="auto"/>
              <w:rPr>
                <w:rFonts w:eastAsia="Calibri" w:cs="Times New Roman"/>
                <w:sz w:val="18"/>
                <w:szCs w:val="18"/>
              </w:rPr>
            </w:pPr>
            <w:r w:rsidRPr="00012983">
              <w:rPr>
                <w:rFonts w:eastAsia="Calibri" w:cs="Times New Roman"/>
                <w:sz w:val="18"/>
                <w:szCs w:val="18"/>
              </w:rPr>
              <w:t xml:space="preserve">Yes. Can infect fruit and cause fruit to rot in storage </w:t>
            </w:r>
            <w:r w:rsidRPr="00012983">
              <w:rPr>
                <w:rFonts w:eastAsia="Calibri" w:cs="Times New Roman"/>
                <w:noProof/>
                <w:sz w:val="18"/>
                <w:szCs w:val="18"/>
              </w:rPr>
              <w:t>(Grove 1990a; Jones &amp; Sutton 1996)</w:t>
            </w:r>
            <w:r w:rsidRPr="00012983">
              <w:rPr>
                <w:rFonts w:eastAsia="Calibri" w:cs="Times New Roman"/>
                <w:sz w:val="18"/>
                <w:szCs w:val="18"/>
              </w:rPr>
              <w:t xml:space="preserve">. This pathogen causes Bull’s eye rot of stored apple fruit </w:t>
            </w:r>
            <w:r w:rsidRPr="00012983">
              <w:rPr>
                <w:rFonts w:eastAsia="Calibri" w:cs="Times New Roman"/>
                <w:noProof/>
                <w:sz w:val="18"/>
                <w:szCs w:val="18"/>
              </w:rPr>
              <w:t>(Dugan 1993; Verkley 1999)</w:t>
            </w:r>
            <w:r>
              <w:rPr>
                <w:rFonts w:eastAsia="Calibri" w:cs="Times New Roman"/>
                <w:sz w:val="18"/>
                <w:szCs w:val="18"/>
              </w:rPr>
              <w:t>.</w:t>
            </w:r>
          </w:p>
        </w:tc>
        <w:tc>
          <w:tcPr>
            <w:tcW w:w="2381" w:type="dxa"/>
            <w:shd w:val="clear" w:color="auto" w:fill="auto"/>
          </w:tcPr>
          <w:p w14:paraId="36EF5942" w14:textId="77777777" w:rsidR="003438A2" w:rsidRPr="00012983" w:rsidRDefault="003438A2" w:rsidP="00881E29">
            <w:pPr>
              <w:spacing w:before="60" w:after="60" w:line="240" w:lineRule="auto"/>
              <w:rPr>
                <w:rFonts w:eastAsia="Calibri" w:cs="Times New Roman"/>
                <w:sz w:val="18"/>
                <w:szCs w:val="18"/>
              </w:rPr>
            </w:pPr>
            <w:r w:rsidRPr="00012983">
              <w:rPr>
                <w:rFonts w:eastAsia="Calibri" w:cs="Times New Roman"/>
                <w:sz w:val="18"/>
                <w:szCs w:val="18"/>
              </w:rPr>
              <w:t xml:space="preserve">Yes. Fungal spores produced in the canker are spread by rain and wind. Infection occurs in autumn. Fungal spores spread from limb cankers to maturing fruit, young limbs and twigs. Fungus fruiting bodies develop in the centre of spots on infected fruit </w:t>
            </w:r>
            <w:r>
              <w:rPr>
                <w:rFonts w:eastAsia="Calibri" w:cs="Times New Roman"/>
                <w:noProof/>
                <w:sz w:val="18"/>
                <w:szCs w:val="18"/>
              </w:rPr>
              <w:t>(Pscheidt &amp; Ocamb 2021d)</w:t>
            </w:r>
            <w:r w:rsidRPr="00012983">
              <w:rPr>
                <w:rFonts w:eastAsia="Calibri" w:cs="Times New Roman"/>
                <w:sz w:val="18"/>
                <w:szCs w:val="18"/>
              </w:rPr>
              <w:t>. Suitable hosts, particularly apple and pear, are grown in Australia</w:t>
            </w:r>
            <w:r>
              <w:rPr>
                <w:rFonts w:eastAsia="Calibri" w:cs="Times New Roman"/>
                <w:sz w:val="18"/>
                <w:szCs w:val="18"/>
              </w:rPr>
              <w:t>.</w:t>
            </w:r>
          </w:p>
        </w:tc>
        <w:tc>
          <w:tcPr>
            <w:tcW w:w="2211" w:type="dxa"/>
            <w:shd w:val="clear" w:color="auto" w:fill="auto"/>
          </w:tcPr>
          <w:p w14:paraId="1740184A" w14:textId="77777777" w:rsidR="003438A2" w:rsidRPr="00012983" w:rsidRDefault="003438A2" w:rsidP="00881E29">
            <w:pPr>
              <w:spacing w:before="60" w:after="60" w:line="240" w:lineRule="auto"/>
              <w:rPr>
                <w:rFonts w:eastAsia="Calibri" w:cs="Times New Roman"/>
                <w:sz w:val="18"/>
                <w:szCs w:val="18"/>
              </w:rPr>
            </w:pPr>
            <w:r w:rsidRPr="00012983">
              <w:rPr>
                <w:rFonts w:eastAsia="Calibri" w:cs="Times New Roman"/>
                <w:sz w:val="18"/>
                <w:szCs w:val="18"/>
              </w:rPr>
              <w:t xml:space="preserve">Yes. Bull’s eye rot is the most important post-harvest disease in Washington. It can cause serious economic losses due to rot occurring in storage </w:t>
            </w:r>
            <w:r w:rsidRPr="00012983">
              <w:rPr>
                <w:rFonts w:eastAsia="Calibri" w:cs="Times New Roman"/>
                <w:noProof/>
                <w:sz w:val="18"/>
                <w:szCs w:val="18"/>
              </w:rPr>
              <w:t>(Smith 2001)</w:t>
            </w:r>
            <w:r w:rsidRPr="00012983">
              <w:rPr>
                <w:rFonts w:eastAsia="Calibri" w:cs="Times New Roman"/>
                <w:sz w:val="18"/>
                <w:szCs w:val="18"/>
              </w:rPr>
              <w:t xml:space="preserve">. The disease is severe in the high rainfall areas west of the Cascades and British Columbia </w:t>
            </w:r>
            <w:r>
              <w:rPr>
                <w:rFonts w:eastAsia="Calibri" w:cs="Times New Roman"/>
                <w:noProof/>
                <w:sz w:val="18"/>
                <w:szCs w:val="18"/>
              </w:rPr>
              <w:t>(Pscheidt &amp; Ocamb 2021d)</w:t>
            </w:r>
            <w:r w:rsidRPr="00012983">
              <w:rPr>
                <w:rFonts w:eastAsia="Calibri" w:cs="Times New Roman"/>
                <w:sz w:val="18"/>
                <w:szCs w:val="18"/>
              </w:rPr>
              <w:t xml:space="preserve">. Severe outbreaks of bull’s eye rot occurred in Washington in 1985, 1987 and 1988 </w:t>
            </w:r>
            <w:r w:rsidRPr="00012983">
              <w:rPr>
                <w:rFonts w:eastAsia="Calibri" w:cs="Times New Roman"/>
                <w:noProof/>
                <w:sz w:val="18"/>
                <w:szCs w:val="18"/>
              </w:rPr>
              <w:t>(Grove, Dugan &amp; Boal 1992)</w:t>
            </w:r>
            <w:r w:rsidRPr="00012983">
              <w:rPr>
                <w:rFonts w:eastAsia="Calibri" w:cs="Times New Roman"/>
                <w:sz w:val="18"/>
                <w:szCs w:val="18"/>
              </w:rPr>
              <w:t xml:space="preserve">. This fungus rarely kills trees as the cankers are generally confined to small branches and twigs. Losses occur due to fruit rot after fruit have been in storage for several months </w:t>
            </w:r>
            <w:r w:rsidRPr="00012983">
              <w:rPr>
                <w:rFonts w:eastAsia="Calibri" w:cs="Times New Roman"/>
                <w:noProof/>
                <w:sz w:val="18"/>
                <w:szCs w:val="18"/>
              </w:rPr>
              <w:t>(Grove 1990a)</w:t>
            </w:r>
            <w:r w:rsidRPr="00012983">
              <w:rPr>
                <w:rFonts w:eastAsia="Calibri" w:cs="Times New Roman"/>
                <w:sz w:val="18"/>
                <w:szCs w:val="18"/>
              </w:rPr>
              <w:t xml:space="preserve">. Bull’s eye rot is a slow growing rot and does not commonly spread from fruit to fruit </w:t>
            </w:r>
            <w:r w:rsidRPr="00012983">
              <w:rPr>
                <w:rFonts w:eastAsia="Calibri" w:cs="Times New Roman"/>
                <w:noProof/>
                <w:sz w:val="18"/>
                <w:szCs w:val="18"/>
              </w:rPr>
              <w:t>(Dugan 1993)</w:t>
            </w:r>
            <w:r>
              <w:rPr>
                <w:rFonts w:eastAsia="Calibri" w:cs="Times New Roman"/>
                <w:sz w:val="18"/>
                <w:szCs w:val="18"/>
              </w:rPr>
              <w:t>.</w:t>
            </w:r>
          </w:p>
        </w:tc>
        <w:tc>
          <w:tcPr>
            <w:tcW w:w="1191" w:type="dxa"/>
            <w:shd w:val="clear" w:color="auto" w:fill="auto"/>
          </w:tcPr>
          <w:p w14:paraId="10F08429" w14:textId="77777777" w:rsidR="003438A2" w:rsidRPr="00012983" w:rsidRDefault="003438A2" w:rsidP="00881E29">
            <w:pPr>
              <w:spacing w:before="60" w:after="60" w:line="240" w:lineRule="auto"/>
              <w:rPr>
                <w:rFonts w:eastAsia="Calibri" w:cs="Times New Roman"/>
                <w:sz w:val="18"/>
                <w:szCs w:val="18"/>
              </w:rPr>
            </w:pPr>
            <w:r w:rsidRPr="00012983">
              <w:rPr>
                <w:rFonts w:eastAsia="Calibri" w:cs="Times New Roman"/>
                <w:sz w:val="18"/>
                <w:szCs w:val="18"/>
              </w:rPr>
              <w:t>Yes (EP)</w:t>
            </w:r>
          </w:p>
        </w:tc>
      </w:tr>
      <w:tr w:rsidR="003438A2" w:rsidRPr="00D95799" w14:paraId="68ED3378" w14:textId="77777777" w:rsidTr="00012983">
        <w:trPr>
          <w:cantSplit/>
          <w:trHeight w:val="75"/>
          <w:jc w:val="center"/>
        </w:trPr>
        <w:tc>
          <w:tcPr>
            <w:tcW w:w="1985" w:type="dxa"/>
            <w:shd w:val="clear" w:color="auto" w:fill="auto"/>
          </w:tcPr>
          <w:p w14:paraId="1826C07D"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
                <w:iCs/>
                <w:sz w:val="18"/>
                <w:szCs w:val="18"/>
              </w:rPr>
              <w:lastRenderedPageBreak/>
              <w:t xml:space="preserve">Neofabraea perennans </w:t>
            </w:r>
            <w:r w:rsidRPr="00D95799">
              <w:rPr>
                <w:rFonts w:eastAsia="Calibri" w:cs="Times New Roman"/>
                <w:iCs/>
                <w:sz w:val="18"/>
                <w:szCs w:val="18"/>
              </w:rPr>
              <w:t>Kienholz</w:t>
            </w:r>
          </w:p>
          <w:p w14:paraId="21B32C57"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 xml:space="preserve">Synonyms: </w:t>
            </w:r>
            <w:r w:rsidRPr="00D95799">
              <w:rPr>
                <w:rFonts w:eastAsia="Calibri" w:cs="Times New Roman"/>
                <w:i/>
                <w:iCs/>
                <w:sz w:val="18"/>
                <w:szCs w:val="18"/>
              </w:rPr>
              <w:t>Cryptosporiopsis perennans</w:t>
            </w:r>
            <w:r w:rsidRPr="00D95799">
              <w:rPr>
                <w:rFonts w:eastAsia="Calibri" w:cs="Times New Roman"/>
                <w:iCs/>
                <w:sz w:val="18"/>
                <w:szCs w:val="18"/>
              </w:rPr>
              <w:t xml:space="preserve"> (Zeller &amp; Childs) Wollenw.; </w:t>
            </w:r>
            <w:r w:rsidRPr="00D95799">
              <w:rPr>
                <w:rFonts w:eastAsia="Calibri" w:cs="Times New Roman"/>
                <w:i/>
                <w:iCs/>
                <w:sz w:val="18"/>
                <w:szCs w:val="18"/>
              </w:rPr>
              <w:t>Pezicula perennans</w:t>
            </w:r>
            <w:r w:rsidRPr="00D95799">
              <w:rPr>
                <w:rFonts w:eastAsia="Calibri" w:cs="Times New Roman"/>
                <w:iCs/>
                <w:sz w:val="18"/>
                <w:szCs w:val="18"/>
              </w:rPr>
              <w:t xml:space="preserve"> (Kienholz) Dugan, R.G. Roberts &amp; G.G. Grove</w:t>
            </w:r>
          </w:p>
          <w:p w14:paraId="71B8D088"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[Helotiales:</w:t>
            </w:r>
            <w:r w:rsidRPr="00D95799">
              <w:rPr>
                <w:rFonts w:eastAsia="Calibri" w:cs="Times New Roman"/>
                <w:sz w:val="18"/>
                <w:szCs w:val="18"/>
              </w:rPr>
              <w:t xml:space="preserve"> Dermateaceae</w:t>
            </w:r>
            <w:r w:rsidRPr="00D95799">
              <w:rPr>
                <w:rFonts w:eastAsia="Calibri" w:cs="Times New Roman"/>
                <w:iCs/>
                <w:sz w:val="18"/>
                <w:szCs w:val="18"/>
              </w:rPr>
              <w:t>]</w:t>
            </w:r>
          </w:p>
          <w:p w14:paraId="5A24E3D2" w14:textId="77777777" w:rsidR="003438A2" w:rsidRPr="00D95799" w:rsidRDefault="003438A2" w:rsidP="00881E29">
            <w:pPr>
              <w:keepNext/>
              <w:spacing w:before="60" w:after="60" w:line="240" w:lineRule="auto"/>
              <w:rPr>
                <w:rFonts w:eastAsia="Calibri" w:cs="Times New Roman"/>
                <w:i/>
                <w:iCs/>
                <w:sz w:val="18"/>
                <w:szCs w:val="18"/>
              </w:rPr>
            </w:pPr>
            <w:r w:rsidRPr="00D95799">
              <w:rPr>
                <w:rFonts w:eastAsia="Calibri" w:cs="Times New Roman"/>
                <w:iCs/>
                <w:sz w:val="18"/>
                <w:szCs w:val="18"/>
              </w:rPr>
              <w:t>Perennial canker and bull’s-eye rot</w:t>
            </w:r>
          </w:p>
        </w:tc>
        <w:tc>
          <w:tcPr>
            <w:tcW w:w="1474" w:type="dxa"/>
            <w:shd w:val="clear" w:color="auto" w:fill="auto"/>
          </w:tcPr>
          <w:p w14:paraId="5444D737"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sz w:val="18"/>
                <w:szCs w:val="18"/>
                <w:lang w:val="pt-BR"/>
              </w:rPr>
              <w:t xml:space="preserve">Yes. </w:t>
            </w:r>
            <w:r>
              <w:rPr>
                <w:rFonts w:eastAsia="Calibri" w:cs="Times New Roman"/>
                <w:sz w:val="18"/>
                <w:szCs w:val="18"/>
                <w:lang w:val="pt-BR"/>
              </w:rPr>
              <w:t xml:space="preserve">Present in </w:t>
            </w:r>
            <w:r w:rsidRPr="00D95799">
              <w:rPr>
                <w:rFonts w:eastAsia="Calibri" w:cs="Times New Roman"/>
                <w:sz w:val="18"/>
                <w:szCs w:val="18"/>
                <w:lang w:val="pt-BR"/>
              </w:rPr>
              <w:t>ID,</w:t>
            </w:r>
            <w:r>
              <w:rPr>
                <w:rFonts w:eastAsia="Calibri" w:cs="Times New Roman"/>
                <w:sz w:val="18"/>
                <w:szCs w:val="18"/>
                <w:lang w:val="pt-BR"/>
              </w:rPr>
              <w:t xml:space="preserve"> </w:t>
            </w:r>
            <w:r w:rsidRPr="00D95799">
              <w:rPr>
                <w:rFonts w:eastAsia="Calibri" w:cs="Times New Roman"/>
                <w:sz w:val="18"/>
                <w:szCs w:val="18"/>
                <w:lang w:val="pt-BR"/>
              </w:rPr>
              <w:t>OR</w:t>
            </w:r>
            <w:r>
              <w:rPr>
                <w:rFonts w:eastAsia="Calibri" w:cs="Times New Roman"/>
                <w:sz w:val="18"/>
                <w:szCs w:val="18"/>
                <w:lang w:val="pt-BR"/>
              </w:rPr>
              <w:t xml:space="preserve"> and</w:t>
            </w:r>
            <w:r w:rsidRPr="00D95799">
              <w:rPr>
                <w:rFonts w:eastAsia="Calibri" w:cs="Times New Roman"/>
                <w:sz w:val="18"/>
                <w:szCs w:val="18"/>
                <w:lang w:val="pt-BR"/>
              </w:rPr>
              <w:t xml:space="preserve"> WA</w:t>
            </w:r>
            <w:r>
              <w:rPr>
                <w:rFonts w:eastAsia="Calibri" w:cs="Times New Roman"/>
                <w:sz w:val="18"/>
                <w:szCs w:val="18"/>
                <w:lang w:val="pt-BR"/>
              </w:rPr>
              <w:t>. Also present in</w:t>
            </w:r>
            <w:r w:rsidRPr="00D95799">
              <w:rPr>
                <w:rFonts w:eastAsia="Calibri" w:cs="Times New Roman"/>
                <w:sz w:val="18"/>
                <w:szCs w:val="18"/>
                <w:lang w:val="pt-BR"/>
              </w:rPr>
              <w:t xml:space="preserve"> ME</w:t>
            </w:r>
            <w:r>
              <w:rPr>
                <w:rFonts w:eastAsia="Calibri" w:cs="Times New Roman"/>
                <w:sz w:val="18"/>
                <w:szCs w:val="18"/>
                <w:lang w:val="pt-BR"/>
              </w:rPr>
              <w:t xml:space="preserve"> and</w:t>
            </w:r>
            <w:r w:rsidRPr="00D95799">
              <w:rPr>
                <w:rFonts w:eastAsia="Calibri" w:cs="Times New Roman"/>
                <w:sz w:val="18"/>
                <w:szCs w:val="18"/>
                <w:lang w:val="pt-BR"/>
              </w:rPr>
              <w:t xml:space="preserve"> MT </w:t>
            </w:r>
            <w:r>
              <w:rPr>
                <w:rFonts w:eastAsia="Calibri" w:cs="Times New Roman"/>
                <w:noProof/>
                <w:sz w:val="18"/>
                <w:szCs w:val="18"/>
                <w:lang w:val="pt-BR"/>
              </w:rPr>
              <w:t>(Farr &amp; Rossman 2018; Glawe 2009)</w:t>
            </w:r>
            <w:r w:rsidRPr="00D95799">
              <w:rPr>
                <w:rFonts w:eastAsia="Calibri" w:cs="Times New Roman"/>
                <w:sz w:val="18"/>
                <w:szCs w:val="18"/>
                <w:lang w:val="pt-BR"/>
              </w:rPr>
              <w:t>.</w:t>
            </w:r>
            <w:r>
              <w:rPr>
                <w:rFonts w:eastAsia="Calibri" w:cs="Times New Roman"/>
                <w:sz w:val="18"/>
                <w:szCs w:val="18"/>
                <w:lang w:val="pt-BR"/>
              </w:rPr>
              <w:t xml:space="preserve"> </w:t>
            </w:r>
            <w:r w:rsidRPr="00D95799">
              <w:rPr>
                <w:rFonts w:eastAsia="Calibri" w:cs="Times New Roman"/>
                <w:sz w:val="18"/>
                <w:szCs w:val="18"/>
                <w:lang w:val="pt-BR"/>
              </w:rPr>
              <w:t>Prevalent in the PNW</w:t>
            </w:r>
            <w:r>
              <w:rPr>
                <w:rFonts w:eastAsia="Calibri" w:cs="Times New Roman"/>
                <w:sz w:val="18"/>
                <w:szCs w:val="18"/>
                <w:lang w:val="pt-BR"/>
              </w:rPr>
              <w:t>-USA</w:t>
            </w:r>
            <w:r w:rsidRPr="00D95799">
              <w:rPr>
                <w:rFonts w:eastAsia="Calibri" w:cs="Times New Roman"/>
                <w:sz w:val="18"/>
                <w:szCs w:val="18"/>
                <w:lang w:val="pt-BR"/>
              </w:rPr>
              <w:t xml:space="preserve"> </w:t>
            </w:r>
            <w:r>
              <w:rPr>
                <w:rFonts w:eastAsia="Calibri" w:cs="Times New Roman"/>
                <w:noProof/>
                <w:sz w:val="18"/>
                <w:szCs w:val="18"/>
                <w:lang w:val="pt-BR"/>
              </w:rPr>
              <w:t>(Grove 1990a)</w:t>
            </w:r>
            <w:r w:rsidRPr="00D95799">
              <w:rPr>
                <w:rFonts w:eastAsia="Calibri" w:cs="Times New Roman"/>
                <w:sz w:val="18"/>
                <w:szCs w:val="18"/>
                <w:lang w:val="pt-BR"/>
              </w:rPr>
              <w:t xml:space="preserve">, particularly east of the Cascades where winters are cold and summers are dry and hot </w:t>
            </w:r>
            <w:r>
              <w:rPr>
                <w:rFonts w:eastAsia="Calibri" w:cs="Times New Roman"/>
                <w:noProof/>
                <w:sz w:val="18"/>
                <w:szCs w:val="18"/>
                <w:lang w:val="pt-BR"/>
              </w:rPr>
              <w:t>(Dugan, Grove &amp; Rogers 1993)</w:t>
            </w:r>
          </w:p>
        </w:tc>
        <w:tc>
          <w:tcPr>
            <w:tcW w:w="1474" w:type="dxa"/>
            <w:shd w:val="clear" w:color="auto" w:fill="auto"/>
          </w:tcPr>
          <w:p w14:paraId="70013058"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Vic. </w:t>
            </w:r>
            <w:r>
              <w:rPr>
                <w:rFonts w:eastAsia="Calibri" w:cs="Times New Roman"/>
                <w:noProof/>
                <w:sz w:val="18"/>
                <w:szCs w:val="18"/>
              </w:rPr>
              <w:t>(Cunnington 2004; Plant Health Australia 2018)</w:t>
            </w:r>
            <w:r w:rsidRPr="00D95799">
              <w:rPr>
                <w:rFonts w:eastAsia="Calibri" w:cs="Times New Roman"/>
                <w:sz w:val="18"/>
                <w:szCs w:val="18"/>
              </w:rPr>
              <w:t xml:space="preserve">, Tas. </w:t>
            </w:r>
            <w:r>
              <w:rPr>
                <w:rFonts w:eastAsia="Calibri" w:cs="Times New Roman"/>
                <w:noProof/>
                <w:sz w:val="18"/>
                <w:szCs w:val="18"/>
              </w:rPr>
              <w:t>(de Jong 1998)</w:t>
            </w:r>
            <w:r>
              <w:rPr>
                <w:rFonts w:eastAsia="Calibri" w:cs="Times New Roman"/>
                <w:sz w:val="18"/>
                <w:szCs w:val="18"/>
              </w:rPr>
              <w:t xml:space="preserve">. </w:t>
            </w:r>
            <w:r w:rsidRPr="00D95799">
              <w:rPr>
                <w:rFonts w:eastAsia="Calibri" w:cs="Times New Roman"/>
                <w:sz w:val="18"/>
                <w:szCs w:val="18"/>
              </w:rPr>
              <w:t xml:space="preserve">Absent from WA </w:t>
            </w:r>
            <w:r>
              <w:rPr>
                <w:rFonts w:eastAsia="Calibri" w:cs="Times New Roman"/>
                <w:noProof/>
                <w:sz w:val="18"/>
                <w:szCs w:val="18"/>
              </w:rPr>
              <w:t>(Government of Western Australia 2018)</w:t>
            </w:r>
          </w:p>
        </w:tc>
        <w:tc>
          <w:tcPr>
            <w:tcW w:w="2552" w:type="dxa"/>
            <w:shd w:val="clear" w:color="auto" w:fill="auto"/>
          </w:tcPr>
          <w:p w14:paraId="78A8983A" w14:textId="77777777" w:rsidR="003438A2" w:rsidRPr="00D95799" w:rsidRDefault="003438A2" w:rsidP="00881E29">
            <w:pPr>
              <w:spacing w:before="60" w:after="60" w:line="240" w:lineRule="auto"/>
              <w:rPr>
                <w:rFonts w:eastAsia="Calibri" w:cs="Times New Roman"/>
                <w:sz w:val="18"/>
                <w:szCs w:val="18"/>
              </w:rPr>
            </w:pPr>
            <w:r>
              <w:rPr>
                <w:rFonts w:eastAsia="Calibri" w:cs="Times New Roman"/>
                <w:sz w:val="18"/>
                <w:szCs w:val="18"/>
              </w:rPr>
              <w:t>Assessment not required</w:t>
            </w:r>
          </w:p>
        </w:tc>
        <w:tc>
          <w:tcPr>
            <w:tcW w:w="2381" w:type="dxa"/>
            <w:shd w:val="clear" w:color="auto" w:fill="auto"/>
          </w:tcPr>
          <w:p w14:paraId="76E4D770" w14:textId="77777777" w:rsidR="003438A2" w:rsidRPr="00D95799" w:rsidRDefault="003438A2" w:rsidP="00881E29">
            <w:pPr>
              <w:spacing w:before="60" w:after="60" w:line="240" w:lineRule="auto"/>
              <w:rPr>
                <w:rFonts w:eastAsia="Calibri" w:cs="Times New Roman"/>
                <w:sz w:val="18"/>
                <w:szCs w:val="18"/>
              </w:rPr>
            </w:pPr>
            <w:r>
              <w:rPr>
                <w:rFonts w:eastAsia="Calibri" w:cs="Times New Roman"/>
                <w:sz w:val="18"/>
                <w:szCs w:val="18"/>
              </w:rPr>
              <w:t>Assessment not required</w:t>
            </w:r>
          </w:p>
        </w:tc>
        <w:tc>
          <w:tcPr>
            <w:tcW w:w="2211" w:type="dxa"/>
            <w:shd w:val="clear" w:color="auto" w:fill="auto"/>
          </w:tcPr>
          <w:p w14:paraId="4429D2F5" w14:textId="77777777" w:rsidR="003438A2" w:rsidRPr="00D95799" w:rsidRDefault="003438A2" w:rsidP="00881E29">
            <w:pPr>
              <w:spacing w:before="60" w:after="60" w:line="240" w:lineRule="auto"/>
              <w:rPr>
                <w:rFonts w:eastAsia="Calibri" w:cs="Times New Roman"/>
                <w:sz w:val="18"/>
                <w:szCs w:val="18"/>
              </w:rPr>
            </w:pPr>
            <w:r>
              <w:rPr>
                <w:rFonts w:eastAsia="Calibri" w:cs="Times New Roman"/>
                <w:sz w:val="18"/>
                <w:szCs w:val="18"/>
              </w:rPr>
              <w:t>Assessment not required</w:t>
            </w:r>
          </w:p>
        </w:tc>
        <w:tc>
          <w:tcPr>
            <w:tcW w:w="1191" w:type="dxa"/>
            <w:shd w:val="clear" w:color="auto" w:fill="auto"/>
          </w:tcPr>
          <w:p w14:paraId="138ED0CE" w14:textId="77777777" w:rsidR="003438A2" w:rsidRPr="00D95799" w:rsidRDefault="003438A2" w:rsidP="00881E29">
            <w:pPr>
              <w:spacing w:before="60" w:after="60" w:line="240" w:lineRule="auto"/>
              <w:rPr>
                <w:rFonts w:eastAsia="Calibri" w:cs="Times New Roman"/>
                <w:sz w:val="18"/>
                <w:szCs w:val="18"/>
              </w:rPr>
            </w:pPr>
            <w:r>
              <w:rPr>
                <w:rFonts w:eastAsia="Calibri" w:cs="Times New Roman"/>
                <w:sz w:val="18"/>
                <w:szCs w:val="18"/>
              </w:rPr>
              <w:t>No</w:t>
            </w:r>
          </w:p>
        </w:tc>
      </w:tr>
      <w:tr w:rsidR="003438A2" w:rsidRPr="00D95799" w14:paraId="6FB76208" w14:textId="77777777" w:rsidTr="00C46663">
        <w:trPr>
          <w:cantSplit/>
          <w:trHeight w:val="75"/>
          <w:jc w:val="center"/>
        </w:trPr>
        <w:tc>
          <w:tcPr>
            <w:tcW w:w="1985" w:type="dxa"/>
            <w:shd w:val="clear" w:color="auto" w:fill="auto"/>
          </w:tcPr>
          <w:p w14:paraId="6EDC6B1E" w14:textId="77777777" w:rsidR="003438A2" w:rsidRDefault="003438A2" w:rsidP="00881E29">
            <w:pPr>
              <w:spacing w:before="60" w:after="60" w:line="240" w:lineRule="auto"/>
              <w:rPr>
                <w:rFonts w:eastAsia="Calibri" w:cs="Times New Roman"/>
                <w:i/>
                <w:iCs/>
                <w:sz w:val="18"/>
                <w:szCs w:val="18"/>
              </w:rPr>
            </w:pPr>
            <w:r w:rsidRPr="00D95799">
              <w:rPr>
                <w:rFonts w:eastAsia="Calibri" w:cs="Times New Roman"/>
                <w:i/>
                <w:iCs/>
                <w:sz w:val="18"/>
                <w:szCs w:val="18"/>
              </w:rPr>
              <w:t xml:space="preserve">Neonectria ditissima </w:t>
            </w:r>
            <w:r w:rsidRPr="00D95799">
              <w:rPr>
                <w:rFonts w:eastAsia="Calibri" w:cs="Times New Roman"/>
                <w:iCs/>
                <w:sz w:val="18"/>
                <w:szCs w:val="18"/>
              </w:rPr>
              <w:t>(Tul. &amp; C. Tul.) Samuels &amp; Rossman</w:t>
            </w:r>
          </w:p>
          <w:p w14:paraId="190646A7"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Synonym:</w:t>
            </w:r>
            <w:r w:rsidRPr="00D95799">
              <w:rPr>
                <w:rFonts w:eastAsia="Calibri" w:cs="Times New Roman"/>
                <w:i/>
                <w:iCs/>
                <w:sz w:val="18"/>
                <w:szCs w:val="18"/>
              </w:rPr>
              <w:t xml:space="preserve"> Nectria galligena </w:t>
            </w:r>
            <w:r w:rsidRPr="00D95799">
              <w:rPr>
                <w:rFonts w:eastAsia="Calibri" w:cs="Times New Roman"/>
                <w:iCs/>
                <w:sz w:val="18"/>
                <w:szCs w:val="18"/>
              </w:rPr>
              <w:t>Bres</w:t>
            </w:r>
          </w:p>
          <w:p w14:paraId="20D125C0"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 xml:space="preserve">[Hypocreales: </w:t>
            </w:r>
            <w:r w:rsidRPr="00D95799">
              <w:rPr>
                <w:rFonts w:eastAsia="Calibri" w:cs="Times New Roman"/>
                <w:sz w:val="18"/>
                <w:szCs w:val="18"/>
              </w:rPr>
              <w:t>Nectriaceae</w:t>
            </w:r>
            <w:r w:rsidRPr="00D95799">
              <w:rPr>
                <w:rFonts w:eastAsia="Calibri" w:cs="Times New Roman"/>
                <w:iCs/>
                <w:sz w:val="18"/>
                <w:szCs w:val="18"/>
              </w:rPr>
              <w:t>]</w:t>
            </w:r>
          </w:p>
          <w:p w14:paraId="12A1E941"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iCs/>
                <w:sz w:val="18"/>
                <w:szCs w:val="18"/>
              </w:rPr>
              <w:t>European canker</w:t>
            </w:r>
          </w:p>
        </w:tc>
        <w:tc>
          <w:tcPr>
            <w:tcW w:w="1474" w:type="dxa"/>
            <w:shd w:val="clear" w:color="auto" w:fill="auto"/>
          </w:tcPr>
          <w:p w14:paraId="687E266C"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sz w:val="18"/>
                <w:szCs w:val="18"/>
                <w:lang w:val="pt-BR"/>
              </w:rPr>
              <w:t xml:space="preserve">Yes. </w:t>
            </w:r>
            <w:r>
              <w:rPr>
                <w:rFonts w:eastAsia="Calibri" w:cs="Times New Roman"/>
                <w:sz w:val="18"/>
                <w:szCs w:val="18"/>
                <w:lang w:val="pt-BR"/>
              </w:rPr>
              <w:t xml:space="preserve">Present in </w:t>
            </w:r>
            <w:r w:rsidRPr="00D95799">
              <w:rPr>
                <w:rFonts w:eastAsia="Calibri" w:cs="Times New Roman"/>
                <w:sz w:val="18"/>
                <w:szCs w:val="18"/>
                <w:lang w:val="pt-BR"/>
              </w:rPr>
              <w:t>ID, OR</w:t>
            </w:r>
            <w:r>
              <w:rPr>
                <w:rFonts w:eastAsia="Calibri" w:cs="Times New Roman"/>
                <w:sz w:val="18"/>
                <w:szCs w:val="18"/>
                <w:lang w:val="pt-BR"/>
              </w:rPr>
              <w:t xml:space="preserve"> and</w:t>
            </w:r>
            <w:r w:rsidRPr="00D95799">
              <w:rPr>
                <w:rFonts w:eastAsia="Calibri" w:cs="Times New Roman"/>
                <w:sz w:val="18"/>
                <w:szCs w:val="18"/>
                <w:lang w:val="pt-BR"/>
              </w:rPr>
              <w:t xml:space="preserve"> WA </w:t>
            </w:r>
            <w:r>
              <w:rPr>
                <w:rFonts w:eastAsia="Calibri" w:cs="Times New Roman"/>
                <w:noProof/>
                <w:sz w:val="18"/>
                <w:szCs w:val="18"/>
                <w:lang w:val="pt-BR"/>
              </w:rPr>
              <w:t>(APHIS 2007; Grove 1990b)</w:t>
            </w:r>
            <w:r>
              <w:rPr>
                <w:rFonts w:eastAsia="Calibri" w:cs="Times New Roman"/>
                <w:sz w:val="18"/>
                <w:szCs w:val="18"/>
                <w:lang w:val="pt-BR"/>
              </w:rPr>
              <w:t>.</w:t>
            </w:r>
            <w:r>
              <w:rPr>
                <w:rFonts w:eastAsia="Calibri" w:cs="Times New Roman"/>
                <w:sz w:val="18"/>
                <w:szCs w:val="18"/>
              </w:rPr>
              <w:t xml:space="preserve"> Also present in </w:t>
            </w:r>
            <w:r w:rsidRPr="00D95799">
              <w:rPr>
                <w:rFonts w:eastAsia="Calibri" w:cs="Times New Roman"/>
                <w:sz w:val="18"/>
                <w:szCs w:val="18"/>
                <w:lang w:val="pt-BR"/>
              </w:rPr>
              <w:t xml:space="preserve">eastern, central and </w:t>
            </w:r>
            <w:r>
              <w:rPr>
                <w:rFonts w:eastAsia="Calibri" w:cs="Times New Roman"/>
                <w:sz w:val="18"/>
                <w:szCs w:val="18"/>
                <w:lang w:val="pt-BR"/>
              </w:rPr>
              <w:t xml:space="preserve">western states, CA, MI, MS and NC </w:t>
            </w:r>
            <w:r>
              <w:rPr>
                <w:rFonts w:eastAsia="Calibri" w:cs="Times New Roman"/>
                <w:noProof/>
                <w:sz w:val="18"/>
                <w:szCs w:val="18"/>
                <w:lang w:val="pt-BR"/>
              </w:rPr>
              <w:t>(Farr &amp; Rossman 2018; Glawe 2009)</w:t>
            </w:r>
          </w:p>
        </w:tc>
        <w:tc>
          <w:tcPr>
            <w:tcW w:w="1474" w:type="dxa"/>
            <w:shd w:val="clear" w:color="auto" w:fill="auto"/>
          </w:tcPr>
          <w:p w14:paraId="4A94E5D5"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 records found.</w:t>
            </w:r>
            <w:r>
              <w:rPr>
                <w:rFonts w:eastAsia="Calibri" w:cs="Times New Roman"/>
                <w:sz w:val="18"/>
                <w:szCs w:val="18"/>
              </w:rPr>
              <w:t xml:space="preserve"> </w:t>
            </w:r>
            <w:r w:rsidRPr="00D95799">
              <w:rPr>
                <w:rFonts w:eastAsia="Calibri" w:cs="Times New Roman"/>
                <w:sz w:val="18"/>
                <w:szCs w:val="18"/>
              </w:rPr>
              <w:t xml:space="preserve">Has been eradicated from Tasmania </w:t>
            </w:r>
            <w:r>
              <w:rPr>
                <w:rFonts w:eastAsia="Calibri" w:cs="Times New Roman"/>
                <w:noProof/>
                <w:sz w:val="18"/>
                <w:szCs w:val="18"/>
              </w:rPr>
              <w:t>(Ransom 1997)</w:t>
            </w:r>
          </w:p>
        </w:tc>
        <w:tc>
          <w:tcPr>
            <w:tcW w:w="2552" w:type="dxa"/>
            <w:shd w:val="clear" w:color="auto" w:fill="auto"/>
          </w:tcPr>
          <w:p w14:paraId="4D420C19"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Rain can disperse spores produced in wood cankers to the fruit and cause eye rot </w:t>
            </w:r>
            <w:r>
              <w:rPr>
                <w:rFonts w:eastAsia="Calibri" w:cs="Times New Roman"/>
                <w:noProof/>
                <w:sz w:val="18"/>
                <w:szCs w:val="18"/>
              </w:rPr>
              <w:t>(McCartney 1967)</w:t>
            </w:r>
            <w:r w:rsidRPr="00D95799">
              <w:rPr>
                <w:rFonts w:eastAsia="Calibri" w:cs="Times New Roman"/>
                <w:sz w:val="18"/>
                <w:szCs w:val="18"/>
              </w:rPr>
              <w:t xml:space="preserve">. Infected fruit may rot on the tree or in storage </w:t>
            </w:r>
            <w:r>
              <w:rPr>
                <w:rFonts w:eastAsia="Calibri" w:cs="Times New Roman"/>
                <w:noProof/>
                <w:sz w:val="18"/>
                <w:szCs w:val="18"/>
              </w:rPr>
              <w:t>(Snowdon 1990)</w:t>
            </w:r>
            <w:r>
              <w:rPr>
                <w:rFonts w:eastAsia="Calibri" w:cs="Times New Roman"/>
                <w:sz w:val="18"/>
                <w:szCs w:val="18"/>
              </w:rPr>
              <w:t>.</w:t>
            </w:r>
          </w:p>
        </w:tc>
        <w:tc>
          <w:tcPr>
            <w:tcW w:w="2381" w:type="dxa"/>
            <w:shd w:val="clear" w:color="auto" w:fill="auto"/>
          </w:tcPr>
          <w:p w14:paraId="79D6EE40"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Suitable hosts are present in Australia. Rain and wind disperse the fungus, suggesting potential for spread </w:t>
            </w:r>
            <w:r>
              <w:rPr>
                <w:rFonts w:eastAsia="Calibri" w:cs="Times New Roman"/>
                <w:noProof/>
                <w:sz w:val="18"/>
                <w:szCs w:val="18"/>
              </w:rPr>
              <w:t>(Grove 1990c)</w:t>
            </w:r>
            <w:r>
              <w:rPr>
                <w:rFonts w:eastAsia="Calibri" w:cs="Times New Roman"/>
                <w:sz w:val="18"/>
                <w:szCs w:val="18"/>
              </w:rPr>
              <w:t>.</w:t>
            </w:r>
          </w:p>
        </w:tc>
        <w:tc>
          <w:tcPr>
            <w:tcW w:w="2211" w:type="dxa"/>
            <w:shd w:val="clear" w:color="auto" w:fill="auto"/>
          </w:tcPr>
          <w:p w14:paraId="457EFEEB"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European canker can kill young trees and branches of older trees. It is an economically important disease in many production areas throughout the world </w:t>
            </w:r>
            <w:r>
              <w:rPr>
                <w:rFonts w:eastAsia="Calibri" w:cs="Times New Roman"/>
                <w:noProof/>
                <w:sz w:val="18"/>
                <w:szCs w:val="18"/>
              </w:rPr>
              <w:t>(Grove 1990c)</w:t>
            </w:r>
            <w:r w:rsidRPr="00D95799">
              <w:rPr>
                <w:rFonts w:eastAsia="Calibri" w:cs="Times New Roman"/>
                <w:sz w:val="18"/>
                <w:szCs w:val="18"/>
              </w:rPr>
              <w:t>.</w:t>
            </w:r>
            <w:r>
              <w:rPr>
                <w:rFonts w:eastAsia="Calibri" w:cs="Times New Roman"/>
                <w:sz w:val="18"/>
                <w:szCs w:val="18"/>
              </w:rPr>
              <w:t xml:space="preserve"> </w:t>
            </w:r>
            <w:r w:rsidRPr="00D95799">
              <w:rPr>
                <w:rFonts w:eastAsia="Calibri" w:cs="Times New Roman"/>
                <w:sz w:val="18"/>
                <w:szCs w:val="18"/>
              </w:rPr>
              <w:t xml:space="preserve">Losses can also occur due to storage rot </w:t>
            </w:r>
            <w:r>
              <w:rPr>
                <w:rFonts w:eastAsia="Calibri" w:cs="Times New Roman"/>
                <w:noProof/>
                <w:sz w:val="18"/>
                <w:szCs w:val="18"/>
              </w:rPr>
              <w:t>(Swinburne 1970, 1971)</w:t>
            </w:r>
            <w:r>
              <w:rPr>
                <w:rFonts w:eastAsia="Calibri" w:cs="Times New Roman"/>
                <w:sz w:val="18"/>
                <w:szCs w:val="18"/>
              </w:rPr>
              <w:t>.</w:t>
            </w:r>
          </w:p>
        </w:tc>
        <w:tc>
          <w:tcPr>
            <w:tcW w:w="1191" w:type="dxa"/>
            <w:shd w:val="clear" w:color="auto" w:fill="auto"/>
          </w:tcPr>
          <w:p w14:paraId="340645FA"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Yes</w:t>
            </w:r>
            <w:r>
              <w:rPr>
                <w:rFonts w:eastAsia="Calibri" w:cs="Times New Roman"/>
                <w:sz w:val="18"/>
                <w:szCs w:val="18"/>
              </w:rPr>
              <w:t xml:space="preserve"> (EP)</w:t>
            </w:r>
          </w:p>
        </w:tc>
      </w:tr>
      <w:tr w:rsidR="003438A2" w:rsidRPr="00E209AB" w14:paraId="036B2F3F" w14:textId="77777777" w:rsidTr="00E209AB">
        <w:trPr>
          <w:cantSplit/>
          <w:trHeight w:val="75"/>
          <w:jc w:val="center"/>
        </w:trPr>
        <w:tc>
          <w:tcPr>
            <w:tcW w:w="1985" w:type="dxa"/>
            <w:shd w:val="clear" w:color="auto" w:fill="auto"/>
          </w:tcPr>
          <w:p w14:paraId="6938C16B" w14:textId="77777777" w:rsidR="003438A2" w:rsidRPr="00E209AB" w:rsidRDefault="003438A2" w:rsidP="00881E29">
            <w:pPr>
              <w:spacing w:before="60" w:after="60" w:line="240" w:lineRule="auto"/>
              <w:rPr>
                <w:rFonts w:eastAsia="Calibri" w:cs="Times New Roman"/>
                <w:iCs/>
                <w:sz w:val="18"/>
                <w:szCs w:val="18"/>
              </w:rPr>
            </w:pPr>
            <w:r w:rsidRPr="00E209AB">
              <w:rPr>
                <w:rFonts w:eastAsia="Calibri" w:cs="Times New Roman"/>
                <w:i/>
                <w:iCs/>
                <w:sz w:val="18"/>
                <w:szCs w:val="18"/>
              </w:rPr>
              <w:lastRenderedPageBreak/>
              <w:t xml:space="preserve">Nigrospora oryzae </w:t>
            </w:r>
            <w:r w:rsidRPr="00E209AB">
              <w:rPr>
                <w:rFonts w:eastAsia="Calibri" w:cs="Times New Roman"/>
                <w:iCs/>
                <w:sz w:val="18"/>
                <w:szCs w:val="18"/>
              </w:rPr>
              <w:t>(Berk. &amp; Broome) Petch</w:t>
            </w:r>
          </w:p>
          <w:p w14:paraId="41611118" w14:textId="77777777" w:rsidR="003438A2" w:rsidRPr="00E209AB" w:rsidRDefault="003438A2" w:rsidP="00881E29">
            <w:pPr>
              <w:spacing w:before="60" w:after="60" w:line="240" w:lineRule="auto"/>
              <w:rPr>
                <w:rFonts w:eastAsia="Calibri" w:cs="Times New Roman"/>
                <w:iCs/>
                <w:sz w:val="18"/>
                <w:szCs w:val="18"/>
              </w:rPr>
            </w:pPr>
            <w:r w:rsidRPr="00E209AB">
              <w:rPr>
                <w:rFonts w:eastAsia="Calibri" w:cs="Times New Roman"/>
                <w:iCs/>
                <w:sz w:val="18"/>
                <w:szCs w:val="18"/>
              </w:rPr>
              <w:t xml:space="preserve">Synonym: </w:t>
            </w:r>
            <w:r w:rsidRPr="00E209AB">
              <w:rPr>
                <w:rFonts w:eastAsia="Calibri" w:cs="Times New Roman"/>
                <w:i/>
                <w:iCs/>
                <w:sz w:val="18"/>
                <w:szCs w:val="18"/>
              </w:rPr>
              <w:t>Khuskia oryzae</w:t>
            </w:r>
            <w:r w:rsidRPr="00E209AB">
              <w:rPr>
                <w:rFonts w:eastAsia="Calibri" w:cs="Times New Roman"/>
                <w:iCs/>
                <w:sz w:val="18"/>
                <w:szCs w:val="18"/>
              </w:rPr>
              <w:t xml:space="preserve"> H.J. Hudson</w:t>
            </w:r>
          </w:p>
          <w:p w14:paraId="43D99CC9" w14:textId="77777777" w:rsidR="003438A2" w:rsidRPr="00E209AB" w:rsidRDefault="003438A2" w:rsidP="00881E29">
            <w:pPr>
              <w:spacing w:before="60" w:after="60" w:line="240" w:lineRule="auto"/>
              <w:rPr>
                <w:rFonts w:eastAsia="Calibri" w:cs="Times New Roman"/>
                <w:iCs/>
                <w:sz w:val="18"/>
                <w:szCs w:val="18"/>
              </w:rPr>
            </w:pPr>
            <w:r w:rsidRPr="00E209AB">
              <w:rPr>
                <w:rFonts w:eastAsia="Calibri" w:cs="Times New Roman"/>
                <w:iCs/>
                <w:sz w:val="18"/>
                <w:szCs w:val="18"/>
              </w:rPr>
              <w:t xml:space="preserve">[Unassigned: </w:t>
            </w:r>
            <w:r w:rsidRPr="00E209AB">
              <w:rPr>
                <w:rFonts w:eastAsia="Calibri" w:cs="Times New Roman"/>
                <w:i/>
                <w:iCs/>
                <w:sz w:val="18"/>
                <w:szCs w:val="18"/>
              </w:rPr>
              <w:t>Incertae sedis</w:t>
            </w:r>
            <w:r w:rsidRPr="00E209AB">
              <w:rPr>
                <w:rFonts w:eastAsia="Calibri" w:cs="Times New Roman"/>
                <w:iCs/>
                <w:sz w:val="18"/>
                <w:szCs w:val="18"/>
              </w:rPr>
              <w:t>]</w:t>
            </w:r>
          </w:p>
          <w:p w14:paraId="0E60A769" w14:textId="77777777" w:rsidR="003438A2" w:rsidRPr="00E209AB" w:rsidRDefault="003438A2" w:rsidP="00881E29">
            <w:pPr>
              <w:spacing w:before="60" w:after="60" w:line="240" w:lineRule="auto"/>
              <w:rPr>
                <w:rFonts w:eastAsia="Calibri" w:cs="Times New Roman"/>
                <w:i/>
                <w:iCs/>
                <w:sz w:val="18"/>
                <w:szCs w:val="18"/>
              </w:rPr>
            </w:pPr>
            <w:r w:rsidRPr="00E209AB">
              <w:rPr>
                <w:rFonts w:eastAsia="Calibri" w:cs="Times New Roman"/>
                <w:iCs/>
                <w:sz w:val="18"/>
                <w:szCs w:val="18"/>
              </w:rPr>
              <w:t>X-spot</w:t>
            </w:r>
          </w:p>
        </w:tc>
        <w:tc>
          <w:tcPr>
            <w:tcW w:w="1474" w:type="dxa"/>
            <w:shd w:val="clear" w:color="auto" w:fill="auto"/>
          </w:tcPr>
          <w:p w14:paraId="2D031933" w14:textId="77777777" w:rsidR="003438A2" w:rsidRPr="00E209AB" w:rsidRDefault="003438A2" w:rsidP="00881E29">
            <w:pPr>
              <w:spacing w:before="60" w:after="60" w:line="240" w:lineRule="auto"/>
              <w:rPr>
                <w:rFonts w:eastAsia="Calibri" w:cs="Times New Roman"/>
                <w:sz w:val="18"/>
                <w:szCs w:val="18"/>
              </w:rPr>
            </w:pPr>
            <w:r w:rsidRPr="00E209AB">
              <w:rPr>
                <w:rFonts w:eastAsia="Calibri" w:cs="Times New Roman"/>
                <w:sz w:val="18"/>
                <w:szCs w:val="18"/>
              </w:rPr>
              <w:t xml:space="preserve">Yes </w:t>
            </w:r>
            <w:r>
              <w:rPr>
                <w:rFonts w:eastAsia="Times New Roman" w:cs="Calibri"/>
                <w:noProof/>
                <w:sz w:val="18"/>
                <w:szCs w:val="18"/>
                <w:lang w:eastAsia="en-AU"/>
              </w:rPr>
              <w:t>(Farr &amp; Rossman 2021; Pscheidt &amp; Ocamb 2018)</w:t>
            </w:r>
          </w:p>
        </w:tc>
        <w:tc>
          <w:tcPr>
            <w:tcW w:w="1474" w:type="dxa"/>
            <w:shd w:val="clear" w:color="auto" w:fill="auto"/>
          </w:tcPr>
          <w:p w14:paraId="6AEA79E3" w14:textId="77777777" w:rsidR="003438A2" w:rsidRPr="00E209AB" w:rsidRDefault="003438A2" w:rsidP="00881E29">
            <w:pPr>
              <w:spacing w:before="60" w:after="60" w:line="240" w:lineRule="auto"/>
              <w:rPr>
                <w:rFonts w:eastAsia="Calibri" w:cs="Times New Roman"/>
                <w:iCs/>
                <w:sz w:val="18"/>
                <w:szCs w:val="18"/>
              </w:rPr>
            </w:pPr>
            <w:r w:rsidRPr="00E209AB">
              <w:rPr>
                <w:rFonts w:eastAsia="Calibri" w:cs="Times New Roman"/>
                <w:iCs/>
                <w:sz w:val="18"/>
                <w:szCs w:val="18"/>
              </w:rPr>
              <w:t xml:space="preserve">Yes. ACT, NSW, NT, Qld, SA, Vic., WA </w:t>
            </w:r>
            <w:r w:rsidRPr="00E209AB">
              <w:rPr>
                <w:rFonts w:eastAsia="Calibri" w:cs="Times New Roman"/>
                <w:iCs/>
                <w:noProof/>
                <w:sz w:val="18"/>
                <w:szCs w:val="18"/>
              </w:rPr>
              <w:t>(Plant Health Australia 2018)</w:t>
            </w:r>
          </w:p>
        </w:tc>
        <w:tc>
          <w:tcPr>
            <w:tcW w:w="2552" w:type="dxa"/>
            <w:shd w:val="clear" w:color="auto" w:fill="auto"/>
          </w:tcPr>
          <w:p w14:paraId="4052FACB" w14:textId="77777777" w:rsidR="003438A2" w:rsidRPr="00E209AB" w:rsidRDefault="003438A2" w:rsidP="00881E29">
            <w:pPr>
              <w:spacing w:before="60" w:after="60" w:line="240" w:lineRule="auto"/>
              <w:rPr>
                <w:rFonts w:eastAsia="Calibri" w:cs="Times New Roman"/>
                <w:sz w:val="18"/>
                <w:szCs w:val="18"/>
              </w:rPr>
            </w:pPr>
            <w:r w:rsidRPr="00E209AB">
              <w:rPr>
                <w:rFonts w:eastAsia="Calibri" w:cs="Times New Roman"/>
                <w:sz w:val="18"/>
                <w:szCs w:val="18"/>
              </w:rPr>
              <w:t>Assessment not required</w:t>
            </w:r>
          </w:p>
        </w:tc>
        <w:tc>
          <w:tcPr>
            <w:tcW w:w="2381" w:type="dxa"/>
            <w:shd w:val="clear" w:color="auto" w:fill="auto"/>
          </w:tcPr>
          <w:p w14:paraId="4A6C0501" w14:textId="77777777" w:rsidR="003438A2" w:rsidRPr="00E209AB" w:rsidRDefault="003438A2" w:rsidP="00881E29">
            <w:pPr>
              <w:spacing w:before="60" w:after="60" w:line="240" w:lineRule="auto"/>
              <w:rPr>
                <w:rFonts w:eastAsia="Calibri" w:cs="Times New Roman"/>
                <w:iCs/>
                <w:sz w:val="18"/>
                <w:szCs w:val="18"/>
              </w:rPr>
            </w:pPr>
            <w:r w:rsidRPr="00E209AB">
              <w:rPr>
                <w:rFonts w:eastAsia="Calibri" w:cs="Times New Roman"/>
                <w:sz w:val="18"/>
                <w:szCs w:val="18"/>
              </w:rPr>
              <w:t>Assessment not required</w:t>
            </w:r>
          </w:p>
        </w:tc>
        <w:tc>
          <w:tcPr>
            <w:tcW w:w="2211" w:type="dxa"/>
            <w:shd w:val="clear" w:color="auto" w:fill="auto"/>
          </w:tcPr>
          <w:p w14:paraId="2D08C73D" w14:textId="77777777" w:rsidR="003438A2" w:rsidRPr="00E209AB" w:rsidRDefault="003438A2" w:rsidP="00881E29">
            <w:pPr>
              <w:spacing w:before="60" w:after="60" w:line="240" w:lineRule="auto"/>
              <w:rPr>
                <w:rFonts w:eastAsia="Calibri" w:cs="Times New Roman"/>
                <w:iCs/>
                <w:sz w:val="18"/>
                <w:szCs w:val="18"/>
              </w:rPr>
            </w:pPr>
            <w:r w:rsidRPr="00E209AB">
              <w:rPr>
                <w:rFonts w:eastAsia="Calibri" w:cs="Times New Roman"/>
                <w:sz w:val="18"/>
                <w:szCs w:val="18"/>
              </w:rPr>
              <w:t>Assessment not required</w:t>
            </w:r>
          </w:p>
        </w:tc>
        <w:tc>
          <w:tcPr>
            <w:tcW w:w="1191" w:type="dxa"/>
            <w:shd w:val="clear" w:color="auto" w:fill="auto"/>
          </w:tcPr>
          <w:p w14:paraId="44D03AC3" w14:textId="77777777" w:rsidR="003438A2" w:rsidRPr="00E209AB" w:rsidRDefault="003438A2" w:rsidP="00881E29">
            <w:pPr>
              <w:spacing w:before="60" w:after="60" w:line="240" w:lineRule="auto"/>
              <w:rPr>
                <w:rFonts w:eastAsia="Calibri" w:cs="Times New Roman"/>
                <w:sz w:val="18"/>
                <w:szCs w:val="18"/>
              </w:rPr>
            </w:pPr>
            <w:r w:rsidRPr="00E209AB">
              <w:rPr>
                <w:rFonts w:eastAsia="Calibri" w:cs="Times New Roman"/>
                <w:sz w:val="18"/>
                <w:szCs w:val="18"/>
              </w:rPr>
              <w:t>No</w:t>
            </w:r>
          </w:p>
        </w:tc>
      </w:tr>
      <w:tr w:rsidR="003438A2" w:rsidRPr="00D95799" w14:paraId="0B402CAC" w14:textId="77777777" w:rsidTr="00E209AB">
        <w:trPr>
          <w:cantSplit/>
          <w:trHeight w:val="75"/>
          <w:jc w:val="center"/>
        </w:trPr>
        <w:tc>
          <w:tcPr>
            <w:tcW w:w="1985" w:type="dxa"/>
            <w:shd w:val="clear" w:color="auto" w:fill="auto"/>
          </w:tcPr>
          <w:p w14:paraId="420046A6" w14:textId="77777777" w:rsidR="003438A2" w:rsidRDefault="003438A2" w:rsidP="00881E29">
            <w:pPr>
              <w:spacing w:before="60" w:after="60" w:line="240" w:lineRule="auto"/>
              <w:rPr>
                <w:rFonts w:eastAsia="Calibri" w:cs="Times New Roman"/>
                <w:sz w:val="18"/>
                <w:szCs w:val="18"/>
                <w:lang w:val="pt-BR"/>
              </w:rPr>
            </w:pPr>
            <w:r w:rsidRPr="00D95799">
              <w:rPr>
                <w:rFonts w:eastAsia="Calibri" w:cs="Times New Roman"/>
                <w:i/>
                <w:sz w:val="18"/>
                <w:szCs w:val="18"/>
                <w:lang w:val="pt-BR"/>
              </w:rPr>
              <w:t xml:space="preserve">Oospora otophila </w:t>
            </w:r>
            <w:r w:rsidRPr="00D95799">
              <w:rPr>
                <w:rFonts w:eastAsia="Calibri" w:cs="Times New Roman"/>
                <w:sz w:val="18"/>
                <w:szCs w:val="18"/>
                <w:lang w:val="pt-BR"/>
              </w:rPr>
              <w:t>Harz</w:t>
            </w:r>
          </w:p>
          <w:p w14:paraId="1FA32214"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sz w:val="18"/>
                <w:szCs w:val="18"/>
                <w:lang w:val="pt-BR"/>
              </w:rPr>
              <w:t>[</w:t>
            </w:r>
            <w:r w:rsidRPr="00D95799">
              <w:rPr>
                <w:rFonts w:eastAsia="Calibri" w:cs="Times New Roman"/>
                <w:iCs/>
                <w:sz w:val="18"/>
                <w:szCs w:val="18"/>
              </w:rPr>
              <w:t>Erysiphales:</w:t>
            </w:r>
            <w:r w:rsidRPr="00D95799">
              <w:rPr>
                <w:rFonts w:eastAsia="Calibri" w:cs="Times New Roman"/>
                <w:sz w:val="18"/>
                <w:szCs w:val="18"/>
                <w:lang w:val="pt-BR"/>
              </w:rPr>
              <w:t xml:space="preserve"> Erysiphaceae]</w:t>
            </w:r>
          </w:p>
        </w:tc>
        <w:tc>
          <w:tcPr>
            <w:tcW w:w="1474" w:type="dxa"/>
            <w:shd w:val="clear" w:color="auto" w:fill="auto"/>
          </w:tcPr>
          <w:p w14:paraId="505F0F97"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sz w:val="18"/>
                <w:szCs w:val="18"/>
                <w:lang w:val="pt-BR"/>
              </w:rPr>
              <w:t xml:space="preserve">Yes. </w:t>
            </w:r>
            <w:r>
              <w:rPr>
                <w:rFonts w:eastAsia="Calibri" w:cs="Times New Roman"/>
                <w:sz w:val="18"/>
                <w:szCs w:val="18"/>
                <w:lang w:val="pt-BR"/>
              </w:rPr>
              <w:t xml:space="preserve">Present in </w:t>
            </w:r>
            <w:r w:rsidRPr="00D95799">
              <w:rPr>
                <w:rFonts w:eastAsia="Calibri" w:cs="Times New Roman"/>
                <w:sz w:val="18"/>
                <w:szCs w:val="18"/>
                <w:lang w:val="pt-BR"/>
              </w:rPr>
              <w:t xml:space="preserve">WA </w:t>
            </w:r>
            <w:r>
              <w:rPr>
                <w:rFonts w:eastAsia="Calibri" w:cs="Times New Roman"/>
                <w:noProof/>
                <w:sz w:val="18"/>
                <w:szCs w:val="18"/>
                <w:lang w:val="pt-BR"/>
              </w:rPr>
              <w:t>(Shaw 1973)</w:t>
            </w:r>
          </w:p>
        </w:tc>
        <w:tc>
          <w:tcPr>
            <w:tcW w:w="1474" w:type="dxa"/>
            <w:shd w:val="clear" w:color="auto" w:fill="auto"/>
          </w:tcPr>
          <w:p w14:paraId="69E5E1C7"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 records found</w:t>
            </w:r>
          </w:p>
        </w:tc>
        <w:tc>
          <w:tcPr>
            <w:tcW w:w="2552" w:type="dxa"/>
            <w:shd w:val="clear" w:color="auto" w:fill="auto"/>
          </w:tcPr>
          <w:p w14:paraId="33138BE6"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No. All of the reports of </w:t>
            </w:r>
            <w:r w:rsidRPr="00D95799">
              <w:rPr>
                <w:rFonts w:eastAsia="Calibri" w:cs="Times New Roman"/>
                <w:i/>
                <w:iCs/>
                <w:sz w:val="18"/>
                <w:szCs w:val="18"/>
              </w:rPr>
              <w:t xml:space="preserve">O. otophila </w:t>
            </w:r>
            <w:r w:rsidRPr="00D95799">
              <w:rPr>
                <w:rFonts w:eastAsia="Calibri" w:cs="Times New Roman"/>
                <w:sz w:val="18"/>
                <w:szCs w:val="18"/>
              </w:rPr>
              <w:t>on apple in the</w:t>
            </w:r>
            <w:r>
              <w:rPr>
                <w:rFonts w:eastAsia="Calibri" w:cs="Times New Roman"/>
                <w:sz w:val="18"/>
                <w:szCs w:val="18"/>
              </w:rPr>
              <w:t xml:space="preserve"> USA </w:t>
            </w:r>
            <w:r w:rsidRPr="00D95799">
              <w:rPr>
                <w:rFonts w:eastAsia="Calibri" w:cs="Times New Roman"/>
                <w:sz w:val="18"/>
                <w:szCs w:val="18"/>
              </w:rPr>
              <w:t xml:space="preserve">are based on only one report of this pest on </w:t>
            </w:r>
            <w:r w:rsidRPr="00D95799">
              <w:rPr>
                <w:rFonts w:eastAsia="Calibri" w:cs="Times New Roman"/>
                <w:i/>
                <w:sz w:val="18"/>
                <w:szCs w:val="18"/>
              </w:rPr>
              <w:t>Malus sylvestris</w:t>
            </w:r>
            <w:r w:rsidRPr="00D95799">
              <w:rPr>
                <w:rFonts w:eastAsia="Calibri" w:cs="Times New Roman"/>
                <w:sz w:val="18"/>
                <w:szCs w:val="18"/>
              </w:rPr>
              <w:t xml:space="preserve"> </w:t>
            </w:r>
            <w:r>
              <w:rPr>
                <w:rFonts w:eastAsia="Calibri" w:cs="Times New Roman"/>
                <w:noProof/>
                <w:sz w:val="18"/>
                <w:szCs w:val="18"/>
              </w:rPr>
              <w:t>(Shaw 1973)</w:t>
            </w:r>
            <w:r w:rsidRPr="00D95799">
              <w:rPr>
                <w:rFonts w:eastAsia="Calibri" w:cs="Times New Roman"/>
                <w:sz w:val="18"/>
                <w:szCs w:val="18"/>
              </w:rPr>
              <w:t>. This report does not specify whether this pest</w:t>
            </w:r>
            <w:r w:rsidRPr="00D95799">
              <w:rPr>
                <w:rFonts w:eastAsia="Calibri" w:cs="Times New Roman"/>
                <w:iCs/>
                <w:sz w:val="18"/>
                <w:szCs w:val="18"/>
              </w:rPr>
              <w:t xml:space="preserve"> </w:t>
            </w:r>
            <w:r w:rsidRPr="00D95799">
              <w:rPr>
                <w:rFonts w:eastAsia="Calibri" w:cs="Times New Roman"/>
                <w:sz w:val="18"/>
                <w:szCs w:val="18"/>
              </w:rPr>
              <w:t xml:space="preserve">was found on apple fruit. It appeared that </w:t>
            </w:r>
            <w:r>
              <w:rPr>
                <w:rFonts w:eastAsia="Calibri" w:cs="Times New Roman"/>
                <w:sz w:val="18"/>
                <w:szCs w:val="18"/>
              </w:rPr>
              <w:t xml:space="preserve">Shaw </w:t>
            </w:r>
            <w:r>
              <w:rPr>
                <w:rFonts w:eastAsia="Calibri" w:cs="Times New Roman"/>
                <w:noProof/>
                <w:sz w:val="18"/>
                <w:szCs w:val="18"/>
              </w:rPr>
              <w:t>(1973)</w:t>
            </w:r>
            <w:r w:rsidRPr="00D95799">
              <w:rPr>
                <w:rFonts w:eastAsia="Calibri" w:cs="Times New Roman"/>
                <w:sz w:val="18"/>
                <w:szCs w:val="18"/>
              </w:rPr>
              <w:t xml:space="preserve"> used the name </w:t>
            </w:r>
            <w:r w:rsidRPr="00D95799">
              <w:rPr>
                <w:rFonts w:eastAsia="Calibri" w:cs="Times New Roman"/>
                <w:i/>
                <w:sz w:val="18"/>
                <w:szCs w:val="18"/>
              </w:rPr>
              <w:t>Malus sylvestris</w:t>
            </w:r>
            <w:r w:rsidRPr="00D95799">
              <w:rPr>
                <w:rFonts w:eastAsia="Calibri" w:cs="Times New Roman"/>
                <w:sz w:val="18"/>
                <w:szCs w:val="18"/>
              </w:rPr>
              <w:t xml:space="preserve"> for both domestic apple and crabapple</w:t>
            </w:r>
            <w:r>
              <w:rPr>
                <w:rFonts w:eastAsia="Calibri" w:cs="Times New Roman"/>
                <w:sz w:val="18"/>
                <w:szCs w:val="18"/>
              </w:rPr>
              <w:t>.</w:t>
            </w:r>
            <w:r w:rsidRPr="00D95799">
              <w:rPr>
                <w:rFonts w:eastAsia="Calibri" w:cs="Times New Roman"/>
                <w:sz w:val="18"/>
                <w:szCs w:val="18"/>
              </w:rPr>
              <w:t xml:space="preserve"> </w:t>
            </w:r>
          </w:p>
        </w:tc>
        <w:tc>
          <w:tcPr>
            <w:tcW w:w="2381" w:type="dxa"/>
            <w:shd w:val="clear" w:color="auto" w:fill="auto"/>
          </w:tcPr>
          <w:p w14:paraId="0FEAD305"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211" w:type="dxa"/>
            <w:shd w:val="clear" w:color="auto" w:fill="auto"/>
          </w:tcPr>
          <w:p w14:paraId="3EAE1FD6"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auto"/>
          </w:tcPr>
          <w:p w14:paraId="39083759"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95799" w14:paraId="1B2582AC" w14:textId="77777777" w:rsidTr="00E209AB">
        <w:trPr>
          <w:cantSplit/>
          <w:trHeight w:val="75"/>
          <w:jc w:val="center"/>
        </w:trPr>
        <w:tc>
          <w:tcPr>
            <w:tcW w:w="1985" w:type="dxa"/>
            <w:shd w:val="clear" w:color="auto" w:fill="auto"/>
          </w:tcPr>
          <w:p w14:paraId="37FE8612"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
                <w:iCs/>
                <w:sz w:val="18"/>
                <w:szCs w:val="18"/>
              </w:rPr>
              <w:t xml:space="preserve">Otthia amica </w:t>
            </w:r>
            <w:r w:rsidRPr="00D95799">
              <w:rPr>
                <w:rFonts w:eastAsia="Calibri" w:cs="Times New Roman"/>
                <w:iCs/>
                <w:sz w:val="18"/>
                <w:szCs w:val="18"/>
              </w:rPr>
              <w:t>Sacc., E. Bommer &amp; M. Rousseau</w:t>
            </w:r>
          </w:p>
          <w:p w14:paraId="3A6A343C" w14:textId="77777777" w:rsidR="003438A2" w:rsidRPr="00D95799" w:rsidRDefault="003438A2" w:rsidP="00881E29">
            <w:pPr>
              <w:spacing w:before="60" w:after="60" w:line="240" w:lineRule="auto"/>
              <w:rPr>
                <w:rFonts w:eastAsia="Calibri" w:cs="Times New Roman"/>
                <w:i/>
                <w:iCs/>
                <w:sz w:val="18"/>
                <w:szCs w:val="18"/>
              </w:rPr>
            </w:pPr>
            <w:r>
              <w:rPr>
                <w:rFonts w:eastAsia="Calibri" w:cs="Times New Roman"/>
                <w:iCs/>
                <w:sz w:val="18"/>
                <w:szCs w:val="18"/>
              </w:rPr>
              <w:t>[U</w:t>
            </w:r>
            <w:r w:rsidRPr="00D95799">
              <w:rPr>
                <w:rFonts w:eastAsia="Calibri" w:cs="Times New Roman"/>
                <w:iCs/>
                <w:sz w:val="18"/>
                <w:szCs w:val="18"/>
              </w:rPr>
              <w:t xml:space="preserve">nassigned: </w:t>
            </w:r>
            <w:r w:rsidRPr="00922940">
              <w:rPr>
                <w:rFonts w:eastAsia="Calibri" w:cs="Times New Roman"/>
                <w:i/>
                <w:iCs/>
                <w:sz w:val="18"/>
                <w:szCs w:val="18"/>
              </w:rPr>
              <w:t>Incertae sedis</w:t>
            </w:r>
            <w:r w:rsidRPr="00D95799">
              <w:rPr>
                <w:rFonts w:eastAsia="Calibri" w:cs="Times New Roman"/>
                <w:iCs/>
                <w:sz w:val="18"/>
                <w:szCs w:val="18"/>
              </w:rPr>
              <w:t>]</w:t>
            </w:r>
          </w:p>
        </w:tc>
        <w:tc>
          <w:tcPr>
            <w:tcW w:w="1474" w:type="dxa"/>
            <w:shd w:val="clear" w:color="auto" w:fill="auto"/>
          </w:tcPr>
          <w:p w14:paraId="1762B785"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w:t>
            </w:r>
            <w:r>
              <w:rPr>
                <w:rFonts w:eastAsia="Calibri" w:cs="Times New Roman"/>
                <w:sz w:val="18"/>
                <w:szCs w:val="18"/>
              </w:rPr>
              <w:t xml:space="preserve">Present in </w:t>
            </w:r>
            <w:r w:rsidRPr="00D95799">
              <w:rPr>
                <w:rFonts w:eastAsia="Calibri" w:cs="Times New Roman"/>
                <w:sz w:val="18"/>
                <w:szCs w:val="18"/>
              </w:rPr>
              <w:t xml:space="preserve">WA </w:t>
            </w:r>
            <w:r>
              <w:rPr>
                <w:rFonts w:eastAsia="Calibri" w:cs="Times New Roman"/>
                <w:noProof/>
                <w:sz w:val="18"/>
                <w:szCs w:val="18"/>
              </w:rPr>
              <w:t>(Shaw 1973)</w:t>
            </w:r>
          </w:p>
        </w:tc>
        <w:tc>
          <w:tcPr>
            <w:tcW w:w="1474" w:type="dxa"/>
            <w:shd w:val="clear" w:color="auto" w:fill="auto"/>
          </w:tcPr>
          <w:p w14:paraId="41271500"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No records found</w:t>
            </w:r>
          </w:p>
        </w:tc>
        <w:tc>
          <w:tcPr>
            <w:tcW w:w="2552" w:type="dxa"/>
            <w:shd w:val="clear" w:color="auto" w:fill="auto"/>
          </w:tcPr>
          <w:p w14:paraId="135D76DF"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No. All of the reports of </w:t>
            </w:r>
            <w:r>
              <w:rPr>
                <w:rFonts w:eastAsia="Calibri" w:cs="Times New Roman"/>
                <w:i/>
                <w:sz w:val="18"/>
                <w:szCs w:val="18"/>
              </w:rPr>
              <w:t>O. </w:t>
            </w:r>
            <w:r w:rsidRPr="00D95799">
              <w:rPr>
                <w:rFonts w:eastAsia="Calibri" w:cs="Times New Roman"/>
                <w:i/>
                <w:sz w:val="18"/>
                <w:szCs w:val="18"/>
              </w:rPr>
              <w:t>amica</w:t>
            </w:r>
            <w:r w:rsidRPr="00D95799">
              <w:rPr>
                <w:rFonts w:eastAsia="Calibri" w:cs="Times New Roman"/>
                <w:sz w:val="18"/>
                <w:szCs w:val="18"/>
              </w:rPr>
              <w:t xml:space="preserve"> on apple in the</w:t>
            </w:r>
            <w:r>
              <w:rPr>
                <w:rFonts w:eastAsia="Calibri" w:cs="Times New Roman"/>
                <w:sz w:val="18"/>
                <w:szCs w:val="18"/>
              </w:rPr>
              <w:t xml:space="preserve"> USA </w:t>
            </w:r>
            <w:r w:rsidRPr="00D95799">
              <w:rPr>
                <w:rFonts w:eastAsia="Calibri" w:cs="Times New Roman"/>
                <w:sz w:val="18"/>
                <w:szCs w:val="18"/>
              </w:rPr>
              <w:t xml:space="preserve">are based on only one report of this pest on </w:t>
            </w:r>
            <w:r w:rsidRPr="00D95799">
              <w:rPr>
                <w:rFonts w:eastAsia="Calibri" w:cs="Times New Roman"/>
                <w:i/>
                <w:sz w:val="18"/>
                <w:szCs w:val="18"/>
              </w:rPr>
              <w:t>Malus sylvestris</w:t>
            </w:r>
            <w:r w:rsidRPr="00D95799">
              <w:rPr>
                <w:rFonts w:eastAsia="Calibri" w:cs="Times New Roman"/>
                <w:sz w:val="18"/>
                <w:szCs w:val="18"/>
              </w:rPr>
              <w:t xml:space="preserve"> </w:t>
            </w:r>
            <w:r>
              <w:rPr>
                <w:rFonts w:eastAsia="Calibri" w:cs="Times New Roman"/>
                <w:noProof/>
                <w:sz w:val="18"/>
                <w:szCs w:val="18"/>
              </w:rPr>
              <w:t>(Shaw 1973)</w:t>
            </w:r>
            <w:r w:rsidRPr="00D95799">
              <w:rPr>
                <w:rFonts w:eastAsia="Calibri" w:cs="Times New Roman"/>
                <w:sz w:val="18"/>
                <w:szCs w:val="18"/>
              </w:rPr>
              <w:t xml:space="preserve">. This report does not specify whether this pest was found on apple fruit. It appeared that </w:t>
            </w:r>
            <w:r>
              <w:rPr>
                <w:rFonts w:eastAsia="Calibri" w:cs="Times New Roman"/>
                <w:sz w:val="18"/>
                <w:szCs w:val="18"/>
              </w:rPr>
              <w:t xml:space="preserve">Shaw </w:t>
            </w:r>
            <w:r>
              <w:rPr>
                <w:rFonts w:eastAsia="Calibri" w:cs="Times New Roman"/>
                <w:noProof/>
                <w:sz w:val="18"/>
                <w:szCs w:val="18"/>
              </w:rPr>
              <w:t>(1973)</w:t>
            </w:r>
            <w:r w:rsidRPr="00D95799">
              <w:rPr>
                <w:rFonts w:eastAsia="Calibri" w:cs="Times New Roman"/>
                <w:sz w:val="18"/>
                <w:szCs w:val="18"/>
              </w:rPr>
              <w:t xml:space="preserve"> used the name </w:t>
            </w:r>
            <w:r w:rsidRPr="00D95799">
              <w:rPr>
                <w:rFonts w:eastAsia="Calibri" w:cs="Times New Roman"/>
                <w:i/>
                <w:sz w:val="18"/>
                <w:szCs w:val="18"/>
              </w:rPr>
              <w:t>Malus sylvestris</w:t>
            </w:r>
            <w:r w:rsidRPr="00D95799">
              <w:rPr>
                <w:rFonts w:eastAsia="Calibri" w:cs="Times New Roman"/>
                <w:sz w:val="18"/>
                <w:szCs w:val="18"/>
              </w:rPr>
              <w:t xml:space="preserve"> for both domestic apple and crabappl</w:t>
            </w:r>
            <w:r>
              <w:rPr>
                <w:rFonts w:eastAsia="Calibri" w:cs="Times New Roman"/>
                <w:sz w:val="18"/>
                <w:szCs w:val="18"/>
              </w:rPr>
              <w:t>e.</w:t>
            </w:r>
            <w:r w:rsidRPr="00D95799">
              <w:rPr>
                <w:rFonts w:eastAsia="Calibri" w:cs="Times New Roman"/>
                <w:sz w:val="18"/>
                <w:szCs w:val="18"/>
              </w:rPr>
              <w:t xml:space="preserve"> </w:t>
            </w:r>
          </w:p>
        </w:tc>
        <w:tc>
          <w:tcPr>
            <w:tcW w:w="2381" w:type="dxa"/>
            <w:shd w:val="clear" w:color="auto" w:fill="auto"/>
          </w:tcPr>
          <w:p w14:paraId="03A602A3"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sz w:val="18"/>
                <w:szCs w:val="18"/>
              </w:rPr>
              <w:t>Assessment not required</w:t>
            </w:r>
          </w:p>
        </w:tc>
        <w:tc>
          <w:tcPr>
            <w:tcW w:w="2211" w:type="dxa"/>
            <w:shd w:val="clear" w:color="auto" w:fill="auto"/>
          </w:tcPr>
          <w:p w14:paraId="12BFCE7B"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sz w:val="18"/>
                <w:szCs w:val="18"/>
              </w:rPr>
              <w:t>Assessment not required</w:t>
            </w:r>
          </w:p>
        </w:tc>
        <w:tc>
          <w:tcPr>
            <w:tcW w:w="1191" w:type="dxa"/>
            <w:shd w:val="clear" w:color="auto" w:fill="auto"/>
          </w:tcPr>
          <w:p w14:paraId="6360FF0D"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95799" w14:paraId="41896577" w14:textId="77777777" w:rsidTr="00E209AB">
        <w:trPr>
          <w:cantSplit/>
          <w:trHeight w:val="75"/>
          <w:jc w:val="center"/>
        </w:trPr>
        <w:tc>
          <w:tcPr>
            <w:tcW w:w="1985" w:type="dxa"/>
            <w:shd w:val="clear" w:color="auto" w:fill="auto"/>
          </w:tcPr>
          <w:p w14:paraId="0912B803"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
                <w:iCs/>
                <w:sz w:val="18"/>
                <w:szCs w:val="18"/>
              </w:rPr>
              <w:lastRenderedPageBreak/>
              <w:t xml:space="preserve">Penicillium aurantiogriseum </w:t>
            </w:r>
            <w:r w:rsidRPr="00D95799">
              <w:rPr>
                <w:rFonts w:eastAsia="Calibri" w:cs="Times New Roman"/>
                <w:iCs/>
                <w:sz w:val="18"/>
                <w:szCs w:val="18"/>
              </w:rPr>
              <w:t>Dierckx</w:t>
            </w:r>
          </w:p>
          <w:p w14:paraId="2E29EF0F"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Synonyms:</w:t>
            </w:r>
            <w:r w:rsidRPr="00D95799">
              <w:rPr>
                <w:rFonts w:eastAsia="Calibri" w:cs="Times New Roman"/>
                <w:i/>
                <w:iCs/>
                <w:sz w:val="18"/>
                <w:szCs w:val="18"/>
              </w:rPr>
              <w:t xml:space="preserve"> Penicillium martensi </w:t>
            </w:r>
            <w:r w:rsidRPr="00D95799">
              <w:rPr>
                <w:rFonts w:eastAsia="Calibri" w:cs="Times New Roman"/>
                <w:iCs/>
                <w:sz w:val="18"/>
                <w:szCs w:val="18"/>
              </w:rPr>
              <w:t xml:space="preserve">Biourge; </w:t>
            </w:r>
            <w:r w:rsidRPr="00D95799">
              <w:rPr>
                <w:rFonts w:eastAsia="Calibri" w:cs="Times New Roman"/>
                <w:i/>
                <w:iCs/>
                <w:sz w:val="18"/>
                <w:szCs w:val="18"/>
              </w:rPr>
              <w:t>Penicillium puberulum</w:t>
            </w:r>
            <w:r w:rsidRPr="00D95799">
              <w:rPr>
                <w:rFonts w:eastAsia="Calibri" w:cs="Times New Roman"/>
                <w:iCs/>
                <w:sz w:val="18"/>
                <w:szCs w:val="18"/>
              </w:rPr>
              <w:t xml:space="preserve"> Bainier</w:t>
            </w:r>
          </w:p>
          <w:p w14:paraId="19C4CD1F"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iCs/>
                <w:sz w:val="18"/>
                <w:szCs w:val="18"/>
              </w:rPr>
              <w:t>[Eurotiales:</w:t>
            </w:r>
            <w:r w:rsidRPr="00D95799" w:rsidDel="006261B9">
              <w:rPr>
                <w:rFonts w:eastAsia="Calibri" w:cs="Times New Roman"/>
                <w:iCs/>
                <w:sz w:val="18"/>
                <w:szCs w:val="18"/>
              </w:rPr>
              <w:t xml:space="preserve"> </w:t>
            </w:r>
            <w:r w:rsidRPr="00D95799">
              <w:rPr>
                <w:rFonts w:eastAsia="Calibri" w:cs="Times New Roman"/>
                <w:iCs/>
                <w:sz w:val="18"/>
                <w:szCs w:val="18"/>
              </w:rPr>
              <w:t>Trichocomaceae]</w:t>
            </w:r>
          </w:p>
        </w:tc>
        <w:tc>
          <w:tcPr>
            <w:tcW w:w="1474" w:type="dxa"/>
            <w:shd w:val="clear" w:color="auto" w:fill="auto"/>
          </w:tcPr>
          <w:p w14:paraId="2DFDDA5B"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sz w:val="18"/>
                <w:szCs w:val="18"/>
                <w:lang w:val="pt-BR"/>
              </w:rPr>
              <w:t xml:space="preserve">Yes. </w:t>
            </w:r>
            <w:r>
              <w:rPr>
                <w:rFonts w:eastAsia="Calibri" w:cs="Times New Roman"/>
                <w:sz w:val="18"/>
                <w:szCs w:val="18"/>
                <w:lang w:val="pt-BR"/>
              </w:rPr>
              <w:t xml:space="preserve">Present in </w:t>
            </w:r>
            <w:r w:rsidRPr="00D95799">
              <w:rPr>
                <w:rFonts w:eastAsia="Calibri" w:cs="Times New Roman"/>
                <w:sz w:val="18"/>
                <w:szCs w:val="18"/>
                <w:lang w:val="pt-BR"/>
              </w:rPr>
              <w:t xml:space="preserve">WA </w:t>
            </w:r>
            <w:r>
              <w:rPr>
                <w:rFonts w:eastAsia="Calibri" w:cs="Times New Roman"/>
                <w:noProof/>
                <w:sz w:val="18"/>
                <w:szCs w:val="18"/>
                <w:lang w:val="pt-BR"/>
              </w:rPr>
              <w:t>(Farr &amp; Rossman 2018; Glawe 2009)</w:t>
            </w:r>
          </w:p>
        </w:tc>
        <w:tc>
          <w:tcPr>
            <w:tcW w:w="1474" w:type="dxa"/>
            <w:shd w:val="clear" w:color="auto" w:fill="auto"/>
          </w:tcPr>
          <w:p w14:paraId="7EAEA275"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NSW </w:t>
            </w:r>
            <w:r>
              <w:rPr>
                <w:rFonts w:eastAsia="Calibri" w:cs="Times New Roman"/>
                <w:noProof/>
                <w:sz w:val="18"/>
                <w:szCs w:val="18"/>
              </w:rPr>
              <w:t>(Plant Health Australia 2018)</w:t>
            </w:r>
            <w:r w:rsidRPr="00D95799">
              <w:rPr>
                <w:rFonts w:eastAsia="Calibri" w:cs="Times New Roman"/>
                <w:sz w:val="18"/>
                <w:szCs w:val="18"/>
              </w:rPr>
              <w:t>.</w:t>
            </w:r>
            <w:r>
              <w:rPr>
                <w:rFonts w:eastAsia="Calibri" w:cs="Times New Roman"/>
                <w:sz w:val="18"/>
                <w:szCs w:val="18"/>
              </w:rPr>
              <w:t xml:space="preserve"> </w:t>
            </w:r>
            <w:r w:rsidRPr="00BC49E1">
              <w:rPr>
                <w:rFonts w:eastAsia="Calibri" w:cs="Times New Roman"/>
                <w:sz w:val="18"/>
                <w:szCs w:val="18"/>
              </w:rPr>
              <w:t xml:space="preserve">Listed as a permitted organism </w:t>
            </w:r>
            <w:r>
              <w:rPr>
                <w:rFonts w:eastAsia="Calibri" w:cs="Times New Roman"/>
                <w:sz w:val="18"/>
                <w:szCs w:val="18"/>
              </w:rPr>
              <w:t xml:space="preserve">for WA </w:t>
            </w:r>
            <w:r>
              <w:rPr>
                <w:rFonts w:eastAsia="Calibri" w:cs="Times New Roman"/>
                <w:noProof/>
                <w:sz w:val="18"/>
                <w:szCs w:val="18"/>
              </w:rPr>
              <w:t>(Government of Western Australia 2020)</w:t>
            </w:r>
          </w:p>
        </w:tc>
        <w:tc>
          <w:tcPr>
            <w:tcW w:w="2552" w:type="dxa"/>
            <w:shd w:val="clear" w:color="auto" w:fill="auto"/>
          </w:tcPr>
          <w:p w14:paraId="0C9B54B3" w14:textId="77777777" w:rsidR="003438A2" w:rsidRPr="00D95799" w:rsidRDefault="003438A2" w:rsidP="00881E29">
            <w:pPr>
              <w:spacing w:before="60" w:after="60" w:line="240" w:lineRule="auto"/>
              <w:rPr>
                <w:rFonts w:eastAsia="Calibri" w:cs="Times New Roman"/>
                <w:sz w:val="18"/>
                <w:szCs w:val="18"/>
              </w:rPr>
            </w:pPr>
            <w:r>
              <w:rPr>
                <w:rFonts w:eastAsia="Calibri" w:cs="Times New Roman"/>
                <w:sz w:val="18"/>
                <w:szCs w:val="18"/>
              </w:rPr>
              <w:t>Assessment not required</w:t>
            </w:r>
          </w:p>
        </w:tc>
        <w:tc>
          <w:tcPr>
            <w:tcW w:w="2381" w:type="dxa"/>
            <w:shd w:val="clear" w:color="auto" w:fill="auto"/>
          </w:tcPr>
          <w:p w14:paraId="3E0D039C" w14:textId="77777777" w:rsidR="003438A2" w:rsidRPr="00D95799" w:rsidRDefault="003438A2" w:rsidP="00881E29">
            <w:pPr>
              <w:spacing w:before="60" w:after="60" w:line="240" w:lineRule="auto"/>
              <w:rPr>
                <w:rFonts w:eastAsia="Calibri" w:cs="Times New Roman"/>
                <w:sz w:val="18"/>
                <w:szCs w:val="18"/>
              </w:rPr>
            </w:pPr>
            <w:r>
              <w:rPr>
                <w:rFonts w:eastAsia="Calibri" w:cs="Times New Roman"/>
                <w:sz w:val="18"/>
                <w:szCs w:val="18"/>
              </w:rPr>
              <w:t>Assessment not required</w:t>
            </w:r>
          </w:p>
        </w:tc>
        <w:tc>
          <w:tcPr>
            <w:tcW w:w="2211" w:type="dxa"/>
            <w:shd w:val="clear" w:color="auto" w:fill="auto"/>
          </w:tcPr>
          <w:p w14:paraId="14505470" w14:textId="77777777" w:rsidR="003438A2" w:rsidRPr="00D95799" w:rsidRDefault="003438A2" w:rsidP="00881E29">
            <w:pPr>
              <w:spacing w:before="60" w:after="60" w:line="240" w:lineRule="auto"/>
              <w:rPr>
                <w:rFonts w:eastAsia="Calibri" w:cs="Times New Roman"/>
                <w:sz w:val="18"/>
                <w:szCs w:val="18"/>
              </w:rPr>
            </w:pPr>
            <w:r>
              <w:rPr>
                <w:rFonts w:eastAsia="Calibri" w:cs="Times New Roman"/>
                <w:sz w:val="18"/>
                <w:szCs w:val="18"/>
              </w:rPr>
              <w:t>Assessment not required</w:t>
            </w:r>
          </w:p>
        </w:tc>
        <w:tc>
          <w:tcPr>
            <w:tcW w:w="1191" w:type="dxa"/>
            <w:shd w:val="clear" w:color="auto" w:fill="auto"/>
          </w:tcPr>
          <w:p w14:paraId="68C3FB37"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95799" w14:paraId="5E7C80F6" w14:textId="77777777" w:rsidTr="00E209AB">
        <w:trPr>
          <w:cantSplit/>
          <w:trHeight w:val="75"/>
          <w:jc w:val="center"/>
        </w:trPr>
        <w:tc>
          <w:tcPr>
            <w:tcW w:w="1985" w:type="dxa"/>
            <w:shd w:val="clear" w:color="auto" w:fill="auto"/>
          </w:tcPr>
          <w:p w14:paraId="4F066311"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
                <w:iCs/>
                <w:sz w:val="18"/>
                <w:szCs w:val="18"/>
              </w:rPr>
              <w:t xml:space="preserve">Penicillium aurantiogriseum </w:t>
            </w:r>
            <w:r w:rsidRPr="00D95799">
              <w:rPr>
                <w:rFonts w:eastAsia="Calibri" w:cs="Times New Roman"/>
                <w:iCs/>
                <w:sz w:val="18"/>
                <w:szCs w:val="18"/>
              </w:rPr>
              <w:t>var.</w:t>
            </w:r>
            <w:r w:rsidRPr="00D95799">
              <w:rPr>
                <w:rFonts w:eastAsia="Calibri" w:cs="Times New Roman"/>
                <w:i/>
                <w:iCs/>
                <w:sz w:val="18"/>
                <w:szCs w:val="18"/>
              </w:rPr>
              <w:t xml:space="preserve"> viridicatum </w:t>
            </w:r>
            <w:r w:rsidRPr="00D95799">
              <w:rPr>
                <w:rFonts w:eastAsia="Calibri" w:cs="Times New Roman"/>
                <w:iCs/>
                <w:sz w:val="18"/>
                <w:szCs w:val="18"/>
              </w:rPr>
              <w:t>(Westling) Frisvad &amp; Filt.</w:t>
            </w:r>
          </w:p>
          <w:p w14:paraId="43135F0A"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Synonyms:</w:t>
            </w:r>
            <w:r w:rsidRPr="00D95799">
              <w:rPr>
                <w:rFonts w:eastAsia="Calibri" w:cs="Times New Roman"/>
                <w:i/>
                <w:iCs/>
                <w:sz w:val="18"/>
                <w:szCs w:val="18"/>
              </w:rPr>
              <w:t xml:space="preserve"> Penicillium olivinoviride </w:t>
            </w:r>
            <w:r w:rsidRPr="00D95799">
              <w:rPr>
                <w:rFonts w:eastAsia="Calibri" w:cs="Times New Roman"/>
                <w:iCs/>
                <w:sz w:val="18"/>
                <w:szCs w:val="18"/>
              </w:rPr>
              <w:t xml:space="preserve">Biourge; </w:t>
            </w:r>
            <w:r w:rsidRPr="00D95799">
              <w:rPr>
                <w:rFonts w:eastAsia="Calibri" w:cs="Times New Roman"/>
                <w:i/>
                <w:iCs/>
                <w:sz w:val="18"/>
                <w:szCs w:val="18"/>
              </w:rPr>
              <w:t>Penicillium viridicatum</w:t>
            </w:r>
            <w:r w:rsidRPr="00D95799">
              <w:rPr>
                <w:rFonts w:eastAsia="Calibri" w:cs="Times New Roman"/>
                <w:iCs/>
                <w:sz w:val="18"/>
                <w:szCs w:val="18"/>
              </w:rPr>
              <w:t xml:space="preserve"> Westling</w:t>
            </w:r>
          </w:p>
          <w:p w14:paraId="5931D0A2"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iCs/>
                <w:sz w:val="18"/>
                <w:szCs w:val="18"/>
              </w:rPr>
              <w:t>[Eurotiales:</w:t>
            </w:r>
            <w:r w:rsidRPr="00D95799" w:rsidDel="00DD4C03">
              <w:rPr>
                <w:rFonts w:eastAsia="Calibri" w:cs="Times New Roman"/>
                <w:iCs/>
                <w:sz w:val="18"/>
                <w:szCs w:val="18"/>
              </w:rPr>
              <w:t xml:space="preserve"> </w:t>
            </w:r>
            <w:r w:rsidRPr="00D95799">
              <w:rPr>
                <w:rFonts w:eastAsia="Calibri" w:cs="Times New Roman"/>
                <w:iCs/>
                <w:sz w:val="18"/>
                <w:szCs w:val="18"/>
              </w:rPr>
              <w:t>Trichocomaceae]</w:t>
            </w:r>
          </w:p>
        </w:tc>
        <w:tc>
          <w:tcPr>
            <w:tcW w:w="1474" w:type="dxa"/>
            <w:shd w:val="clear" w:color="auto" w:fill="auto"/>
          </w:tcPr>
          <w:p w14:paraId="671DB40F"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sz w:val="18"/>
                <w:szCs w:val="18"/>
                <w:lang w:val="pt-BR"/>
              </w:rPr>
              <w:t xml:space="preserve">Yes. </w:t>
            </w:r>
            <w:r>
              <w:rPr>
                <w:rFonts w:eastAsia="Calibri" w:cs="Times New Roman"/>
                <w:sz w:val="18"/>
                <w:szCs w:val="18"/>
                <w:lang w:val="pt-BR"/>
              </w:rPr>
              <w:t xml:space="preserve">Present in </w:t>
            </w:r>
            <w:r w:rsidRPr="00D95799">
              <w:rPr>
                <w:rFonts w:eastAsia="Calibri" w:cs="Times New Roman"/>
                <w:sz w:val="18"/>
                <w:szCs w:val="18"/>
                <w:lang w:val="pt-BR"/>
              </w:rPr>
              <w:t>ID, OR</w:t>
            </w:r>
            <w:r>
              <w:rPr>
                <w:rFonts w:eastAsia="Calibri" w:cs="Times New Roman"/>
                <w:sz w:val="18"/>
                <w:szCs w:val="18"/>
                <w:lang w:val="pt-BR"/>
              </w:rPr>
              <w:t xml:space="preserve"> and</w:t>
            </w:r>
            <w:r w:rsidRPr="00D95799">
              <w:rPr>
                <w:rFonts w:eastAsia="Calibri" w:cs="Times New Roman"/>
                <w:sz w:val="18"/>
                <w:szCs w:val="18"/>
                <w:lang w:val="pt-BR"/>
              </w:rPr>
              <w:t xml:space="preserve"> WA</w:t>
            </w:r>
            <w:r>
              <w:rPr>
                <w:rFonts w:eastAsia="Calibri" w:cs="Times New Roman"/>
                <w:sz w:val="18"/>
                <w:szCs w:val="18"/>
                <w:lang w:val="pt-BR"/>
              </w:rPr>
              <w:t>. Also present in</w:t>
            </w:r>
            <w:r w:rsidRPr="00D95799">
              <w:rPr>
                <w:rFonts w:eastAsia="Calibri" w:cs="Times New Roman"/>
                <w:sz w:val="18"/>
                <w:szCs w:val="18"/>
                <w:lang w:val="pt-BR"/>
              </w:rPr>
              <w:t xml:space="preserve"> CA</w:t>
            </w:r>
            <w:r>
              <w:rPr>
                <w:rFonts w:eastAsia="Calibri" w:cs="Times New Roman"/>
                <w:sz w:val="18"/>
                <w:szCs w:val="18"/>
                <w:lang w:val="pt-BR"/>
              </w:rPr>
              <w:t xml:space="preserve"> and</w:t>
            </w:r>
            <w:r w:rsidRPr="00D95799">
              <w:rPr>
                <w:rFonts w:eastAsia="Calibri" w:cs="Times New Roman"/>
                <w:sz w:val="18"/>
                <w:szCs w:val="18"/>
                <w:lang w:val="pt-BR"/>
              </w:rPr>
              <w:t xml:space="preserve"> WV </w:t>
            </w:r>
            <w:r>
              <w:rPr>
                <w:rFonts w:eastAsia="Calibri" w:cs="Times New Roman"/>
                <w:noProof/>
                <w:sz w:val="18"/>
                <w:szCs w:val="18"/>
                <w:lang w:val="pt-BR"/>
              </w:rPr>
              <w:t>(Farr &amp; Rossman 2018; Glawe 2009)</w:t>
            </w:r>
            <w:r>
              <w:rPr>
                <w:rFonts w:eastAsia="Calibri" w:cs="Times New Roman"/>
                <w:sz w:val="18"/>
                <w:szCs w:val="18"/>
                <w:lang w:val="pt-BR"/>
              </w:rPr>
              <w:t xml:space="preserve"> </w:t>
            </w:r>
          </w:p>
        </w:tc>
        <w:tc>
          <w:tcPr>
            <w:tcW w:w="1474" w:type="dxa"/>
            <w:shd w:val="clear" w:color="auto" w:fill="auto"/>
          </w:tcPr>
          <w:p w14:paraId="7991A226"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Vic. As </w:t>
            </w:r>
            <w:r w:rsidRPr="0047124C">
              <w:rPr>
                <w:rFonts w:eastAsia="Calibri" w:cs="Times New Roman"/>
                <w:i/>
                <w:iCs/>
                <w:sz w:val="18"/>
                <w:szCs w:val="18"/>
              </w:rPr>
              <w:t>P. viridicatum</w:t>
            </w:r>
            <w:r w:rsidRPr="00D95799">
              <w:rPr>
                <w:rFonts w:eastAsia="Calibri" w:cs="Times New Roman"/>
                <w:sz w:val="18"/>
                <w:szCs w:val="18"/>
              </w:rPr>
              <w:t xml:space="preserve"> </w:t>
            </w:r>
            <w:r>
              <w:rPr>
                <w:rFonts w:eastAsia="Calibri" w:cs="Times New Roman"/>
                <w:noProof/>
                <w:sz w:val="18"/>
                <w:szCs w:val="18"/>
              </w:rPr>
              <w:t>(Plant Health Australia 2018)</w:t>
            </w:r>
            <w:r w:rsidRPr="00D95799">
              <w:rPr>
                <w:rFonts w:eastAsia="Calibri" w:cs="Times New Roman"/>
                <w:sz w:val="18"/>
                <w:szCs w:val="18"/>
              </w:rPr>
              <w:t>.</w:t>
            </w:r>
            <w:r>
              <w:rPr>
                <w:rFonts w:eastAsia="Calibri" w:cs="Times New Roman"/>
                <w:sz w:val="18"/>
                <w:szCs w:val="18"/>
              </w:rPr>
              <w:t xml:space="preserve"> </w:t>
            </w:r>
            <w:r w:rsidRPr="0090476B">
              <w:rPr>
                <w:rFonts w:eastAsia="Calibri" w:cs="Times New Roman"/>
                <w:sz w:val="18"/>
                <w:szCs w:val="18"/>
              </w:rPr>
              <w:t xml:space="preserve">Not listed as a Declared Organism for WA </w:t>
            </w:r>
            <w:r>
              <w:rPr>
                <w:rFonts w:eastAsia="Calibri" w:cs="Times New Roman"/>
                <w:noProof/>
                <w:sz w:val="18"/>
                <w:szCs w:val="18"/>
              </w:rPr>
              <w:t>(Government of Western Australia 2020)</w:t>
            </w:r>
          </w:p>
        </w:tc>
        <w:tc>
          <w:tcPr>
            <w:tcW w:w="2552" w:type="dxa"/>
            <w:shd w:val="clear" w:color="auto" w:fill="auto"/>
          </w:tcPr>
          <w:p w14:paraId="630691ED"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381" w:type="dxa"/>
            <w:shd w:val="clear" w:color="auto" w:fill="auto"/>
          </w:tcPr>
          <w:p w14:paraId="0E191056"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211" w:type="dxa"/>
            <w:shd w:val="clear" w:color="auto" w:fill="auto"/>
          </w:tcPr>
          <w:p w14:paraId="7294618C"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auto"/>
          </w:tcPr>
          <w:p w14:paraId="416F1B70"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95799" w14:paraId="32B6D92A" w14:textId="77777777" w:rsidTr="00E209AB">
        <w:trPr>
          <w:cantSplit/>
          <w:trHeight w:val="75"/>
          <w:jc w:val="center"/>
        </w:trPr>
        <w:tc>
          <w:tcPr>
            <w:tcW w:w="1985" w:type="dxa"/>
            <w:shd w:val="clear" w:color="auto" w:fill="auto"/>
          </w:tcPr>
          <w:p w14:paraId="696C3F12"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
                <w:iCs/>
                <w:sz w:val="18"/>
                <w:szCs w:val="18"/>
              </w:rPr>
              <w:t xml:space="preserve">Pestalotia concentrica </w:t>
            </w:r>
            <w:r w:rsidRPr="00D95799">
              <w:rPr>
                <w:rFonts w:eastAsia="Calibri" w:cs="Times New Roman"/>
                <w:iCs/>
                <w:sz w:val="18"/>
                <w:szCs w:val="18"/>
              </w:rPr>
              <w:t>Berk. &amp; Broome</w:t>
            </w:r>
          </w:p>
          <w:p w14:paraId="78BC9058"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 xml:space="preserve">Synonym: </w:t>
            </w:r>
            <w:r w:rsidRPr="00D95799">
              <w:rPr>
                <w:rFonts w:eastAsia="Calibri" w:cs="Times New Roman"/>
                <w:i/>
                <w:iCs/>
                <w:sz w:val="18"/>
                <w:szCs w:val="18"/>
              </w:rPr>
              <w:t>Monochaetia concentrica</w:t>
            </w:r>
            <w:r w:rsidRPr="00D95799">
              <w:rPr>
                <w:rFonts w:eastAsia="Calibri" w:cs="Times New Roman"/>
                <w:iCs/>
                <w:sz w:val="18"/>
                <w:szCs w:val="18"/>
              </w:rPr>
              <w:t xml:space="preserve"> (Berk. &amp; Broome) Sacc.</w:t>
            </w:r>
          </w:p>
          <w:p w14:paraId="74FA7501"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w:t>
            </w:r>
            <w:r w:rsidRPr="00D95799">
              <w:rPr>
                <w:rFonts w:eastAsia="Calibri" w:cs="Times New Roman"/>
                <w:sz w:val="18"/>
                <w:szCs w:val="18"/>
              </w:rPr>
              <w:t>Amphisphaeriales:</w:t>
            </w:r>
            <w:r w:rsidRPr="00D95799">
              <w:rPr>
                <w:rFonts w:eastAsia="Calibri" w:cs="Times New Roman"/>
                <w:iCs/>
                <w:sz w:val="18"/>
                <w:szCs w:val="18"/>
              </w:rPr>
              <w:t xml:space="preserve"> Amphisphaereaceae]</w:t>
            </w:r>
          </w:p>
          <w:p w14:paraId="47679D13" w14:textId="77777777" w:rsidR="003438A2" w:rsidRPr="00D95799" w:rsidRDefault="003438A2" w:rsidP="00881E29">
            <w:pPr>
              <w:spacing w:before="60" w:after="60" w:line="240" w:lineRule="auto"/>
              <w:rPr>
                <w:rFonts w:eastAsia="Calibri" w:cs="Times New Roman"/>
                <w:i/>
                <w:iCs/>
                <w:sz w:val="18"/>
                <w:szCs w:val="18"/>
              </w:rPr>
            </w:pPr>
            <w:r w:rsidRPr="00D95799">
              <w:rPr>
                <w:rFonts w:eastAsia="Calibri" w:cs="Times New Roman"/>
                <w:iCs/>
                <w:sz w:val="18"/>
                <w:szCs w:val="18"/>
              </w:rPr>
              <w:t>Leaf spot</w:t>
            </w:r>
          </w:p>
        </w:tc>
        <w:tc>
          <w:tcPr>
            <w:tcW w:w="1474" w:type="dxa"/>
            <w:shd w:val="clear" w:color="auto" w:fill="auto"/>
          </w:tcPr>
          <w:p w14:paraId="6D01C987"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w:t>
            </w:r>
            <w:r>
              <w:rPr>
                <w:rFonts w:eastAsia="Calibri" w:cs="Times New Roman"/>
                <w:sz w:val="18"/>
                <w:szCs w:val="18"/>
              </w:rPr>
              <w:t xml:space="preserve">Present in ID. Also present in </w:t>
            </w:r>
            <w:r w:rsidRPr="00D95799">
              <w:rPr>
                <w:rFonts w:eastAsia="Calibri" w:cs="Times New Roman"/>
                <w:sz w:val="18"/>
                <w:szCs w:val="18"/>
              </w:rPr>
              <w:t>IN</w:t>
            </w:r>
            <w:r>
              <w:rPr>
                <w:rFonts w:eastAsia="Calibri" w:cs="Times New Roman"/>
                <w:sz w:val="18"/>
                <w:szCs w:val="18"/>
              </w:rPr>
              <w:t xml:space="preserve"> and</w:t>
            </w:r>
            <w:r w:rsidRPr="00D95799">
              <w:rPr>
                <w:rFonts w:eastAsia="Calibri" w:cs="Times New Roman"/>
                <w:sz w:val="18"/>
                <w:szCs w:val="18"/>
              </w:rPr>
              <w:t xml:space="preserve"> southeastern states </w:t>
            </w:r>
            <w:r>
              <w:rPr>
                <w:rFonts w:eastAsia="Calibri" w:cs="Times New Roman"/>
                <w:noProof/>
                <w:sz w:val="18"/>
                <w:szCs w:val="18"/>
              </w:rPr>
              <w:t>(Farr &amp; Rossman 2018; Glawe 2009)</w:t>
            </w:r>
          </w:p>
        </w:tc>
        <w:tc>
          <w:tcPr>
            <w:tcW w:w="1474" w:type="dxa"/>
            <w:shd w:val="clear" w:color="auto" w:fill="auto"/>
          </w:tcPr>
          <w:p w14:paraId="789D21E5"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 records found</w:t>
            </w:r>
          </w:p>
        </w:tc>
        <w:tc>
          <w:tcPr>
            <w:tcW w:w="2552" w:type="dxa"/>
            <w:shd w:val="clear" w:color="auto" w:fill="auto"/>
          </w:tcPr>
          <w:p w14:paraId="3F2A5716"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No. Found on dead leaves of hardwoods </w:t>
            </w:r>
            <w:r>
              <w:rPr>
                <w:rFonts w:eastAsia="Calibri" w:cs="Times New Roman"/>
                <w:noProof/>
                <w:sz w:val="18"/>
                <w:szCs w:val="18"/>
              </w:rPr>
              <w:t>(Farr et al. 1989)</w:t>
            </w:r>
            <w:r>
              <w:rPr>
                <w:rFonts w:eastAsia="Calibri" w:cs="Times New Roman"/>
                <w:sz w:val="18"/>
                <w:szCs w:val="18"/>
              </w:rPr>
              <w:t xml:space="preserve"> </w:t>
            </w:r>
          </w:p>
        </w:tc>
        <w:tc>
          <w:tcPr>
            <w:tcW w:w="2381" w:type="dxa"/>
            <w:shd w:val="clear" w:color="auto" w:fill="auto"/>
          </w:tcPr>
          <w:p w14:paraId="565BBB6F"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211" w:type="dxa"/>
            <w:shd w:val="clear" w:color="auto" w:fill="auto"/>
          </w:tcPr>
          <w:p w14:paraId="1832865D"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auto"/>
          </w:tcPr>
          <w:p w14:paraId="65596CFB"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95799" w14:paraId="526E0DDC" w14:textId="77777777" w:rsidTr="00E209AB">
        <w:trPr>
          <w:cantSplit/>
          <w:trHeight w:val="75"/>
          <w:jc w:val="center"/>
        </w:trPr>
        <w:tc>
          <w:tcPr>
            <w:tcW w:w="1985" w:type="dxa"/>
            <w:shd w:val="clear" w:color="auto" w:fill="auto"/>
          </w:tcPr>
          <w:p w14:paraId="2BB5DD07" w14:textId="77777777" w:rsidR="003438A2" w:rsidRPr="003A514C" w:rsidRDefault="003438A2" w:rsidP="00881E29">
            <w:pPr>
              <w:spacing w:before="60" w:after="60" w:line="240" w:lineRule="auto"/>
              <w:rPr>
                <w:rFonts w:eastAsia="Calibri" w:cs="Times New Roman"/>
                <w:iCs/>
                <w:sz w:val="18"/>
                <w:szCs w:val="18"/>
              </w:rPr>
            </w:pPr>
            <w:r w:rsidRPr="003A514C">
              <w:rPr>
                <w:rFonts w:eastAsia="Calibri" w:cs="Times New Roman"/>
                <w:i/>
                <w:iCs/>
                <w:sz w:val="18"/>
                <w:szCs w:val="18"/>
              </w:rPr>
              <w:t xml:space="preserve">Pezicula pruinosa </w:t>
            </w:r>
            <w:r w:rsidRPr="003A514C">
              <w:rPr>
                <w:rFonts w:eastAsia="Calibri" w:cs="Times New Roman"/>
                <w:iCs/>
                <w:sz w:val="18"/>
                <w:szCs w:val="18"/>
              </w:rPr>
              <w:t>Farl.</w:t>
            </w:r>
          </w:p>
          <w:p w14:paraId="7AED14EE" w14:textId="77777777" w:rsidR="003438A2" w:rsidRPr="003A514C" w:rsidRDefault="003438A2" w:rsidP="00881E29">
            <w:pPr>
              <w:spacing w:before="60" w:after="60" w:line="240" w:lineRule="auto"/>
              <w:rPr>
                <w:rFonts w:eastAsia="Calibri" w:cs="Times New Roman"/>
                <w:i/>
                <w:iCs/>
                <w:sz w:val="18"/>
                <w:szCs w:val="18"/>
              </w:rPr>
            </w:pPr>
            <w:r w:rsidRPr="003A514C">
              <w:rPr>
                <w:rFonts w:eastAsia="Calibri" w:cs="Times New Roman"/>
                <w:iCs/>
                <w:sz w:val="18"/>
                <w:szCs w:val="18"/>
              </w:rPr>
              <w:t>[Helotiales: Dermateaceae]</w:t>
            </w:r>
          </w:p>
        </w:tc>
        <w:tc>
          <w:tcPr>
            <w:tcW w:w="1474" w:type="dxa"/>
            <w:shd w:val="clear" w:color="auto" w:fill="auto"/>
          </w:tcPr>
          <w:p w14:paraId="7448E1EC" w14:textId="77777777" w:rsidR="003438A2" w:rsidRPr="003A514C" w:rsidRDefault="003438A2" w:rsidP="00881E29">
            <w:pPr>
              <w:spacing w:before="60" w:after="60" w:line="240" w:lineRule="auto"/>
              <w:rPr>
                <w:rFonts w:eastAsia="Calibri" w:cs="Times New Roman"/>
                <w:sz w:val="18"/>
                <w:szCs w:val="18"/>
                <w:lang w:val="pt-BR"/>
              </w:rPr>
            </w:pPr>
            <w:r w:rsidRPr="003A514C">
              <w:rPr>
                <w:rFonts w:eastAsia="Calibri" w:cs="Times New Roman"/>
                <w:sz w:val="18"/>
                <w:szCs w:val="18"/>
                <w:lang w:val="pt-BR"/>
              </w:rPr>
              <w:t xml:space="preserve">Yes. Present in OR and WA </w:t>
            </w:r>
            <w:r w:rsidRPr="003A514C">
              <w:rPr>
                <w:rFonts w:eastAsia="Calibri" w:cs="Times New Roman"/>
                <w:noProof/>
                <w:sz w:val="18"/>
                <w:szCs w:val="18"/>
                <w:lang w:val="pt-BR"/>
              </w:rPr>
              <w:t>(Farr &amp; Rossman 2018; Glawe 2009)</w:t>
            </w:r>
          </w:p>
        </w:tc>
        <w:tc>
          <w:tcPr>
            <w:tcW w:w="1474" w:type="dxa"/>
            <w:shd w:val="clear" w:color="auto" w:fill="auto"/>
          </w:tcPr>
          <w:p w14:paraId="2B10177E" w14:textId="77777777" w:rsidR="003438A2" w:rsidRPr="003A514C" w:rsidRDefault="003438A2" w:rsidP="00881E29">
            <w:pPr>
              <w:spacing w:before="60" w:after="60" w:line="240" w:lineRule="auto"/>
              <w:rPr>
                <w:rFonts w:eastAsia="Calibri" w:cs="Times New Roman"/>
                <w:sz w:val="18"/>
                <w:szCs w:val="18"/>
              </w:rPr>
            </w:pPr>
            <w:r w:rsidRPr="003A514C">
              <w:rPr>
                <w:rFonts w:eastAsia="Calibri" w:cs="Times New Roman"/>
                <w:sz w:val="18"/>
                <w:szCs w:val="18"/>
              </w:rPr>
              <w:t>No records found</w:t>
            </w:r>
          </w:p>
        </w:tc>
        <w:tc>
          <w:tcPr>
            <w:tcW w:w="2552" w:type="dxa"/>
            <w:shd w:val="clear" w:color="auto" w:fill="auto"/>
          </w:tcPr>
          <w:p w14:paraId="236200E3" w14:textId="77777777" w:rsidR="003438A2" w:rsidRPr="003A514C" w:rsidRDefault="003438A2" w:rsidP="00881E29">
            <w:pPr>
              <w:spacing w:before="60" w:after="60" w:line="240" w:lineRule="auto"/>
              <w:rPr>
                <w:rFonts w:eastAsia="Calibri" w:cs="Times New Roman"/>
                <w:sz w:val="18"/>
                <w:szCs w:val="18"/>
              </w:rPr>
            </w:pPr>
            <w:r w:rsidRPr="003A514C">
              <w:rPr>
                <w:rFonts w:eastAsia="Calibri" w:cs="Times New Roman"/>
                <w:sz w:val="18"/>
                <w:szCs w:val="18"/>
              </w:rPr>
              <w:t xml:space="preserve">No. Found on twigs </w:t>
            </w:r>
            <w:r w:rsidRPr="003A514C">
              <w:rPr>
                <w:rFonts w:eastAsia="Calibri" w:cs="Times New Roman"/>
                <w:noProof/>
                <w:sz w:val="18"/>
                <w:szCs w:val="18"/>
              </w:rPr>
              <w:t>(Farr &amp; Rossman 2018)</w:t>
            </w:r>
          </w:p>
        </w:tc>
        <w:tc>
          <w:tcPr>
            <w:tcW w:w="2381" w:type="dxa"/>
            <w:shd w:val="clear" w:color="auto" w:fill="auto"/>
          </w:tcPr>
          <w:p w14:paraId="01C8BC37" w14:textId="77777777" w:rsidR="003438A2" w:rsidRPr="003A514C" w:rsidRDefault="003438A2" w:rsidP="00881E29">
            <w:pPr>
              <w:spacing w:before="60" w:after="60" w:line="240" w:lineRule="auto"/>
              <w:rPr>
                <w:rFonts w:eastAsia="Calibri" w:cs="Times New Roman"/>
                <w:sz w:val="18"/>
                <w:szCs w:val="18"/>
              </w:rPr>
            </w:pPr>
            <w:r w:rsidRPr="003A514C">
              <w:rPr>
                <w:rFonts w:eastAsia="Calibri" w:cs="Times New Roman"/>
                <w:sz w:val="18"/>
                <w:szCs w:val="18"/>
              </w:rPr>
              <w:t>Assessment not required</w:t>
            </w:r>
          </w:p>
        </w:tc>
        <w:tc>
          <w:tcPr>
            <w:tcW w:w="2211" w:type="dxa"/>
            <w:shd w:val="clear" w:color="auto" w:fill="auto"/>
          </w:tcPr>
          <w:p w14:paraId="0CE942DB" w14:textId="77777777" w:rsidR="003438A2" w:rsidRPr="003A514C" w:rsidRDefault="003438A2" w:rsidP="00881E29">
            <w:pPr>
              <w:spacing w:before="60" w:after="60" w:line="240" w:lineRule="auto"/>
              <w:rPr>
                <w:rFonts w:eastAsia="Calibri" w:cs="Times New Roman"/>
                <w:sz w:val="18"/>
                <w:szCs w:val="18"/>
              </w:rPr>
            </w:pPr>
            <w:r w:rsidRPr="003A514C">
              <w:rPr>
                <w:rFonts w:eastAsia="Calibri" w:cs="Times New Roman"/>
                <w:sz w:val="18"/>
                <w:szCs w:val="18"/>
              </w:rPr>
              <w:t>Assessment not required</w:t>
            </w:r>
          </w:p>
        </w:tc>
        <w:tc>
          <w:tcPr>
            <w:tcW w:w="1191" w:type="dxa"/>
            <w:shd w:val="clear" w:color="auto" w:fill="auto"/>
          </w:tcPr>
          <w:p w14:paraId="6BB679DD" w14:textId="77777777" w:rsidR="003438A2" w:rsidRPr="00D95799" w:rsidRDefault="003438A2" w:rsidP="00881E29">
            <w:pPr>
              <w:spacing w:before="60" w:after="60" w:line="240" w:lineRule="auto"/>
              <w:rPr>
                <w:rFonts w:eastAsia="Calibri" w:cs="Times New Roman"/>
                <w:sz w:val="18"/>
                <w:szCs w:val="18"/>
              </w:rPr>
            </w:pPr>
            <w:r w:rsidRPr="003A514C">
              <w:rPr>
                <w:rFonts w:eastAsia="Calibri" w:cs="Times New Roman"/>
                <w:sz w:val="18"/>
                <w:szCs w:val="18"/>
              </w:rPr>
              <w:t>No</w:t>
            </w:r>
          </w:p>
        </w:tc>
      </w:tr>
      <w:tr w:rsidR="003438A2" w:rsidRPr="00D95799" w14:paraId="59EC3DE4" w14:textId="77777777" w:rsidTr="00A3794F">
        <w:trPr>
          <w:cantSplit/>
          <w:trHeight w:val="75"/>
          <w:jc w:val="center"/>
        </w:trPr>
        <w:tc>
          <w:tcPr>
            <w:tcW w:w="1985" w:type="dxa"/>
            <w:shd w:val="clear" w:color="auto" w:fill="auto"/>
          </w:tcPr>
          <w:p w14:paraId="631681EB" w14:textId="77777777" w:rsidR="003438A2" w:rsidRPr="009A0E2A" w:rsidRDefault="003438A2" w:rsidP="00881E29">
            <w:pPr>
              <w:spacing w:before="60" w:after="60" w:line="240" w:lineRule="auto"/>
              <w:rPr>
                <w:rFonts w:eastAsia="Calibri" w:cs="Times New Roman"/>
                <w:sz w:val="18"/>
                <w:szCs w:val="18"/>
                <w:lang w:val="pt-BR"/>
              </w:rPr>
            </w:pPr>
            <w:r w:rsidRPr="009A0E2A">
              <w:rPr>
                <w:rFonts w:eastAsia="Calibri" w:cs="Times New Roman"/>
                <w:sz w:val="18"/>
                <w:szCs w:val="18"/>
                <w:lang w:val="pt-BR"/>
              </w:rPr>
              <w:lastRenderedPageBreak/>
              <w:t>Phacidiopycnis washingtonensis C.L. Xiao &amp; J.D. Rogers</w:t>
            </w:r>
          </w:p>
          <w:p w14:paraId="7182FBC5" w14:textId="77777777" w:rsidR="003438A2" w:rsidRPr="009A0E2A" w:rsidRDefault="003438A2" w:rsidP="00881E29">
            <w:pPr>
              <w:spacing w:before="60" w:after="60" w:line="240" w:lineRule="auto"/>
              <w:rPr>
                <w:rFonts w:eastAsia="Calibri" w:cs="Times New Roman"/>
                <w:sz w:val="18"/>
                <w:szCs w:val="18"/>
                <w:lang w:val="pt-BR"/>
              </w:rPr>
            </w:pPr>
            <w:r w:rsidRPr="009A0E2A">
              <w:rPr>
                <w:rFonts w:eastAsia="Calibri" w:cs="Times New Roman"/>
                <w:sz w:val="18"/>
                <w:szCs w:val="18"/>
                <w:lang w:val="pt-BR"/>
              </w:rPr>
              <w:t>[Helotiales: Bulgariaceae]</w:t>
            </w:r>
          </w:p>
          <w:p w14:paraId="4901A7E1" w14:textId="77777777" w:rsidR="003438A2" w:rsidRPr="009A0E2A" w:rsidRDefault="003438A2" w:rsidP="00881E29">
            <w:pPr>
              <w:spacing w:before="60" w:after="60" w:line="240" w:lineRule="auto"/>
              <w:rPr>
                <w:rFonts w:eastAsia="Calibri" w:cs="Times New Roman"/>
                <w:sz w:val="18"/>
                <w:szCs w:val="18"/>
                <w:lang w:val="pt-BR"/>
              </w:rPr>
            </w:pPr>
            <w:r w:rsidRPr="009A0E2A">
              <w:rPr>
                <w:rFonts w:eastAsia="Calibri" w:cs="Times New Roman"/>
                <w:sz w:val="18"/>
                <w:szCs w:val="18"/>
                <w:lang w:val="pt-BR"/>
              </w:rPr>
              <w:t>Speck rot</w:t>
            </w:r>
          </w:p>
        </w:tc>
        <w:tc>
          <w:tcPr>
            <w:tcW w:w="1474" w:type="dxa"/>
            <w:shd w:val="clear" w:color="auto" w:fill="auto"/>
          </w:tcPr>
          <w:p w14:paraId="5F92518E" w14:textId="0D56DCA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sz w:val="18"/>
                <w:szCs w:val="18"/>
                <w:lang w:val="pt-BR"/>
              </w:rPr>
              <w:t xml:space="preserve">Yes. </w:t>
            </w:r>
            <w:r>
              <w:rPr>
                <w:rFonts w:eastAsia="Calibri" w:cs="Times New Roman"/>
                <w:sz w:val="18"/>
                <w:szCs w:val="18"/>
                <w:lang w:val="pt-BR"/>
              </w:rPr>
              <w:t xml:space="preserve">Present in </w:t>
            </w:r>
            <w:r w:rsidRPr="00D95799">
              <w:rPr>
                <w:rFonts w:eastAsia="Calibri" w:cs="Times New Roman"/>
                <w:sz w:val="18"/>
                <w:szCs w:val="18"/>
                <w:lang w:val="pt-BR"/>
              </w:rPr>
              <w:t xml:space="preserve">WA </w:t>
            </w:r>
            <w:r>
              <w:rPr>
                <w:rFonts w:eastAsia="Calibri" w:cs="Times New Roman"/>
                <w:noProof/>
                <w:sz w:val="18"/>
                <w:szCs w:val="18"/>
                <w:lang w:val="pt-BR"/>
              </w:rPr>
              <w:t>(Ali et al. 2018; Kim &amp; Xiao 2006; Washington State University Extension 2020; Xiao et al. 2005; Xiao 2011, 2013a; Xiao &amp; Boal 2005c; Xiao &amp; Kim 2013)</w:t>
            </w:r>
            <w:r>
              <w:rPr>
                <w:rFonts w:eastAsia="Calibri" w:cs="Times New Roman"/>
                <w:sz w:val="18"/>
                <w:szCs w:val="18"/>
                <w:lang w:val="pt-BR"/>
              </w:rPr>
              <w:t xml:space="preserve"> and OR </w:t>
            </w:r>
            <w:r>
              <w:rPr>
                <w:rFonts w:eastAsia="Calibri" w:cs="Times New Roman"/>
                <w:noProof/>
                <w:sz w:val="18"/>
                <w:szCs w:val="18"/>
                <w:lang w:val="pt-BR"/>
              </w:rPr>
              <w:t>(Elliott et al. 2014)</w:t>
            </w:r>
          </w:p>
        </w:tc>
        <w:tc>
          <w:tcPr>
            <w:tcW w:w="1474" w:type="dxa"/>
            <w:shd w:val="clear" w:color="auto" w:fill="auto"/>
          </w:tcPr>
          <w:p w14:paraId="0B4FA73B"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 records found</w:t>
            </w:r>
          </w:p>
        </w:tc>
        <w:tc>
          <w:tcPr>
            <w:tcW w:w="2552" w:type="dxa"/>
            <w:shd w:val="clear" w:color="auto" w:fill="auto"/>
          </w:tcPr>
          <w:p w14:paraId="09CF3277"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Yes. Causes fruit rot</w:t>
            </w:r>
            <w:r>
              <w:rPr>
                <w:rFonts w:eastAsia="Calibri" w:cs="Times New Roman"/>
                <w:sz w:val="18"/>
                <w:szCs w:val="18"/>
              </w:rPr>
              <w:t xml:space="preserve"> but a weak pathogen on apple fruit </w:t>
            </w:r>
            <w:r>
              <w:rPr>
                <w:rFonts w:eastAsia="Calibri" w:cs="Times New Roman"/>
                <w:noProof/>
                <w:sz w:val="18"/>
                <w:szCs w:val="18"/>
              </w:rPr>
              <w:t>(Xiao 2013a)</w:t>
            </w:r>
            <w:r>
              <w:rPr>
                <w:rFonts w:eastAsia="Calibri" w:cs="Times New Roman"/>
                <w:sz w:val="18"/>
                <w:szCs w:val="18"/>
              </w:rPr>
              <w:t>. P</w:t>
            </w:r>
            <w:r w:rsidRPr="00D95799">
              <w:rPr>
                <w:rFonts w:eastAsia="Calibri" w:cs="Times New Roman"/>
                <w:sz w:val="18"/>
                <w:szCs w:val="18"/>
              </w:rPr>
              <w:t xml:space="preserve">rimarily </w:t>
            </w:r>
            <w:r>
              <w:rPr>
                <w:rFonts w:eastAsia="Calibri" w:cs="Times New Roman"/>
                <w:sz w:val="18"/>
                <w:szCs w:val="18"/>
              </w:rPr>
              <w:t xml:space="preserve">causes </w:t>
            </w:r>
            <w:r w:rsidRPr="00D95799">
              <w:rPr>
                <w:rFonts w:eastAsia="Calibri" w:cs="Times New Roman"/>
                <w:sz w:val="18"/>
                <w:szCs w:val="18"/>
              </w:rPr>
              <w:t xml:space="preserve">stem end rot and calyx end rot of apples in storage. It is also associated with twig dieback and canker disease of crabapple and dead twigs of pear </w:t>
            </w:r>
            <w:r>
              <w:rPr>
                <w:rFonts w:eastAsia="Calibri" w:cs="Times New Roman"/>
                <w:noProof/>
                <w:sz w:val="18"/>
                <w:szCs w:val="18"/>
              </w:rPr>
              <w:t>(Xiao et al. 2005)</w:t>
            </w:r>
            <w:r w:rsidRPr="00D95799">
              <w:rPr>
                <w:rFonts w:eastAsia="Calibri" w:cs="Times New Roman"/>
                <w:sz w:val="18"/>
                <w:szCs w:val="18"/>
              </w:rPr>
              <w:t xml:space="preserve">. Has been isolated from symptomless fruit. Infection of fruit seems to occur in the orchard </w:t>
            </w:r>
            <w:r>
              <w:rPr>
                <w:rFonts w:eastAsia="Calibri" w:cs="Times New Roman"/>
                <w:noProof/>
                <w:sz w:val="18"/>
                <w:szCs w:val="18"/>
              </w:rPr>
              <w:t>(Kim &amp; Xiao 2006)</w:t>
            </w:r>
            <w:r w:rsidRPr="00D95799">
              <w:rPr>
                <w:rFonts w:eastAsia="Calibri" w:cs="Times New Roman"/>
                <w:sz w:val="18"/>
                <w:szCs w:val="18"/>
              </w:rPr>
              <w:t>. This pathogen has been detected in China on apple fruit from three packing</w:t>
            </w:r>
            <w:r>
              <w:rPr>
                <w:rFonts w:eastAsia="Calibri" w:cs="Times New Roman"/>
                <w:sz w:val="18"/>
                <w:szCs w:val="18"/>
              </w:rPr>
              <w:t xml:space="preserve"> </w:t>
            </w:r>
            <w:r w:rsidRPr="00D95799">
              <w:rPr>
                <w:rFonts w:eastAsia="Calibri" w:cs="Times New Roman"/>
                <w:sz w:val="18"/>
                <w:szCs w:val="18"/>
              </w:rPr>
              <w:t xml:space="preserve">houses in Washington State </w:t>
            </w:r>
            <w:r>
              <w:rPr>
                <w:rFonts w:eastAsia="Calibri" w:cs="Times New Roman"/>
                <w:noProof/>
                <w:sz w:val="18"/>
                <w:szCs w:val="18"/>
              </w:rPr>
              <w:t>(USDA 2009)</w:t>
            </w:r>
            <w:r>
              <w:rPr>
                <w:rFonts w:eastAsia="Calibri" w:cs="Times New Roman"/>
                <w:sz w:val="18"/>
                <w:szCs w:val="18"/>
              </w:rPr>
              <w:t>.</w:t>
            </w:r>
          </w:p>
        </w:tc>
        <w:tc>
          <w:tcPr>
            <w:tcW w:w="2381" w:type="dxa"/>
            <w:shd w:val="clear" w:color="auto" w:fill="auto"/>
          </w:tcPr>
          <w:p w14:paraId="6CCFC343"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When apple fruit were inoculated with the fungus one to two weeks before harvest, symptoms on fruit were first observed two to three months after harvest </w:t>
            </w:r>
            <w:r>
              <w:rPr>
                <w:rFonts w:eastAsia="Calibri" w:cs="Times New Roman"/>
                <w:noProof/>
                <w:sz w:val="18"/>
                <w:szCs w:val="18"/>
              </w:rPr>
              <w:t>(Kim &amp; Xiao 2006)</w:t>
            </w:r>
            <w:r w:rsidRPr="00D95799">
              <w:rPr>
                <w:rFonts w:eastAsia="Calibri" w:cs="Times New Roman"/>
                <w:sz w:val="18"/>
                <w:szCs w:val="18"/>
              </w:rPr>
              <w:t>.</w:t>
            </w:r>
            <w:r>
              <w:rPr>
                <w:rFonts w:eastAsia="Calibri" w:cs="Times New Roman"/>
                <w:sz w:val="18"/>
                <w:szCs w:val="18"/>
              </w:rPr>
              <w:t xml:space="preserve"> </w:t>
            </w:r>
            <w:r w:rsidRPr="00D95799">
              <w:rPr>
                <w:rFonts w:eastAsia="Calibri" w:cs="Times New Roman"/>
                <w:sz w:val="18"/>
                <w:szCs w:val="18"/>
              </w:rPr>
              <w:t xml:space="preserve">The fungus forms spores on the surface of decayed fruit after an extended period in storage </w:t>
            </w:r>
            <w:r>
              <w:rPr>
                <w:rFonts w:eastAsia="Calibri" w:cs="Times New Roman"/>
                <w:noProof/>
                <w:sz w:val="18"/>
                <w:szCs w:val="18"/>
              </w:rPr>
              <w:t>(Kim &amp; Xiao 2006)</w:t>
            </w:r>
            <w:r w:rsidRPr="00D95799">
              <w:rPr>
                <w:rFonts w:eastAsia="Calibri" w:cs="Times New Roman"/>
                <w:sz w:val="18"/>
                <w:szCs w:val="18"/>
              </w:rPr>
              <w:t>. Suitable hosts are grown in Australia</w:t>
            </w:r>
            <w:r>
              <w:rPr>
                <w:rFonts w:eastAsia="Calibri" w:cs="Times New Roman"/>
                <w:sz w:val="18"/>
                <w:szCs w:val="18"/>
              </w:rPr>
              <w:t>.</w:t>
            </w:r>
          </w:p>
        </w:tc>
        <w:tc>
          <w:tcPr>
            <w:tcW w:w="2211" w:type="dxa"/>
            <w:shd w:val="clear" w:color="auto" w:fill="auto"/>
          </w:tcPr>
          <w:p w14:paraId="7982DED7"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Speck rot can cause economic losses due to fruit rotting in storage. Although this disease occurs sporadically, a few instances of severe losses caused by this disease in Washington State during 2004 and 2005 were observed </w:t>
            </w:r>
            <w:r>
              <w:rPr>
                <w:rFonts w:eastAsia="Calibri" w:cs="Times New Roman"/>
                <w:noProof/>
                <w:sz w:val="18"/>
                <w:szCs w:val="18"/>
              </w:rPr>
              <w:t>(Kim &amp; Xiao 2006)</w:t>
            </w:r>
            <w:r>
              <w:rPr>
                <w:rFonts w:eastAsia="Calibri" w:cs="Times New Roman"/>
                <w:sz w:val="18"/>
                <w:szCs w:val="18"/>
              </w:rPr>
              <w:t>.</w:t>
            </w:r>
          </w:p>
        </w:tc>
        <w:tc>
          <w:tcPr>
            <w:tcW w:w="1191" w:type="dxa"/>
            <w:shd w:val="clear" w:color="auto" w:fill="auto"/>
          </w:tcPr>
          <w:p w14:paraId="2CABE7E6"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Yes</w:t>
            </w:r>
          </w:p>
        </w:tc>
      </w:tr>
      <w:tr w:rsidR="003438A2" w:rsidRPr="00D95799" w14:paraId="49376622" w14:textId="77777777" w:rsidTr="00A3794F">
        <w:trPr>
          <w:cantSplit/>
          <w:trHeight w:val="75"/>
          <w:jc w:val="center"/>
        </w:trPr>
        <w:tc>
          <w:tcPr>
            <w:tcW w:w="1985" w:type="dxa"/>
            <w:shd w:val="clear" w:color="auto" w:fill="auto"/>
          </w:tcPr>
          <w:p w14:paraId="570F3DC7" w14:textId="77777777" w:rsidR="003438A2" w:rsidRPr="00185A7C" w:rsidRDefault="003438A2" w:rsidP="00881E29">
            <w:pPr>
              <w:spacing w:before="60" w:after="60" w:line="240" w:lineRule="auto"/>
              <w:rPr>
                <w:rFonts w:eastAsia="Calibri" w:cs="Times New Roman"/>
                <w:iCs/>
                <w:sz w:val="18"/>
                <w:szCs w:val="18"/>
              </w:rPr>
            </w:pPr>
            <w:r w:rsidRPr="00185A7C">
              <w:rPr>
                <w:rFonts w:eastAsia="Calibri" w:cs="Times New Roman"/>
                <w:i/>
                <w:iCs/>
                <w:sz w:val="18"/>
                <w:szCs w:val="18"/>
              </w:rPr>
              <w:t xml:space="preserve">Phacidium lacerum </w:t>
            </w:r>
            <w:r w:rsidRPr="00185A7C">
              <w:rPr>
                <w:rFonts w:eastAsia="Calibri" w:cs="Times New Roman"/>
                <w:iCs/>
                <w:sz w:val="18"/>
                <w:szCs w:val="18"/>
              </w:rPr>
              <w:t>Fr.</w:t>
            </w:r>
          </w:p>
          <w:p w14:paraId="7EC1CEFC" w14:textId="77777777" w:rsidR="003438A2" w:rsidRPr="00185A7C" w:rsidRDefault="003438A2" w:rsidP="00881E29">
            <w:pPr>
              <w:spacing w:before="60" w:after="60" w:line="240" w:lineRule="auto"/>
              <w:rPr>
                <w:rFonts w:eastAsia="Calibri" w:cs="Times New Roman"/>
                <w:iCs/>
                <w:sz w:val="18"/>
                <w:szCs w:val="18"/>
              </w:rPr>
            </w:pPr>
            <w:r w:rsidRPr="00185A7C">
              <w:rPr>
                <w:rFonts w:eastAsia="Calibri" w:cs="Times New Roman"/>
                <w:iCs/>
                <w:sz w:val="18"/>
                <w:szCs w:val="18"/>
              </w:rPr>
              <w:t xml:space="preserve">Synonym: </w:t>
            </w:r>
            <w:r w:rsidRPr="00185A7C">
              <w:rPr>
                <w:rFonts w:eastAsia="Calibri" w:cs="Times New Roman"/>
                <w:i/>
                <w:sz w:val="18"/>
                <w:szCs w:val="18"/>
              </w:rPr>
              <w:t xml:space="preserve">Ceuthospora pinastri </w:t>
            </w:r>
            <w:r w:rsidRPr="00185A7C">
              <w:rPr>
                <w:rFonts w:eastAsia="Calibri" w:cs="Times New Roman"/>
                <w:sz w:val="18"/>
                <w:szCs w:val="18"/>
              </w:rPr>
              <w:t>(Fr.) Höhn</w:t>
            </w:r>
          </w:p>
          <w:p w14:paraId="6C2E95A0" w14:textId="77777777" w:rsidR="003438A2" w:rsidRPr="00185A7C" w:rsidRDefault="003438A2" w:rsidP="00881E29">
            <w:pPr>
              <w:spacing w:before="60" w:after="60" w:line="240" w:lineRule="auto"/>
              <w:rPr>
                <w:rFonts w:eastAsia="Calibri" w:cs="Times New Roman"/>
                <w:iCs/>
                <w:sz w:val="18"/>
                <w:szCs w:val="18"/>
              </w:rPr>
            </w:pPr>
            <w:r w:rsidRPr="00185A7C">
              <w:rPr>
                <w:rFonts w:eastAsia="Calibri" w:cs="Times New Roman"/>
                <w:iCs/>
                <w:sz w:val="18"/>
                <w:szCs w:val="18"/>
              </w:rPr>
              <w:t>[Phacidiales: Phacidiaceae]</w:t>
            </w:r>
          </w:p>
          <w:p w14:paraId="522F1389" w14:textId="77777777" w:rsidR="003438A2" w:rsidRPr="00185A7C" w:rsidRDefault="003438A2" w:rsidP="00881E29">
            <w:pPr>
              <w:spacing w:before="60" w:after="60" w:line="240" w:lineRule="auto"/>
              <w:rPr>
                <w:rFonts w:eastAsia="Calibri" w:cs="Times New Roman"/>
                <w:sz w:val="18"/>
                <w:szCs w:val="18"/>
                <w:lang w:val="pt-BR"/>
              </w:rPr>
            </w:pPr>
            <w:r w:rsidRPr="00185A7C">
              <w:rPr>
                <w:rFonts w:eastAsia="Calibri" w:cs="Times New Roman"/>
                <w:iCs/>
                <w:sz w:val="18"/>
                <w:szCs w:val="18"/>
              </w:rPr>
              <w:t>Phacidium rot</w:t>
            </w:r>
          </w:p>
        </w:tc>
        <w:tc>
          <w:tcPr>
            <w:tcW w:w="1474" w:type="dxa"/>
            <w:shd w:val="clear" w:color="auto" w:fill="auto"/>
          </w:tcPr>
          <w:p w14:paraId="730D44B6" w14:textId="77777777" w:rsidR="003438A2" w:rsidRPr="00185A7C" w:rsidRDefault="003438A2" w:rsidP="00881E29">
            <w:pPr>
              <w:spacing w:before="60" w:after="60" w:line="240" w:lineRule="auto"/>
              <w:rPr>
                <w:rFonts w:eastAsia="Calibri" w:cs="Times New Roman"/>
                <w:sz w:val="18"/>
                <w:szCs w:val="18"/>
                <w:lang w:val="pt-BR"/>
              </w:rPr>
            </w:pPr>
            <w:r w:rsidRPr="00185A7C">
              <w:rPr>
                <w:rFonts w:eastAsia="Calibri" w:cs="Times New Roman"/>
                <w:sz w:val="18"/>
                <w:szCs w:val="18"/>
                <w:lang w:val="pt-BR"/>
              </w:rPr>
              <w:t xml:space="preserve">Yes. </w:t>
            </w:r>
            <w:r>
              <w:rPr>
                <w:rFonts w:eastAsia="Calibri" w:cs="Times New Roman"/>
                <w:sz w:val="18"/>
                <w:szCs w:val="18"/>
                <w:lang w:val="pt-BR"/>
              </w:rPr>
              <w:t>Present in</w:t>
            </w:r>
            <w:r w:rsidRPr="00185A7C">
              <w:rPr>
                <w:rFonts w:eastAsia="Calibri" w:cs="Times New Roman"/>
                <w:sz w:val="18"/>
                <w:szCs w:val="18"/>
                <w:lang w:val="pt-BR"/>
              </w:rPr>
              <w:t xml:space="preserve"> ID</w:t>
            </w:r>
            <w:r>
              <w:rPr>
                <w:rFonts w:eastAsia="Calibri" w:cs="Times New Roman"/>
                <w:sz w:val="18"/>
                <w:szCs w:val="18"/>
                <w:lang w:val="pt-BR"/>
              </w:rPr>
              <w:t xml:space="preserve"> and </w:t>
            </w:r>
            <w:r w:rsidRPr="00185A7C">
              <w:rPr>
                <w:rFonts w:eastAsia="Calibri" w:cs="Times New Roman"/>
                <w:sz w:val="18"/>
                <w:szCs w:val="18"/>
                <w:lang w:val="pt-BR"/>
              </w:rPr>
              <w:t xml:space="preserve">WA </w:t>
            </w:r>
            <w:r w:rsidRPr="00185A7C">
              <w:rPr>
                <w:rFonts w:eastAsia="Calibri" w:cs="Times New Roman"/>
                <w:noProof/>
                <w:sz w:val="18"/>
                <w:szCs w:val="18"/>
                <w:lang w:val="pt-BR"/>
              </w:rPr>
              <w:t>(Wiseman et al. 2016)</w:t>
            </w:r>
          </w:p>
        </w:tc>
        <w:tc>
          <w:tcPr>
            <w:tcW w:w="1474" w:type="dxa"/>
            <w:shd w:val="clear" w:color="auto" w:fill="auto"/>
          </w:tcPr>
          <w:p w14:paraId="5F11E111" w14:textId="77777777" w:rsidR="003438A2" w:rsidRPr="00185A7C" w:rsidRDefault="003438A2" w:rsidP="00881E29">
            <w:pPr>
              <w:spacing w:before="60" w:after="60" w:line="240" w:lineRule="auto"/>
              <w:rPr>
                <w:rFonts w:eastAsia="Calibri" w:cs="Times New Roman"/>
                <w:sz w:val="18"/>
                <w:szCs w:val="18"/>
              </w:rPr>
            </w:pPr>
            <w:r w:rsidRPr="00185A7C">
              <w:rPr>
                <w:rFonts w:eastAsia="Calibri" w:cs="Times New Roman"/>
                <w:sz w:val="18"/>
                <w:szCs w:val="18"/>
              </w:rPr>
              <w:t xml:space="preserve">Yes. Victoria and Tasmania </w:t>
            </w:r>
            <w:r w:rsidRPr="00185A7C">
              <w:rPr>
                <w:rFonts w:eastAsia="Calibri" w:cs="Times New Roman"/>
                <w:noProof/>
                <w:sz w:val="18"/>
                <w:szCs w:val="18"/>
              </w:rPr>
              <w:t>(ALA 2020)</w:t>
            </w:r>
          </w:p>
        </w:tc>
        <w:tc>
          <w:tcPr>
            <w:tcW w:w="2552" w:type="dxa"/>
            <w:shd w:val="clear" w:color="auto" w:fill="auto"/>
          </w:tcPr>
          <w:p w14:paraId="4BF43931" w14:textId="77777777" w:rsidR="003438A2" w:rsidRPr="00185A7C" w:rsidRDefault="003438A2" w:rsidP="00881E29">
            <w:pPr>
              <w:spacing w:before="60" w:after="60" w:line="240" w:lineRule="auto"/>
              <w:rPr>
                <w:rFonts w:eastAsia="Calibri" w:cs="Times New Roman"/>
                <w:sz w:val="18"/>
                <w:szCs w:val="18"/>
              </w:rPr>
            </w:pPr>
            <w:r w:rsidRPr="00185A7C">
              <w:rPr>
                <w:rFonts w:eastAsia="Calibri" w:cs="Times New Roman"/>
                <w:sz w:val="18"/>
                <w:szCs w:val="18"/>
              </w:rPr>
              <w:t>No</w:t>
            </w:r>
          </w:p>
        </w:tc>
        <w:tc>
          <w:tcPr>
            <w:tcW w:w="2381" w:type="dxa"/>
            <w:shd w:val="clear" w:color="auto" w:fill="auto"/>
          </w:tcPr>
          <w:p w14:paraId="7342FBD7" w14:textId="77777777" w:rsidR="003438A2" w:rsidRPr="00185A7C" w:rsidRDefault="003438A2" w:rsidP="00881E29">
            <w:pPr>
              <w:spacing w:before="60" w:after="60" w:line="240" w:lineRule="auto"/>
              <w:rPr>
                <w:rFonts w:eastAsia="Calibri" w:cs="Times New Roman"/>
                <w:sz w:val="18"/>
                <w:szCs w:val="18"/>
              </w:rPr>
            </w:pPr>
            <w:r w:rsidRPr="00185A7C">
              <w:rPr>
                <w:rFonts w:eastAsia="Calibri" w:cs="Times New Roman"/>
                <w:sz w:val="18"/>
                <w:szCs w:val="18"/>
              </w:rPr>
              <w:t>No</w:t>
            </w:r>
          </w:p>
        </w:tc>
        <w:tc>
          <w:tcPr>
            <w:tcW w:w="2211" w:type="dxa"/>
            <w:shd w:val="clear" w:color="auto" w:fill="auto"/>
          </w:tcPr>
          <w:p w14:paraId="6BC46EA6" w14:textId="77777777" w:rsidR="003438A2" w:rsidRPr="00185A7C" w:rsidRDefault="003438A2" w:rsidP="00881E29">
            <w:pPr>
              <w:spacing w:before="60" w:after="60" w:line="240" w:lineRule="auto"/>
              <w:rPr>
                <w:rFonts w:eastAsia="Calibri" w:cs="Times New Roman"/>
                <w:sz w:val="18"/>
                <w:szCs w:val="18"/>
              </w:rPr>
            </w:pPr>
            <w:r w:rsidRPr="00185A7C">
              <w:rPr>
                <w:rFonts w:eastAsia="Calibri" w:cs="Times New Roman"/>
                <w:sz w:val="18"/>
                <w:szCs w:val="18"/>
              </w:rPr>
              <w:t>No</w:t>
            </w:r>
          </w:p>
        </w:tc>
        <w:tc>
          <w:tcPr>
            <w:tcW w:w="1191" w:type="dxa"/>
            <w:shd w:val="clear" w:color="auto" w:fill="auto"/>
          </w:tcPr>
          <w:p w14:paraId="69D5C6C5" w14:textId="77777777" w:rsidR="003438A2" w:rsidRPr="00185A7C" w:rsidRDefault="003438A2" w:rsidP="00881E29">
            <w:pPr>
              <w:spacing w:before="60" w:after="60" w:line="240" w:lineRule="auto"/>
              <w:rPr>
                <w:rFonts w:eastAsia="Calibri" w:cs="Times New Roman"/>
                <w:sz w:val="18"/>
                <w:szCs w:val="18"/>
              </w:rPr>
            </w:pPr>
            <w:r w:rsidRPr="00185A7C">
              <w:rPr>
                <w:rFonts w:eastAsia="Calibri" w:cs="Times New Roman"/>
                <w:sz w:val="18"/>
                <w:szCs w:val="18"/>
              </w:rPr>
              <w:t>No</w:t>
            </w:r>
          </w:p>
        </w:tc>
      </w:tr>
      <w:tr w:rsidR="003438A2" w:rsidRPr="00D95799" w14:paraId="4AAB73E1" w14:textId="77777777" w:rsidTr="00A3794F">
        <w:trPr>
          <w:cantSplit/>
          <w:trHeight w:val="75"/>
          <w:jc w:val="center"/>
        </w:trPr>
        <w:tc>
          <w:tcPr>
            <w:tcW w:w="1985" w:type="dxa"/>
            <w:shd w:val="clear" w:color="auto" w:fill="auto"/>
          </w:tcPr>
          <w:p w14:paraId="6D55F5C6" w14:textId="77777777" w:rsidR="003438A2" w:rsidRDefault="003438A2" w:rsidP="00881E29">
            <w:pPr>
              <w:spacing w:before="60" w:after="60" w:line="240" w:lineRule="auto"/>
              <w:rPr>
                <w:rFonts w:eastAsia="Calibri" w:cs="Times New Roman"/>
                <w:iCs/>
                <w:sz w:val="18"/>
                <w:szCs w:val="18"/>
              </w:rPr>
            </w:pPr>
            <w:r w:rsidRPr="00D95799">
              <w:rPr>
                <w:rFonts w:eastAsia="Calibri" w:cs="Times New Roman"/>
                <w:i/>
                <w:iCs/>
                <w:sz w:val="18"/>
                <w:szCs w:val="18"/>
              </w:rPr>
              <w:t xml:space="preserve">Phlyctema vagabunda </w:t>
            </w:r>
            <w:r w:rsidRPr="00D95799">
              <w:rPr>
                <w:rFonts w:eastAsia="Calibri" w:cs="Times New Roman"/>
                <w:iCs/>
                <w:sz w:val="18"/>
                <w:szCs w:val="18"/>
              </w:rPr>
              <w:t>Desm.</w:t>
            </w:r>
          </w:p>
          <w:p w14:paraId="15C29B74"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Synonyms:</w:t>
            </w:r>
            <w:r w:rsidRPr="00D95799">
              <w:rPr>
                <w:rFonts w:eastAsia="Calibri" w:cs="Times New Roman"/>
                <w:i/>
                <w:iCs/>
                <w:sz w:val="18"/>
                <w:szCs w:val="18"/>
              </w:rPr>
              <w:t xml:space="preserve"> Neofabraea alba </w:t>
            </w:r>
            <w:r w:rsidRPr="00D95799">
              <w:rPr>
                <w:rFonts w:eastAsia="Calibri" w:cs="Times New Roman"/>
                <w:iCs/>
                <w:sz w:val="18"/>
                <w:szCs w:val="18"/>
              </w:rPr>
              <w:t xml:space="preserve">(E.J. Guthrie) Verkley; </w:t>
            </w:r>
            <w:r w:rsidRPr="00D95799">
              <w:rPr>
                <w:rFonts w:eastAsia="Calibri" w:cs="Times New Roman"/>
                <w:i/>
                <w:iCs/>
                <w:sz w:val="18"/>
                <w:szCs w:val="18"/>
              </w:rPr>
              <w:t xml:space="preserve">Pezicula alba </w:t>
            </w:r>
            <w:r w:rsidRPr="00D95799">
              <w:rPr>
                <w:rFonts w:eastAsia="Calibri" w:cs="Times New Roman"/>
                <w:iCs/>
                <w:sz w:val="18"/>
                <w:szCs w:val="18"/>
              </w:rPr>
              <w:t>E.J. Guthrie</w:t>
            </w:r>
          </w:p>
          <w:p w14:paraId="65D2619E"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[Helotiales: Dermateaceae]</w:t>
            </w:r>
          </w:p>
          <w:p w14:paraId="52F7D83E" w14:textId="77777777" w:rsidR="003438A2" w:rsidRPr="00D95799" w:rsidRDefault="003438A2" w:rsidP="00881E29">
            <w:pPr>
              <w:spacing w:before="60" w:after="60" w:line="240" w:lineRule="auto"/>
              <w:rPr>
                <w:rFonts w:eastAsia="Calibri" w:cs="Times New Roman"/>
                <w:i/>
                <w:iCs/>
                <w:sz w:val="18"/>
                <w:szCs w:val="18"/>
              </w:rPr>
            </w:pPr>
            <w:r w:rsidRPr="00D95799">
              <w:rPr>
                <w:rFonts w:eastAsia="Calibri" w:cs="Times New Roman"/>
                <w:iCs/>
                <w:sz w:val="18"/>
                <w:szCs w:val="18"/>
              </w:rPr>
              <w:t>Ripe spot</w:t>
            </w:r>
          </w:p>
        </w:tc>
        <w:tc>
          <w:tcPr>
            <w:tcW w:w="1474" w:type="dxa"/>
            <w:shd w:val="clear" w:color="auto" w:fill="auto"/>
          </w:tcPr>
          <w:p w14:paraId="092FA74E"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sz w:val="18"/>
                <w:szCs w:val="18"/>
                <w:lang w:val="pt-BR"/>
              </w:rPr>
              <w:t xml:space="preserve">Yes. </w:t>
            </w:r>
            <w:r>
              <w:rPr>
                <w:rFonts w:eastAsia="Calibri" w:cs="Times New Roman"/>
                <w:sz w:val="18"/>
                <w:szCs w:val="18"/>
                <w:lang w:val="pt-BR"/>
              </w:rPr>
              <w:t xml:space="preserve">Present in </w:t>
            </w:r>
            <w:r w:rsidRPr="00D95799">
              <w:rPr>
                <w:rFonts w:eastAsia="Calibri" w:cs="Times New Roman"/>
                <w:sz w:val="18"/>
                <w:szCs w:val="18"/>
                <w:lang w:val="pt-BR"/>
              </w:rPr>
              <w:t>OR</w:t>
            </w:r>
            <w:r>
              <w:rPr>
                <w:rFonts w:eastAsia="Calibri" w:cs="Times New Roman"/>
                <w:sz w:val="18"/>
                <w:szCs w:val="18"/>
                <w:lang w:val="pt-BR"/>
              </w:rPr>
              <w:t xml:space="preserve"> and </w:t>
            </w:r>
            <w:r w:rsidRPr="00D95799">
              <w:rPr>
                <w:rFonts w:eastAsia="Calibri" w:cs="Times New Roman"/>
                <w:sz w:val="18"/>
                <w:szCs w:val="18"/>
                <w:lang w:val="pt-BR"/>
              </w:rPr>
              <w:t xml:space="preserve">WA </w:t>
            </w:r>
            <w:r>
              <w:rPr>
                <w:rFonts w:eastAsia="Calibri" w:cs="Times New Roman"/>
                <w:noProof/>
                <w:sz w:val="18"/>
                <w:szCs w:val="18"/>
                <w:lang w:val="pt-BR"/>
              </w:rPr>
              <w:t>(Farr &amp; Rossman 2018; Gariepy et al. 2005; Glawe 2009)</w:t>
            </w:r>
          </w:p>
        </w:tc>
        <w:tc>
          <w:tcPr>
            <w:tcW w:w="1474" w:type="dxa"/>
            <w:shd w:val="clear" w:color="auto" w:fill="auto"/>
          </w:tcPr>
          <w:p w14:paraId="04321A94"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Yes</w:t>
            </w:r>
            <w:r>
              <w:rPr>
                <w:rFonts w:eastAsia="Calibri" w:cs="Times New Roman"/>
                <w:sz w:val="18"/>
                <w:szCs w:val="18"/>
              </w:rPr>
              <w:t>.</w:t>
            </w:r>
            <w:r w:rsidRPr="00D95799">
              <w:rPr>
                <w:rFonts w:eastAsia="Calibri" w:cs="Times New Roman"/>
                <w:sz w:val="18"/>
                <w:szCs w:val="18"/>
              </w:rPr>
              <w:t xml:space="preserve"> Tas., Vic., WA </w:t>
            </w:r>
            <w:r>
              <w:rPr>
                <w:rFonts w:eastAsia="Calibri" w:cs="Times New Roman"/>
                <w:noProof/>
                <w:sz w:val="18"/>
                <w:szCs w:val="18"/>
              </w:rPr>
              <w:t>(Plant Health Australia 2018; Shivas 1989)</w:t>
            </w:r>
          </w:p>
        </w:tc>
        <w:tc>
          <w:tcPr>
            <w:tcW w:w="2552" w:type="dxa"/>
            <w:shd w:val="clear" w:color="auto" w:fill="auto"/>
          </w:tcPr>
          <w:p w14:paraId="11325EEF"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381" w:type="dxa"/>
            <w:shd w:val="clear" w:color="auto" w:fill="auto"/>
          </w:tcPr>
          <w:p w14:paraId="5470AF05"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211" w:type="dxa"/>
            <w:shd w:val="clear" w:color="auto" w:fill="auto"/>
          </w:tcPr>
          <w:p w14:paraId="01F73580"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auto"/>
          </w:tcPr>
          <w:p w14:paraId="03CC2B72"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95799" w14:paraId="242DA1A3" w14:textId="77777777" w:rsidTr="009831D4">
        <w:trPr>
          <w:cantSplit/>
          <w:trHeight w:val="75"/>
          <w:jc w:val="center"/>
        </w:trPr>
        <w:tc>
          <w:tcPr>
            <w:tcW w:w="1985" w:type="dxa"/>
            <w:shd w:val="clear" w:color="auto" w:fill="auto"/>
          </w:tcPr>
          <w:p w14:paraId="2E8969CE"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
                <w:iCs/>
                <w:sz w:val="18"/>
                <w:szCs w:val="18"/>
              </w:rPr>
              <w:lastRenderedPageBreak/>
              <w:t xml:space="preserve">Phoma bismarckii </w:t>
            </w:r>
            <w:r w:rsidRPr="00D95799">
              <w:rPr>
                <w:rFonts w:eastAsia="Calibri" w:cs="Times New Roman"/>
                <w:iCs/>
                <w:sz w:val="18"/>
                <w:szCs w:val="18"/>
              </w:rPr>
              <w:t>Kidd &amp; Beaumont</w:t>
            </w:r>
          </w:p>
          <w:p w14:paraId="68ACBDAE"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iCs/>
                <w:sz w:val="18"/>
                <w:szCs w:val="18"/>
              </w:rPr>
              <w:t>[</w:t>
            </w:r>
            <w:r w:rsidRPr="00D95799">
              <w:rPr>
                <w:rFonts w:eastAsia="Calibri" w:cs="Times New Roman"/>
                <w:sz w:val="18"/>
              </w:rPr>
              <w:t>Pleosporales:</w:t>
            </w:r>
            <w:r w:rsidRPr="00D95799">
              <w:rPr>
                <w:rFonts w:eastAsia="Calibri" w:cs="Times New Roman"/>
                <w:iCs/>
                <w:sz w:val="18"/>
                <w:szCs w:val="18"/>
              </w:rPr>
              <w:t xml:space="preserve"> Didymellaceae]</w:t>
            </w:r>
          </w:p>
        </w:tc>
        <w:tc>
          <w:tcPr>
            <w:tcW w:w="1474" w:type="dxa"/>
            <w:shd w:val="clear" w:color="auto" w:fill="auto"/>
          </w:tcPr>
          <w:p w14:paraId="45F59EBE"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sz w:val="18"/>
                <w:szCs w:val="18"/>
              </w:rPr>
              <w:t xml:space="preserve">Yes. </w:t>
            </w:r>
            <w:r>
              <w:rPr>
                <w:rFonts w:eastAsia="Calibri" w:cs="Times New Roman"/>
                <w:sz w:val="18"/>
                <w:szCs w:val="18"/>
              </w:rPr>
              <w:t xml:space="preserve">Present in </w:t>
            </w:r>
            <w:r w:rsidRPr="00D95799">
              <w:rPr>
                <w:rFonts w:eastAsia="Calibri" w:cs="Times New Roman"/>
                <w:sz w:val="18"/>
                <w:szCs w:val="18"/>
              </w:rPr>
              <w:t xml:space="preserve">WA </w:t>
            </w:r>
            <w:r>
              <w:rPr>
                <w:rFonts w:eastAsia="Calibri" w:cs="Times New Roman"/>
                <w:noProof/>
                <w:sz w:val="18"/>
                <w:szCs w:val="18"/>
              </w:rPr>
              <w:t>(Farr &amp; Rossman 2018; Glawe 2009)</w:t>
            </w:r>
          </w:p>
        </w:tc>
        <w:tc>
          <w:tcPr>
            <w:tcW w:w="1474" w:type="dxa"/>
            <w:shd w:val="clear" w:color="auto" w:fill="auto"/>
          </w:tcPr>
          <w:p w14:paraId="7AD7B364"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 records found</w:t>
            </w:r>
          </w:p>
        </w:tc>
        <w:tc>
          <w:tcPr>
            <w:tcW w:w="2552" w:type="dxa"/>
            <w:shd w:val="clear" w:color="auto" w:fill="auto"/>
          </w:tcPr>
          <w:p w14:paraId="4009F166"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No. Found on dead branches and leaves </w:t>
            </w:r>
            <w:r>
              <w:rPr>
                <w:rFonts w:eastAsia="Calibri" w:cs="Times New Roman"/>
                <w:noProof/>
                <w:sz w:val="18"/>
                <w:szCs w:val="18"/>
              </w:rPr>
              <w:t>(Farr &amp; Rossman 2018)</w:t>
            </w:r>
            <w:r w:rsidRPr="00D95799">
              <w:rPr>
                <w:rFonts w:eastAsia="Calibri" w:cs="Times New Roman"/>
                <w:sz w:val="18"/>
                <w:szCs w:val="18"/>
              </w:rPr>
              <w:t xml:space="preserve">. Has occasionally been recorded on dead branches of apple trees </w:t>
            </w:r>
            <w:r>
              <w:rPr>
                <w:rFonts w:eastAsia="Calibri" w:cs="Times New Roman"/>
                <w:noProof/>
                <w:sz w:val="18"/>
                <w:szCs w:val="18"/>
              </w:rPr>
              <w:t>(Boerema et al. 2004)</w:t>
            </w:r>
            <w:r>
              <w:rPr>
                <w:rFonts w:eastAsia="Calibri" w:cs="Times New Roman"/>
                <w:sz w:val="18"/>
                <w:szCs w:val="18"/>
              </w:rPr>
              <w:t xml:space="preserve"> </w:t>
            </w:r>
          </w:p>
        </w:tc>
        <w:tc>
          <w:tcPr>
            <w:tcW w:w="2381" w:type="dxa"/>
            <w:shd w:val="clear" w:color="auto" w:fill="auto"/>
          </w:tcPr>
          <w:p w14:paraId="587EA973"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211" w:type="dxa"/>
            <w:shd w:val="clear" w:color="auto" w:fill="auto"/>
          </w:tcPr>
          <w:p w14:paraId="0E3780FD"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auto"/>
          </w:tcPr>
          <w:p w14:paraId="025C2615"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95799" w14:paraId="432EC54A" w14:textId="77777777" w:rsidTr="009831D4">
        <w:trPr>
          <w:cantSplit/>
          <w:trHeight w:val="75"/>
          <w:jc w:val="center"/>
        </w:trPr>
        <w:tc>
          <w:tcPr>
            <w:tcW w:w="1985" w:type="dxa"/>
            <w:shd w:val="clear" w:color="auto" w:fill="auto"/>
          </w:tcPr>
          <w:p w14:paraId="059EB1ED"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
                <w:iCs/>
                <w:sz w:val="18"/>
                <w:szCs w:val="18"/>
              </w:rPr>
              <w:t xml:space="preserve">Phoma fuliginea </w:t>
            </w:r>
            <w:r w:rsidRPr="00D95799">
              <w:rPr>
                <w:rFonts w:eastAsia="Calibri" w:cs="Times New Roman"/>
                <w:iCs/>
                <w:sz w:val="18"/>
                <w:szCs w:val="18"/>
              </w:rPr>
              <w:t>Kidd &amp; Beaumont</w:t>
            </w:r>
          </w:p>
          <w:p w14:paraId="341C950F"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iCs/>
                <w:sz w:val="18"/>
                <w:szCs w:val="18"/>
              </w:rPr>
              <w:t>[</w:t>
            </w:r>
            <w:r w:rsidRPr="00D95799">
              <w:rPr>
                <w:rFonts w:eastAsia="Calibri" w:cs="Times New Roman"/>
                <w:sz w:val="18"/>
              </w:rPr>
              <w:t>Pleosporales:</w:t>
            </w:r>
            <w:r w:rsidRPr="00D95799">
              <w:rPr>
                <w:rFonts w:eastAsia="Calibri" w:cs="Times New Roman"/>
                <w:iCs/>
                <w:sz w:val="18"/>
                <w:szCs w:val="18"/>
              </w:rPr>
              <w:t xml:space="preserve"> Didymellaceae]</w:t>
            </w:r>
          </w:p>
        </w:tc>
        <w:tc>
          <w:tcPr>
            <w:tcW w:w="1474" w:type="dxa"/>
            <w:shd w:val="clear" w:color="auto" w:fill="auto"/>
          </w:tcPr>
          <w:p w14:paraId="478F309F"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sz w:val="18"/>
                <w:szCs w:val="18"/>
              </w:rPr>
              <w:t xml:space="preserve">Yes. </w:t>
            </w:r>
            <w:r>
              <w:rPr>
                <w:rFonts w:eastAsia="Calibri" w:cs="Times New Roman"/>
                <w:sz w:val="18"/>
                <w:szCs w:val="18"/>
              </w:rPr>
              <w:t xml:space="preserve">Present in </w:t>
            </w:r>
            <w:r w:rsidRPr="00D95799">
              <w:rPr>
                <w:rFonts w:eastAsia="Calibri" w:cs="Times New Roman"/>
                <w:sz w:val="18"/>
                <w:szCs w:val="18"/>
              </w:rPr>
              <w:t xml:space="preserve">WA </w:t>
            </w:r>
            <w:r>
              <w:rPr>
                <w:rFonts w:eastAsia="Calibri" w:cs="Times New Roman"/>
                <w:noProof/>
                <w:sz w:val="18"/>
                <w:szCs w:val="18"/>
              </w:rPr>
              <w:t>(Shaw 1973)</w:t>
            </w:r>
          </w:p>
        </w:tc>
        <w:tc>
          <w:tcPr>
            <w:tcW w:w="1474" w:type="dxa"/>
            <w:shd w:val="clear" w:color="auto" w:fill="auto"/>
          </w:tcPr>
          <w:p w14:paraId="5B492B3D"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 records found</w:t>
            </w:r>
          </w:p>
        </w:tc>
        <w:tc>
          <w:tcPr>
            <w:tcW w:w="2552" w:type="dxa"/>
            <w:shd w:val="clear" w:color="auto" w:fill="auto"/>
          </w:tcPr>
          <w:p w14:paraId="210C9715"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No. There is only one record of </w:t>
            </w:r>
            <w:r w:rsidRPr="00D95799">
              <w:rPr>
                <w:rFonts w:eastAsia="Calibri" w:cs="Times New Roman"/>
                <w:i/>
                <w:sz w:val="18"/>
                <w:szCs w:val="18"/>
              </w:rPr>
              <w:t>Phoma fuliginea</w:t>
            </w:r>
            <w:r w:rsidRPr="00D95799">
              <w:rPr>
                <w:rFonts w:eastAsia="Calibri" w:cs="Times New Roman"/>
                <w:sz w:val="18"/>
                <w:szCs w:val="18"/>
              </w:rPr>
              <w:t xml:space="preserve"> in the US. The pest was reported to be on </w:t>
            </w:r>
            <w:r w:rsidRPr="00D95799">
              <w:rPr>
                <w:rFonts w:eastAsia="Calibri" w:cs="Times New Roman"/>
                <w:i/>
                <w:sz w:val="18"/>
                <w:szCs w:val="18"/>
              </w:rPr>
              <w:t>Malus sylvestris</w:t>
            </w:r>
            <w:r w:rsidRPr="00D95799">
              <w:rPr>
                <w:rFonts w:eastAsia="Calibri" w:cs="Times New Roman"/>
                <w:sz w:val="18"/>
                <w:szCs w:val="18"/>
              </w:rPr>
              <w:t xml:space="preserve"> in Washington </w:t>
            </w:r>
            <w:r>
              <w:rPr>
                <w:rFonts w:eastAsia="Calibri" w:cs="Times New Roman"/>
                <w:noProof/>
                <w:sz w:val="18"/>
                <w:szCs w:val="18"/>
              </w:rPr>
              <w:t>(Shaw 1973)</w:t>
            </w:r>
            <w:r w:rsidRPr="00D95799">
              <w:rPr>
                <w:rFonts w:eastAsia="Calibri" w:cs="Times New Roman"/>
                <w:sz w:val="18"/>
                <w:szCs w:val="18"/>
              </w:rPr>
              <w:t xml:space="preserve">. </w:t>
            </w:r>
            <w:r w:rsidRPr="00D95799">
              <w:rPr>
                <w:rFonts w:eastAsia="Calibri" w:cs="Arial"/>
                <w:sz w:val="18"/>
                <w:szCs w:val="18"/>
              </w:rPr>
              <w:t xml:space="preserve">This report did not specify whether this pest was found on apple fruit. It appeared that </w:t>
            </w:r>
            <w:r>
              <w:rPr>
                <w:rFonts w:eastAsia="Calibri" w:cs="Arial"/>
                <w:sz w:val="18"/>
                <w:szCs w:val="18"/>
              </w:rPr>
              <w:t xml:space="preserve">Shaw </w:t>
            </w:r>
            <w:r>
              <w:rPr>
                <w:rFonts w:eastAsia="Calibri" w:cs="Arial"/>
                <w:noProof/>
                <w:sz w:val="18"/>
                <w:szCs w:val="18"/>
              </w:rPr>
              <w:t>(1973)</w:t>
            </w:r>
            <w:r w:rsidRPr="00D95799" w:rsidDel="00257D68">
              <w:rPr>
                <w:rFonts w:eastAsia="Calibri" w:cs="Arial"/>
                <w:sz w:val="18"/>
                <w:szCs w:val="18"/>
              </w:rPr>
              <w:t xml:space="preserve"> </w:t>
            </w:r>
            <w:r w:rsidRPr="00D95799">
              <w:rPr>
                <w:rFonts w:eastAsia="Calibri" w:cs="Arial"/>
                <w:sz w:val="18"/>
                <w:szCs w:val="18"/>
              </w:rPr>
              <w:t xml:space="preserve">used the name </w:t>
            </w:r>
            <w:r w:rsidRPr="00D95799">
              <w:rPr>
                <w:rFonts w:eastAsia="Calibri" w:cs="Arial"/>
                <w:i/>
                <w:sz w:val="18"/>
                <w:szCs w:val="18"/>
              </w:rPr>
              <w:t>M. sylvestris</w:t>
            </w:r>
            <w:r w:rsidRPr="00D95799">
              <w:rPr>
                <w:rFonts w:eastAsia="Calibri" w:cs="Arial"/>
                <w:sz w:val="18"/>
                <w:szCs w:val="18"/>
              </w:rPr>
              <w:t xml:space="preserve"> for both domestic apple and crabapple</w:t>
            </w:r>
            <w:r>
              <w:rPr>
                <w:rFonts w:eastAsia="Calibri" w:cs="Arial"/>
                <w:sz w:val="18"/>
                <w:szCs w:val="18"/>
              </w:rPr>
              <w:t>.</w:t>
            </w:r>
            <w:r w:rsidRPr="00D95799">
              <w:rPr>
                <w:rFonts w:eastAsia="Calibri" w:cs="Arial"/>
                <w:sz w:val="18"/>
                <w:szCs w:val="18"/>
              </w:rPr>
              <w:t xml:space="preserve"> </w:t>
            </w:r>
          </w:p>
        </w:tc>
        <w:tc>
          <w:tcPr>
            <w:tcW w:w="2381" w:type="dxa"/>
            <w:shd w:val="clear" w:color="auto" w:fill="auto"/>
          </w:tcPr>
          <w:p w14:paraId="7B0CC4E3"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211" w:type="dxa"/>
            <w:shd w:val="clear" w:color="auto" w:fill="auto"/>
          </w:tcPr>
          <w:p w14:paraId="33EA2483"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auto"/>
          </w:tcPr>
          <w:p w14:paraId="38878CBB"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95799" w14:paraId="04C654F0" w14:textId="77777777" w:rsidTr="009831D4">
        <w:trPr>
          <w:cantSplit/>
          <w:trHeight w:val="75"/>
          <w:jc w:val="center"/>
        </w:trPr>
        <w:tc>
          <w:tcPr>
            <w:tcW w:w="1985" w:type="dxa"/>
            <w:shd w:val="clear" w:color="auto" w:fill="auto"/>
          </w:tcPr>
          <w:p w14:paraId="74537C2D"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
                <w:iCs/>
                <w:sz w:val="18"/>
                <w:szCs w:val="18"/>
              </w:rPr>
              <w:t>Phyllactinia guttata</w:t>
            </w:r>
            <w:r w:rsidRPr="00D95799">
              <w:rPr>
                <w:rFonts w:eastAsia="Calibri" w:cs="Times New Roman"/>
                <w:iCs/>
                <w:sz w:val="18"/>
                <w:szCs w:val="18"/>
              </w:rPr>
              <w:t xml:space="preserve"> (Wallr.:Fr.) L</w:t>
            </w:r>
            <w:r w:rsidRPr="00D95799">
              <w:rPr>
                <w:rFonts w:eastAsia="Calibri" w:cs="Arial"/>
                <w:iCs/>
                <w:sz w:val="18"/>
                <w:szCs w:val="18"/>
              </w:rPr>
              <w:t>é</w:t>
            </w:r>
            <w:r>
              <w:rPr>
                <w:rFonts w:eastAsia="Calibri" w:cs="Times New Roman"/>
                <w:iCs/>
                <w:sz w:val="18"/>
                <w:szCs w:val="18"/>
              </w:rPr>
              <w:t>v.</w:t>
            </w:r>
          </w:p>
          <w:p w14:paraId="41CFB173"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iCs/>
                <w:sz w:val="18"/>
                <w:szCs w:val="18"/>
              </w:rPr>
              <w:t>[Erysiphales: Erysiphaceae]</w:t>
            </w:r>
          </w:p>
        </w:tc>
        <w:tc>
          <w:tcPr>
            <w:tcW w:w="1474" w:type="dxa"/>
            <w:shd w:val="clear" w:color="auto" w:fill="auto"/>
          </w:tcPr>
          <w:p w14:paraId="57D76038"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sz w:val="18"/>
                <w:szCs w:val="18"/>
              </w:rPr>
              <w:t xml:space="preserve">Yes. </w:t>
            </w:r>
            <w:r>
              <w:rPr>
                <w:rFonts w:eastAsia="Calibri" w:cs="Times New Roman"/>
                <w:sz w:val="18"/>
                <w:szCs w:val="18"/>
              </w:rPr>
              <w:t xml:space="preserve">Present in </w:t>
            </w:r>
            <w:r w:rsidRPr="00D95799">
              <w:rPr>
                <w:rFonts w:eastAsia="Calibri" w:cs="Times New Roman"/>
                <w:sz w:val="18"/>
                <w:szCs w:val="18"/>
              </w:rPr>
              <w:t xml:space="preserve">WA </w:t>
            </w:r>
            <w:r>
              <w:rPr>
                <w:rFonts w:eastAsia="Calibri" w:cs="Times New Roman"/>
                <w:noProof/>
                <w:sz w:val="18"/>
                <w:szCs w:val="18"/>
              </w:rPr>
              <w:t>(Shaw 1958)</w:t>
            </w:r>
          </w:p>
        </w:tc>
        <w:tc>
          <w:tcPr>
            <w:tcW w:w="1474" w:type="dxa"/>
            <w:shd w:val="clear" w:color="auto" w:fill="auto"/>
          </w:tcPr>
          <w:p w14:paraId="7C931D35"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 records found</w:t>
            </w:r>
          </w:p>
        </w:tc>
        <w:tc>
          <w:tcPr>
            <w:tcW w:w="2552" w:type="dxa"/>
            <w:shd w:val="clear" w:color="auto" w:fill="auto"/>
          </w:tcPr>
          <w:p w14:paraId="32D4646E"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No. Only reported on crabapple in 1958 with no later records on apple. No records found for </w:t>
            </w:r>
            <w:r w:rsidRPr="00D95799">
              <w:rPr>
                <w:rFonts w:eastAsia="Calibri" w:cs="Times New Roman"/>
                <w:i/>
                <w:sz w:val="18"/>
                <w:szCs w:val="18"/>
              </w:rPr>
              <w:t xml:space="preserve">Malus domestica </w:t>
            </w:r>
            <w:r>
              <w:rPr>
                <w:rFonts w:eastAsia="Calibri" w:cs="Times New Roman"/>
                <w:noProof/>
                <w:sz w:val="18"/>
                <w:szCs w:val="18"/>
              </w:rPr>
              <w:t>(Farr &amp; Rossman 2018)</w:t>
            </w:r>
            <w:r>
              <w:rPr>
                <w:rFonts w:eastAsia="Calibri" w:cs="Times New Roman"/>
                <w:sz w:val="18"/>
                <w:szCs w:val="18"/>
              </w:rPr>
              <w:t xml:space="preserve"> </w:t>
            </w:r>
          </w:p>
        </w:tc>
        <w:tc>
          <w:tcPr>
            <w:tcW w:w="2381" w:type="dxa"/>
            <w:shd w:val="clear" w:color="auto" w:fill="auto"/>
          </w:tcPr>
          <w:p w14:paraId="191D9246"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211" w:type="dxa"/>
            <w:shd w:val="clear" w:color="auto" w:fill="auto"/>
          </w:tcPr>
          <w:p w14:paraId="1E8157C1"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auto"/>
          </w:tcPr>
          <w:p w14:paraId="63105629"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95799" w14:paraId="511E2800" w14:textId="77777777" w:rsidTr="009831D4">
        <w:trPr>
          <w:cantSplit/>
          <w:trHeight w:val="75"/>
          <w:jc w:val="center"/>
        </w:trPr>
        <w:tc>
          <w:tcPr>
            <w:tcW w:w="1985" w:type="dxa"/>
            <w:shd w:val="clear" w:color="auto" w:fill="auto"/>
          </w:tcPr>
          <w:p w14:paraId="47B54032" w14:textId="77777777" w:rsidR="003438A2" w:rsidRDefault="003438A2" w:rsidP="00881E29">
            <w:pPr>
              <w:spacing w:before="60" w:after="60" w:line="240" w:lineRule="auto"/>
              <w:rPr>
                <w:rFonts w:eastAsia="Calibri" w:cs="Times New Roman"/>
                <w:iCs/>
                <w:sz w:val="18"/>
                <w:szCs w:val="18"/>
              </w:rPr>
            </w:pPr>
            <w:r w:rsidRPr="00D95799">
              <w:rPr>
                <w:rFonts w:eastAsia="Calibri" w:cs="Times New Roman"/>
                <w:i/>
                <w:iCs/>
                <w:sz w:val="18"/>
                <w:szCs w:val="18"/>
              </w:rPr>
              <w:t xml:space="preserve">Phyllosticta arbutifolia </w:t>
            </w:r>
            <w:r w:rsidRPr="00D95799">
              <w:rPr>
                <w:rFonts w:eastAsia="Calibri" w:cs="Times New Roman"/>
                <w:iCs/>
                <w:sz w:val="18"/>
                <w:szCs w:val="18"/>
              </w:rPr>
              <w:t>Ellis &amp; G. Martin</w:t>
            </w:r>
          </w:p>
          <w:p w14:paraId="0F6CA32C"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 xml:space="preserve">Synonym: </w:t>
            </w:r>
            <w:r w:rsidRPr="00D95799">
              <w:rPr>
                <w:rFonts w:eastAsia="Calibri" w:cs="Times New Roman"/>
                <w:i/>
                <w:iCs/>
                <w:sz w:val="18"/>
                <w:szCs w:val="18"/>
              </w:rPr>
              <w:t xml:space="preserve">Phyllosticta solitaria </w:t>
            </w:r>
            <w:r w:rsidRPr="00D95799">
              <w:rPr>
                <w:rFonts w:eastAsia="Calibri" w:cs="Times New Roman"/>
                <w:iCs/>
                <w:sz w:val="18"/>
                <w:szCs w:val="18"/>
              </w:rPr>
              <w:t>Ellis &amp; Everh.</w:t>
            </w:r>
          </w:p>
          <w:p w14:paraId="55BC7CC4"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w:t>
            </w:r>
            <w:r w:rsidRPr="00D95799">
              <w:rPr>
                <w:rFonts w:eastAsia="Calibri" w:cs="Times New Roman"/>
                <w:sz w:val="18"/>
                <w:szCs w:val="18"/>
              </w:rPr>
              <w:t>Botryosphaeriales:</w:t>
            </w:r>
            <w:r w:rsidRPr="00D95799">
              <w:rPr>
                <w:rFonts w:eastAsia="Calibri" w:cs="Times New Roman"/>
                <w:iCs/>
                <w:sz w:val="18"/>
                <w:szCs w:val="18"/>
              </w:rPr>
              <w:t xml:space="preserve"> Botryosphaeriaceae]</w:t>
            </w:r>
          </w:p>
          <w:p w14:paraId="3B0B445E" w14:textId="77777777" w:rsidR="003438A2" w:rsidRPr="00D95799" w:rsidRDefault="003438A2" w:rsidP="00881E29">
            <w:pPr>
              <w:spacing w:before="60" w:after="60" w:line="240" w:lineRule="auto"/>
              <w:rPr>
                <w:rFonts w:eastAsia="Calibri" w:cs="Times New Roman"/>
                <w:i/>
                <w:iCs/>
                <w:sz w:val="18"/>
                <w:szCs w:val="18"/>
              </w:rPr>
            </w:pPr>
            <w:r w:rsidRPr="00D95799">
              <w:rPr>
                <w:rFonts w:eastAsia="Calibri" w:cs="Times New Roman"/>
                <w:iCs/>
                <w:sz w:val="18"/>
                <w:szCs w:val="18"/>
              </w:rPr>
              <w:t>Apple blotch</w:t>
            </w:r>
          </w:p>
        </w:tc>
        <w:tc>
          <w:tcPr>
            <w:tcW w:w="1474" w:type="dxa"/>
            <w:shd w:val="clear" w:color="auto" w:fill="auto"/>
          </w:tcPr>
          <w:p w14:paraId="3A4AA9D5"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lang w:val="pt-BR"/>
              </w:rPr>
              <w:t xml:space="preserve">Yes. </w:t>
            </w:r>
            <w:r>
              <w:rPr>
                <w:rFonts w:eastAsia="Calibri" w:cs="Times New Roman"/>
                <w:sz w:val="18"/>
                <w:szCs w:val="18"/>
                <w:lang w:val="pt-BR"/>
              </w:rPr>
              <w:t xml:space="preserve">Present in WA </w:t>
            </w:r>
            <w:r>
              <w:rPr>
                <w:rFonts w:eastAsia="Calibri" w:cs="Times New Roman"/>
                <w:noProof/>
                <w:sz w:val="18"/>
                <w:szCs w:val="18"/>
              </w:rPr>
              <w:t>(Yoder 1990)</w:t>
            </w:r>
            <w:r>
              <w:rPr>
                <w:rFonts w:eastAsia="Calibri" w:cs="Times New Roman"/>
                <w:sz w:val="18"/>
                <w:szCs w:val="18"/>
                <w:lang w:val="pt-BR"/>
              </w:rPr>
              <w:t>. Also present in c</w:t>
            </w:r>
            <w:r w:rsidRPr="00D95799">
              <w:rPr>
                <w:rFonts w:eastAsia="Calibri" w:cs="Times New Roman"/>
                <w:sz w:val="18"/>
                <w:szCs w:val="18"/>
                <w:lang w:val="pt-BR"/>
              </w:rPr>
              <w:t>entral and western states</w:t>
            </w:r>
            <w:r>
              <w:rPr>
                <w:rFonts w:eastAsia="Calibri" w:cs="Times New Roman"/>
                <w:sz w:val="18"/>
                <w:szCs w:val="18"/>
                <w:lang w:val="pt-BR"/>
              </w:rPr>
              <w:t xml:space="preserve"> including</w:t>
            </w:r>
            <w:r w:rsidRPr="00D95799">
              <w:rPr>
                <w:rFonts w:eastAsia="Calibri" w:cs="Times New Roman"/>
                <w:sz w:val="18"/>
                <w:szCs w:val="18"/>
                <w:lang w:val="pt-BR"/>
              </w:rPr>
              <w:t xml:space="preserve"> AL, FL, IA, LA, MS, NC, OK</w:t>
            </w:r>
            <w:r>
              <w:rPr>
                <w:rFonts w:eastAsia="Calibri" w:cs="Times New Roman"/>
                <w:sz w:val="18"/>
                <w:szCs w:val="18"/>
                <w:lang w:val="pt-BR"/>
              </w:rPr>
              <w:t xml:space="preserve"> and</w:t>
            </w:r>
            <w:r w:rsidRPr="00D95799">
              <w:rPr>
                <w:rFonts w:eastAsia="Calibri" w:cs="Times New Roman"/>
                <w:sz w:val="18"/>
                <w:szCs w:val="18"/>
                <w:lang w:val="pt-BR"/>
              </w:rPr>
              <w:t xml:space="preserve"> TX </w:t>
            </w:r>
            <w:r>
              <w:rPr>
                <w:rFonts w:eastAsia="Calibri" w:cs="Times New Roman"/>
                <w:noProof/>
                <w:sz w:val="18"/>
                <w:szCs w:val="18"/>
                <w:lang w:val="pt-BR"/>
              </w:rPr>
              <w:t>(Farr &amp; Rossman 2018; Glawe 2009)</w:t>
            </w:r>
          </w:p>
        </w:tc>
        <w:tc>
          <w:tcPr>
            <w:tcW w:w="1474" w:type="dxa"/>
            <w:shd w:val="clear" w:color="auto" w:fill="auto"/>
          </w:tcPr>
          <w:p w14:paraId="5D62287E"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 records found</w:t>
            </w:r>
          </w:p>
        </w:tc>
        <w:tc>
          <w:tcPr>
            <w:tcW w:w="2552" w:type="dxa"/>
            <w:shd w:val="clear" w:color="auto" w:fill="auto"/>
          </w:tcPr>
          <w:p w14:paraId="19B85AFE"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Can be present on leaves, buds, twigs and fruit </w:t>
            </w:r>
            <w:r>
              <w:rPr>
                <w:rFonts w:eastAsia="Calibri" w:cs="Times New Roman"/>
                <w:noProof/>
                <w:sz w:val="18"/>
                <w:szCs w:val="18"/>
              </w:rPr>
              <w:t>(Gardner 1923; Yoder 1990)</w:t>
            </w:r>
            <w:r w:rsidRPr="00D95799">
              <w:rPr>
                <w:rFonts w:eastAsia="Calibri" w:cs="Times New Roman"/>
                <w:sz w:val="18"/>
                <w:szCs w:val="18"/>
              </w:rPr>
              <w:t>.</w:t>
            </w:r>
            <w:r>
              <w:rPr>
                <w:rFonts w:eastAsia="Calibri" w:cs="Times New Roman"/>
                <w:sz w:val="18"/>
                <w:szCs w:val="18"/>
              </w:rPr>
              <w:t xml:space="preserve"> </w:t>
            </w:r>
            <w:r w:rsidRPr="00D95799">
              <w:rPr>
                <w:rFonts w:eastAsia="Calibri" w:cs="Times New Roman"/>
                <w:sz w:val="18"/>
                <w:szCs w:val="18"/>
              </w:rPr>
              <w:t xml:space="preserve">This pathogen can survive for nine months on apple seedlings stored at </w:t>
            </w:r>
            <w:r>
              <w:rPr>
                <w:rFonts w:eastAsia="Calibri" w:cs="Times New Roman"/>
                <w:sz w:val="18"/>
                <w:szCs w:val="18"/>
              </w:rPr>
              <w:t>1°C</w:t>
            </w:r>
            <w:r w:rsidRPr="00D95799">
              <w:rPr>
                <w:rFonts w:eastAsia="Calibri" w:cs="Times New Roman"/>
                <w:sz w:val="18"/>
                <w:szCs w:val="18"/>
              </w:rPr>
              <w:t xml:space="preserve"> </w:t>
            </w:r>
            <w:r>
              <w:rPr>
                <w:rFonts w:eastAsia="Calibri" w:cs="Times New Roman"/>
                <w:sz w:val="18"/>
                <w:szCs w:val="18"/>
              </w:rPr>
              <w:t xml:space="preserve">to </w:t>
            </w:r>
            <w:r w:rsidRPr="00D95799">
              <w:rPr>
                <w:rFonts w:eastAsia="Calibri" w:cs="Times New Roman"/>
                <w:sz w:val="18"/>
                <w:szCs w:val="18"/>
              </w:rPr>
              <w:t>2</w:t>
            </w:r>
            <w:r>
              <w:rPr>
                <w:rFonts w:eastAsia="Calibri" w:cs="Times New Roman"/>
                <w:sz w:val="18"/>
                <w:szCs w:val="18"/>
              </w:rPr>
              <w:t>°C</w:t>
            </w:r>
            <w:r w:rsidRPr="00D95799">
              <w:rPr>
                <w:rFonts w:eastAsia="Calibri" w:cs="Times New Roman"/>
                <w:sz w:val="18"/>
                <w:szCs w:val="18"/>
              </w:rPr>
              <w:t xml:space="preserve"> </w:t>
            </w:r>
            <w:r>
              <w:rPr>
                <w:rFonts w:eastAsia="Calibri" w:cs="Times New Roman"/>
                <w:noProof/>
                <w:sz w:val="18"/>
                <w:szCs w:val="18"/>
              </w:rPr>
              <w:t>(McClintock 1930)</w:t>
            </w:r>
            <w:r>
              <w:rPr>
                <w:rFonts w:eastAsia="Calibri" w:cs="Times New Roman"/>
                <w:sz w:val="18"/>
                <w:szCs w:val="18"/>
              </w:rPr>
              <w:t>.</w:t>
            </w:r>
          </w:p>
        </w:tc>
        <w:tc>
          <w:tcPr>
            <w:tcW w:w="2381" w:type="dxa"/>
            <w:shd w:val="clear" w:color="auto" w:fill="auto"/>
          </w:tcPr>
          <w:p w14:paraId="5087875B"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The hosts of </w:t>
            </w:r>
            <w:r w:rsidRPr="00D95799">
              <w:rPr>
                <w:rFonts w:eastAsia="Calibri" w:cs="Times New Roman"/>
                <w:i/>
                <w:sz w:val="18"/>
                <w:szCs w:val="18"/>
              </w:rPr>
              <w:t>P. arbutifolia</w:t>
            </w:r>
            <w:r w:rsidRPr="00D95799">
              <w:rPr>
                <w:rFonts w:eastAsia="Calibri" w:cs="Times New Roman"/>
                <w:sz w:val="18"/>
                <w:szCs w:val="18"/>
              </w:rPr>
              <w:t xml:space="preserve"> are restricted to </w:t>
            </w:r>
            <w:r w:rsidRPr="00D95799">
              <w:rPr>
                <w:rFonts w:eastAsia="Calibri" w:cs="Times New Roman"/>
                <w:i/>
                <w:sz w:val="18"/>
                <w:szCs w:val="18"/>
              </w:rPr>
              <w:t>Crataegus</w:t>
            </w:r>
            <w:r w:rsidRPr="00D95799">
              <w:rPr>
                <w:rFonts w:eastAsia="Calibri" w:cs="Times New Roman"/>
                <w:sz w:val="18"/>
                <w:szCs w:val="18"/>
              </w:rPr>
              <w:t xml:space="preserve">, </w:t>
            </w:r>
            <w:r w:rsidRPr="00D95799">
              <w:rPr>
                <w:rFonts w:eastAsia="Calibri" w:cs="Times New Roman"/>
                <w:i/>
                <w:sz w:val="18"/>
                <w:szCs w:val="18"/>
              </w:rPr>
              <w:t>Malus</w:t>
            </w:r>
            <w:r w:rsidRPr="00D95799">
              <w:rPr>
                <w:rFonts w:eastAsia="Calibri" w:cs="Times New Roman"/>
                <w:sz w:val="18"/>
                <w:szCs w:val="18"/>
              </w:rPr>
              <w:t xml:space="preserve"> and </w:t>
            </w:r>
            <w:r w:rsidRPr="00D95799">
              <w:rPr>
                <w:rFonts w:eastAsia="Calibri" w:cs="Times New Roman"/>
                <w:i/>
                <w:sz w:val="18"/>
                <w:szCs w:val="18"/>
              </w:rPr>
              <w:t>Pyrus</w:t>
            </w:r>
            <w:r w:rsidRPr="00D95799">
              <w:rPr>
                <w:rFonts w:eastAsia="Calibri" w:cs="Times New Roman"/>
                <w:sz w:val="18"/>
                <w:szCs w:val="18"/>
              </w:rPr>
              <w:t xml:space="preserve"> species </w:t>
            </w:r>
            <w:r>
              <w:rPr>
                <w:rFonts w:eastAsia="Calibri" w:cs="Times New Roman"/>
                <w:noProof/>
                <w:sz w:val="18"/>
                <w:szCs w:val="18"/>
              </w:rPr>
              <w:t>(Farr et al. 1989)</w:t>
            </w:r>
            <w:r w:rsidRPr="00D95799">
              <w:rPr>
                <w:rFonts w:eastAsia="Calibri" w:cs="Times New Roman"/>
                <w:sz w:val="18"/>
                <w:szCs w:val="18"/>
              </w:rPr>
              <w:t xml:space="preserve">. These hosts are widely available in Australia. The fungus is disseminated by water splash </w:t>
            </w:r>
            <w:r>
              <w:rPr>
                <w:rFonts w:eastAsia="Calibri" w:cs="Times New Roman"/>
                <w:noProof/>
                <w:sz w:val="18"/>
                <w:szCs w:val="18"/>
              </w:rPr>
              <w:t>(Gardner 1923)</w:t>
            </w:r>
            <w:r>
              <w:rPr>
                <w:rFonts w:eastAsia="Calibri" w:cs="Times New Roman"/>
                <w:sz w:val="18"/>
                <w:szCs w:val="18"/>
              </w:rPr>
              <w:t>.</w:t>
            </w:r>
          </w:p>
        </w:tc>
        <w:tc>
          <w:tcPr>
            <w:tcW w:w="2211" w:type="dxa"/>
            <w:shd w:val="clear" w:color="auto" w:fill="auto"/>
          </w:tcPr>
          <w:p w14:paraId="7A609A07"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w:t>
            </w:r>
            <w:r>
              <w:rPr>
                <w:rFonts w:eastAsia="Calibri" w:cs="Times New Roman"/>
                <w:sz w:val="18"/>
                <w:szCs w:val="18"/>
              </w:rPr>
              <w:t>F</w:t>
            </w:r>
            <w:r w:rsidRPr="00D95799">
              <w:rPr>
                <w:rFonts w:eastAsia="Calibri" w:cs="Times New Roman"/>
                <w:sz w:val="18"/>
                <w:szCs w:val="18"/>
              </w:rPr>
              <w:t>ormerly a major disease in the eastern</w:t>
            </w:r>
            <w:r>
              <w:rPr>
                <w:rFonts w:eastAsia="Calibri" w:cs="Times New Roman"/>
                <w:sz w:val="18"/>
                <w:szCs w:val="18"/>
              </w:rPr>
              <w:t xml:space="preserve"> USA </w:t>
            </w:r>
            <w:r w:rsidRPr="00D95799">
              <w:rPr>
                <w:rFonts w:eastAsia="Calibri" w:cs="Times New Roman"/>
                <w:sz w:val="18"/>
                <w:szCs w:val="18"/>
              </w:rPr>
              <w:t>but today</w:t>
            </w:r>
            <w:r>
              <w:rPr>
                <w:rFonts w:eastAsia="Calibri" w:cs="Times New Roman"/>
                <w:sz w:val="18"/>
                <w:szCs w:val="18"/>
              </w:rPr>
              <w:t xml:space="preserve"> it</w:t>
            </w:r>
            <w:r w:rsidRPr="00D95799">
              <w:rPr>
                <w:rFonts w:eastAsia="Calibri" w:cs="Times New Roman"/>
                <w:sz w:val="18"/>
                <w:szCs w:val="18"/>
              </w:rPr>
              <w:t xml:space="preserve"> is rare in most commercial apple orchards. It damages fruit, leaves, buds, twigs and branches of susceptible apple cultivars causing defoliation and development of cankers on twigs and branches </w:t>
            </w:r>
            <w:r>
              <w:rPr>
                <w:rFonts w:eastAsia="Calibri" w:cs="Times New Roman"/>
                <w:noProof/>
                <w:sz w:val="18"/>
                <w:szCs w:val="18"/>
              </w:rPr>
              <w:t>(Yoder 1990)</w:t>
            </w:r>
            <w:r>
              <w:rPr>
                <w:rFonts w:eastAsia="Calibri" w:cs="Times New Roman"/>
                <w:sz w:val="18"/>
                <w:szCs w:val="18"/>
              </w:rPr>
              <w:t>.</w:t>
            </w:r>
          </w:p>
        </w:tc>
        <w:tc>
          <w:tcPr>
            <w:tcW w:w="1191" w:type="dxa"/>
            <w:shd w:val="clear" w:color="auto" w:fill="auto"/>
          </w:tcPr>
          <w:p w14:paraId="6701F4ED"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Yes</w:t>
            </w:r>
            <w:r>
              <w:rPr>
                <w:rFonts w:eastAsia="Calibri" w:cs="Times New Roman"/>
                <w:sz w:val="18"/>
                <w:szCs w:val="18"/>
              </w:rPr>
              <w:t xml:space="preserve"> (EP)</w:t>
            </w:r>
          </w:p>
        </w:tc>
      </w:tr>
      <w:tr w:rsidR="003438A2" w:rsidRPr="00D95799" w14:paraId="0FC03F7E" w14:textId="77777777" w:rsidTr="00D82653">
        <w:trPr>
          <w:cantSplit/>
          <w:trHeight w:val="75"/>
          <w:jc w:val="center"/>
        </w:trPr>
        <w:tc>
          <w:tcPr>
            <w:tcW w:w="1985" w:type="dxa"/>
            <w:shd w:val="clear" w:color="auto" w:fill="auto"/>
          </w:tcPr>
          <w:p w14:paraId="0CF1642A"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i/>
                <w:sz w:val="18"/>
                <w:szCs w:val="18"/>
                <w:lang w:val="pt-BR"/>
              </w:rPr>
              <w:lastRenderedPageBreak/>
              <w:t>Phyllosticta clypeata</w:t>
            </w:r>
            <w:r w:rsidRPr="00D95799">
              <w:rPr>
                <w:rFonts w:eastAsia="Calibri" w:cs="Times New Roman"/>
                <w:sz w:val="18"/>
                <w:szCs w:val="18"/>
                <w:lang w:val="pt-BR"/>
              </w:rPr>
              <w:t xml:space="preserve"> Ellis &amp; Everh.</w:t>
            </w:r>
          </w:p>
          <w:p w14:paraId="239C62C5"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sz w:val="18"/>
                <w:szCs w:val="18"/>
                <w:lang w:val="pt-BR"/>
              </w:rPr>
              <w:t>[Anamorphic]</w:t>
            </w:r>
          </w:p>
          <w:p w14:paraId="4185EC4B" w14:textId="77777777" w:rsidR="003438A2" w:rsidRPr="00D95799" w:rsidRDefault="003438A2" w:rsidP="00881E29">
            <w:pPr>
              <w:spacing w:before="60" w:after="60" w:line="240" w:lineRule="auto"/>
              <w:rPr>
                <w:rFonts w:eastAsia="Calibri" w:cs="Times New Roman"/>
                <w:i/>
                <w:iCs/>
                <w:sz w:val="18"/>
                <w:szCs w:val="18"/>
              </w:rPr>
            </w:pPr>
            <w:r w:rsidRPr="00D95799">
              <w:rPr>
                <w:rFonts w:eastAsia="Calibri" w:cs="Times New Roman"/>
                <w:iCs/>
                <w:sz w:val="18"/>
                <w:szCs w:val="18"/>
              </w:rPr>
              <w:t>[</w:t>
            </w:r>
            <w:r w:rsidRPr="00D95799">
              <w:rPr>
                <w:rFonts w:eastAsia="Calibri" w:cs="Times New Roman"/>
                <w:sz w:val="18"/>
                <w:szCs w:val="18"/>
              </w:rPr>
              <w:t>Botryosphaeriales:</w:t>
            </w:r>
            <w:r w:rsidRPr="00D95799">
              <w:rPr>
                <w:rFonts w:eastAsia="Calibri" w:cs="Times New Roman"/>
                <w:iCs/>
                <w:sz w:val="18"/>
                <w:szCs w:val="18"/>
              </w:rPr>
              <w:t xml:space="preserve"> Botryosphaeriaceae]</w:t>
            </w:r>
          </w:p>
        </w:tc>
        <w:tc>
          <w:tcPr>
            <w:tcW w:w="1474" w:type="dxa"/>
            <w:shd w:val="clear" w:color="auto" w:fill="auto"/>
          </w:tcPr>
          <w:p w14:paraId="49C6D316"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lang w:val="pt-BR"/>
              </w:rPr>
              <w:t xml:space="preserve">Yes. </w:t>
            </w:r>
            <w:r>
              <w:rPr>
                <w:rFonts w:eastAsia="Calibri" w:cs="Times New Roman"/>
                <w:sz w:val="18"/>
                <w:szCs w:val="18"/>
                <w:lang w:val="pt-BR"/>
              </w:rPr>
              <w:t xml:space="preserve">Present in </w:t>
            </w:r>
            <w:r w:rsidRPr="00D95799">
              <w:rPr>
                <w:rFonts w:eastAsia="Calibri" w:cs="Times New Roman"/>
                <w:sz w:val="18"/>
                <w:szCs w:val="18"/>
                <w:lang w:val="pt-BR"/>
              </w:rPr>
              <w:t xml:space="preserve">OR </w:t>
            </w:r>
            <w:r>
              <w:rPr>
                <w:rFonts w:eastAsia="Calibri" w:cs="Times New Roman"/>
                <w:noProof/>
                <w:sz w:val="18"/>
                <w:szCs w:val="18"/>
                <w:lang w:val="pt-BR"/>
              </w:rPr>
              <w:t>(Farr &amp; Rossman 2018; Glawe 2009)</w:t>
            </w:r>
          </w:p>
        </w:tc>
        <w:tc>
          <w:tcPr>
            <w:tcW w:w="1474" w:type="dxa"/>
            <w:shd w:val="clear" w:color="auto" w:fill="auto"/>
          </w:tcPr>
          <w:p w14:paraId="6B9CC4A9"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 records found</w:t>
            </w:r>
          </w:p>
        </w:tc>
        <w:tc>
          <w:tcPr>
            <w:tcW w:w="2552" w:type="dxa"/>
            <w:shd w:val="clear" w:color="auto" w:fill="auto"/>
          </w:tcPr>
          <w:p w14:paraId="78318725"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No. Found on leaves, petioles and twigs </w:t>
            </w:r>
            <w:r>
              <w:rPr>
                <w:rFonts w:eastAsia="Calibri" w:cs="Times New Roman"/>
                <w:noProof/>
                <w:sz w:val="18"/>
                <w:szCs w:val="18"/>
              </w:rPr>
              <w:t>(Farr et al. 1989)</w:t>
            </w:r>
            <w:r>
              <w:rPr>
                <w:rFonts w:eastAsia="Calibri" w:cs="Times New Roman"/>
                <w:sz w:val="18"/>
                <w:szCs w:val="18"/>
              </w:rPr>
              <w:t xml:space="preserve"> </w:t>
            </w:r>
          </w:p>
        </w:tc>
        <w:tc>
          <w:tcPr>
            <w:tcW w:w="2381" w:type="dxa"/>
            <w:shd w:val="clear" w:color="auto" w:fill="auto"/>
          </w:tcPr>
          <w:p w14:paraId="1F1A8B1B"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211" w:type="dxa"/>
            <w:shd w:val="clear" w:color="auto" w:fill="auto"/>
          </w:tcPr>
          <w:p w14:paraId="58575D9A"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auto"/>
          </w:tcPr>
          <w:p w14:paraId="2AAED223"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82653" w14:paraId="5D1F1364" w14:textId="77777777" w:rsidTr="001F363B">
        <w:trPr>
          <w:cantSplit/>
          <w:trHeight w:val="75"/>
          <w:jc w:val="center"/>
        </w:trPr>
        <w:tc>
          <w:tcPr>
            <w:tcW w:w="1985" w:type="dxa"/>
            <w:shd w:val="clear" w:color="auto" w:fill="auto"/>
          </w:tcPr>
          <w:p w14:paraId="5D506FC8" w14:textId="77777777" w:rsidR="003438A2" w:rsidRPr="00D82653" w:rsidRDefault="003438A2" w:rsidP="00881E29">
            <w:pPr>
              <w:spacing w:before="60" w:after="60" w:line="240" w:lineRule="auto"/>
              <w:rPr>
                <w:rFonts w:eastAsia="Calibri" w:cs="Times New Roman"/>
                <w:iCs/>
                <w:sz w:val="18"/>
                <w:szCs w:val="18"/>
              </w:rPr>
            </w:pPr>
            <w:r w:rsidRPr="00D82653">
              <w:rPr>
                <w:rFonts w:eastAsia="Calibri" w:cs="Times New Roman"/>
                <w:i/>
                <w:iCs/>
                <w:sz w:val="18"/>
                <w:szCs w:val="18"/>
              </w:rPr>
              <w:t xml:space="preserve">Podosphaera clandestina </w:t>
            </w:r>
            <w:r w:rsidRPr="00D82653">
              <w:rPr>
                <w:rFonts w:eastAsia="Calibri" w:cs="Times New Roman"/>
                <w:iCs/>
                <w:sz w:val="18"/>
                <w:szCs w:val="18"/>
              </w:rPr>
              <w:t xml:space="preserve">var. </w:t>
            </w:r>
            <w:r w:rsidRPr="00D82653">
              <w:rPr>
                <w:rFonts w:eastAsia="Calibri" w:cs="Times New Roman"/>
                <w:i/>
                <w:iCs/>
                <w:sz w:val="18"/>
                <w:szCs w:val="18"/>
              </w:rPr>
              <w:t>clandestina</w:t>
            </w:r>
            <w:r w:rsidRPr="00D82653">
              <w:rPr>
                <w:rFonts w:eastAsia="Calibri" w:cs="Times New Roman"/>
                <w:iCs/>
                <w:sz w:val="18"/>
                <w:szCs w:val="18"/>
              </w:rPr>
              <w:t xml:space="preserve"> (Wallr.) L</w:t>
            </w:r>
            <w:r w:rsidRPr="00D82653">
              <w:rPr>
                <w:rFonts w:eastAsia="Calibri" w:cs="Arial"/>
                <w:iCs/>
                <w:sz w:val="18"/>
                <w:szCs w:val="18"/>
              </w:rPr>
              <w:t>é</w:t>
            </w:r>
            <w:r w:rsidRPr="00D82653">
              <w:rPr>
                <w:rFonts w:eastAsia="Calibri" w:cs="Times New Roman"/>
                <w:iCs/>
                <w:sz w:val="18"/>
                <w:szCs w:val="18"/>
              </w:rPr>
              <w:t>v.</w:t>
            </w:r>
          </w:p>
          <w:p w14:paraId="71DD2F88" w14:textId="77777777" w:rsidR="003438A2" w:rsidRPr="00D82653" w:rsidRDefault="003438A2" w:rsidP="00881E29">
            <w:pPr>
              <w:spacing w:before="60" w:after="60" w:line="240" w:lineRule="auto"/>
              <w:rPr>
                <w:rFonts w:eastAsia="Calibri" w:cs="Times New Roman"/>
                <w:iCs/>
                <w:sz w:val="18"/>
                <w:szCs w:val="18"/>
              </w:rPr>
            </w:pPr>
            <w:r w:rsidRPr="00D82653">
              <w:rPr>
                <w:rFonts w:eastAsia="Calibri" w:cs="Times New Roman"/>
                <w:iCs/>
                <w:sz w:val="18"/>
                <w:szCs w:val="18"/>
              </w:rPr>
              <w:t xml:space="preserve">Synonyms: </w:t>
            </w:r>
            <w:r w:rsidRPr="00D82653">
              <w:rPr>
                <w:rFonts w:eastAsia="Calibri" w:cs="Times New Roman"/>
                <w:i/>
                <w:iCs/>
                <w:sz w:val="18"/>
                <w:szCs w:val="18"/>
              </w:rPr>
              <w:t xml:space="preserve">Oidium crataegi </w:t>
            </w:r>
            <w:r w:rsidRPr="00D82653">
              <w:rPr>
                <w:rFonts w:eastAsia="Calibri" w:cs="Times New Roman"/>
                <w:iCs/>
                <w:sz w:val="18"/>
                <w:szCs w:val="18"/>
              </w:rPr>
              <w:t xml:space="preserve">Grognot; </w:t>
            </w:r>
            <w:r w:rsidRPr="00D82653">
              <w:rPr>
                <w:rFonts w:eastAsia="Calibri" w:cs="Times New Roman"/>
                <w:i/>
                <w:iCs/>
                <w:sz w:val="18"/>
                <w:szCs w:val="18"/>
              </w:rPr>
              <w:t xml:space="preserve">Podosphaera oxyacanthae </w:t>
            </w:r>
            <w:r w:rsidRPr="00D82653">
              <w:rPr>
                <w:rFonts w:eastAsia="Calibri" w:cs="Times New Roman"/>
                <w:iCs/>
                <w:sz w:val="18"/>
                <w:szCs w:val="18"/>
              </w:rPr>
              <w:t>(DC.) de Bary</w:t>
            </w:r>
          </w:p>
          <w:p w14:paraId="4D75797A" w14:textId="77777777" w:rsidR="003438A2" w:rsidRPr="00D82653" w:rsidRDefault="003438A2" w:rsidP="00881E29">
            <w:pPr>
              <w:spacing w:before="60" w:after="60" w:line="240" w:lineRule="auto"/>
              <w:rPr>
                <w:rFonts w:eastAsia="Calibri" w:cs="Times New Roman"/>
                <w:iCs/>
                <w:sz w:val="18"/>
                <w:szCs w:val="18"/>
              </w:rPr>
            </w:pPr>
            <w:r w:rsidRPr="00D82653">
              <w:rPr>
                <w:rFonts w:eastAsia="Calibri" w:cs="Times New Roman"/>
                <w:iCs/>
                <w:sz w:val="18"/>
                <w:szCs w:val="18"/>
              </w:rPr>
              <w:t>[Erysiphales:</w:t>
            </w:r>
            <w:r w:rsidRPr="00D82653" w:rsidDel="00BB1D0D">
              <w:rPr>
                <w:rFonts w:eastAsia="Calibri" w:cs="Times New Roman"/>
                <w:iCs/>
                <w:sz w:val="18"/>
                <w:szCs w:val="18"/>
              </w:rPr>
              <w:t xml:space="preserve"> </w:t>
            </w:r>
            <w:r w:rsidRPr="00D82653">
              <w:rPr>
                <w:rFonts w:eastAsia="Calibri" w:cs="Times New Roman"/>
                <w:iCs/>
                <w:sz w:val="18"/>
                <w:szCs w:val="18"/>
              </w:rPr>
              <w:t>Erysiphaceae]</w:t>
            </w:r>
          </w:p>
          <w:p w14:paraId="2EC22DF0" w14:textId="77777777" w:rsidR="003438A2" w:rsidRPr="00D82653" w:rsidRDefault="003438A2" w:rsidP="00881E29">
            <w:pPr>
              <w:spacing w:before="60" w:after="60" w:line="240" w:lineRule="auto"/>
              <w:rPr>
                <w:rFonts w:eastAsia="Calibri" w:cs="Times New Roman"/>
                <w:sz w:val="18"/>
                <w:szCs w:val="18"/>
                <w:lang w:val="pt-BR"/>
              </w:rPr>
            </w:pPr>
            <w:r w:rsidRPr="00D82653">
              <w:rPr>
                <w:rFonts w:eastAsia="Calibri" w:cs="Times New Roman"/>
                <w:iCs/>
                <w:sz w:val="18"/>
                <w:szCs w:val="18"/>
              </w:rPr>
              <w:t>Hawthorn powdery mildew</w:t>
            </w:r>
          </w:p>
        </w:tc>
        <w:tc>
          <w:tcPr>
            <w:tcW w:w="1474" w:type="dxa"/>
            <w:shd w:val="clear" w:color="auto" w:fill="auto"/>
          </w:tcPr>
          <w:p w14:paraId="6A692A40" w14:textId="77777777" w:rsidR="003438A2" w:rsidRPr="00D82653" w:rsidRDefault="003438A2" w:rsidP="00881E29">
            <w:pPr>
              <w:spacing w:before="60" w:after="60" w:line="240" w:lineRule="auto"/>
              <w:rPr>
                <w:rFonts w:eastAsia="Calibri" w:cs="Times New Roman"/>
                <w:sz w:val="18"/>
                <w:szCs w:val="18"/>
                <w:lang w:val="pt-BR"/>
              </w:rPr>
            </w:pPr>
            <w:r w:rsidRPr="00D82653">
              <w:rPr>
                <w:rFonts w:eastAsia="Calibri" w:cs="Times New Roman"/>
                <w:sz w:val="18"/>
                <w:szCs w:val="18"/>
                <w:lang w:val="pt-BR"/>
              </w:rPr>
              <w:t xml:space="preserve">Yes. Present in ID and WA. Also present in CA, FL, MS and SD </w:t>
            </w:r>
            <w:r w:rsidRPr="00D82653">
              <w:rPr>
                <w:rFonts w:eastAsia="Calibri" w:cs="Times New Roman"/>
                <w:noProof/>
                <w:sz w:val="18"/>
                <w:szCs w:val="18"/>
                <w:lang w:val="pt-BR"/>
              </w:rPr>
              <w:t>(Farr et al. 1989; Farr &amp; Rossman 2018; Glawe 2009)</w:t>
            </w:r>
          </w:p>
        </w:tc>
        <w:tc>
          <w:tcPr>
            <w:tcW w:w="1474" w:type="dxa"/>
            <w:shd w:val="clear" w:color="auto" w:fill="auto"/>
          </w:tcPr>
          <w:p w14:paraId="5F86BFD3" w14:textId="77777777" w:rsidR="003438A2" w:rsidRPr="00D82653" w:rsidRDefault="003438A2" w:rsidP="00881E29">
            <w:pPr>
              <w:spacing w:before="60" w:after="60" w:line="240" w:lineRule="auto"/>
              <w:rPr>
                <w:rFonts w:eastAsia="Calibri" w:cs="Times New Roman"/>
                <w:sz w:val="18"/>
                <w:szCs w:val="18"/>
              </w:rPr>
            </w:pPr>
            <w:r w:rsidRPr="00D82653">
              <w:rPr>
                <w:rFonts w:eastAsia="Calibri" w:cs="Times New Roman"/>
                <w:sz w:val="18"/>
                <w:szCs w:val="18"/>
              </w:rPr>
              <w:t xml:space="preserve">No. North American strain not present in Australia. Listed as a Declared Pest, Prohibited (section 12) (C1 Prohibited) for WA </w:t>
            </w:r>
            <w:r w:rsidRPr="00D82653">
              <w:rPr>
                <w:rFonts w:eastAsia="Calibri" w:cs="Times New Roman"/>
                <w:noProof/>
                <w:sz w:val="18"/>
                <w:szCs w:val="18"/>
              </w:rPr>
              <w:t>(Government of Western Australia 2018)</w:t>
            </w:r>
            <w:r w:rsidRPr="00D82653">
              <w:rPr>
                <w:rFonts w:eastAsia="Calibri" w:cs="Times New Roman"/>
                <w:sz w:val="18"/>
                <w:szCs w:val="18"/>
              </w:rPr>
              <w:t xml:space="preserve">. Reported in WA on </w:t>
            </w:r>
            <w:r w:rsidRPr="00D82653">
              <w:rPr>
                <w:rFonts w:eastAsia="Calibri" w:cs="Times New Roman"/>
                <w:i/>
                <w:sz w:val="18"/>
                <w:szCs w:val="18"/>
              </w:rPr>
              <w:t xml:space="preserve">Malus sylvestris </w:t>
            </w:r>
            <w:r w:rsidRPr="00D82653">
              <w:rPr>
                <w:rFonts w:eastAsia="Calibri" w:cs="Times New Roman"/>
                <w:sz w:val="18"/>
                <w:szCs w:val="18"/>
              </w:rPr>
              <w:t xml:space="preserve">and </w:t>
            </w:r>
            <w:r w:rsidRPr="00D82653">
              <w:rPr>
                <w:rFonts w:eastAsia="Calibri" w:cs="Times New Roman"/>
                <w:i/>
                <w:sz w:val="18"/>
                <w:szCs w:val="18"/>
              </w:rPr>
              <w:t>Pyrus communis</w:t>
            </w:r>
            <w:r w:rsidRPr="00D82653">
              <w:rPr>
                <w:rFonts w:eastAsia="Calibri" w:cs="Times New Roman"/>
                <w:sz w:val="18"/>
                <w:szCs w:val="18"/>
              </w:rPr>
              <w:t xml:space="preserve"> under the synonym </w:t>
            </w:r>
            <w:r w:rsidRPr="00D82653">
              <w:rPr>
                <w:rFonts w:eastAsia="Calibri" w:cs="Times New Roman"/>
                <w:i/>
                <w:sz w:val="18"/>
                <w:szCs w:val="18"/>
              </w:rPr>
              <w:t>P. oxyacanthae</w:t>
            </w:r>
            <w:r w:rsidRPr="00D82653">
              <w:rPr>
                <w:rFonts w:eastAsia="Calibri" w:cs="Times New Roman"/>
                <w:sz w:val="18"/>
                <w:szCs w:val="18"/>
              </w:rPr>
              <w:t xml:space="preserve"> </w:t>
            </w:r>
            <w:r w:rsidRPr="00D82653">
              <w:rPr>
                <w:rFonts w:eastAsia="Calibri" w:cs="Times New Roman"/>
                <w:noProof/>
                <w:sz w:val="18"/>
                <w:szCs w:val="18"/>
              </w:rPr>
              <w:t>(Shivas 1989)</w:t>
            </w:r>
          </w:p>
        </w:tc>
        <w:tc>
          <w:tcPr>
            <w:tcW w:w="2552" w:type="dxa"/>
            <w:shd w:val="clear" w:color="auto" w:fill="auto"/>
          </w:tcPr>
          <w:p w14:paraId="4F79F50B" w14:textId="77777777" w:rsidR="003438A2" w:rsidRPr="00D82653" w:rsidRDefault="003438A2" w:rsidP="00881E29">
            <w:pPr>
              <w:spacing w:before="60" w:after="60" w:line="240" w:lineRule="auto"/>
              <w:rPr>
                <w:rFonts w:eastAsia="Calibri" w:cs="Times New Roman"/>
                <w:sz w:val="18"/>
                <w:szCs w:val="18"/>
              </w:rPr>
            </w:pPr>
            <w:r w:rsidRPr="00D82653">
              <w:rPr>
                <w:rFonts w:eastAsia="Calibri" w:cs="Times New Roman"/>
                <w:sz w:val="18"/>
                <w:szCs w:val="18"/>
              </w:rPr>
              <w:t xml:space="preserve">No. Infects leaves, shoots and fruit of cherry </w:t>
            </w:r>
            <w:r w:rsidRPr="00D82653">
              <w:rPr>
                <w:rFonts w:eastAsia="Calibri" w:cs="Times New Roman"/>
                <w:noProof/>
                <w:sz w:val="18"/>
                <w:szCs w:val="18"/>
              </w:rPr>
              <w:t>(Grove 1995)</w:t>
            </w:r>
            <w:r w:rsidRPr="00D82653">
              <w:rPr>
                <w:rFonts w:eastAsia="Calibri" w:cs="Times New Roman"/>
                <w:sz w:val="18"/>
                <w:szCs w:val="18"/>
              </w:rPr>
              <w:t xml:space="preserve">. However, </w:t>
            </w:r>
            <w:r w:rsidRPr="00D82653">
              <w:rPr>
                <w:rFonts w:eastAsia="Calibri" w:cs="Times New Roman"/>
                <w:i/>
                <w:sz w:val="18"/>
                <w:szCs w:val="18"/>
              </w:rPr>
              <w:t>Malus</w:t>
            </w:r>
            <w:r w:rsidRPr="00D82653">
              <w:rPr>
                <w:rFonts w:eastAsia="Calibri" w:cs="Times New Roman"/>
                <w:sz w:val="18"/>
                <w:szCs w:val="18"/>
              </w:rPr>
              <w:t xml:space="preserve"> spp. are not a main</w:t>
            </w:r>
            <w:r w:rsidRPr="00D82653">
              <w:rPr>
                <w:rFonts w:eastAsia="Calibri" w:cs="Times New Roman"/>
                <w:strike/>
                <w:sz w:val="18"/>
                <w:szCs w:val="18"/>
              </w:rPr>
              <w:t xml:space="preserve"> </w:t>
            </w:r>
            <w:r w:rsidRPr="00D82653">
              <w:rPr>
                <w:rFonts w:eastAsia="Calibri" w:cs="Times New Roman"/>
                <w:sz w:val="18"/>
                <w:szCs w:val="18"/>
              </w:rPr>
              <w:t xml:space="preserve">host </w:t>
            </w:r>
            <w:r>
              <w:rPr>
                <w:rFonts w:eastAsia="Calibri" w:cs="Times New Roman"/>
                <w:noProof/>
                <w:sz w:val="18"/>
                <w:szCs w:val="18"/>
              </w:rPr>
              <w:t>(CABI 2019)</w:t>
            </w:r>
            <w:r>
              <w:rPr>
                <w:rFonts w:eastAsia="Calibri" w:cs="Times New Roman"/>
                <w:sz w:val="18"/>
                <w:szCs w:val="18"/>
              </w:rPr>
              <w:t>.</w:t>
            </w:r>
            <w:r w:rsidRPr="00D82653">
              <w:rPr>
                <w:rFonts w:eastAsia="Calibri" w:cs="Times New Roman"/>
                <w:sz w:val="18"/>
                <w:szCs w:val="18"/>
              </w:rPr>
              <w:t xml:space="preserve"> </w:t>
            </w:r>
          </w:p>
        </w:tc>
        <w:tc>
          <w:tcPr>
            <w:tcW w:w="2381" w:type="dxa"/>
            <w:shd w:val="clear" w:color="auto" w:fill="auto"/>
          </w:tcPr>
          <w:p w14:paraId="14BA7659" w14:textId="77777777" w:rsidR="003438A2" w:rsidRPr="00D82653" w:rsidRDefault="003438A2" w:rsidP="00881E29">
            <w:pPr>
              <w:spacing w:before="60" w:after="60" w:line="240" w:lineRule="auto"/>
              <w:rPr>
                <w:rFonts w:eastAsia="Calibri" w:cs="Times New Roman"/>
                <w:sz w:val="18"/>
                <w:szCs w:val="18"/>
              </w:rPr>
            </w:pPr>
            <w:r w:rsidRPr="00D82653">
              <w:rPr>
                <w:rFonts w:eastAsia="Calibri" w:cs="Times New Roman"/>
                <w:sz w:val="18"/>
                <w:szCs w:val="18"/>
              </w:rPr>
              <w:t>Assessment not required</w:t>
            </w:r>
          </w:p>
        </w:tc>
        <w:tc>
          <w:tcPr>
            <w:tcW w:w="2211" w:type="dxa"/>
            <w:shd w:val="clear" w:color="auto" w:fill="auto"/>
          </w:tcPr>
          <w:p w14:paraId="505AF585" w14:textId="77777777" w:rsidR="003438A2" w:rsidRPr="00D82653" w:rsidRDefault="003438A2" w:rsidP="00881E29">
            <w:pPr>
              <w:spacing w:before="60" w:after="60" w:line="240" w:lineRule="auto"/>
              <w:rPr>
                <w:rFonts w:eastAsia="Calibri" w:cs="Times New Roman"/>
                <w:sz w:val="18"/>
                <w:szCs w:val="18"/>
              </w:rPr>
            </w:pPr>
            <w:r w:rsidRPr="00D82653">
              <w:rPr>
                <w:rFonts w:eastAsia="Calibri" w:cs="Times New Roman"/>
                <w:sz w:val="18"/>
                <w:szCs w:val="18"/>
              </w:rPr>
              <w:t>Assessment not required</w:t>
            </w:r>
          </w:p>
        </w:tc>
        <w:tc>
          <w:tcPr>
            <w:tcW w:w="1191" w:type="dxa"/>
            <w:shd w:val="clear" w:color="auto" w:fill="auto"/>
          </w:tcPr>
          <w:p w14:paraId="4C89CA34" w14:textId="77777777" w:rsidR="003438A2" w:rsidRPr="00D82653" w:rsidRDefault="003438A2" w:rsidP="00881E29">
            <w:pPr>
              <w:spacing w:before="60" w:after="60" w:line="240" w:lineRule="auto"/>
              <w:rPr>
                <w:rFonts w:eastAsia="Calibri" w:cs="Times New Roman"/>
                <w:sz w:val="18"/>
                <w:szCs w:val="18"/>
              </w:rPr>
            </w:pPr>
            <w:r w:rsidRPr="00D82653">
              <w:rPr>
                <w:rFonts w:eastAsia="Calibri" w:cs="Times New Roman"/>
                <w:sz w:val="18"/>
                <w:szCs w:val="18"/>
              </w:rPr>
              <w:t>No</w:t>
            </w:r>
          </w:p>
        </w:tc>
      </w:tr>
      <w:tr w:rsidR="003438A2" w:rsidRPr="00D95799" w14:paraId="37A6A254" w14:textId="77777777" w:rsidTr="00D82653">
        <w:trPr>
          <w:cantSplit/>
          <w:trHeight w:val="75"/>
          <w:jc w:val="center"/>
        </w:trPr>
        <w:tc>
          <w:tcPr>
            <w:tcW w:w="1985" w:type="dxa"/>
            <w:shd w:val="clear" w:color="auto" w:fill="auto"/>
          </w:tcPr>
          <w:p w14:paraId="0C37CFC1"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i/>
                <w:sz w:val="18"/>
                <w:szCs w:val="18"/>
                <w:lang w:val="pt-BR"/>
              </w:rPr>
              <w:t>Ramularia magnusiana</w:t>
            </w:r>
            <w:r w:rsidRPr="00D95799">
              <w:rPr>
                <w:rFonts w:eastAsia="Calibri" w:cs="Times New Roman"/>
                <w:sz w:val="18"/>
                <w:szCs w:val="18"/>
                <w:lang w:val="pt-BR"/>
              </w:rPr>
              <w:t xml:space="preserve"> (Sacc.) Lindau</w:t>
            </w:r>
          </w:p>
          <w:p w14:paraId="5429CC38" w14:textId="77777777" w:rsidR="003438A2" w:rsidRPr="00D95799" w:rsidRDefault="003438A2" w:rsidP="00881E29">
            <w:pPr>
              <w:spacing w:before="60" w:after="60" w:line="240" w:lineRule="auto"/>
              <w:rPr>
                <w:rFonts w:eastAsia="Calibri" w:cs="Times New Roman"/>
                <w:i/>
                <w:sz w:val="18"/>
                <w:szCs w:val="18"/>
                <w:lang w:val="pt-BR"/>
              </w:rPr>
            </w:pPr>
            <w:r w:rsidRPr="00D95799">
              <w:rPr>
                <w:rFonts w:eastAsia="Calibri" w:cs="Times New Roman"/>
                <w:sz w:val="18"/>
                <w:szCs w:val="18"/>
                <w:lang w:val="pt-BR"/>
              </w:rPr>
              <w:t>[</w:t>
            </w:r>
            <w:r w:rsidRPr="00D95799">
              <w:rPr>
                <w:rFonts w:eastAsia="Calibri" w:cs="Times New Roman"/>
                <w:iCs/>
                <w:sz w:val="18"/>
                <w:szCs w:val="18"/>
              </w:rPr>
              <w:t>Capnodiales:</w:t>
            </w:r>
            <w:r w:rsidRPr="00D95799" w:rsidDel="003C455C">
              <w:rPr>
                <w:rFonts w:eastAsia="Calibri" w:cs="Times New Roman"/>
                <w:iCs/>
                <w:sz w:val="18"/>
                <w:szCs w:val="18"/>
              </w:rPr>
              <w:t xml:space="preserve"> </w:t>
            </w:r>
            <w:r w:rsidRPr="00D95799">
              <w:rPr>
                <w:rFonts w:eastAsia="Calibri" w:cs="Times New Roman"/>
                <w:sz w:val="18"/>
                <w:szCs w:val="18"/>
                <w:lang w:val="pt-BR"/>
              </w:rPr>
              <w:t>Mycosphaerellaceae]</w:t>
            </w:r>
          </w:p>
        </w:tc>
        <w:tc>
          <w:tcPr>
            <w:tcW w:w="1474" w:type="dxa"/>
            <w:shd w:val="clear" w:color="auto" w:fill="auto"/>
          </w:tcPr>
          <w:p w14:paraId="628C6785"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sz w:val="18"/>
                <w:szCs w:val="18"/>
                <w:lang w:val="pt-BR"/>
              </w:rPr>
              <w:t xml:space="preserve">Yes. </w:t>
            </w:r>
            <w:r>
              <w:rPr>
                <w:rFonts w:eastAsia="Calibri" w:cs="Times New Roman"/>
                <w:sz w:val="18"/>
                <w:szCs w:val="18"/>
                <w:lang w:val="pt-BR"/>
              </w:rPr>
              <w:t>Present in WA. Also present in n</w:t>
            </w:r>
            <w:r w:rsidRPr="00D95799">
              <w:rPr>
                <w:rFonts w:eastAsia="Calibri" w:cs="Times New Roman"/>
                <w:sz w:val="18"/>
                <w:szCs w:val="18"/>
                <w:lang w:val="pt-BR"/>
              </w:rPr>
              <w:t xml:space="preserve">orthwestern states </w:t>
            </w:r>
            <w:r>
              <w:rPr>
                <w:rFonts w:eastAsia="Calibri" w:cs="Times New Roman"/>
                <w:noProof/>
                <w:sz w:val="18"/>
                <w:szCs w:val="18"/>
                <w:lang w:val="pt-BR"/>
              </w:rPr>
              <w:t>(Farr &amp; Rossman 2018; Glawe 2009)</w:t>
            </w:r>
          </w:p>
        </w:tc>
        <w:tc>
          <w:tcPr>
            <w:tcW w:w="1474" w:type="dxa"/>
            <w:shd w:val="clear" w:color="auto" w:fill="auto"/>
          </w:tcPr>
          <w:p w14:paraId="3F6C37BA"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 records found</w:t>
            </w:r>
          </w:p>
        </w:tc>
        <w:tc>
          <w:tcPr>
            <w:tcW w:w="2552" w:type="dxa"/>
            <w:shd w:val="clear" w:color="auto" w:fill="auto"/>
          </w:tcPr>
          <w:p w14:paraId="35A2AF51"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No. Found on leaves causing leaf spot </w:t>
            </w:r>
            <w:r>
              <w:rPr>
                <w:rFonts w:eastAsia="Calibri" w:cs="Times New Roman"/>
                <w:noProof/>
                <w:sz w:val="18"/>
                <w:szCs w:val="18"/>
              </w:rPr>
              <w:t>(Farr &amp; Rossman 2018)</w:t>
            </w:r>
          </w:p>
        </w:tc>
        <w:tc>
          <w:tcPr>
            <w:tcW w:w="2381" w:type="dxa"/>
            <w:shd w:val="clear" w:color="auto" w:fill="auto"/>
          </w:tcPr>
          <w:p w14:paraId="3D2C7A9C"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211" w:type="dxa"/>
            <w:shd w:val="clear" w:color="auto" w:fill="auto"/>
          </w:tcPr>
          <w:p w14:paraId="6E6897BF"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auto"/>
          </w:tcPr>
          <w:p w14:paraId="3D927BDD"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56F57" w14:paraId="1F1FB967" w14:textId="77777777" w:rsidTr="00CF3815">
        <w:trPr>
          <w:cantSplit/>
          <w:trHeight w:val="75"/>
          <w:jc w:val="center"/>
        </w:trPr>
        <w:tc>
          <w:tcPr>
            <w:tcW w:w="1985" w:type="dxa"/>
            <w:shd w:val="clear" w:color="auto" w:fill="auto"/>
          </w:tcPr>
          <w:p w14:paraId="0EAE5094" w14:textId="77777777" w:rsidR="003438A2" w:rsidRDefault="003438A2" w:rsidP="00881E29">
            <w:pPr>
              <w:spacing w:before="60" w:after="60" w:line="240" w:lineRule="auto"/>
              <w:rPr>
                <w:rFonts w:eastAsia="Calibri" w:cs="Times New Roman"/>
                <w:i/>
                <w:iCs/>
                <w:sz w:val="18"/>
                <w:szCs w:val="18"/>
              </w:rPr>
            </w:pPr>
            <w:r w:rsidRPr="00D56F57">
              <w:rPr>
                <w:rFonts w:eastAsia="Calibri" w:cs="Times New Roman"/>
                <w:i/>
                <w:iCs/>
                <w:sz w:val="18"/>
                <w:szCs w:val="18"/>
              </w:rPr>
              <w:lastRenderedPageBreak/>
              <w:t xml:space="preserve">Schizothyrium pomi </w:t>
            </w:r>
            <w:r w:rsidRPr="00E429BF">
              <w:rPr>
                <w:rFonts w:eastAsia="Calibri" w:cs="Times New Roman"/>
                <w:iCs/>
                <w:sz w:val="18"/>
                <w:szCs w:val="18"/>
              </w:rPr>
              <w:t>(Mont. &amp; Fr.) Arx</w:t>
            </w:r>
          </w:p>
          <w:p w14:paraId="5055EBFF" w14:textId="77777777" w:rsidR="003438A2" w:rsidRPr="00D56F57" w:rsidRDefault="003438A2" w:rsidP="00881E29">
            <w:pPr>
              <w:spacing w:before="60" w:after="60" w:line="240" w:lineRule="auto"/>
              <w:rPr>
                <w:rFonts w:eastAsia="Calibri" w:cs="Times New Roman"/>
                <w:i/>
                <w:iCs/>
                <w:sz w:val="18"/>
                <w:szCs w:val="18"/>
              </w:rPr>
            </w:pPr>
            <w:r w:rsidRPr="00D56F57">
              <w:rPr>
                <w:rFonts w:eastAsia="Calibri" w:cs="Times New Roman"/>
                <w:iCs/>
                <w:sz w:val="18"/>
                <w:szCs w:val="18"/>
              </w:rPr>
              <w:t>Synonyms:</w:t>
            </w:r>
            <w:r w:rsidRPr="00D56F57">
              <w:rPr>
                <w:rFonts w:eastAsia="Calibri" w:cs="Times New Roman"/>
                <w:i/>
                <w:iCs/>
                <w:sz w:val="18"/>
                <w:szCs w:val="18"/>
              </w:rPr>
              <w:t xml:space="preserve"> </w:t>
            </w:r>
            <w:r w:rsidRPr="00014154">
              <w:rPr>
                <w:rFonts w:eastAsia="Calibri" w:cs="Times New Roman"/>
                <w:i/>
                <w:sz w:val="18"/>
                <w:szCs w:val="18"/>
              </w:rPr>
              <w:t>Leptothyrium pomi</w:t>
            </w:r>
            <w:r w:rsidRPr="003F5B80">
              <w:rPr>
                <w:rFonts w:eastAsia="Calibri" w:cs="Times New Roman"/>
                <w:sz w:val="18"/>
                <w:szCs w:val="18"/>
              </w:rPr>
              <w:t xml:space="preserve"> </w:t>
            </w:r>
            <w:r>
              <w:rPr>
                <w:rFonts w:eastAsia="Calibri" w:cs="Times New Roman"/>
                <w:sz w:val="18"/>
                <w:szCs w:val="18"/>
              </w:rPr>
              <w:t xml:space="preserve">(Mont. &amp; Fr.) Sacc.; </w:t>
            </w:r>
            <w:r w:rsidRPr="00D56F57">
              <w:rPr>
                <w:rFonts w:eastAsia="Calibri" w:cs="Times New Roman"/>
                <w:i/>
                <w:iCs/>
                <w:sz w:val="18"/>
                <w:szCs w:val="18"/>
              </w:rPr>
              <w:t xml:space="preserve">Microthyriella rubi </w:t>
            </w:r>
            <w:r w:rsidRPr="00D56F57">
              <w:rPr>
                <w:rFonts w:eastAsia="Calibri" w:cs="Times New Roman"/>
                <w:iCs/>
                <w:sz w:val="18"/>
                <w:szCs w:val="18"/>
              </w:rPr>
              <w:t>Pter</w:t>
            </w:r>
            <w:r>
              <w:rPr>
                <w:rFonts w:eastAsia="Calibri" w:cs="Times New Roman"/>
                <w:iCs/>
                <w:sz w:val="18"/>
                <w:szCs w:val="18"/>
              </w:rPr>
              <w:t>.;</w:t>
            </w:r>
            <w:r w:rsidRPr="00D56F57">
              <w:rPr>
                <w:rFonts w:eastAsia="Calibri" w:cs="Times New Roman"/>
                <w:i/>
                <w:iCs/>
                <w:sz w:val="18"/>
                <w:szCs w:val="18"/>
              </w:rPr>
              <w:t xml:space="preserve"> Botryodiplodia pomi (</w:t>
            </w:r>
            <w:r w:rsidRPr="00D56F57">
              <w:rPr>
                <w:rFonts w:eastAsia="Calibri" w:cs="Times New Roman"/>
                <w:iCs/>
                <w:sz w:val="18"/>
                <w:szCs w:val="18"/>
              </w:rPr>
              <w:t>Mont. &amp; Fr</w:t>
            </w:r>
            <w:r w:rsidRPr="00D56F57">
              <w:rPr>
                <w:rFonts w:eastAsia="Calibri" w:cs="Times New Roman"/>
                <w:i/>
                <w:iCs/>
                <w:sz w:val="18"/>
                <w:szCs w:val="18"/>
              </w:rPr>
              <w:t xml:space="preserve">.) </w:t>
            </w:r>
            <w:r w:rsidRPr="00D56F57">
              <w:rPr>
                <w:rFonts w:eastAsia="Calibri" w:cs="Times New Roman"/>
                <w:iCs/>
                <w:sz w:val="18"/>
                <w:szCs w:val="18"/>
              </w:rPr>
              <w:t>Cif.</w:t>
            </w:r>
          </w:p>
          <w:p w14:paraId="0B4B7240" w14:textId="77777777" w:rsidR="003438A2" w:rsidRPr="00D56F57" w:rsidRDefault="003438A2" w:rsidP="00881E29">
            <w:pPr>
              <w:spacing w:before="60" w:after="60" w:line="240" w:lineRule="auto"/>
              <w:rPr>
                <w:rFonts w:eastAsia="Calibri" w:cs="Times New Roman"/>
                <w:iCs/>
                <w:sz w:val="18"/>
                <w:szCs w:val="18"/>
              </w:rPr>
            </w:pPr>
            <w:r>
              <w:rPr>
                <w:rFonts w:eastAsia="Calibri" w:cs="Times New Roman"/>
                <w:iCs/>
                <w:sz w:val="18"/>
                <w:szCs w:val="18"/>
              </w:rPr>
              <w:t>[U</w:t>
            </w:r>
            <w:r w:rsidRPr="00D56F57">
              <w:rPr>
                <w:rFonts w:eastAsia="Calibri" w:cs="Times New Roman"/>
                <w:iCs/>
                <w:sz w:val="18"/>
                <w:szCs w:val="18"/>
              </w:rPr>
              <w:t>nassigned: Schizothyriaceae]</w:t>
            </w:r>
          </w:p>
          <w:p w14:paraId="686AC834" w14:textId="77777777" w:rsidR="003438A2" w:rsidRPr="00D56F57" w:rsidRDefault="003438A2" w:rsidP="00881E29">
            <w:pPr>
              <w:spacing w:before="60" w:after="60" w:line="240" w:lineRule="auto"/>
              <w:rPr>
                <w:rFonts w:eastAsia="Calibri" w:cs="Times New Roman"/>
                <w:i/>
                <w:iCs/>
                <w:sz w:val="18"/>
                <w:szCs w:val="18"/>
              </w:rPr>
            </w:pPr>
            <w:r w:rsidRPr="00D56F57">
              <w:rPr>
                <w:rFonts w:eastAsia="Calibri" w:cs="Times New Roman"/>
                <w:iCs/>
                <w:sz w:val="18"/>
                <w:szCs w:val="18"/>
              </w:rPr>
              <w:t>Flyspeck</w:t>
            </w:r>
          </w:p>
        </w:tc>
        <w:tc>
          <w:tcPr>
            <w:tcW w:w="1474" w:type="dxa"/>
            <w:shd w:val="clear" w:color="auto" w:fill="auto"/>
          </w:tcPr>
          <w:p w14:paraId="638F739E" w14:textId="77777777" w:rsidR="003438A2" w:rsidRPr="00D56F57" w:rsidRDefault="003438A2" w:rsidP="00881E29">
            <w:pPr>
              <w:spacing w:before="60" w:after="60" w:line="240" w:lineRule="auto"/>
              <w:rPr>
                <w:rFonts w:eastAsia="Calibri" w:cs="Times New Roman"/>
                <w:sz w:val="18"/>
                <w:szCs w:val="18"/>
              </w:rPr>
            </w:pPr>
            <w:r w:rsidRPr="00D56F57">
              <w:rPr>
                <w:rFonts w:eastAsia="Calibri" w:cs="Times New Roman"/>
                <w:sz w:val="18"/>
                <w:szCs w:val="18"/>
              </w:rPr>
              <w:t xml:space="preserve">Yes. </w:t>
            </w:r>
            <w:r>
              <w:rPr>
                <w:rFonts w:eastAsia="Calibri" w:cs="Times New Roman"/>
                <w:sz w:val="18"/>
                <w:szCs w:val="18"/>
              </w:rPr>
              <w:t xml:space="preserve">Present in ID and WA. Also present in </w:t>
            </w:r>
            <w:r w:rsidRPr="00D56F57">
              <w:rPr>
                <w:rFonts w:eastAsia="Calibri" w:cs="Times New Roman"/>
                <w:sz w:val="18"/>
                <w:szCs w:val="18"/>
              </w:rPr>
              <w:t>CA, FL, MS, NC</w:t>
            </w:r>
            <w:r>
              <w:rPr>
                <w:rFonts w:eastAsia="Calibri" w:cs="Times New Roman"/>
                <w:sz w:val="18"/>
                <w:szCs w:val="18"/>
              </w:rPr>
              <w:t xml:space="preserve"> and</w:t>
            </w:r>
            <w:r w:rsidRPr="00D56F57">
              <w:rPr>
                <w:rFonts w:eastAsia="Calibri" w:cs="Times New Roman"/>
                <w:sz w:val="18"/>
                <w:szCs w:val="18"/>
              </w:rPr>
              <w:t xml:space="preserve"> OK </w:t>
            </w:r>
            <w:r>
              <w:rPr>
                <w:rFonts w:eastAsia="Calibri" w:cs="Times New Roman"/>
                <w:noProof/>
                <w:sz w:val="18"/>
                <w:szCs w:val="18"/>
              </w:rPr>
              <w:t>(Farr &amp; Rossman 2018; Shaw 1973)</w:t>
            </w:r>
            <w:r w:rsidRPr="00D56F57">
              <w:rPr>
                <w:rFonts w:eastAsia="Calibri" w:cs="Times New Roman"/>
                <w:sz w:val="18"/>
                <w:szCs w:val="18"/>
              </w:rPr>
              <w:t xml:space="preserve"> </w:t>
            </w:r>
          </w:p>
        </w:tc>
        <w:tc>
          <w:tcPr>
            <w:tcW w:w="1474" w:type="dxa"/>
            <w:shd w:val="clear" w:color="auto" w:fill="auto"/>
          </w:tcPr>
          <w:p w14:paraId="1153507D" w14:textId="77777777" w:rsidR="003438A2" w:rsidRPr="003F5B80" w:rsidRDefault="003438A2" w:rsidP="00881E29">
            <w:pPr>
              <w:spacing w:before="60" w:after="60" w:line="240" w:lineRule="auto"/>
              <w:rPr>
                <w:rFonts w:eastAsia="Calibri" w:cs="Times New Roman"/>
                <w:sz w:val="18"/>
                <w:szCs w:val="18"/>
              </w:rPr>
            </w:pPr>
            <w:r w:rsidRPr="003F5B80">
              <w:rPr>
                <w:rFonts w:eastAsia="Calibri" w:cs="Times New Roman"/>
                <w:sz w:val="18"/>
                <w:szCs w:val="18"/>
              </w:rPr>
              <w:t xml:space="preserve">Yes. </w:t>
            </w:r>
            <w:r>
              <w:rPr>
                <w:rFonts w:eastAsia="Calibri" w:cs="Times New Roman"/>
                <w:sz w:val="18"/>
                <w:szCs w:val="18"/>
              </w:rPr>
              <w:t xml:space="preserve">Present in </w:t>
            </w:r>
            <w:r w:rsidRPr="003F5B80">
              <w:rPr>
                <w:rFonts w:eastAsia="Calibri" w:cs="Times New Roman"/>
                <w:sz w:val="18"/>
                <w:szCs w:val="18"/>
              </w:rPr>
              <w:t xml:space="preserve">NSW and WA as </w:t>
            </w:r>
            <w:r w:rsidRPr="00014154">
              <w:rPr>
                <w:rFonts w:eastAsia="Calibri" w:cs="Times New Roman"/>
                <w:i/>
                <w:sz w:val="18"/>
                <w:szCs w:val="18"/>
              </w:rPr>
              <w:t>Leptothyrium pomi</w:t>
            </w:r>
            <w:r w:rsidRPr="003F5B80">
              <w:rPr>
                <w:rFonts w:eastAsia="Calibri" w:cs="Times New Roman"/>
                <w:sz w:val="18"/>
                <w:szCs w:val="18"/>
              </w:rPr>
              <w:t xml:space="preserve"> </w:t>
            </w:r>
            <w:r>
              <w:rPr>
                <w:rFonts w:eastAsia="Calibri" w:cs="Times New Roman"/>
                <w:noProof/>
                <w:sz w:val="18"/>
                <w:szCs w:val="18"/>
              </w:rPr>
              <w:t>(Plant Health Australia 2018; Shivas 1989)</w:t>
            </w:r>
            <w:r>
              <w:rPr>
                <w:rFonts w:eastAsia="Calibri" w:cs="Times New Roman"/>
                <w:sz w:val="18"/>
                <w:szCs w:val="18"/>
              </w:rPr>
              <w:t xml:space="preserve">, and </w:t>
            </w:r>
            <w:r w:rsidRPr="003F5B80">
              <w:rPr>
                <w:rFonts w:eastAsia="Calibri" w:cs="Times New Roman"/>
                <w:sz w:val="18"/>
                <w:szCs w:val="18"/>
              </w:rPr>
              <w:t xml:space="preserve">Qld </w:t>
            </w:r>
            <w:r>
              <w:rPr>
                <w:rFonts w:eastAsia="Calibri" w:cs="Times New Roman"/>
                <w:noProof/>
                <w:sz w:val="18"/>
                <w:szCs w:val="18"/>
              </w:rPr>
              <w:t>(Simmonds 1966)</w:t>
            </w:r>
            <w:r w:rsidRPr="003F5B80">
              <w:rPr>
                <w:rFonts w:eastAsia="Calibri" w:cs="Times New Roman"/>
                <w:sz w:val="18"/>
                <w:szCs w:val="18"/>
              </w:rPr>
              <w:t>. Not a regula</w:t>
            </w:r>
            <w:r>
              <w:rPr>
                <w:rFonts w:eastAsia="Calibri" w:cs="Times New Roman"/>
                <w:sz w:val="18"/>
                <w:szCs w:val="18"/>
              </w:rPr>
              <w:t xml:space="preserve">ted pest for Tas. </w:t>
            </w:r>
            <w:r>
              <w:rPr>
                <w:rFonts w:eastAsia="Calibri" w:cs="Times New Roman"/>
                <w:noProof/>
                <w:sz w:val="18"/>
                <w:szCs w:val="18"/>
              </w:rPr>
              <w:t>(DPIPWE 2020)</w:t>
            </w:r>
          </w:p>
        </w:tc>
        <w:tc>
          <w:tcPr>
            <w:tcW w:w="2552" w:type="dxa"/>
            <w:shd w:val="clear" w:color="auto" w:fill="auto"/>
          </w:tcPr>
          <w:p w14:paraId="444387F4" w14:textId="77777777" w:rsidR="003438A2" w:rsidRDefault="003438A2" w:rsidP="00881E29">
            <w:pPr>
              <w:spacing w:before="60" w:after="60" w:line="240" w:lineRule="auto"/>
              <w:rPr>
                <w:rFonts w:eastAsia="Calibri" w:cs="Times New Roman"/>
                <w:sz w:val="18"/>
                <w:szCs w:val="18"/>
              </w:rPr>
            </w:pPr>
            <w:r w:rsidRPr="00D56F57">
              <w:rPr>
                <w:rFonts w:eastAsia="Calibri" w:cs="Times New Roman"/>
                <w:sz w:val="18"/>
                <w:szCs w:val="18"/>
              </w:rPr>
              <w:t>Assessment not required</w:t>
            </w:r>
          </w:p>
          <w:p w14:paraId="6DC36C7C" w14:textId="77777777" w:rsidR="003438A2" w:rsidRDefault="003438A2" w:rsidP="00881E29">
            <w:pPr>
              <w:spacing w:before="60" w:after="60" w:line="240" w:lineRule="auto"/>
              <w:rPr>
                <w:rFonts w:eastAsia="Calibri" w:cs="Times New Roman"/>
                <w:sz w:val="18"/>
                <w:szCs w:val="18"/>
              </w:rPr>
            </w:pPr>
          </w:p>
          <w:p w14:paraId="7D25D0DF" w14:textId="77777777" w:rsidR="003438A2" w:rsidRPr="00D56F57" w:rsidRDefault="003438A2" w:rsidP="00881E29">
            <w:pPr>
              <w:spacing w:before="60" w:after="60" w:line="240" w:lineRule="auto"/>
              <w:rPr>
                <w:rFonts w:eastAsia="Calibri" w:cs="Times New Roman"/>
                <w:sz w:val="18"/>
                <w:szCs w:val="18"/>
              </w:rPr>
            </w:pPr>
          </w:p>
        </w:tc>
        <w:tc>
          <w:tcPr>
            <w:tcW w:w="2381" w:type="dxa"/>
            <w:shd w:val="clear" w:color="auto" w:fill="auto"/>
          </w:tcPr>
          <w:p w14:paraId="2ECAF6B8" w14:textId="77777777" w:rsidR="003438A2" w:rsidRPr="00D56F57" w:rsidRDefault="003438A2" w:rsidP="00881E29">
            <w:pPr>
              <w:spacing w:before="60" w:after="60" w:line="240" w:lineRule="auto"/>
              <w:rPr>
                <w:rFonts w:eastAsia="Calibri" w:cs="Times New Roman"/>
                <w:iCs/>
                <w:sz w:val="18"/>
                <w:szCs w:val="18"/>
              </w:rPr>
            </w:pPr>
            <w:r w:rsidRPr="00D56F57">
              <w:rPr>
                <w:rFonts w:eastAsia="Calibri" w:cs="Times New Roman"/>
                <w:sz w:val="18"/>
                <w:szCs w:val="18"/>
              </w:rPr>
              <w:t>Assessment not required</w:t>
            </w:r>
          </w:p>
        </w:tc>
        <w:tc>
          <w:tcPr>
            <w:tcW w:w="2211" w:type="dxa"/>
            <w:shd w:val="clear" w:color="auto" w:fill="auto"/>
          </w:tcPr>
          <w:p w14:paraId="3B67C67D" w14:textId="77777777" w:rsidR="003438A2" w:rsidRPr="00D56F57" w:rsidRDefault="003438A2" w:rsidP="00881E29">
            <w:pPr>
              <w:spacing w:before="60" w:after="60" w:line="240" w:lineRule="auto"/>
              <w:rPr>
                <w:rFonts w:eastAsia="Calibri" w:cs="Times New Roman"/>
                <w:iCs/>
                <w:sz w:val="18"/>
                <w:szCs w:val="18"/>
              </w:rPr>
            </w:pPr>
            <w:r w:rsidRPr="00D56F57">
              <w:rPr>
                <w:rFonts w:eastAsia="Calibri" w:cs="Times New Roman"/>
                <w:sz w:val="18"/>
                <w:szCs w:val="18"/>
              </w:rPr>
              <w:t>Assessment not required</w:t>
            </w:r>
          </w:p>
        </w:tc>
        <w:tc>
          <w:tcPr>
            <w:tcW w:w="1191" w:type="dxa"/>
            <w:shd w:val="clear" w:color="auto" w:fill="auto"/>
          </w:tcPr>
          <w:p w14:paraId="1736747E" w14:textId="77777777" w:rsidR="003438A2" w:rsidRPr="00D56F57" w:rsidRDefault="003438A2" w:rsidP="00881E29">
            <w:pPr>
              <w:spacing w:before="60" w:after="60" w:line="240" w:lineRule="auto"/>
              <w:rPr>
                <w:rFonts w:eastAsia="Calibri" w:cs="Times New Roman"/>
                <w:sz w:val="18"/>
                <w:szCs w:val="18"/>
              </w:rPr>
            </w:pPr>
            <w:r w:rsidRPr="00D56F57">
              <w:rPr>
                <w:rFonts w:eastAsia="Calibri" w:cs="Times New Roman"/>
                <w:sz w:val="18"/>
                <w:szCs w:val="18"/>
              </w:rPr>
              <w:t>No</w:t>
            </w:r>
          </w:p>
        </w:tc>
      </w:tr>
      <w:tr w:rsidR="003438A2" w:rsidRPr="00D95799" w14:paraId="124AFB02" w14:textId="77777777" w:rsidTr="00CF3815">
        <w:trPr>
          <w:cantSplit/>
          <w:trHeight w:val="75"/>
          <w:jc w:val="center"/>
        </w:trPr>
        <w:tc>
          <w:tcPr>
            <w:tcW w:w="1985" w:type="dxa"/>
            <w:shd w:val="clear" w:color="auto" w:fill="auto"/>
          </w:tcPr>
          <w:p w14:paraId="1F185DAA"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
                <w:iCs/>
                <w:sz w:val="18"/>
                <w:szCs w:val="18"/>
              </w:rPr>
              <w:t xml:space="preserve">Scytinostroma galactinum </w:t>
            </w:r>
            <w:r w:rsidRPr="00D95799">
              <w:rPr>
                <w:rFonts w:eastAsia="Calibri" w:cs="Times New Roman"/>
                <w:iCs/>
                <w:sz w:val="18"/>
                <w:szCs w:val="18"/>
              </w:rPr>
              <w:t>(Fr.) Donk</w:t>
            </w:r>
          </w:p>
          <w:p w14:paraId="04CE13E9"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[Russulales: Lachnocladiaceae]</w:t>
            </w:r>
          </w:p>
          <w:p w14:paraId="70DE7A41"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iCs/>
                <w:sz w:val="18"/>
                <w:szCs w:val="18"/>
              </w:rPr>
              <w:t>Eastern white root rot</w:t>
            </w:r>
          </w:p>
        </w:tc>
        <w:tc>
          <w:tcPr>
            <w:tcW w:w="1474" w:type="dxa"/>
            <w:shd w:val="clear" w:color="auto" w:fill="auto"/>
          </w:tcPr>
          <w:p w14:paraId="2204FAB0"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sz w:val="18"/>
                <w:szCs w:val="18"/>
              </w:rPr>
              <w:t xml:space="preserve">Yes. </w:t>
            </w:r>
            <w:r>
              <w:rPr>
                <w:rFonts w:eastAsia="Calibri" w:cs="Times New Roman"/>
                <w:sz w:val="18"/>
                <w:szCs w:val="18"/>
              </w:rPr>
              <w:t xml:space="preserve">Presennt in ID, OR and WA. Also present in </w:t>
            </w:r>
            <w:r w:rsidRPr="00D95799">
              <w:rPr>
                <w:rFonts w:eastAsia="Calibri" w:cs="Times New Roman"/>
                <w:sz w:val="18"/>
                <w:szCs w:val="18"/>
              </w:rPr>
              <w:t>AK, AL, AR, DE, IL, IN, KY, MD, MO, NC, OK, TN, VA</w:t>
            </w:r>
            <w:r>
              <w:rPr>
                <w:rFonts w:eastAsia="Calibri" w:cs="Times New Roman"/>
                <w:sz w:val="18"/>
                <w:szCs w:val="18"/>
              </w:rPr>
              <w:t xml:space="preserve"> and</w:t>
            </w:r>
            <w:r w:rsidRPr="00D95799">
              <w:rPr>
                <w:rFonts w:eastAsia="Calibri" w:cs="Times New Roman"/>
                <w:sz w:val="18"/>
                <w:szCs w:val="18"/>
              </w:rPr>
              <w:t xml:space="preserve"> WV</w:t>
            </w:r>
            <w:r w:rsidRPr="00D95799">
              <w:rPr>
                <w:rFonts w:eastAsia="Calibri" w:cs="Times New Roman"/>
                <w:iCs/>
                <w:sz w:val="18"/>
                <w:szCs w:val="18"/>
              </w:rPr>
              <w:t xml:space="preserve"> </w:t>
            </w:r>
            <w:r>
              <w:rPr>
                <w:rFonts w:eastAsia="Calibri" w:cs="Times New Roman"/>
                <w:noProof/>
                <w:sz w:val="18"/>
                <w:szCs w:val="18"/>
              </w:rPr>
              <w:t>(Farr &amp; Rossman 2018)</w:t>
            </w:r>
          </w:p>
        </w:tc>
        <w:tc>
          <w:tcPr>
            <w:tcW w:w="1474" w:type="dxa"/>
            <w:shd w:val="clear" w:color="auto" w:fill="auto"/>
          </w:tcPr>
          <w:p w14:paraId="3411FB25" w14:textId="77777777" w:rsidR="003438A2" w:rsidRPr="00D95799" w:rsidRDefault="003438A2" w:rsidP="00881E29">
            <w:pPr>
              <w:spacing w:before="60" w:after="60" w:line="240" w:lineRule="auto"/>
              <w:rPr>
                <w:rFonts w:eastAsia="Calibri" w:cs="Times New Roman"/>
                <w:sz w:val="18"/>
                <w:szCs w:val="18"/>
              </w:rPr>
            </w:pPr>
            <w:r>
              <w:rPr>
                <w:rFonts w:eastAsia="Calibri" w:cs="Times New Roman"/>
                <w:sz w:val="18"/>
                <w:szCs w:val="18"/>
              </w:rPr>
              <w:t>No records found</w:t>
            </w:r>
          </w:p>
        </w:tc>
        <w:tc>
          <w:tcPr>
            <w:tcW w:w="2552" w:type="dxa"/>
            <w:shd w:val="clear" w:color="auto" w:fill="auto"/>
          </w:tcPr>
          <w:p w14:paraId="30DC7FAD"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No. This fungus is known as a root pathogen and is not associated with the mature fruit of its hosts </w:t>
            </w:r>
            <w:r>
              <w:rPr>
                <w:rFonts w:eastAsia="Calibri" w:cs="Times New Roman"/>
                <w:noProof/>
                <w:sz w:val="18"/>
                <w:szCs w:val="18"/>
              </w:rPr>
              <w:t>(Jones &amp; Sutton 1996)</w:t>
            </w:r>
            <w:r w:rsidRPr="00D95799">
              <w:rPr>
                <w:rFonts w:eastAsia="Calibri" w:cs="Times New Roman"/>
                <w:sz w:val="18"/>
                <w:szCs w:val="18"/>
              </w:rPr>
              <w:t>.</w:t>
            </w:r>
            <w:r>
              <w:rPr>
                <w:rFonts w:eastAsia="Calibri" w:cs="Times New Roman"/>
                <w:sz w:val="18"/>
                <w:szCs w:val="18"/>
              </w:rPr>
              <w:t xml:space="preserve"> </w:t>
            </w:r>
            <w:r w:rsidRPr="00D95799">
              <w:rPr>
                <w:rFonts w:eastAsia="Calibri" w:cs="Times New Roman"/>
                <w:sz w:val="18"/>
                <w:szCs w:val="18"/>
              </w:rPr>
              <w:t xml:space="preserve">Causes a root and butt rot of woody plants </w:t>
            </w:r>
            <w:r>
              <w:rPr>
                <w:rFonts w:eastAsia="Calibri" w:cs="Times New Roman"/>
                <w:noProof/>
                <w:sz w:val="18"/>
                <w:szCs w:val="18"/>
              </w:rPr>
              <w:t>(Ginns &amp; Lefebvre 1993)</w:t>
            </w:r>
            <w:r>
              <w:rPr>
                <w:rFonts w:eastAsia="Calibri" w:cs="Times New Roman"/>
                <w:sz w:val="18"/>
                <w:szCs w:val="18"/>
              </w:rPr>
              <w:t xml:space="preserve">. </w:t>
            </w:r>
          </w:p>
        </w:tc>
        <w:tc>
          <w:tcPr>
            <w:tcW w:w="2381" w:type="dxa"/>
            <w:shd w:val="clear" w:color="auto" w:fill="auto"/>
          </w:tcPr>
          <w:p w14:paraId="161AE365"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211" w:type="dxa"/>
            <w:shd w:val="clear" w:color="auto" w:fill="auto"/>
          </w:tcPr>
          <w:p w14:paraId="2092617A"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auto"/>
          </w:tcPr>
          <w:p w14:paraId="2AB2393F"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95799" w14:paraId="34F0D4BD" w14:textId="77777777" w:rsidTr="003A4894">
        <w:trPr>
          <w:cantSplit/>
          <w:trHeight w:val="75"/>
          <w:jc w:val="center"/>
        </w:trPr>
        <w:tc>
          <w:tcPr>
            <w:tcW w:w="1985" w:type="dxa"/>
            <w:shd w:val="clear" w:color="auto" w:fill="auto"/>
          </w:tcPr>
          <w:p w14:paraId="618C3C63" w14:textId="77777777" w:rsidR="003438A2" w:rsidRPr="00D95799" w:rsidRDefault="003438A2" w:rsidP="00881E29">
            <w:pPr>
              <w:spacing w:before="60" w:after="60" w:line="240" w:lineRule="auto"/>
              <w:rPr>
                <w:rFonts w:eastAsia="Calibri" w:cs="Times New Roman"/>
                <w:i/>
                <w:iCs/>
                <w:sz w:val="18"/>
                <w:szCs w:val="18"/>
              </w:rPr>
            </w:pPr>
            <w:r w:rsidRPr="00D95799">
              <w:rPr>
                <w:rFonts w:eastAsia="Calibri" w:cs="Times New Roman"/>
                <w:i/>
                <w:iCs/>
                <w:sz w:val="18"/>
                <w:szCs w:val="18"/>
              </w:rPr>
              <w:t xml:space="preserve">Seimatosporium lichenicola </w:t>
            </w:r>
            <w:r w:rsidRPr="00D95799">
              <w:rPr>
                <w:rFonts w:eastAsia="Calibri" w:cs="Times New Roman"/>
                <w:iCs/>
                <w:sz w:val="18"/>
                <w:szCs w:val="18"/>
              </w:rPr>
              <w:t>(Corda) Shoemaker &amp; E. Müll.</w:t>
            </w:r>
          </w:p>
          <w:p w14:paraId="5BF598CD"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Synonym:</w:t>
            </w:r>
            <w:r w:rsidRPr="00D95799">
              <w:rPr>
                <w:rFonts w:eastAsia="Calibri" w:cs="Times New Roman"/>
                <w:i/>
                <w:iCs/>
                <w:sz w:val="18"/>
                <w:szCs w:val="18"/>
              </w:rPr>
              <w:t xml:space="preserve"> Sporocadus lichenicola </w:t>
            </w:r>
            <w:r w:rsidRPr="00D95799">
              <w:rPr>
                <w:rFonts w:eastAsia="Calibri" w:cs="Times New Roman"/>
                <w:iCs/>
                <w:sz w:val="18"/>
                <w:szCs w:val="18"/>
              </w:rPr>
              <w:t>Corda</w:t>
            </w:r>
          </w:p>
          <w:p w14:paraId="77F3CD75" w14:textId="77777777" w:rsidR="003438A2" w:rsidRPr="00D95799" w:rsidRDefault="003438A2" w:rsidP="00881E29">
            <w:pPr>
              <w:spacing w:before="60" w:after="60" w:line="240" w:lineRule="auto"/>
              <w:rPr>
                <w:rFonts w:eastAsia="Calibri" w:cs="Times New Roman"/>
                <w:i/>
                <w:iCs/>
                <w:sz w:val="18"/>
                <w:szCs w:val="18"/>
              </w:rPr>
            </w:pPr>
            <w:r w:rsidRPr="00D95799">
              <w:rPr>
                <w:rFonts w:eastAsia="Calibri" w:cs="Times New Roman"/>
                <w:iCs/>
                <w:sz w:val="18"/>
                <w:szCs w:val="18"/>
              </w:rPr>
              <w:t>[</w:t>
            </w:r>
            <w:r w:rsidRPr="00D95799">
              <w:rPr>
                <w:rFonts w:eastAsia="Calibri" w:cs="Times New Roman"/>
                <w:sz w:val="18"/>
                <w:szCs w:val="18"/>
              </w:rPr>
              <w:t>Amphisphaeriales:</w:t>
            </w:r>
            <w:r w:rsidRPr="00D95799">
              <w:rPr>
                <w:rFonts w:eastAsia="Calibri" w:cs="Times New Roman"/>
                <w:iCs/>
                <w:sz w:val="18"/>
                <w:szCs w:val="18"/>
              </w:rPr>
              <w:t xml:space="preserve"> Discosiaceae]</w:t>
            </w:r>
          </w:p>
        </w:tc>
        <w:tc>
          <w:tcPr>
            <w:tcW w:w="1474" w:type="dxa"/>
            <w:shd w:val="clear" w:color="auto" w:fill="auto"/>
          </w:tcPr>
          <w:p w14:paraId="5F1DEB4D"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w:t>
            </w:r>
            <w:r>
              <w:rPr>
                <w:rFonts w:eastAsia="Calibri" w:cs="Times New Roman"/>
                <w:sz w:val="18"/>
                <w:szCs w:val="18"/>
              </w:rPr>
              <w:t xml:space="preserve">Present in WA. Also present in </w:t>
            </w:r>
            <w:r w:rsidRPr="00D95799">
              <w:rPr>
                <w:rFonts w:eastAsia="Calibri" w:cs="Times New Roman"/>
                <w:sz w:val="18"/>
                <w:szCs w:val="18"/>
              </w:rPr>
              <w:t xml:space="preserve">AK </w:t>
            </w:r>
            <w:r>
              <w:rPr>
                <w:rFonts w:eastAsia="Calibri" w:cs="Times New Roman"/>
                <w:noProof/>
                <w:sz w:val="18"/>
                <w:szCs w:val="18"/>
              </w:rPr>
              <w:t>(Farr &amp; Rossman 2018; Glawe 2009; Shaw 1958)</w:t>
            </w:r>
          </w:p>
        </w:tc>
        <w:tc>
          <w:tcPr>
            <w:tcW w:w="1474" w:type="dxa"/>
            <w:shd w:val="clear" w:color="auto" w:fill="auto"/>
          </w:tcPr>
          <w:p w14:paraId="19D8D519"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SA, NSW, Vic., Tas. </w:t>
            </w:r>
            <w:r>
              <w:rPr>
                <w:rFonts w:eastAsia="Calibri" w:cs="Times New Roman"/>
                <w:noProof/>
                <w:sz w:val="18"/>
                <w:szCs w:val="18"/>
              </w:rPr>
              <w:t>(Plant Health Australia 2018)</w:t>
            </w:r>
          </w:p>
        </w:tc>
        <w:tc>
          <w:tcPr>
            <w:tcW w:w="2552" w:type="dxa"/>
            <w:shd w:val="clear" w:color="auto" w:fill="auto"/>
          </w:tcPr>
          <w:p w14:paraId="2E73D7AE"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381" w:type="dxa"/>
            <w:shd w:val="clear" w:color="auto" w:fill="auto"/>
          </w:tcPr>
          <w:p w14:paraId="2D25FF82"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211" w:type="dxa"/>
            <w:shd w:val="clear" w:color="auto" w:fill="auto"/>
          </w:tcPr>
          <w:p w14:paraId="25C7FB24"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auto"/>
          </w:tcPr>
          <w:p w14:paraId="03FA508D"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95799" w14:paraId="68031A84" w14:textId="77777777" w:rsidTr="003A4894">
        <w:trPr>
          <w:cantSplit/>
          <w:trHeight w:val="75"/>
          <w:jc w:val="center"/>
        </w:trPr>
        <w:tc>
          <w:tcPr>
            <w:tcW w:w="1985" w:type="dxa"/>
            <w:shd w:val="clear" w:color="auto" w:fill="FFFFFF" w:themeFill="background1"/>
          </w:tcPr>
          <w:p w14:paraId="161E3440" w14:textId="77777777" w:rsidR="003438A2" w:rsidRPr="009644C4" w:rsidRDefault="003438A2" w:rsidP="00881E29">
            <w:pPr>
              <w:spacing w:before="60" w:after="60" w:line="240" w:lineRule="auto"/>
              <w:rPr>
                <w:rFonts w:eastAsia="Calibri" w:cs="Times New Roman"/>
                <w:iCs/>
                <w:sz w:val="18"/>
                <w:szCs w:val="18"/>
              </w:rPr>
            </w:pPr>
            <w:r w:rsidRPr="009644C4">
              <w:rPr>
                <w:rFonts w:eastAsia="Calibri" w:cs="Times New Roman"/>
                <w:i/>
                <w:iCs/>
                <w:sz w:val="18"/>
                <w:szCs w:val="18"/>
              </w:rPr>
              <w:t xml:space="preserve">Seiridium unicorne </w:t>
            </w:r>
            <w:r w:rsidRPr="009644C4">
              <w:rPr>
                <w:rFonts w:eastAsia="Calibri" w:cs="Times New Roman"/>
                <w:iCs/>
                <w:sz w:val="18"/>
                <w:szCs w:val="18"/>
              </w:rPr>
              <w:t>(Cooke &amp; Ellis) B. Sutton</w:t>
            </w:r>
          </w:p>
          <w:p w14:paraId="1FC729B5" w14:textId="77777777" w:rsidR="003438A2" w:rsidRPr="009644C4" w:rsidRDefault="003438A2" w:rsidP="00881E29">
            <w:pPr>
              <w:spacing w:before="60" w:after="60" w:line="240" w:lineRule="auto"/>
              <w:rPr>
                <w:rFonts w:eastAsia="Calibri" w:cs="Times New Roman"/>
                <w:iCs/>
                <w:sz w:val="18"/>
                <w:szCs w:val="18"/>
              </w:rPr>
            </w:pPr>
            <w:r w:rsidRPr="009644C4" w:rsidDel="0086106B">
              <w:rPr>
                <w:rFonts w:eastAsia="Calibri" w:cs="Times New Roman"/>
                <w:iCs/>
                <w:sz w:val="18"/>
                <w:szCs w:val="18"/>
              </w:rPr>
              <w:t xml:space="preserve"> </w:t>
            </w:r>
            <w:r w:rsidRPr="009644C4">
              <w:rPr>
                <w:rFonts w:eastAsia="Calibri" w:cs="Times New Roman"/>
                <w:iCs/>
                <w:sz w:val="18"/>
                <w:szCs w:val="18"/>
              </w:rPr>
              <w:t>[</w:t>
            </w:r>
            <w:r w:rsidRPr="009644C4">
              <w:rPr>
                <w:rFonts w:eastAsia="Calibri" w:cs="Times New Roman"/>
                <w:sz w:val="18"/>
                <w:szCs w:val="18"/>
              </w:rPr>
              <w:t>Amphisphaeriales:</w:t>
            </w:r>
            <w:r w:rsidRPr="009644C4">
              <w:rPr>
                <w:rFonts w:eastAsia="Calibri" w:cs="Times New Roman"/>
                <w:iCs/>
                <w:sz w:val="18"/>
                <w:szCs w:val="18"/>
              </w:rPr>
              <w:t xml:space="preserve"> Pestalotiopsidaceae]</w:t>
            </w:r>
          </w:p>
          <w:p w14:paraId="3697CFE8" w14:textId="77777777" w:rsidR="003438A2" w:rsidRPr="009644C4" w:rsidRDefault="003438A2" w:rsidP="00881E29">
            <w:pPr>
              <w:spacing w:before="60" w:after="60" w:line="240" w:lineRule="auto"/>
              <w:rPr>
                <w:rFonts w:eastAsia="Calibri" w:cs="Times New Roman"/>
                <w:i/>
                <w:iCs/>
                <w:sz w:val="18"/>
                <w:szCs w:val="18"/>
              </w:rPr>
            </w:pPr>
            <w:r w:rsidRPr="009644C4">
              <w:rPr>
                <w:rFonts w:eastAsia="Calibri" w:cs="Times New Roman"/>
                <w:iCs/>
                <w:sz w:val="18"/>
                <w:szCs w:val="18"/>
              </w:rPr>
              <w:t>Monochaetia twig canker</w:t>
            </w:r>
          </w:p>
        </w:tc>
        <w:tc>
          <w:tcPr>
            <w:tcW w:w="1474" w:type="dxa"/>
            <w:shd w:val="clear" w:color="auto" w:fill="FFFFFF" w:themeFill="background1"/>
          </w:tcPr>
          <w:p w14:paraId="790FD83C" w14:textId="77777777" w:rsidR="003438A2" w:rsidRPr="009644C4" w:rsidRDefault="003438A2" w:rsidP="00881E29">
            <w:pPr>
              <w:spacing w:before="60" w:after="60" w:line="240" w:lineRule="auto"/>
              <w:rPr>
                <w:rFonts w:eastAsia="Calibri" w:cs="Times New Roman"/>
                <w:sz w:val="18"/>
                <w:szCs w:val="18"/>
              </w:rPr>
            </w:pPr>
            <w:r>
              <w:rPr>
                <w:rFonts w:eastAsia="Calibri" w:cs="Times New Roman"/>
                <w:sz w:val="18"/>
                <w:szCs w:val="18"/>
              </w:rPr>
              <w:t>No</w:t>
            </w:r>
            <w:r w:rsidRPr="009644C4">
              <w:rPr>
                <w:rFonts w:eastAsia="Calibri" w:cs="Times New Roman"/>
                <w:sz w:val="18"/>
                <w:szCs w:val="18"/>
              </w:rPr>
              <w:t xml:space="preserve">. </w:t>
            </w:r>
            <w:r>
              <w:rPr>
                <w:rFonts w:eastAsia="Calibri" w:cs="Times New Roman"/>
                <w:sz w:val="18"/>
                <w:szCs w:val="18"/>
              </w:rPr>
              <w:t xml:space="preserve">Present in </w:t>
            </w:r>
            <w:r w:rsidRPr="009644C4">
              <w:rPr>
                <w:rFonts w:eastAsia="Calibri" w:cs="Times New Roman"/>
                <w:sz w:val="18"/>
                <w:szCs w:val="18"/>
              </w:rPr>
              <w:t>CA, IL, MO, NJ</w:t>
            </w:r>
            <w:r>
              <w:rPr>
                <w:rFonts w:eastAsia="Calibri" w:cs="Times New Roman"/>
                <w:sz w:val="18"/>
                <w:szCs w:val="18"/>
              </w:rPr>
              <w:t xml:space="preserve"> and</w:t>
            </w:r>
            <w:r w:rsidRPr="009644C4">
              <w:rPr>
                <w:rFonts w:eastAsia="Calibri" w:cs="Times New Roman"/>
                <w:sz w:val="18"/>
                <w:szCs w:val="18"/>
              </w:rPr>
              <w:t xml:space="preserve"> WV </w:t>
            </w:r>
            <w:r>
              <w:rPr>
                <w:rFonts w:eastAsia="Calibri" w:cs="Times New Roman"/>
                <w:noProof/>
                <w:sz w:val="18"/>
                <w:szCs w:val="18"/>
              </w:rPr>
              <w:t>(Farr &amp; Rossman 2018)</w:t>
            </w:r>
          </w:p>
        </w:tc>
        <w:tc>
          <w:tcPr>
            <w:tcW w:w="1474" w:type="dxa"/>
            <w:shd w:val="clear" w:color="auto" w:fill="FFFFFF" w:themeFill="background1"/>
          </w:tcPr>
          <w:p w14:paraId="6FE777A5" w14:textId="77777777" w:rsidR="003438A2" w:rsidRPr="009644C4" w:rsidRDefault="003438A2" w:rsidP="00881E29">
            <w:pPr>
              <w:spacing w:before="60" w:after="60" w:line="240" w:lineRule="auto"/>
              <w:rPr>
                <w:rFonts w:eastAsia="Calibri" w:cs="Times New Roman"/>
                <w:sz w:val="18"/>
                <w:szCs w:val="18"/>
              </w:rPr>
            </w:pPr>
            <w:r w:rsidRPr="009644C4">
              <w:rPr>
                <w:rFonts w:eastAsia="Calibri" w:cs="Times New Roman"/>
                <w:sz w:val="18"/>
                <w:szCs w:val="18"/>
              </w:rPr>
              <w:t xml:space="preserve">Yes. Qld, NSW, Tas. </w:t>
            </w:r>
            <w:r>
              <w:rPr>
                <w:rFonts w:eastAsia="Calibri" w:cs="Times New Roman"/>
                <w:noProof/>
                <w:sz w:val="18"/>
                <w:szCs w:val="18"/>
              </w:rPr>
              <w:t>(Plant Health Australia 2018)</w:t>
            </w:r>
          </w:p>
        </w:tc>
        <w:tc>
          <w:tcPr>
            <w:tcW w:w="2552" w:type="dxa"/>
            <w:shd w:val="clear" w:color="auto" w:fill="FFFFFF" w:themeFill="background1"/>
          </w:tcPr>
          <w:p w14:paraId="1DE5ECE7" w14:textId="77777777" w:rsidR="003438A2" w:rsidRPr="009644C4" w:rsidRDefault="003438A2" w:rsidP="00881E29">
            <w:pPr>
              <w:spacing w:before="60" w:after="60" w:line="240" w:lineRule="auto"/>
              <w:rPr>
                <w:rFonts w:eastAsia="Calibri" w:cs="Times New Roman"/>
                <w:sz w:val="18"/>
                <w:szCs w:val="18"/>
              </w:rPr>
            </w:pPr>
            <w:r w:rsidRPr="009644C4">
              <w:rPr>
                <w:rFonts w:eastAsia="Calibri" w:cs="Times New Roman"/>
                <w:sz w:val="18"/>
                <w:szCs w:val="18"/>
              </w:rPr>
              <w:t xml:space="preserve">Assessment not required. </w:t>
            </w:r>
          </w:p>
        </w:tc>
        <w:tc>
          <w:tcPr>
            <w:tcW w:w="2381" w:type="dxa"/>
            <w:shd w:val="clear" w:color="auto" w:fill="FFFFFF" w:themeFill="background1"/>
          </w:tcPr>
          <w:p w14:paraId="18BE2C6B" w14:textId="77777777" w:rsidR="003438A2" w:rsidRPr="009644C4" w:rsidRDefault="003438A2" w:rsidP="00881E29">
            <w:pPr>
              <w:spacing w:before="60" w:after="60" w:line="240" w:lineRule="auto"/>
              <w:rPr>
                <w:rFonts w:eastAsia="Calibri" w:cs="Times New Roman"/>
                <w:sz w:val="18"/>
                <w:szCs w:val="18"/>
              </w:rPr>
            </w:pPr>
            <w:r w:rsidRPr="009644C4">
              <w:rPr>
                <w:rFonts w:eastAsia="Calibri" w:cs="Times New Roman"/>
                <w:sz w:val="18"/>
                <w:szCs w:val="18"/>
              </w:rPr>
              <w:t>Assessment not required</w:t>
            </w:r>
          </w:p>
        </w:tc>
        <w:tc>
          <w:tcPr>
            <w:tcW w:w="2211" w:type="dxa"/>
            <w:shd w:val="clear" w:color="auto" w:fill="FFFFFF" w:themeFill="background1"/>
          </w:tcPr>
          <w:p w14:paraId="52BAB7D2" w14:textId="77777777" w:rsidR="003438A2" w:rsidRPr="009644C4" w:rsidRDefault="003438A2" w:rsidP="00881E29">
            <w:pPr>
              <w:spacing w:before="60" w:after="60" w:line="240" w:lineRule="auto"/>
              <w:rPr>
                <w:rFonts w:eastAsia="Calibri" w:cs="Times New Roman"/>
                <w:sz w:val="18"/>
                <w:szCs w:val="18"/>
              </w:rPr>
            </w:pPr>
            <w:r w:rsidRPr="009644C4">
              <w:rPr>
                <w:rFonts w:eastAsia="Calibri" w:cs="Times New Roman"/>
                <w:sz w:val="18"/>
                <w:szCs w:val="18"/>
              </w:rPr>
              <w:t>Assessment not required</w:t>
            </w:r>
          </w:p>
        </w:tc>
        <w:tc>
          <w:tcPr>
            <w:tcW w:w="1191" w:type="dxa"/>
            <w:shd w:val="clear" w:color="auto" w:fill="FFFFFF" w:themeFill="background1"/>
          </w:tcPr>
          <w:p w14:paraId="602AE0E8" w14:textId="77777777" w:rsidR="003438A2" w:rsidRPr="00D95799" w:rsidRDefault="003438A2" w:rsidP="00881E29">
            <w:pPr>
              <w:spacing w:before="60" w:after="60" w:line="240" w:lineRule="auto"/>
              <w:rPr>
                <w:rFonts w:eastAsia="Calibri" w:cs="Times New Roman"/>
                <w:sz w:val="18"/>
                <w:szCs w:val="18"/>
              </w:rPr>
            </w:pPr>
            <w:r w:rsidRPr="009644C4">
              <w:rPr>
                <w:rFonts w:eastAsia="Calibri" w:cs="Times New Roman"/>
                <w:sz w:val="18"/>
                <w:szCs w:val="18"/>
              </w:rPr>
              <w:t>No</w:t>
            </w:r>
          </w:p>
        </w:tc>
      </w:tr>
      <w:tr w:rsidR="003438A2" w:rsidRPr="00D95799" w14:paraId="024E3DB2" w14:textId="77777777" w:rsidTr="003A4894">
        <w:trPr>
          <w:cantSplit/>
          <w:trHeight w:val="75"/>
          <w:jc w:val="center"/>
        </w:trPr>
        <w:tc>
          <w:tcPr>
            <w:tcW w:w="1985" w:type="dxa"/>
            <w:shd w:val="clear" w:color="auto" w:fill="auto"/>
          </w:tcPr>
          <w:p w14:paraId="5A1D2BEB"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
                <w:iCs/>
                <w:sz w:val="18"/>
                <w:szCs w:val="18"/>
              </w:rPr>
              <w:lastRenderedPageBreak/>
              <w:t xml:space="preserve">Sphaeropsis pyriputrescens </w:t>
            </w:r>
            <w:r w:rsidRPr="00D95799">
              <w:rPr>
                <w:rFonts w:eastAsia="Calibri" w:cs="Times New Roman"/>
                <w:iCs/>
                <w:sz w:val="18"/>
                <w:szCs w:val="18"/>
              </w:rPr>
              <w:t>C.L. Xiao &amp; J.D. Rogers</w:t>
            </w:r>
          </w:p>
          <w:p w14:paraId="2C2ABAC7"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[Anamorphic] [</w:t>
            </w:r>
            <w:r w:rsidRPr="00D95799">
              <w:rPr>
                <w:rFonts w:eastAsia="Calibri" w:cs="Times New Roman"/>
                <w:sz w:val="18"/>
                <w:szCs w:val="18"/>
              </w:rPr>
              <w:t>Botryosphaeriales:</w:t>
            </w:r>
            <w:r w:rsidRPr="00D95799">
              <w:rPr>
                <w:rFonts w:eastAsia="Calibri" w:cs="Times New Roman"/>
                <w:iCs/>
                <w:sz w:val="18"/>
                <w:szCs w:val="18"/>
              </w:rPr>
              <w:t xml:space="preserve"> Botryosphaeriaceae]</w:t>
            </w:r>
          </w:p>
          <w:p w14:paraId="7E4C270D" w14:textId="77777777" w:rsidR="003438A2" w:rsidRPr="00D95799" w:rsidRDefault="003438A2" w:rsidP="00881E29">
            <w:pPr>
              <w:spacing w:before="60" w:after="60" w:line="240" w:lineRule="auto"/>
              <w:rPr>
                <w:rFonts w:eastAsia="Calibri" w:cs="Times New Roman"/>
                <w:i/>
                <w:sz w:val="18"/>
                <w:szCs w:val="18"/>
                <w:lang w:val="pt-BR"/>
              </w:rPr>
            </w:pPr>
            <w:r w:rsidRPr="00D95799">
              <w:rPr>
                <w:rFonts w:eastAsia="Calibri" w:cs="Times New Roman"/>
                <w:iCs/>
                <w:sz w:val="18"/>
                <w:szCs w:val="18"/>
              </w:rPr>
              <w:t>Sphaeropsis rot</w:t>
            </w:r>
          </w:p>
        </w:tc>
        <w:tc>
          <w:tcPr>
            <w:tcW w:w="1474" w:type="dxa"/>
            <w:shd w:val="clear" w:color="auto" w:fill="auto"/>
          </w:tcPr>
          <w:p w14:paraId="4A8317DB"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sz w:val="18"/>
                <w:szCs w:val="18"/>
                <w:lang w:val="pt-BR"/>
              </w:rPr>
              <w:t xml:space="preserve">Yes. </w:t>
            </w:r>
            <w:r>
              <w:rPr>
                <w:rFonts w:eastAsia="Calibri" w:cs="Times New Roman"/>
                <w:sz w:val="18"/>
                <w:szCs w:val="18"/>
                <w:lang w:val="pt-BR"/>
              </w:rPr>
              <w:t xml:space="preserve">Present in </w:t>
            </w:r>
            <w:r w:rsidRPr="00D95799">
              <w:rPr>
                <w:rFonts w:eastAsia="Calibri" w:cs="Times New Roman"/>
                <w:sz w:val="18"/>
                <w:szCs w:val="18"/>
                <w:lang w:val="pt-BR"/>
              </w:rPr>
              <w:t xml:space="preserve">WA </w:t>
            </w:r>
            <w:r>
              <w:rPr>
                <w:rFonts w:eastAsia="Calibri" w:cs="Times New Roman"/>
                <w:noProof/>
                <w:sz w:val="18"/>
                <w:szCs w:val="18"/>
                <w:lang w:val="pt-BR"/>
              </w:rPr>
              <w:t>(Kim, Curry &amp; Xiao 2014; Kim &amp; Xiao 2008; WSU 2020; Xiao &amp; Boal 2005b; Xiao 2013b; Xiao &amp; Kim 2013; Xiao, Kim &amp; Boal 2011)</w:t>
            </w:r>
          </w:p>
        </w:tc>
        <w:tc>
          <w:tcPr>
            <w:tcW w:w="1474" w:type="dxa"/>
            <w:shd w:val="clear" w:color="auto" w:fill="auto"/>
          </w:tcPr>
          <w:p w14:paraId="22370966"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 records found</w:t>
            </w:r>
          </w:p>
        </w:tc>
        <w:tc>
          <w:tcPr>
            <w:tcW w:w="2552" w:type="dxa"/>
            <w:shd w:val="clear" w:color="auto" w:fill="auto"/>
          </w:tcPr>
          <w:p w14:paraId="3470438E"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w:t>
            </w:r>
            <w:r>
              <w:rPr>
                <w:rFonts w:eastAsia="Calibri" w:cs="Times New Roman"/>
                <w:sz w:val="18"/>
                <w:szCs w:val="18"/>
              </w:rPr>
              <w:t>F</w:t>
            </w:r>
            <w:r w:rsidRPr="00D95799">
              <w:rPr>
                <w:rFonts w:eastAsia="Calibri" w:cs="Times New Roman"/>
                <w:sz w:val="18"/>
                <w:szCs w:val="18"/>
              </w:rPr>
              <w:t xml:space="preserve">irst reported on apple in Washington </w:t>
            </w:r>
            <w:r>
              <w:rPr>
                <w:rFonts w:eastAsia="Calibri" w:cs="Times New Roman"/>
                <w:sz w:val="18"/>
                <w:szCs w:val="18"/>
              </w:rPr>
              <w:t>packing house</w:t>
            </w:r>
            <w:r w:rsidRPr="00D95799">
              <w:rPr>
                <w:rFonts w:eastAsia="Calibri" w:cs="Times New Roman"/>
                <w:sz w:val="18"/>
                <w:szCs w:val="18"/>
              </w:rPr>
              <w:t xml:space="preserve">s causing post-harvest fruit rot </w:t>
            </w:r>
            <w:r>
              <w:rPr>
                <w:rFonts w:eastAsia="Calibri" w:cs="Times New Roman"/>
                <w:noProof/>
                <w:sz w:val="18"/>
                <w:szCs w:val="18"/>
              </w:rPr>
              <w:t>(Xiao, Rogers &amp; Boal 2004)</w:t>
            </w:r>
            <w:r w:rsidRPr="00D95799">
              <w:rPr>
                <w:rFonts w:eastAsia="Calibri" w:cs="Times New Roman"/>
                <w:sz w:val="18"/>
                <w:szCs w:val="18"/>
              </w:rPr>
              <w:t>. Sphaeropsis rot shows three types of symptoms: stem</w:t>
            </w:r>
            <w:r w:rsidRPr="00D95799">
              <w:rPr>
                <w:rFonts w:eastAsia="Calibri" w:cs="Times New Roman"/>
                <w:sz w:val="18"/>
                <w:szCs w:val="18"/>
              </w:rPr>
              <w:noBreakHyphen/>
              <w:t>end rot, calyx</w:t>
            </w:r>
            <w:r w:rsidRPr="00D95799">
              <w:rPr>
                <w:rFonts w:eastAsia="Calibri" w:cs="Times New Roman"/>
                <w:sz w:val="18"/>
                <w:szCs w:val="18"/>
              </w:rPr>
              <w:noBreakHyphen/>
              <w:t xml:space="preserve">end rot and more rarely skin rot </w:t>
            </w:r>
            <w:r>
              <w:rPr>
                <w:rFonts w:eastAsia="Calibri" w:cs="Times New Roman"/>
                <w:noProof/>
                <w:sz w:val="18"/>
                <w:szCs w:val="18"/>
              </w:rPr>
              <w:t>(Kim &amp; Xiao 2008)</w:t>
            </w:r>
            <w:r>
              <w:rPr>
                <w:rFonts w:eastAsia="Calibri" w:cs="Times New Roman"/>
                <w:sz w:val="18"/>
                <w:szCs w:val="18"/>
              </w:rPr>
              <w:t xml:space="preserve">. </w:t>
            </w:r>
            <w:r w:rsidRPr="00D95799">
              <w:rPr>
                <w:rFonts w:eastAsia="Calibri" w:cs="Times New Roman"/>
                <w:i/>
                <w:iCs/>
                <w:sz w:val="18"/>
                <w:szCs w:val="18"/>
              </w:rPr>
              <w:t xml:space="preserve">Sphaeropsis pyriputrescens </w:t>
            </w:r>
            <w:r w:rsidRPr="00D95799">
              <w:rPr>
                <w:rFonts w:eastAsia="Calibri" w:cs="Times New Roman"/>
                <w:iCs/>
                <w:sz w:val="18"/>
                <w:szCs w:val="18"/>
              </w:rPr>
              <w:t>also</w:t>
            </w:r>
            <w:r w:rsidRPr="00D95799">
              <w:rPr>
                <w:rFonts w:eastAsia="Calibri" w:cs="Times New Roman"/>
                <w:i/>
                <w:iCs/>
                <w:sz w:val="18"/>
                <w:szCs w:val="18"/>
              </w:rPr>
              <w:t xml:space="preserve"> </w:t>
            </w:r>
            <w:r w:rsidRPr="00D95799">
              <w:rPr>
                <w:rFonts w:eastAsia="Calibri" w:cs="Times New Roman"/>
                <w:sz w:val="18"/>
                <w:szCs w:val="18"/>
              </w:rPr>
              <w:t xml:space="preserve">causes canker and twig dieback disease on apple and crabapple </w:t>
            </w:r>
            <w:r>
              <w:rPr>
                <w:rFonts w:eastAsia="Calibri" w:cs="Times New Roman"/>
                <w:noProof/>
                <w:sz w:val="18"/>
                <w:szCs w:val="18"/>
              </w:rPr>
              <w:t>(Xiao &amp; Boal 2005b)</w:t>
            </w:r>
            <w:r>
              <w:rPr>
                <w:rFonts w:eastAsia="Calibri" w:cs="Times New Roman"/>
                <w:sz w:val="18"/>
                <w:szCs w:val="18"/>
              </w:rPr>
              <w:t>.</w:t>
            </w:r>
          </w:p>
        </w:tc>
        <w:tc>
          <w:tcPr>
            <w:tcW w:w="2381" w:type="dxa"/>
            <w:shd w:val="clear" w:color="auto" w:fill="auto"/>
          </w:tcPr>
          <w:p w14:paraId="51DC6C96"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Infection seems to occur in the orchard leading to fruit rot during storage </w:t>
            </w:r>
            <w:r>
              <w:rPr>
                <w:rFonts w:eastAsia="Calibri" w:cs="Times New Roman"/>
                <w:noProof/>
                <w:sz w:val="18"/>
                <w:szCs w:val="18"/>
              </w:rPr>
              <w:t>(Kim &amp; Xiao 2008; Xiao, Rogers &amp; Boal 2004)</w:t>
            </w:r>
            <w:r w:rsidRPr="00D95799">
              <w:rPr>
                <w:rFonts w:eastAsia="Calibri" w:cs="Times New Roman"/>
                <w:sz w:val="18"/>
                <w:szCs w:val="18"/>
              </w:rPr>
              <w:t>.</w:t>
            </w:r>
            <w:r>
              <w:rPr>
                <w:rFonts w:eastAsia="Calibri" w:cs="Times New Roman"/>
                <w:sz w:val="18"/>
                <w:szCs w:val="18"/>
              </w:rPr>
              <w:t xml:space="preserve"> </w:t>
            </w:r>
            <w:r w:rsidRPr="00D95799">
              <w:rPr>
                <w:rFonts w:eastAsia="Calibri" w:cs="Times New Roman"/>
                <w:sz w:val="18"/>
                <w:szCs w:val="18"/>
              </w:rPr>
              <w:t xml:space="preserve">The fungus can form spores on the surface of decayed fruit </w:t>
            </w:r>
            <w:r>
              <w:rPr>
                <w:rFonts w:eastAsia="Calibri" w:cs="Times New Roman"/>
                <w:noProof/>
                <w:sz w:val="18"/>
                <w:szCs w:val="18"/>
              </w:rPr>
              <w:t>(Xiao &amp; Rogers 2004)</w:t>
            </w:r>
            <w:r w:rsidRPr="00D95799">
              <w:rPr>
                <w:rFonts w:eastAsia="Calibri" w:cs="Times New Roman"/>
                <w:sz w:val="18"/>
                <w:szCs w:val="18"/>
              </w:rPr>
              <w:t>.</w:t>
            </w:r>
            <w:r>
              <w:rPr>
                <w:rFonts w:eastAsia="Calibri" w:cs="Times New Roman"/>
                <w:sz w:val="18"/>
                <w:szCs w:val="18"/>
              </w:rPr>
              <w:t xml:space="preserve"> </w:t>
            </w:r>
            <w:r w:rsidRPr="002E68D5">
              <w:rPr>
                <w:rFonts w:eastAsia="Calibri" w:cs="Times New Roman"/>
                <w:sz w:val="18"/>
                <w:szCs w:val="18"/>
              </w:rPr>
              <w:t xml:space="preserve">If left unmanaged, this </w:t>
            </w:r>
            <w:r>
              <w:rPr>
                <w:rFonts w:eastAsia="Calibri" w:cs="Times New Roman"/>
                <w:sz w:val="18"/>
                <w:szCs w:val="18"/>
              </w:rPr>
              <w:t>post-harvest disease</w:t>
            </w:r>
            <w:r w:rsidRPr="002E68D5">
              <w:rPr>
                <w:rFonts w:eastAsia="Calibri" w:cs="Times New Roman"/>
                <w:sz w:val="18"/>
                <w:szCs w:val="18"/>
              </w:rPr>
              <w:t xml:space="preserve"> can result in significant economic losses of apple</w:t>
            </w:r>
            <w:r>
              <w:rPr>
                <w:rFonts w:eastAsia="Calibri" w:cs="Times New Roman"/>
                <w:sz w:val="18"/>
                <w:szCs w:val="18"/>
              </w:rPr>
              <w:t xml:space="preserve"> </w:t>
            </w:r>
            <w:r w:rsidRPr="002E68D5">
              <w:rPr>
                <w:rFonts w:eastAsia="Calibri" w:cs="Times New Roman"/>
                <w:sz w:val="18"/>
                <w:szCs w:val="18"/>
              </w:rPr>
              <w:t xml:space="preserve">fruit in storage, during transit, or in the market </w:t>
            </w:r>
            <w:r>
              <w:rPr>
                <w:rFonts w:eastAsia="Calibri" w:cs="Times New Roman"/>
                <w:noProof/>
                <w:sz w:val="18"/>
                <w:szCs w:val="18"/>
              </w:rPr>
              <w:t>(Xiao, Kim &amp; Boal 2011)</w:t>
            </w:r>
            <w:r w:rsidRPr="002E68D5">
              <w:rPr>
                <w:rFonts w:eastAsia="Calibri" w:cs="Times New Roman"/>
                <w:sz w:val="18"/>
                <w:szCs w:val="18"/>
              </w:rPr>
              <w:t>.</w:t>
            </w:r>
            <w:r>
              <w:rPr>
                <w:rFonts w:eastAsia="Calibri" w:cs="Times New Roman"/>
                <w:sz w:val="18"/>
                <w:szCs w:val="18"/>
              </w:rPr>
              <w:t xml:space="preserve"> </w:t>
            </w:r>
            <w:r w:rsidRPr="00D95799">
              <w:rPr>
                <w:rFonts w:eastAsia="Calibri" w:cs="Times New Roman"/>
                <w:sz w:val="18"/>
                <w:szCs w:val="18"/>
              </w:rPr>
              <w:t>Suitable hosts are grown in Australia</w:t>
            </w:r>
            <w:r>
              <w:rPr>
                <w:rFonts w:eastAsia="Calibri" w:cs="Times New Roman"/>
                <w:sz w:val="18"/>
                <w:szCs w:val="18"/>
              </w:rPr>
              <w:t>.</w:t>
            </w:r>
          </w:p>
        </w:tc>
        <w:tc>
          <w:tcPr>
            <w:tcW w:w="2211" w:type="dxa"/>
            <w:shd w:val="clear" w:color="auto" w:fill="auto"/>
          </w:tcPr>
          <w:p w14:paraId="103E93B5"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Sphaeropsis rot can cause economic losses due to fruit rotting in storage. It is an important </w:t>
            </w:r>
            <w:r>
              <w:rPr>
                <w:rFonts w:eastAsia="Calibri" w:cs="Times New Roman"/>
                <w:sz w:val="18"/>
                <w:szCs w:val="18"/>
              </w:rPr>
              <w:t>post-harvest</w:t>
            </w:r>
            <w:r w:rsidRPr="00D95799">
              <w:rPr>
                <w:rFonts w:eastAsia="Calibri" w:cs="Times New Roman"/>
                <w:sz w:val="18"/>
                <w:szCs w:val="18"/>
              </w:rPr>
              <w:t xml:space="preserve"> disease in apple in Washington State and is widely distributed in all major apple growing regions in this state </w:t>
            </w:r>
            <w:r>
              <w:rPr>
                <w:rFonts w:eastAsia="Calibri" w:cs="Times New Roman"/>
                <w:noProof/>
                <w:sz w:val="18"/>
                <w:szCs w:val="18"/>
              </w:rPr>
              <w:t>(Kim &amp; Xiao 2008)</w:t>
            </w:r>
            <w:r>
              <w:rPr>
                <w:rFonts w:eastAsia="Calibri" w:cs="Times New Roman"/>
                <w:sz w:val="18"/>
                <w:szCs w:val="18"/>
              </w:rPr>
              <w:t>.</w:t>
            </w:r>
          </w:p>
        </w:tc>
        <w:tc>
          <w:tcPr>
            <w:tcW w:w="1191" w:type="dxa"/>
            <w:shd w:val="clear" w:color="auto" w:fill="auto"/>
          </w:tcPr>
          <w:p w14:paraId="4BB538BB"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Yes</w:t>
            </w:r>
          </w:p>
        </w:tc>
      </w:tr>
      <w:tr w:rsidR="003438A2" w:rsidRPr="00D95799" w14:paraId="51DDF3ED" w14:textId="77777777" w:rsidTr="003A4894">
        <w:trPr>
          <w:cantSplit/>
          <w:trHeight w:val="75"/>
          <w:jc w:val="center"/>
        </w:trPr>
        <w:tc>
          <w:tcPr>
            <w:tcW w:w="1985" w:type="dxa"/>
            <w:shd w:val="clear" w:color="auto" w:fill="FFFFFF" w:themeFill="background1"/>
          </w:tcPr>
          <w:p w14:paraId="0EA18E63"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
                <w:iCs/>
                <w:sz w:val="18"/>
                <w:szCs w:val="18"/>
              </w:rPr>
              <w:t xml:space="preserve">Stachybotrys albipes </w:t>
            </w:r>
            <w:r w:rsidRPr="00D95799">
              <w:rPr>
                <w:rFonts w:eastAsia="Calibri" w:cs="Times New Roman"/>
                <w:iCs/>
                <w:sz w:val="18"/>
                <w:szCs w:val="18"/>
              </w:rPr>
              <w:t>(Berk. &amp; Broome) S.C. Jong &amp; Davis</w:t>
            </w:r>
          </w:p>
          <w:p w14:paraId="66E032B3"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 xml:space="preserve">Synonym: </w:t>
            </w:r>
            <w:r w:rsidRPr="00D95799">
              <w:rPr>
                <w:rFonts w:eastAsia="Calibri" w:cs="Times New Roman"/>
                <w:i/>
                <w:iCs/>
                <w:sz w:val="18"/>
                <w:szCs w:val="18"/>
              </w:rPr>
              <w:t xml:space="preserve">Melanopsamma pomiformis </w:t>
            </w:r>
            <w:r w:rsidRPr="00D95799">
              <w:rPr>
                <w:rFonts w:eastAsia="Calibri" w:cs="Times New Roman"/>
                <w:iCs/>
                <w:sz w:val="18"/>
                <w:szCs w:val="18"/>
              </w:rPr>
              <w:t>(Pers.:Fr.) Sacc.</w:t>
            </w:r>
          </w:p>
          <w:p w14:paraId="4205D97D"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iCs/>
                <w:sz w:val="18"/>
                <w:szCs w:val="18"/>
              </w:rPr>
              <w:t>[Hypocreales: Niessliaceae]</w:t>
            </w:r>
          </w:p>
        </w:tc>
        <w:tc>
          <w:tcPr>
            <w:tcW w:w="1474" w:type="dxa"/>
            <w:shd w:val="clear" w:color="auto" w:fill="FFFFFF" w:themeFill="background1"/>
          </w:tcPr>
          <w:p w14:paraId="75756FCA"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sz w:val="18"/>
                <w:szCs w:val="18"/>
                <w:lang w:val="pt-BR"/>
              </w:rPr>
              <w:t xml:space="preserve">Yes. </w:t>
            </w:r>
            <w:r>
              <w:rPr>
                <w:rFonts w:eastAsia="Calibri" w:cs="Times New Roman"/>
                <w:sz w:val="18"/>
                <w:szCs w:val="18"/>
                <w:lang w:val="pt-BR"/>
              </w:rPr>
              <w:t xml:space="preserve">Present in </w:t>
            </w:r>
            <w:r w:rsidRPr="00D95799">
              <w:rPr>
                <w:rFonts w:eastAsia="Calibri" w:cs="Times New Roman"/>
                <w:sz w:val="18"/>
                <w:szCs w:val="18"/>
                <w:lang w:val="pt-BR"/>
              </w:rPr>
              <w:t xml:space="preserve">OR as </w:t>
            </w:r>
            <w:r w:rsidRPr="00D95799">
              <w:rPr>
                <w:rFonts w:eastAsia="Calibri" w:cs="Times New Roman"/>
                <w:i/>
                <w:sz w:val="18"/>
                <w:szCs w:val="18"/>
                <w:lang w:val="pt-BR"/>
              </w:rPr>
              <w:t>Melanopsamma pomiformis</w:t>
            </w:r>
            <w:r w:rsidRPr="00D95799">
              <w:rPr>
                <w:rFonts w:eastAsia="Calibri" w:cs="Times New Roman"/>
                <w:sz w:val="18"/>
                <w:szCs w:val="18"/>
                <w:lang w:val="pt-BR"/>
              </w:rPr>
              <w:t xml:space="preserve"> </w:t>
            </w:r>
            <w:r>
              <w:rPr>
                <w:rFonts w:eastAsia="Calibri" w:cs="Times New Roman"/>
                <w:noProof/>
                <w:sz w:val="18"/>
                <w:szCs w:val="18"/>
                <w:lang w:val="pt-BR"/>
              </w:rPr>
              <w:t>(Farr &amp; Rossman 2018)</w:t>
            </w:r>
          </w:p>
        </w:tc>
        <w:tc>
          <w:tcPr>
            <w:tcW w:w="1474" w:type="dxa"/>
            <w:shd w:val="clear" w:color="auto" w:fill="FFFFFF" w:themeFill="background1"/>
          </w:tcPr>
          <w:p w14:paraId="354EA15A"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 records found</w:t>
            </w:r>
          </w:p>
        </w:tc>
        <w:tc>
          <w:tcPr>
            <w:tcW w:w="2552" w:type="dxa"/>
            <w:shd w:val="clear" w:color="auto" w:fill="FFFFFF" w:themeFill="background1"/>
          </w:tcPr>
          <w:p w14:paraId="2490D509"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No. Has been reported on winter injured apple bark in Oregon in 1925 </w:t>
            </w:r>
            <w:r>
              <w:rPr>
                <w:rFonts w:eastAsia="Calibri" w:cs="Times New Roman"/>
                <w:noProof/>
                <w:sz w:val="18"/>
                <w:szCs w:val="18"/>
              </w:rPr>
              <w:t>(Zeller 1927)</w:t>
            </w:r>
            <w:r w:rsidRPr="00D95799">
              <w:rPr>
                <w:rFonts w:eastAsia="Calibri" w:cs="Times New Roman"/>
                <w:sz w:val="18"/>
                <w:szCs w:val="18"/>
              </w:rPr>
              <w:t>. Not recorded on apple fruit</w:t>
            </w:r>
            <w:r>
              <w:rPr>
                <w:rFonts w:eastAsia="Calibri" w:cs="Times New Roman"/>
                <w:sz w:val="18"/>
                <w:szCs w:val="18"/>
              </w:rPr>
              <w:t xml:space="preserve"> </w:t>
            </w:r>
          </w:p>
        </w:tc>
        <w:tc>
          <w:tcPr>
            <w:tcW w:w="2381" w:type="dxa"/>
            <w:shd w:val="clear" w:color="auto" w:fill="FFFFFF" w:themeFill="background1"/>
          </w:tcPr>
          <w:p w14:paraId="63497DDA"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211" w:type="dxa"/>
            <w:shd w:val="clear" w:color="auto" w:fill="FFFFFF" w:themeFill="background1"/>
          </w:tcPr>
          <w:p w14:paraId="156E0E42"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FFFFFF" w:themeFill="background1"/>
          </w:tcPr>
          <w:p w14:paraId="3A25A955"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95799" w14:paraId="370308AB" w14:textId="77777777" w:rsidTr="003A4894">
        <w:trPr>
          <w:cantSplit/>
          <w:trHeight w:val="75"/>
          <w:jc w:val="center"/>
        </w:trPr>
        <w:tc>
          <w:tcPr>
            <w:tcW w:w="1985" w:type="dxa"/>
            <w:shd w:val="clear" w:color="auto" w:fill="auto"/>
          </w:tcPr>
          <w:p w14:paraId="4AE3A0F7"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
                <w:iCs/>
                <w:sz w:val="18"/>
                <w:szCs w:val="18"/>
              </w:rPr>
              <w:t xml:space="preserve">Stemphylium congestum </w:t>
            </w:r>
            <w:r w:rsidRPr="00D95799">
              <w:rPr>
                <w:rFonts w:eastAsia="Calibri" w:cs="Times New Roman"/>
                <w:iCs/>
                <w:sz w:val="18"/>
                <w:szCs w:val="18"/>
              </w:rPr>
              <w:t>G.A. Newton</w:t>
            </w:r>
          </w:p>
          <w:p w14:paraId="19A303B7"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w:t>
            </w:r>
            <w:r w:rsidRPr="00D95799">
              <w:rPr>
                <w:rFonts w:eastAsia="Calibri" w:cs="Times New Roman"/>
                <w:sz w:val="18"/>
              </w:rPr>
              <w:t>Pleosporales:</w:t>
            </w:r>
            <w:r w:rsidRPr="00D95799">
              <w:rPr>
                <w:rFonts w:eastAsia="Calibri" w:cs="Times New Roman"/>
                <w:iCs/>
                <w:sz w:val="18"/>
                <w:szCs w:val="18"/>
              </w:rPr>
              <w:t xml:space="preserve"> Pleosporaceae]</w:t>
            </w:r>
          </w:p>
          <w:p w14:paraId="1DD2511C"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iCs/>
                <w:sz w:val="18"/>
                <w:szCs w:val="18"/>
              </w:rPr>
              <w:t>Stemphylium rot</w:t>
            </w:r>
          </w:p>
        </w:tc>
        <w:tc>
          <w:tcPr>
            <w:tcW w:w="1474" w:type="dxa"/>
            <w:shd w:val="clear" w:color="auto" w:fill="auto"/>
          </w:tcPr>
          <w:p w14:paraId="287E598B"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sz w:val="18"/>
                <w:szCs w:val="18"/>
              </w:rPr>
              <w:t xml:space="preserve">Yes. </w:t>
            </w:r>
            <w:r>
              <w:rPr>
                <w:rFonts w:eastAsia="Calibri" w:cs="Times New Roman"/>
                <w:sz w:val="18"/>
                <w:szCs w:val="18"/>
              </w:rPr>
              <w:t xml:space="preserve">Present in WA. Also present in </w:t>
            </w:r>
            <w:r w:rsidRPr="00D95799">
              <w:rPr>
                <w:rFonts w:eastAsia="Calibri" w:cs="Times New Roman"/>
                <w:sz w:val="18"/>
                <w:szCs w:val="18"/>
              </w:rPr>
              <w:t xml:space="preserve">CA </w:t>
            </w:r>
            <w:r>
              <w:rPr>
                <w:rFonts w:eastAsia="Calibri" w:cs="Times New Roman"/>
                <w:noProof/>
                <w:sz w:val="18"/>
                <w:szCs w:val="18"/>
              </w:rPr>
              <w:t>(Farr &amp; Rossman 2018)</w:t>
            </w:r>
          </w:p>
        </w:tc>
        <w:tc>
          <w:tcPr>
            <w:tcW w:w="1474" w:type="dxa"/>
            <w:shd w:val="clear" w:color="auto" w:fill="auto"/>
          </w:tcPr>
          <w:p w14:paraId="123DF015"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 records found</w:t>
            </w:r>
          </w:p>
        </w:tc>
        <w:tc>
          <w:tcPr>
            <w:tcW w:w="2552" w:type="dxa"/>
            <w:shd w:val="clear" w:color="auto" w:fill="auto"/>
          </w:tcPr>
          <w:p w14:paraId="6D300D26"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iCs/>
                <w:sz w:val="18"/>
                <w:szCs w:val="18"/>
              </w:rPr>
              <w:t>No. Causes decay of apples in the PNW</w:t>
            </w:r>
            <w:r>
              <w:rPr>
                <w:rFonts w:eastAsia="Calibri" w:cs="Times New Roman"/>
                <w:iCs/>
                <w:sz w:val="18"/>
                <w:szCs w:val="18"/>
              </w:rPr>
              <w:t>-USA</w:t>
            </w:r>
            <w:r w:rsidRPr="00D95799">
              <w:rPr>
                <w:rFonts w:eastAsia="Calibri" w:cs="Times New Roman"/>
                <w:iCs/>
                <w:sz w:val="18"/>
                <w:szCs w:val="18"/>
              </w:rPr>
              <w:t xml:space="preserve"> </w:t>
            </w:r>
            <w:r>
              <w:rPr>
                <w:rFonts w:eastAsia="Calibri" w:cs="Times New Roman"/>
                <w:iCs/>
                <w:noProof/>
                <w:sz w:val="18"/>
                <w:szCs w:val="18"/>
              </w:rPr>
              <w:t>(Newton 1928; Ruehle 1930)</w:t>
            </w:r>
            <w:r w:rsidRPr="00D95799">
              <w:rPr>
                <w:rFonts w:eastAsia="Calibri" w:cs="Times New Roman"/>
                <w:iCs/>
                <w:sz w:val="18"/>
                <w:szCs w:val="18"/>
              </w:rPr>
              <w:t xml:space="preserve">. This decay has only rarely been found in apples held in cold storage in Washington </w:t>
            </w:r>
            <w:r>
              <w:rPr>
                <w:rFonts w:eastAsia="Calibri" w:cs="Times New Roman"/>
                <w:iCs/>
                <w:noProof/>
                <w:sz w:val="18"/>
                <w:szCs w:val="18"/>
              </w:rPr>
              <w:t>(English 1944)</w:t>
            </w:r>
            <w:r w:rsidRPr="00D95799">
              <w:rPr>
                <w:rFonts w:eastAsia="Calibri" w:cs="Times New Roman"/>
                <w:iCs/>
                <w:sz w:val="18"/>
                <w:szCs w:val="18"/>
              </w:rPr>
              <w:t>.</w:t>
            </w:r>
            <w:r>
              <w:rPr>
                <w:rFonts w:eastAsia="Calibri" w:cs="Times New Roman"/>
                <w:iCs/>
                <w:sz w:val="18"/>
                <w:szCs w:val="18"/>
              </w:rPr>
              <w:t xml:space="preserve"> </w:t>
            </w:r>
            <w:r w:rsidRPr="00D95799">
              <w:rPr>
                <w:rFonts w:eastAsia="Calibri" w:cs="Times New Roman"/>
                <w:sz w:val="18"/>
                <w:szCs w:val="18"/>
              </w:rPr>
              <w:t xml:space="preserve">There are no recent records of </w:t>
            </w:r>
            <w:r w:rsidRPr="00D95799">
              <w:rPr>
                <w:rFonts w:eastAsia="Calibri" w:cs="Times New Roman"/>
                <w:i/>
                <w:sz w:val="18"/>
                <w:szCs w:val="18"/>
              </w:rPr>
              <w:t>S. congestum</w:t>
            </w:r>
            <w:r w:rsidRPr="00D95799">
              <w:rPr>
                <w:rFonts w:eastAsia="Calibri" w:cs="Times New Roman"/>
                <w:sz w:val="18"/>
                <w:szCs w:val="18"/>
              </w:rPr>
              <w:t xml:space="preserve"> on apples. Lack of recent records suggests that this pathogen is not an important pest of apple</w:t>
            </w:r>
            <w:r>
              <w:rPr>
                <w:rFonts w:eastAsia="Calibri" w:cs="Times New Roman"/>
                <w:sz w:val="18"/>
                <w:szCs w:val="18"/>
              </w:rPr>
              <w:t>.</w:t>
            </w:r>
          </w:p>
        </w:tc>
        <w:tc>
          <w:tcPr>
            <w:tcW w:w="2381" w:type="dxa"/>
            <w:shd w:val="clear" w:color="auto" w:fill="auto"/>
          </w:tcPr>
          <w:p w14:paraId="67755B7F"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211" w:type="dxa"/>
            <w:shd w:val="clear" w:color="auto" w:fill="auto"/>
          </w:tcPr>
          <w:p w14:paraId="1C43F82C"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auto"/>
          </w:tcPr>
          <w:p w14:paraId="76946C13"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95799" w14:paraId="69AF17D3" w14:textId="77777777" w:rsidTr="00F47D1C">
        <w:trPr>
          <w:cantSplit/>
          <w:trHeight w:val="75"/>
          <w:jc w:val="center"/>
        </w:trPr>
        <w:tc>
          <w:tcPr>
            <w:tcW w:w="1985" w:type="dxa"/>
            <w:shd w:val="clear" w:color="auto" w:fill="auto"/>
          </w:tcPr>
          <w:p w14:paraId="0A705407"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
                <w:iCs/>
                <w:sz w:val="18"/>
                <w:szCs w:val="18"/>
              </w:rPr>
              <w:lastRenderedPageBreak/>
              <w:t xml:space="preserve">Stemphylium graminis </w:t>
            </w:r>
            <w:r w:rsidRPr="00D95799">
              <w:rPr>
                <w:rFonts w:eastAsia="Calibri" w:cs="Times New Roman"/>
                <w:iCs/>
                <w:sz w:val="18"/>
                <w:szCs w:val="18"/>
              </w:rPr>
              <w:t>(Corda) Bonord.</w:t>
            </w:r>
          </w:p>
          <w:p w14:paraId="12544419"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iCs/>
                <w:sz w:val="18"/>
                <w:szCs w:val="18"/>
              </w:rPr>
              <w:t>[</w:t>
            </w:r>
            <w:r w:rsidRPr="00D95799">
              <w:rPr>
                <w:rFonts w:eastAsia="Calibri" w:cs="Times New Roman"/>
                <w:sz w:val="18"/>
              </w:rPr>
              <w:t>Pleosporales:</w:t>
            </w:r>
            <w:r w:rsidRPr="00D95799">
              <w:rPr>
                <w:rFonts w:eastAsia="Calibri" w:cs="Times New Roman"/>
                <w:iCs/>
                <w:sz w:val="18"/>
                <w:szCs w:val="18"/>
              </w:rPr>
              <w:t xml:space="preserve"> Pleosporaceae]</w:t>
            </w:r>
          </w:p>
        </w:tc>
        <w:tc>
          <w:tcPr>
            <w:tcW w:w="1474" w:type="dxa"/>
            <w:shd w:val="clear" w:color="auto" w:fill="auto"/>
          </w:tcPr>
          <w:p w14:paraId="45C5255C"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w:t>
            </w:r>
            <w:r>
              <w:rPr>
                <w:rFonts w:eastAsia="Calibri" w:cs="Times New Roman"/>
                <w:sz w:val="18"/>
                <w:szCs w:val="18"/>
              </w:rPr>
              <w:t xml:space="preserve">Present in </w:t>
            </w:r>
            <w:r w:rsidRPr="00D95799">
              <w:rPr>
                <w:rFonts w:eastAsia="Calibri" w:cs="Times New Roman"/>
                <w:sz w:val="18"/>
                <w:szCs w:val="18"/>
              </w:rPr>
              <w:t xml:space="preserve">WA </w:t>
            </w:r>
            <w:r>
              <w:rPr>
                <w:rFonts w:eastAsia="Calibri" w:cs="Times New Roman"/>
                <w:noProof/>
                <w:sz w:val="18"/>
                <w:szCs w:val="18"/>
              </w:rPr>
              <w:t>(Shaw 1958, 1973)</w:t>
            </w:r>
            <w:r w:rsidRPr="00D95799">
              <w:rPr>
                <w:rFonts w:eastAsia="Calibri" w:cs="Times New Roman"/>
                <w:sz w:val="18"/>
                <w:szCs w:val="18"/>
              </w:rPr>
              <w:t>.</w:t>
            </w:r>
          </w:p>
          <w:p w14:paraId="37370FB1"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sz w:val="18"/>
                <w:szCs w:val="18"/>
              </w:rPr>
              <w:t xml:space="preserve">According to Simmons (pers. comm.) the report from WA on apple is probably a </w:t>
            </w:r>
            <w:r w:rsidRPr="00D95799">
              <w:rPr>
                <w:rFonts w:eastAsia="Calibri" w:cs="Times New Roman"/>
                <w:i/>
                <w:sz w:val="18"/>
                <w:szCs w:val="18"/>
              </w:rPr>
              <w:t>Ulocladium</w:t>
            </w:r>
            <w:r>
              <w:rPr>
                <w:rFonts w:eastAsia="Calibri" w:cs="Times New Roman"/>
                <w:i/>
                <w:sz w:val="18"/>
                <w:szCs w:val="18"/>
              </w:rPr>
              <w:t xml:space="preserve"> </w:t>
            </w:r>
            <w:r w:rsidRPr="00F834CA">
              <w:rPr>
                <w:rFonts w:eastAsia="Calibri" w:cs="Times New Roman"/>
                <w:sz w:val="18"/>
                <w:szCs w:val="18"/>
              </w:rPr>
              <w:t>sp</w:t>
            </w:r>
            <w:r>
              <w:rPr>
                <w:rFonts w:eastAsia="Calibri" w:cs="Times New Roman"/>
                <w:sz w:val="18"/>
                <w:szCs w:val="18"/>
              </w:rPr>
              <w:t>.</w:t>
            </w:r>
            <w:r w:rsidRPr="00F834CA">
              <w:rPr>
                <w:rFonts w:eastAsia="Calibri" w:cs="Times New Roman"/>
                <w:sz w:val="18"/>
                <w:szCs w:val="18"/>
              </w:rPr>
              <w:t xml:space="preserve"> </w:t>
            </w:r>
            <w:r>
              <w:rPr>
                <w:rFonts w:eastAsia="Calibri" w:cs="Times New Roman"/>
                <w:noProof/>
                <w:sz w:val="18"/>
                <w:szCs w:val="18"/>
              </w:rPr>
              <w:t>(Farr &amp; Rossman 2018)</w:t>
            </w:r>
          </w:p>
        </w:tc>
        <w:tc>
          <w:tcPr>
            <w:tcW w:w="1474" w:type="dxa"/>
            <w:shd w:val="clear" w:color="auto" w:fill="auto"/>
          </w:tcPr>
          <w:p w14:paraId="5661C7E6"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 records found</w:t>
            </w:r>
          </w:p>
        </w:tc>
        <w:tc>
          <w:tcPr>
            <w:tcW w:w="2552" w:type="dxa"/>
            <w:shd w:val="clear" w:color="auto" w:fill="auto"/>
          </w:tcPr>
          <w:p w14:paraId="003EB127"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iCs/>
                <w:sz w:val="18"/>
                <w:szCs w:val="18"/>
              </w:rPr>
              <w:t>No. Although</w:t>
            </w:r>
            <w:r>
              <w:rPr>
                <w:rFonts w:eastAsia="Calibri" w:cs="Times New Roman"/>
                <w:iCs/>
                <w:sz w:val="18"/>
                <w:szCs w:val="18"/>
              </w:rPr>
              <w:t xml:space="preserve"> </w:t>
            </w:r>
            <w:r w:rsidRPr="00D95799">
              <w:rPr>
                <w:rFonts w:eastAsia="Calibri" w:cs="Times New Roman"/>
                <w:i/>
                <w:iCs/>
                <w:sz w:val="18"/>
                <w:szCs w:val="18"/>
              </w:rPr>
              <w:t>S.</w:t>
            </w:r>
            <w:r>
              <w:rPr>
                <w:rFonts w:eastAsia="Calibri" w:cs="Times New Roman"/>
                <w:i/>
                <w:iCs/>
                <w:sz w:val="18"/>
                <w:szCs w:val="18"/>
              </w:rPr>
              <w:t> </w:t>
            </w:r>
            <w:r w:rsidRPr="00D95799">
              <w:rPr>
                <w:rFonts w:eastAsia="Calibri" w:cs="Times New Roman"/>
                <w:i/>
                <w:iCs/>
                <w:sz w:val="18"/>
                <w:szCs w:val="18"/>
              </w:rPr>
              <w:t>graminis</w:t>
            </w:r>
            <w:r w:rsidRPr="00D95799">
              <w:rPr>
                <w:rFonts w:eastAsia="Calibri" w:cs="Times New Roman"/>
                <w:iCs/>
                <w:sz w:val="18"/>
                <w:szCs w:val="18"/>
              </w:rPr>
              <w:t xml:space="preserve"> was reported to cause rot of apples </w:t>
            </w:r>
            <w:r>
              <w:rPr>
                <w:rFonts w:eastAsia="Calibri" w:cs="Times New Roman"/>
                <w:iCs/>
                <w:noProof/>
                <w:sz w:val="18"/>
                <w:szCs w:val="18"/>
              </w:rPr>
              <w:t>(Ruehle 1930)</w:t>
            </w:r>
            <w:r w:rsidRPr="00D95799">
              <w:rPr>
                <w:rFonts w:eastAsia="Calibri" w:cs="Times New Roman"/>
                <w:iCs/>
                <w:sz w:val="18"/>
                <w:szCs w:val="18"/>
              </w:rPr>
              <w:t xml:space="preserve">, </w:t>
            </w:r>
            <w:r w:rsidRPr="00D95799">
              <w:rPr>
                <w:rFonts w:eastAsia="Calibri" w:cs="Times New Roman"/>
                <w:sz w:val="18"/>
                <w:szCs w:val="18"/>
              </w:rPr>
              <w:t xml:space="preserve">all of the reports of </w:t>
            </w:r>
            <w:r w:rsidRPr="00D95799">
              <w:rPr>
                <w:rFonts w:eastAsia="Calibri" w:cs="Times New Roman"/>
                <w:i/>
                <w:iCs/>
                <w:sz w:val="18"/>
                <w:szCs w:val="18"/>
              </w:rPr>
              <w:t xml:space="preserve">S. graminis </w:t>
            </w:r>
            <w:r w:rsidRPr="00D95799">
              <w:rPr>
                <w:rFonts w:eastAsia="Calibri" w:cs="Times New Roman"/>
                <w:sz w:val="18"/>
                <w:szCs w:val="18"/>
              </w:rPr>
              <w:t>on apple in the</w:t>
            </w:r>
            <w:r>
              <w:rPr>
                <w:rFonts w:eastAsia="Calibri" w:cs="Times New Roman"/>
                <w:sz w:val="18"/>
                <w:szCs w:val="18"/>
              </w:rPr>
              <w:t xml:space="preserve"> USA </w:t>
            </w:r>
            <w:r w:rsidRPr="00D95799">
              <w:rPr>
                <w:rFonts w:eastAsia="Calibri" w:cs="Times New Roman"/>
                <w:sz w:val="18"/>
                <w:szCs w:val="18"/>
              </w:rPr>
              <w:t xml:space="preserve">are based on reports of this pest on </w:t>
            </w:r>
            <w:r w:rsidRPr="00D95799">
              <w:rPr>
                <w:rFonts w:eastAsia="Calibri" w:cs="Times New Roman"/>
                <w:i/>
                <w:sz w:val="18"/>
                <w:szCs w:val="18"/>
              </w:rPr>
              <w:t>Malus sylvestris</w:t>
            </w:r>
            <w:r w:rsidRPr="00D95799">
              <w:rPr>
                <w:rFonts w:eastAsia="Calibri" w:cs="Times New Roman"/>
                <w:sz w:val="18"/>
                <w:szCs w:val="18"/>
              </w:rPr>
              <w:t xml:space="preserve"> in Washington prior to 1974 </w:t>
            </w:r>
            <w:r>
              <w:rPr>
                <w:rFonts w:eastAsia="Calibri" w:cs="Times New Roman"/>
                <w:noProof/>
                <w:sz w:val="18"/>
                <w:szCs w:val="18"/>
              </w:rPr>
              <w:t>(Shaw 1958, 1973)</w:t>
            </w:r>
            <w:r w:rsidRPr="00D95799">
              <w:rPr>
                <w:rFonts w:eastAsia="Calibri" w:cs="Times New Roman"/>
                <w:sz w:val="18"/>
                <w:szCs w:val="18"/>
              </w:rPr>
              <w:t xml:space="preserve">. It appeared that </w:t>
            </w:r>
            <w:r>
              <w:rPr>
                <w:rFonts w:eastAsia="Calibri" w:cs="Times New Roman"/>
                <w:sz w:val="18"/>
                <w:szCs w:val="18"/>
              </w:rPr>
              <w:t xml:space="preserve">Shaw </w:t>
            </w:r>
            <w:r>
              <w:rPr>
                <w:rFonts w:eastAsia="Calibri" w:cs="Times New Roman"/>
                <w:noProof/>
                <w:sz w:val="18"/>
                <w:szCs w:val="18"/>
              </w:rPr>
              <w:t>(1958)</w:t>
            </w:r>
            <w:r>
              <w:rPr>
                <w:rFonts w:eastAsia="Calibri" w:cs="Times New Roman"/>
                <w:sz w:val="18"/>
                <w:szCs w:val="18"/>
              </w:rPr>
              <w:t xml:space="preserve"> and Shaw </w:t>
            </w:r>
            <w:r>
              <w:rPr>
                <w:rFonts w:eastAsia="Calibri" w:cs="Times New Roman"/>
                <w:noProof/>
                <w:sz w:val="18"/>
                <w:szCs w:val="18"/>
              </w:rPr>
              <w:t>(1973)</w:t>
            </w:r>
            <w:r w:rsidRPr="00D95799">
              <w:rPr>
                <w:rFonts w:eastAsia="Calibri" w:cs="Times New Roman"/>
                <w:sz w:val="18"/>
                <w:szCs w:val="18"/>
              </w:rPr>
              <w:t xml:space="preserve"> used the name</w:t>
            </w:r>
            <w:r>
              <w:rPr>
                <w:rFonts w:eastAsia="Calibri" w:cs="Times New Roman"/>
                <w:sz w:val="18"/>
                <w:szCs w:val="18"/>
              </w:rPr>
              <w:t xml:space="preserve"> </w:t>
            </w:r>
            <w:r w:rsidRPr="00D95799">
              <w:rPr>
                <w:rFonts w:eastAsia="Calibri" w:cs="Times New Roman"/>
                <w:i/>
                <w:sz w:val="18"/>
                <w:szCs w:val="18"/>
              </w:rPr>
              <w:t>M. sylvestris</w:t>
            </w:r>
            <w:r w:rsidRPr="00D95799">
              <w:rPr>
                <w:rFonts w:eastAsia="Calibri" w:cs="Times New Roman"/>
                <w:sz w:val="18"/>
                <w:szCs w:val="18"/>
              </w:rPr>
              <w:t xml:space="preserve"> for both domestic apple and crabapple</w:t>
            </w:r>
            <w:r>
              <w:rPr>
                <w:rFonts w:eastAsia="Calibri" w:cs="Times New Roman"/>
                <w:sz w:val="18"/>
                <w:szCs w:val="18"/>
              </w:rPr>
              <w:t>.</w:t>
            </w:r>
            <w:r w:rsidRPr="00D95799">
              <w:rPr>
                <w:rFonts w:eastAsia="Calibri" w:cs="Times New Roman"/>
                <w:sz w:val="18"/>
                <w:szCs w:val="18"/>
              </w:rPr>
              <w:t xml:space="preserve"> </w:t>
            </w:r>
          </w:p>
        </w:tc>
        <w:tc>
          <w:tcPr>
            <w:tcW w:w="2381" w:type="dxa"/>
            <w:shd w:val="clear" w:color="auto" w:fill="auto"/>
          </w:tcPr>
          <w:p w14:paraId="001EDC8B"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211" w:type="dxa"/>
            <w:shd w:val="clear" w:color="auto" w:fill="auto"/>
          </w:tcPr>
          <w:p w14:paraId="3AFF7CE4"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auto"/>
          </w:tcPr>
          <w:p w14:paraId="7667081C"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95799" w14:paraId="3558D5F6" w14:textId="77777777" w:rsidTr="00F47D1C">
        <w:trPr>
          <w:cantSplit/>
          <w:trHeight w:val="75"/>
          <w:jc w:val="center"/>
        </w:trPr>
        <w:tc>
          <w:tcPr>
            <w:tcW w:w="1985" w:type="dxa"/>
            <w:shd w:val="clear" w:color="auto" w:fill="auto"/>
          </w:tcPr>
          <w:p w14:paraId="7D31EB04"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
                <w:iCs/>
                <w:sz w:val="18"/>
                <w:szCs w:val="18"/>
              </w:rPr>
              <w:t xml:space="preserve">Taphrina bullata </w:t>
            </w:r>
            <w:r w:rsidRPr="00D95799">
              <w:rPr>
                <w:rFonts w:eastAsia="Calibri" w:cs="Times New Roman"/>
                <w:iCs/>
                <w:sz w:val="18"/>
                <w:szCs w:val="18"/>
              </w:rPr>
              <w:t>(Berk.) Tul.</w:t>
            </w:r>
          </w:p>
          <w:p w14:paraId="7F11F1D5"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iCs/>
                <w:sz w:val="18"/>
                <w:szCs w:val="18"/>
              </w:rPr>
              <w:t>[Taphrinales: Taphrinaceae]</w:t>
            </w:r>
          </w:p>
        </w:tc>
        <w:tc>
          <w:tcPr>
            <w:tcW w:w="1474" w:type="dxa"/>
            <w:shd w:val="clear" w:color="auto" w:fill="auto"/>
          </w:tcPr>
          <w:p w14:paraId="6E778278"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sz w:val="18"/>
                <w:szCs w:val="18"/>
              </w:rPr>
              <w:t xml:space="preserve">Yes. </w:t>
            </w:r>
            <w:r>
              <w:rPr>
                <w:rFonts w:eastAsia="Calibri" w:cs="Times New Roman"/>
                <w:sz w:val="18"/>
                <w:szCs w:val="18"/>
              </w:rPr>
              <w:t xml:space="preserve">Present in </w:t>
            </w:r>
            <w:r w:rsidRPr="00D95799">
              <w:rPr>
                <w:rFonts w:eastAsia="Calibri" w:cs="Times New Roman"/>
                <w:sz w:val="18"/>
                <w:szCs w:val="18"/>
              </w:rPr>
              <w:t xml:space="preserve">WA </w:t>
            </w:r>
            <w:r>
              <w:rPr>
                <w:rFonts w:eastAsia="Calibri" w:cs="Times New Roman"/>
                <w:noProof/>
                <w:sz w:val="18"/>
                <w:szCs w:val="18"/>
              </w:rPr>
              <w:t>(Farr &amp; Rossman 2018; Glawe 2009; Shaw 1958, 1973)</w:t>
            </w:r>
          </w:p>
        </w:tc>
        <w:tc>
          <w:tcPr>
            <w:tcW w:w="1474" w:type="dxa"/>
            <w:shd w:val="clear" w:color="auto" w:fill="auto"/>
          </w:tcPr>
          <w:p w14:paraId="79D52CCD"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No. Historical records from Vic. </w:t>
            </w:r>
            <w:r>
              <w:rPr>
                <w:rFonts w:eastAsia="Calibri" w:cs="Times New Roman"/>
                <w:noProof/>
                <w:sz w:val="18"/>
                <w:szCs w:val="18"/>
              </w:rPr>
              <w:t>(Plant Health Australia 2018)</w:t>
            </w:r>
            <w:r w:rsidRPr="00D95799">
              <w:rPr>
                <w:rFonts w:eastAsia="Calibri" w:cs="Times New Roman"/>
                <w:sz w:val="18"/>
                <w:szCs w:val="18"/>
              </w:rPr>
              <w:t xml:space="preserve">, but no other record in Australia in more than 100 years </w:t>
            </w:r>
            <w:r>
              <w:rPr>
                <w:rFonts w:eastAsia="Calibri" w:cs="Times New Roman"/>
                <w:noProof/>
                <w:sz w:val="18"/>
                <w:szCs w:val="18"/>
              </w:rPr>
              <w:t>(Cunnington &amp; Mann 2004)</w:t>
            </w:r>
          </w:p>
        </w:tc>
        <w:tc>
          <w:tcPr>
            <w:tcW w:w="2552" w:type="dxa"/>
            <w:shd w:val="clear" w:color="auto" w:fill="auto"/>
          </w:tcPr>
          <w:p w14:paraId="0224B461" w14:textId="77777777" w:rsidR="003438A2" w:rsidRPr="00D95799" w:rsidRDefault="003438A2" w:rsidP="00881E29">
            <w:pPr>
              <w:spacing w:before="60" w:after="60" w:line="240" w:lineRule="auto"/>
              <w:rPr>
                <w:rFonts w:eastAsia="Calibri" w:cs="Times New Roman"/>
                <w:sz w:val="18"/>
                <w:szCs w:val="18"/>
              </w:rPr>
            </w:pPr>
            <w:r w:rsidRPr="00032E06">
              <w:rPr>
                <w:rFonts w:eastAsia="Calibri" w:cs="Times New Roman"/>
                <w:sz w:val="18"/>
                <w:szCs w:val="18"/>
              </w:rPr>
              <w:t>No. I</w:t>
            </w:r>
            <w:r>
              <w:rPr>
                <w:rFonts w:eastAsia="Calibri" w:cs="Times New Roman"/>
                <w:sz w:val="18"/>
                <w:szCs w:val="18"/>
              </w:rPr>
              <w:t>t i</w:t>
            </w:r>
            <w:r w:rsidRPr="00032E06">
              <w:rPr>
                <w:rFonts w:eastAsia="Calibri" w:cs="Times New Roman"/>
                <w:sz w:val="18"/>
                <w:szCs w:val="18"/>
              </w:rPr>
              <w:t xml:space="preserve">s a pathogen of pear causing leaf blister and is not of economic significance </w:t>
            </w:r>
            <w:r>
              <w:rPr>
                <w:rFonts w:eastAsia="Calibri" w:cs="Times New Roman"/>
                <w:noProof/>
                <w:sz w:val="18"/>
                <w:szCs w:val="18"/>
              </w:rPr>
              <w:t>(Cunnington &amp; Mann 2004)</w:t>
            </w:r>
            <w:r>
              <w:rPr>
                <w:rFonts w:eastAsia="Calibri" w:cs="Times New Roman"/>
                <w:sz w:val="18"/>
                <w:szCs w:val="18"/>
              </w:rPr>
              <w:t>.</w:t>
            </w:r>
            <w:r w:rsidRPr="00032E06">
              <w:rPr>
                <w:rFonts w:eastAsia="Calibri" w:cs="Times New Roman"/>
                <w:sz w:val="18"/>
                <w:szCs w:val="18"/>
              </w:rPr>
              <w:t xml:space="preserve"> </w:t>
            </w:r>
          </w:p>
        </w:tc>
        <w:tc>
          <w:tcPr>
            <w:tcW w:w="2381" w:type="dxa"/>
            <w:shd w:val="clear" w:color="auto" w:fill="auto"/>
          </w:tcPr>
          <w:p w14:paraId="5528A31C"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211" w:type="dxa"/>
            <w:shd w:val="clear" w:color="auto" w:fill="auto"/>
          </w:tcPr>
          <w:p w14:paraId="13065A05"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auto"/>
          </w:tcPr>
          <w:p w14:paraId="75B82B0F"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95799" w14:paraId="717446A6" w14:textId="77777777" w:rsidTr="00F47D1C">
        <w:trPr>
          <w:cantSplit/>
          <w:trHeight w:val="75"/>
          <w:jc w:val="center"/>
        </w:trPr>
        <w:tc>
          <w:tcPr>
            <w:tcW w:w="1985" w:type="dxa"/>
            <w:shd w:val="clear" w:color="auto" w:fill="FFFFFF" w:themeFill="background1"/>
          </w:tcPr>
          <w:p w14:paraId="2C150D6B"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
                <w:iCs/>
                <w:sz w:val="18"/>
                <w:szCs w:val="18"/>
              </w:rPr>
              <w:lastRenderedPageBreak/>
              <w:t xml:space="preserve">Trichoderma </w:t>
            </w:r>
            <w:r w:rsidRPr="00D95799">
              <w:rPr>
                <w:rFonts w:eastAsia="Calibri" w:cs="Times New Roman"/>
                <w:iCs/>
                <w:sz w:val="18"/>
                <w:szCs w:val="18"/>
              </w:rPr>
              <w:t>sp.</w:t>
            </w:r>
          </w:p>
          <w:p w14:paraId="3EB08D8D"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iCs/>
                <w:sz w:val="18"/>
                <w:szCs w:val="18"/>
              </w:rPr>
              <w:t>[Hypocreales: Hypocreaceae]</w:t>
            </w:r>
          </w:p>
        </w:tc>
        <w:tc>
          <w:tcPr>
            <w:tcW w:w="1474" w:type="dxa"/>
            <w:shd w:val="clear" w:color="auto" w:fill="FFFFFF" w:themeFill="background1"/>
          </w:tcPr>
          <w:p w14:paraId="16331F3C"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sz w:val="18"/>
                <w:szCs w:val="18"/>
                <w:lang w:val="pt-BR"/>
              </w:rPr>
              <w:t xml:space="preserve">Yes. </w:t>
            </w:r>
            <w:r>
              <w:rPr>
                <w:rFonts w:eastAsia="Calibri" w:cs="Times New Roman"/>
                <w:sz w:val="18"/>
                <w:szCs w:val="18"/>
                <w:lang w:val="pt-BR"/>
              </w:rPr>
              <w:t xml:space="preserve">Present in </w:t>
            </w:r>
            <w:r w:rsidRPr="00D95799">
              <w:rPr>
                <w:rFonts w:eastAsia="Calibri" w:cs="Times New Roman"/>
                <w:sz w:val="18"/>
                <w:szCs w:val="18"/>
                <w:lang w:val="pt-BR"/>
              </w:rPr>
              <w:t>OR</w:t>
            </w:r>
            <w:r>
              <w:rPr>
                <w:rFonts w:eastAsia="Calibri" w:cs="Times New Roman"/>
                <w:sz w:val="18"/>
                <w:szCs w:val="18"/>
                <w:lang w:val="pt-BR"/>
              </w:rPr>
              <w:t xml:space="preserve"> and</w:t>
            </w:r>
            <w:r w:rsidRPr="00D95799">
              <w:rPr>
                <w:rFonts w:eastAsia="Calibri" w:cs="Times New Roman"/>
                <w:sz w:val="18"/>
                <w:szCs w:val="18"/>
                <w:lang w:val="pt-BR"/>
              </w:rPr>
              <w:t xml:space="preserve"> WA </w:t>
            </w:r>
            <w:r>
              <w:rPr>
                <w:rFonts w:eastAsia="Calibri" w:cs="Times New Roman"/>
                <w:noProof/>
                <w:sz w:val="18"/>
                <w:szCs w:val="18"/>
                <w:lang w:val="pt-BR"/>
              </w:rPr>
              <w:t>(Farr &amp; Rossman 2018; Shaw 1958, 1973)</w:t>
            </w:r>
          </w:p>
        </w:tc>
        <w:tc>
          <w:tcPr>
            <w:tcW w:w="1474" w:type="dxa"/>
            <w:shd w:val="clear" w:color="auto" w:fill="FFFFFF" w:themeFill="background1"/>
          </w:tcPr>
          <w:p w14:paraId="4241FF70" w14:textId="77777777" w:rsidR="003438A2" w:rsidRPr="00D95799" w:rsidRDefault="003438A2" w:rsidP="00462FAA">
            <w:pPr>
              <w:pStyle w:val="TableText"/>
            </w:pPr>
            <w:r w:rsidRPr="00D95799">
              <w:t>Yes</w:t>
            </w:r>
            <w:r w:rsidRPr="00316E4B">
              <w:rPr>
                <w:i/>
              </w:rPr>
              <w:t>. T. harzianum</w:t>
            </w:r>
            <w:r>
              <w:t xml:space="preserve"> is present in </w:t>
            </w:r>
            <w:r w:rsidRPr="00D95799">
              <w:t xml:space="preserve">Qld, NSW, Vic., SA, Tas. </w:t>
            </w:r>
            <w:r>
              <w:rPr>
                <w:noProof/>
              </w:rPr>
              <w:t>(Plant Health Australia 2018)</w:t>
            </w:r>
            <w:r w:rsidRPr="00D95799">
              <w:t xml:space="preserve">. </w:t>
            </w:r>
            <w:r w:rsidRPr="00316E4B">
              <w:rPr>
                <w:i/>
              </w:rPr>
              <w:t>Trichoderma harzianum</w:t>
            </w:r>
            <w:r w:rsidRPr="00D95799">
              <w:t xml:space="preserve"> and </w:t>
            </w:r>
            <w:r w:rsidRPr="00316E4B">
              <w:rPr>
                <w:i/>
              </w:rPr>
              <w:t>Trichoderma viride</w:t>
            </w:r>
            <w:r w:rsidRPr="00D95799">
              <w:t xml:space="preserve"> are </w:t>
            </w:r>
            <w:r>
              <w:t xml:space="preserve">listed as </w:t>
            </w:r>
            <w:r w:rsidRPr="00BC49E1">
              <w:t>permitted organism</w:t>
            </w:r>
            <w:r>
              <w:t>s</w:t>
            </w:r>
            <w:r w:rsidRPr="00BC49E1">
              <w:t xml:space="preserve"> </w:t>
            </w:r>
            <w:r>
              <w:t xml:space="preserve">for WA </w:t>
            </w:r>
            <w:r>
              <w:rPr>
                <w:noProof/>
              </w:rPr>
              <w:t>(Government of Western Australia 2020)</w:t>
            </w:r>
          </w:p>
        </w:tc>
        <w:tc>
          <w:tcPr>
            <w:tcW w:w="2552" w:type="dxa"/>
            <w:shd w:val="clear" w:color="auto" w:fill="FFFFFF" w:themeFill="background1"/>
          </w:tcPr>
          <w:p w14:paraId="78F13FD4" w14:textId="77777777" w:rsidR="003438A2" w:rsidRPr="00D95799" w:rsidRDefault="003438A2" w:rsidP="00462FAA">
            <w:pPr>
              <w:pStyle w:val="TableText"/>
            </w:pPr>
            <w:r w:rsidRPr="00D95799">
              <w:t>Assessment not required</w:t>
            </w:r>
            <w:r w:rsidDel="00353D01">
              <w:t xml:space="preserve"> </w:t>
            </w:r>
          </w:p>
        </w:tc>
        <w:tc>
          <w:tcPr>
            <w:tcW w:w="2381" w:type="dxa"/>
            <w:shd w:val="clear" w:color="auto" w:fill="FFFFFF" w:themeFill="background1"/>
          </w:tcPr>
          <w:p w14:paraId="5A2AA78B"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211" w:type="dxa"/>
            <w:shd w:val="clear" w:color="auto" w:fill="FFFFFF" w:themeFill="background1"/>
          </w:tcPr>
          <w:p w14:paraId="316A5F55"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FFFFFF" w:themeFill="background1"/>
          </w:tcPr>
          <w:p w14:paraId="58D7FF91"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95799" w14:paraId="49EF2829" w14:textId="77777777" w:rsidTr="00F47D1C">
        <w:trPr>
          <w:cantSplit/>
          <w:trHeight w:val="75"/>
          <w:jc w:val="center"/>
        </w:trPr>
        <w:tc>
          <w:tcPr>
            <w:tcW w:w="1985" w:type="dxa"/>
            <w:shd w:val="clear" w:color="auto" w:fill="FFFFFF" w:themeFill="background1"/>
          </w:tcPr>
          <w:p w14:paraId="14C73A81" w14:textId="77777777" w:rsidR="003438A2" w:rsidRDefault="003438A2" w:rsidP="00881E29">
            <w:pPr>
              <w:spacing w:before="60" w:after="60" w:line="240" w:lineRule="auto"/>
              <w:rPr>
                <w:rFonts w:eastAsia="Calibri" w:cs="Times New Roman"/>
                <w:i/>
                <w:iCs/>
                <w:sz w:val="18"/>
                <w:szCs w:val="18"/>
              </w:rPr>
            </w:pPr>
            <w:r w:rsidRPr="00D95799">
              <w:rPr>
                <w:rFonts w:eastAsia="Calibri" w:cs="Times New Roman"/>
                <w:i/>
                <w:iCs/>
                <w:sz w:val="18"/>
                <w:szCs w:val="18"/>
              </w:rPr>
              <w:t xml:space="preserve">Trichosporum </w:t>
            </w:r>
            <w:r w:rsidRPr="00D95799">
              <w:rPr>
                <w:rFonts w:eastAsia="Calibri" w:cs="Times New Roman"/>
                <w:iCs/>
                <w:sz w:val="18"/>
                <w:szCs w:val="18"/>
              </w:rPr>
              <w:t>sp.</w:t>
            </w:r>
          </w:p>
          <w:p w14:paraId="3A1C256E" w14:textId="77777777" w:rsidR="003438A2" w:rsidRPr="00D95799" w:rsidRDefault="003438A2" w:rsidP="00881E29">
            <w:pPr>
              <w:spacing w:before="60" w:after="60" w:line="240" w:lineRule="auto"/>
              <w:rPr>
                <w:rFonts w:eastAsia="Calibri" w:cs="Times New Roman"/>
                <w:i/>
                <w:sz w:val="18"/>
                <w:szCs w:val="18"/>
                <w:lang w:val="pt-BR"/>
              </w:rPr>
            </w:pPr>
            <w:r w:rsidRPr="00D95799">
              <w:rPr>
                <w:rFonts w:eastAsia="Calibri" w:cs="Times New Roman"/>
                <w:iCs/>
                <w:sz w:val="18"/>
                <w:szCs w:val="18"/>
              </w:rPr>
              <w:t>[Capnodiales:</w:t>
            </w:r>
            <w:r w:rsidRPr="00D95799" w:rsidDel="003C455C">
              <w:rPr>
                <w:rFonts w:eastAsia="Calibri" w:cs="Times New Roman"/>
                <w:iCs/>
                <w:sz w:val="18"/>
                <w:szCs w:val="18"/>
              </w:rPr>
              <w:t xml:space="preserve"> </w:t>
            </w:r>
            <w:r w:rsidRPr="00D95799">
              <w:rPr>
                <w:rFonts w:eastAsia="Calibri" w:cs="Times New Roman"/>
                <w:iCs/>
                <w:sz w:val="18"/>
                <w:szCs w:val="18"/>
              </w:rPr>
              <w:t>Piedraiaceae]</w:t>
            </w:r>
          </w:p>
        </w:tc>
        <w:tc>
          <w:tcPr>
            <w:tcW w:w="1474" w:type="dxa"/>
            <w:shd w:val="clear" w:color="auto" w:fill="FFFFFF" w:themeFill="background1"/>
          </w:tcPr>
          <w:p w14:paraId="64D4BA23"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sz w:val="18"/>
                <w:szCs w:val="18"/>
                <w:lang w:val="pt-BR"/>
              </w:rPr>
              <w:t xml:space="preserve">Yes. </w:t>
            </w:r>
            <w:r>
              <w:rPr>
                <w:rFonts w:eastAsia="Calibri" w:cs="Times New Roman"/>
                <w:sz w:val="18"/>
                <w:szCs w:val="18"/>
                <w:lang w:val="pt-BR"/>
              </w:rPr>
              <w:t xml:space="preserve">Present in </w:t>
            </w:r>
            <w:r w:rsidRPr="00D95799">
              <w:rPr>
                <w:rFonts w:eastAsia="Calibri" w:cs="Times New Roman"/>
                <w:sz w:val="18"/>
                <w:szCs w:val="18"/>
                <w:lang w:val="pt-BR"/>
              </w:rPr>
              <w:t xml:space="preserve">WA </w:t>
            </w:r>
            <w:r>
              <w:rPr>
                <w:rFonts w:eastAsia="Calibri" w:cs="Times New Roman"/>
                <w:noProof/>
                <w:sz w:val="18"/>
                <w:szCs w:val="18"/>
                <w:lang w:val="pt-BR"/>
              </w:rPr>
              <w:t>(Shaw 1958, 1973)</w:t>
            </w:r>
          </w:p>
        </w:tc>
        <w:tc>
          <w:tcPr>
            <w:tcW w:w="1474" w:type="dxa"/>
            <w:shd w:val="clear" w:color="auto" w:fill="FFFFFF" w:themeFill="background1"/>
          </w:tcPr>
          <w:p w14:paraId="4FF5AE00"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 records found</w:t>
            </w:r>
          </w:p>
        </w:tc>
        <w:tc>
          <w:tcPr>
            <w:tcW w:w="2552" w:type="dxa"/>
            <w:shd w:val="clear" w:color="auto" w:fill="FFFFFF" w:themeFill="background1"/>
          </w:tcPr>
          <w:p w14:paraId="1F211550"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No. All of the reports of </w:t>
            </w:r>
            <w:r w:rsidRPr="00D95799">
              <w:rPr>
                <w:rFonts w:eastAsia="Calibri" w:cs="Times New Roman"/>
                <w:i/>
                <w:iCs/>
                <w:sz w:val="18"/>
                <w:szCs w:val="18"/>
              </w:rPr>
              <w:t xml:space="preserve">Trichosporum </w:t>
            </w:r>
            <w:r w:rsidRPr="00D95799">
              <w:rPr>
                <w:rFonts w:eastAsia="Calibri" w:cs="Times New Roman"/>
                <w:iCs/>
                <w:sz w:val="18"/>
                <w:szCs w:val="18"/>
              </w:rPr>
              <w:t xml:space="preserve">sp. </w:t>
            </w:r>
            <w:r w:rsidRPr="00D95799">
              <w:rPr>
                <w:rFonts w:eastAsia="Calibri" w:cs="Times New Roman"/>
                <w:sz w:val="18"/>
                <w:szCs w:val="18"/>
              </w:rPr>
              <w:t>on apple in the</w:t>
            </w:r>
            <w:r>
              <w:rPr>
                <w:rFonts w:eastAsia="Calibri" w:cs="Times New Roman"/>
                <w:sz w:val="18"/>
                <w:szCs w:val="18"/>
              </w:rPr>
              <w:t xml:space="preserve"> USA </w:t>
            </w:r>
            <w:r w:rsidRPr="00D95799">
              <w:rPr>
                <w:rFonts w:eastAsia="Calibri" w:cs="Times New Roman"/>
                <w:sz w:val="18"/>
                <w:szCs w:val="18"/>
              </w:rPr>
              <w:t xml:space="preserve">are based on reports from </w:t>
            </w:r>
            <w:r>
              <w:rPr>
                <w:rFonts w:eastAsia="Calibri" w:cs="Times New Roman"/>
                <w:sz w:val="18"/>
                <w:szCs w:val="18"/>
              </w:rPr>
              <w:t xml:space="preserve">Shaw </w:t>
            </w:r>
            <w:r>
              <w:rPr>
                <w:rFonts w:eastAsia="Calibri" w:cs="Times New Roman"/>
                <w:noProof/>
                <w:sz w:val="18"/>
                <w:szCs w:val="18"/>
              </w:rPr>
              <w:t>(1958)</w:t>
            </w:r>
            <w:r>
              <w:rPr>
                <w:rFonts w:eastAsia="Calibri" w:cs="Times New Roman"/>
                <w:sz w:val="18"/>
                <w:szCs w:val="18"/>
              </w:rPr>
              <w:t xml:space="preserve"> and Shaw </w:t>
            </w:r>
            <w:r>
              <w:rPr>
                <w:rFonts w:eastAsia="Calibri" w:cs="Times New Roman"/>
                <w:noProof/>
                <w:sz w:val="18"/>
                <w:szCs w:val="18"/>
              </w:rPr>
              <w:t>(1973)</w:t>
            </w:r>
            <w:r w:rsidRPr="00D95799">
              <w:rPr>
                <w:rFonts w:eastAsia="Calibri" w:cs="Times New Roman"/>
                <w:sz w:val="18"/>
                <w:szCs w:val="18"/>
              </w:rPr>
              <w:t xml:space="preserve">. These reports did not specify whether it was found on apple fruit. It appeared that </w:t>
            </w:r>
            <w:r>
              <w:rPr>
                <w:rFonts w:eastAsia="Calibri" w:cs="Times New Roman"/>
                <w:sz w:val="18"/>
                <w:szCs w:val="18"/>
              </w:rPr>
              <w:t xml:space="preserve">Shaw </w:t>
            </w:r>
            <w:r>
              <w:rPr>
                <w:rFonts w:eastAsia="Calibri" w:cs="Times New Roman"/>
                <w:noProof/>
                <w:sz w:val="18"/>
                <w:szCs w:val="18"/>
              </w:rPr>
              <w:t>(1958)</w:t>
            </w:r>
            <w:r>
              <w:rPr>
                <w:rFonts w:eastAsia="Calibri" w:cs="Times New Roman"/>
                <w:sz w:val="18"/>
                <w:szCs w:val="18"/>
              </w:rPr>
              <w:t xml:space="preserve"> and Shaw </w:t>
            </w:r>
            <w:r>
              <w:rPr>
                <w:rFonts w:eastAsia="Calibri" w:cs="Times New Roman"/>
                <w:noProof/>
                <w:sz w:val="18"/>
                <w:szCs w:val="18"/>
              </w:rPr>
              <w:t>(1973)</w:t>
            </w:r>
            <w:r w:rsidRPr="00D95799">
              <w:rPr>
                <w:rFonts w:eastAsia="Calibri" w:cs="Times New Roman"/>
                <w:sz w:val="18"/>
                <w:szCs w:val="18"/>
              </w:rPr>
              <w:t xml:space="preserve"> used the name </w:t>
            </w:r>
            <w:r w:rsidRPr="00D95799">
              <w:rPr>
                <w:rFonts w:eastAsia="Calibri" w:cs="Times New Roman"/>
                <w:i/>
                <w:sz w:val="18"/>
                <w:szCs w:val="18"/>
              </w:rPr>
              <w:t>Malus sylvestris</w:t>
            </w:r>
            <w:r w:rsidRPr="00D95799">
              <w:rPr>
                <w:rFonts w:eastAsia="Calibri" w:cs="Times New Roman"/>
                <w:sz w:val="18"/>
                <w:szCs w:val="18"/>
              </w:rPr>
              <w:t xml:space="preserve"> for both domestic apple and crabapple</w:t>
            </w:r>
            <w:r>
              <w:rPr>
                <w:rFonts w:eastAsia="Calibri" w:cs="Times New Roman"/>
                <w:sz w:val="18"/>
                <w:szCs w:val="18"/>
              </w:rPr>
              <w:t>.</w:t>
            </w:r>
            <w:r w:rsidRPr="00D95799">
              <w:rPr>
                <w:rFonts w:eastAsia="Calibri" w:cs="Times New Roman"/>
                <w:sz w:val="18"/>
                <w:szCs w:val="18"/>
              </w:rPr>
              <w:t xml:space="preserve"> </w:t>
            </w:r>
          </w:p>
        </w:tc>
        <w:tc>
          <w:tcPr>
            <w:tcW w:w="2381" w:type="dxa"/>
            <w:shd w:val="clear" w:color="auto" w:fill="FFFFFF" w:themeFill="background1"/>
          </w:tcPr>
          <w:p w14:paraId="533B5356"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211" w:type="dxa"/>
            <w:shd w:val="clear" w:color="auto" w:fill="FFFFFF" w:themeFill="background1"/>
          </w:tcPr>
          <w:p w14:paraId="25F8E9B4"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FFFFFF" w:themeFill="background1"/>
          </w:tcPr>
          <w:p w14:paraId="592A619A"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95799" w14:paraId="50BD4AE4" w14:textId="77777777" w:rsidTr="00A62ECE">
        <w:trPr>
          <w:cantSplit/>
          <w:trHeight w:val="75"/>
          <w:jc w:val="center"/>
        </w:trPr>
        <w:tc>
          <w:tcPr>
            <w:tcW w:w="1985" w:type="dxa"/>
            <w:shd w:val="clear" w:color="auto" w:fill="auto"/>
          </w:tcPr>
          <w:p w14:paraId="76E49737"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
                <w:iCs/>
                <w:sz w:val="18"/>
                <w:szCs w:val="18"/>
              </w:rPr>
              <w:t>Truncatella hartigii</w:t>
            </w:r>
            <w:r w:rsidRPr="00D95799">
              <w:rPr>
                <w:rFonts w:eastAsia="Calibri" w:cs="Times New Roman"/>
                <w:iCs/>
                <w:sz w:val="18"/>
                <w:szCs w:val="18"/>
              </w:rPr>
              <w:t xml:space="preserve"> (Tubeuf) Steyaert</w:t>
            </w:r>
          </w:p>
          <w:p w14:paraId="3A8A0F85"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 xml:space="preserve">Synonym: </w:t>
            </w:r>
            <w:r w:rsidRPr="00D95799">
              <w:rPr>
                <w:rFonts w:eastAsia="Calibri" w:cs="Times New Roman"/>
                <w:i/>
                <w:iCs/>
                <w:sz w:val="18"/>
                <w:szCs w:val="18"/>
              </w:rPr>
              <w:t xml:space="preserve">Pestalotia hartigii </w:t>
            </w:r>
            <w:r w:rsidRPr="00D95799">
              <w:rPr>
                <w:rFonts w:eastAsia="Calibri" w:cs="Times New Roman"/>
                <w:iCs/>
                <w:sz w:val="18"/>
                <w:szCs w:val="18"/>
              </w:rPr>
              <w:t>Tubeuf</w:t>
            </w:r>
          </w:p>
          <w:p w14:paraId="5D822294"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w:t>
            </w:r>
            <w:r w:rsidRPr="00D95799">
              <w:rPr>
                <w:rFonts w:eastAsia="Calibri" w:cs="Times New Roman"/>
                <w:sz w:val="18"/>
                <w:szCs w:val="18"/>
              </w:rPr>
              <w:t>Amphisphaeriales: Bartaliniaceae</w:t>
            </w:r>
            <w:r w:rsidRPr="00D95799">
              <w:rPr>
                <w:rFonts w:eastAsia="Calibri" w:cs="Times New Roman"/>
                <w:iCs/>
                <w:sz w:val="18"/>
                <w:szCs w:val="18"/>
              </w:rPr>
              <w:t>]</w:t>
            </w:r>
          </w:p>
          <w:p w14:paraId="6475699F" w14:textId="77777777" w:rsidR="003438A2" w:rsidRPr="00D95799" w:rsidRDefault="003438A2" w:rsidP="00881E29">
            <w:pPr>
              <w:spacing w:before="60" w:after="60" w:line="240" w:lineRule="auto"/>
              <w:rPr>
                <w:rFonts w:eastAsia="Calibri" w:cs="Times New Roman"/>
                <w:i/>
                <w:iCs/>
                <w:sz w:val="18"/>
                <w:szCs w:val="18"/>
              </w:rPr>
            </w:pPr>
            <w:r w:rsidRPr="00D95799">
              <w:rPr>
                <w:rFonts w:eastAsia="Calibri" w:cs="Times New Roman"/>
                <w:iCs/>
                <w:sz w:val="18"/>
                <w:szCs w:val="18"/>
              </w:rPr>
              <w:t>Leaf spot</w:t>
            </w:r>
          </w:p>
        </w:tc>
        <w:tc>
          <w:tcPr>
            <w:tcW w:w="1474" w:type="dxa"/>
            <w:shd w:val="clear" w:color="auto" w:fill="auto"/>
          </w:tcPr>
          <w:p w14:paraId="0761DB25"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w:t>
            </w:r>
            <w:r>
              <w:rPr>
                <w:rFonts w:eastAsia="Calibri" w:cs="Times New Roman"/>
                <w:sz w:val="18"/>
                <w:szCs w:val="18"/>
              </w:rPr>
              <w:t xml:space="preserve">Present in </w:t>
            </w:r>
            <w:r w:rsidRPr="00D95799">
              <w:rPr>
                <w:rFonts w:eastAsia="Calibri" w:cs="Times New Roman"/>
                <w:sz w:val="18"/>
                <w:szCs w:val="18"/>
              </w:rPr>
              <w:t xml:space="preserve">WA </w:t>
            </w:r>
            <w:r>
              <w:rPr>
                <w:rFonts w:eastAsia="Calibri" w:cs="Times New Roman"/>
                <w:noProof/>
                <w:sz w:val="18"/>
                <w:szCs w:val="18"/>
              </w:rPr>
              <w:t>(Farr &amp; Rossman 2018; Shaw 1958, 1973; USDA 1960)</w:t>
            </w:r>
          </w:p>
        </w:tc>
        <w:tc>
          <w:tcPr>
            <w:tcW w:w="1474" w:type="dxa"/>
            <w:shd w:val="clear" w:color="auto" w:fill="auto"/>
          </w:tcPr>
          <w:p w14:paraId="5020E0E0"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 records found</w:t>
            </w:r>
          </w:p>
        </w:tc>
        <w:tc>
          <w:tcPr>
            <w:tcW w:w="2552" w:type="dxa"/>
            <w:shd w:val="clear" w:color="auto" w:fill="auto"/>
          </w:tcPr>
          <w:p w14:paraId="185FC154"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w:t>
            </w:r>
            <w:r>
              <w:rPr>
                <w:rFonts w:eastAsia="Calibri" w:cs="Times New Roman"/>
                <w:sz w:val="18"/>
                <w:szCs w:val="18"/>
              </w:rPr>
              <w:t>R</w:t>
            </w:r>
            <w:r w:rsidRPr="00D95799">
              <w:rPr>
                <w:rFonts w:eastAsia="Calibri" w:cs="Times New Roman"/>
                <w:sz w:val="18"/>
                <w:szCs w:val="18"/>
              </w:rPr>
              <w:t xml:space="preserve">eported to cause rotting of stored apple fruit in Washington </w:t>
            </w:r>
            <w:r>
              <w:rPr>
                <w:rFonts w:eastAsia="Calibri" w:cs="Times New Roman"/>
                <w:noProof/>
                <w:sz w:val="18"/>
                <w:szCs w:val="18"/>
              </w:rPr>
              <w:t>(USDA 1960)</w:t>
            </w:r>
            <w:r w:rsidRPr="00D95799">
              <w:rPr>
                <w:rFonts w:eastAsia="Calibri" w:cs="Times New Roman"/>
                <w:sz w:val="18"/>
                <w:szCs w:val="18"/>
              </w:rPr>
              <w:t>. I</w:t>
            </w:r>
            <w:r>
              <w:rPr>
                <w:rFonts w:eastAsia="Calibri" w:cs="Times New Roman"/>
                <w:sz w:val="18"/>
                <w:szCs w:val="18"/>
              </w:rPr>
              <w:t>t i</w:t>
            </w:r>
            <w:r w:rsidRPr="00D95799">
              <w:rPr>
                <w:rFonts w:eastAsia="Calibri" w:cs="Times New Roman"/>
                <w:sz w:val="18"/>
                <w:szCs w:val="18"/>
              </w:rPr>
              <w:t xml:space="preserve">s considered to cause an apple rot of minor or very minor importance </w:t>
            </w:r>
            <w:r>
              <w:rPr>
                <w:rFonts w:eastAsia="Calibri" w:cs="Times New Roman"/>
                <w:noProof/>
                <w:sz w:val="18"/>
                <w:szCs w:val="18"/>
              </w:rPr>
              <w:t>(Pierson, Ceponis &amp; McColloch 1971)</w:t>
            </w:r>
            <w:r>
              <w:rPr>
                <w:rFonts w:eastAsia="Calibri" w:cs="Times New Roman"/>
                <w:sz w:val="18"/>
                <w:szCs w:val="18"/>
              </w:rPr>
              <w:t>.</w:t>
            </w:r>
          </w:p>
        </w:tc>
        <w:tc>
          <w:tcPr>
            <w:tcW w:w="2381" w:type="dxa"/>
            <w:shd w:val="clear" w:color="auto" w:fill="auto"/>
          </w:tcPr>
          <w:p w14:paraId="2C885FBA"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Yes. Suitable hosts, including apple and conifer, are present in Australia.</w:t>
            </w:r>
            <w:r>
              <w:rPr>
                <w:rFonts w:eastAsia="Calibri" w:cs="Times New Roman"/>
                <w:sz w:val="18"/>
                <w:szCs w:val="18"/>
              </w:rPr>
              <w:t xml:space="preserve"> </w:t>
            </w:r>
            <w:r w:rsidRPr="00D95799">
              <w:rPr>
                <w:rFonts w:eastAsia="Calibri" w:cs="Times New Roman"/>
                <w:sz w:val="18"/>
                <w:szCs w:val="18"/>
              </w:rPr>
              <w:t xml:space="preserve">It has been reported to be a seedborne pathogen of apple </w:t>
            </w:r>
            <w:r>
              <w:rPr>
                <w:rFonts w:eastAsia="Calibri" w:cs="Times New Roman"/>
                <w:noProof/>
                <w:sz w:val="18"/>
                <w:szCs w:val="18"/>
              </w:rPr>
              <w:t>(Chaudhary, Puttoo &amp; Ashraf 1987)</w:t>
            </w:r>
            <w:r>
              <w:rPr>
                <w:rFonts w:eastAsia="Calibri" w:cs="Times New Roman"/>
                <w:sz w:val="18"/>
                <w:szCs w:val="18"/>
              </w:rPr>
              <w:t>.</w:t>
            </w:r>
          </w:p>
        </w:tc>
        <w:tc>
          <w:tcPr>
            <w:tcW w:w="2211" w:type="dxa"/>
            <w:shd w:val="clear" w:color="auto" w:fill="auto"/>
          </w:tcPr>
          <w:p w14:paraId="06CD1C7E"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w:t>
            </w:r>
            <w:r w:rsidRPr="00D95799">
              <w:rPr>
                <w:rFonts w:eastAsia="Calibri" w:cs="Times New Roman"/>
                <w:i/>
                <w:iCs/>
                <w:sz w:val="18"/>
                <w:szCs w:val="18"/>
              </w:rPr>
              <w:t>Truncatella hartigii</w:t>
            </w:r>
            <w:r w:rsidRPr="00D95799">
              <w:rPr>
                <w:rFonts w:eastAsia="Calibri" w:cs="Times New Roman"/>
                <w:iCs/>
                <w:sz w:val="18"/>
                <w:szCs w:val="18"/>
              </w:rPr>
              <w:t xml:space="preserve"> </w:t>
            </w:r>
            <w:r w:rsidRPr="00D95799">
              <w:rPr>
                <w:rFonts w:eastAsia="Calibri" w:cs="Times New Roman"/>
                <w:sz w:val="18"/>
                <w:szCs w:val="18"/>
              </w:rPr>
              <w:t xml:space="preserve">is a significant pathogen of conifers </w:t>
            </w:r>
            <w:r>
              <w:rPr>
                <w:rFonts w:eastAsia="Calibri" w:cs="Times New Roman"/>
                <w:noProof/>
                <w:sz w:val="18"/>
                <w:szCs w:val="18"/>
              </w:rPr>
              <w:t>(Vujanovic, St-Arnaud &amp; Neumann 2000)</w:t>
            </w:r>
          </w:p>
        </w:tc>
        <w:tc>
          <w:tcPr>
            <w:tcW w:w="1191" w:type="dxa"/>
            <w:shd w:val="clear" w:color="auto" w:fill="auto"/>
          </w:tcPr>
          <w:p w14:paraId="05CAD0EA"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Yes</w:t>
            </w:r>
            <w:r>
              <w:rPr>
                <w:rFonts w:eastAsia="Calibri" w:cs="Times New Roman"/>
                <w:sz w:val="18"/>
                <w:szCs w:val="18"/>
              </w:rPr>
              <w:t xml:space="preserve"> (EP)</w:t>
            </w:r>
          </w:p>
        </w:tc>
      </w:tr>
      <w:tr w:rsidR="003438A2" w:rsidRPr="00D95799" w14:paraId="657304C7" w14:textId="77777777" w:rsidTr="00A62ECE">
        <w:trPr>
          <w:cantSplit/>
          <w:trHeight w:val="75"/>
          <w:jc w:val="center"/>
        </w:trPr>
        <w:tc>
          <w:tcPr>
            <w:tcW w:w="1985" w:type="dxa"/>
            <w:shd w:val="clear" w:color="auto" w:fill="auto"/>
          </w:tcPr>
          <w:p w14:paraId="08EEFB47"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
                <w:iCs/>
                <w:sz w:val="18"/>
                <w:szCs w:val="18"/>
              </w:rPr>
              <w:lastRenderedPageBreak/>
              <w:t>Ulocladium consortiale</w:t>
            </w:r>
            <w:r w:rsidRPr="00D95799">
              <w:rPr>
                <w:rFonts w:eastAsia="Calibri" w:cs="Times New Roman"/>
                <w:iCs/>
                <w:sz w:val="18"/>
                <w:szCs w:val="18"/>
              </w:rPr>
              <w:t xml:space="preserve"> (Th</w:t>
            </w:r>
            <w:r w:rsidRPr="00D95799">
              <w:rPr>
                <w:rFonts w:eastAsia="Calibri" w:cs="Arial"/>
                <w:iCs/>
                <w:sz w:val="18"/>
                <w:szCs w:val="18"/>
              </w:rPr>
              <w:t>ü</w:t>
            </w:r>
            <w:r w:rsidRPr="00D95799">
              <w:rPr>
                <w:rFonts w:eastAsia="Calibri" w:cs="Times New Roman"/>
                <w:iCs/>
                <w:sz w:val="18"/>
                <w:szCs w:val="18"/>
              </w:rPr>
              <w:t>m.) E.G. Simmons</w:t>
            </w:r>
          </w:p>
          <w:p w14:paraId="532A7C3A"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 xml:space="preserve">Synonym: </w:t>
            </w:r>
            <w:r w:rsidRPr="00D95799">
              <w:rPr>
                <w:rFonts w:eastAsia="Calibri" w:cs="Times New Roman"/>
                <w:i/>
                <w:iCs/>
                <w:sz w:val="18"/>
                <w:szCs w:val="18"/>
              </w:rPr>
              <w:t>Alternaria consortialis</w:t>
            </w:r>
            <w:r w:rsidRPr="00D95799">
              <w:rPr>
                <w:rFonts w:eastAsia="Calibri" w:cs="Times New Roman"/>
                <w:iCs/>
                <w:sz w:val="18"/>
                <w:szCs w:val="18"/>
              </w:rPr>
              <w:t xml:space="preserve"> (Thüm.) J.W. Groves &amp; S. Hughes</w:t>
            </w:r>
          </w:p>
          <w:p w14:paraId="1FECA812"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iCs/>
                <w:sz w:val="18"/>
                <w:szCs w:val="18"/>
              </w:rPr>
              <w:t>[</w:t>
            </w:r>
            <w:r w:rsidRPr="00D95799">
              <w:rPr>
                <w:rFonts w:eastAsia="Calibri" w:cs="Times New Roman"/>
                <w:sz w:val="18"/>
              </w:rPr>
              <w:t>Pleosporales:</w:t>
            </w:r>
            <w:r w:rsidRPr="00D95799">
              <w:rPr>
                <w:rFonts w:eastAsia="Calibri" w:cs="Times New Roman"/>
                <w:iCs/>
                <w:sz w:val="18"/>
                <w:szCs w:val="18"/>
              </w:rPr>
              <w:t xml:space="preserve"> Pleosporaceae]</w:t>
            </w:r>
          </w:p>
        </w:tc>
        <w:tc>
          <w:tcPr>
            <w:tcW w:w="1474" w:type="dxa"/>
            <w:shd w:val="clear" w:color="auto" w:fill="auto"/>
          </w:tcPr>
          <w:p w14:paraId="54F87CB3"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sz w:val="18"/>
                <w:szCs w:val="18"/>
              </w:rPr>
              <w:t xml:space="preserve">Yes. </w:t>
            </w:r>
            <w:r>
              <w:rPr>
                <w:rFonts w:eastAsia="Calibri" w:cs="Times New Roman"/>
                <w:sz w:val="18"/>
                <w:szCs w:val="18"/>
              </w:rPr>
              <w:t xml:space="preserve">Present in </w:t>
            </w:r>
            <w:r w:rsidRPr="00D95799">
              <w:rPr>
                <w:rFonts w:eastAsia="Calibri" w:cs="Times New Roman"/>
                <w:sz w:val="18"/>
                <w:szCs w:val="18"/>
              </w:rPr>
              <w:t xml:space="preserve">WA </w:t>
            </w:r>
            <w:r>
              <w:rPr>
                <w:rFonts w:eastAsia="Calibri" w:cs="Times New Roman"/>
                <w:noProof/>
                <w:sz w:val="18"/>
                <w:szCs w:val="18"/>
              </w:rPr>
              <w:t>(Shaw 1973)</w:t>
            </w:r>
          </w:p>
        </w:tc>
        <w:tc>
          <w:tcPr>
            <w:tcW w:w="1474" w:type="dxa"/>
            <w:shd w:val="clear" w:color="auto" w:fill="auto"/>
          </w:tcPr>
          <w:p w14:paraId="5BD4C7C7"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NSW as </w:t>
            </w:r>
            <w:r w:rsidRPr="00D95799">
              <w:rPr>
                <w:rFonts w:eastAsia="Calibri" w:cs="Times New Roman"/>
                <w:i/>
                <w:iCs/>
                <w:sz w:val="18"/>
                <w:szCs w:val="18"/>
              </w:rPr>
              <w:t>Alternaria consortialis</w:t>
            </w:r>
            <w:r w:rsidRPr="00D95799">
              <w:rPr>
                <w:rFonts w:eastAsia="Calibri" w:cs="Times New Roman"/>
                <w:iCs/>
                <w:sz w:val="18"/>
                <w:szCs w:val="18"/>
              </w:rPr>
              <w:t xml:space="preserve"> </w:t>
            </w:r>
            <w:r>
              <w:rPr>
                <w:rFonts w:eastAsia="Calibri" w:cs="Times New Roman"/>
                <w:iCs/>
                <w:noProof/>
                <w:sz w:val="18"/>
                <w:szCs w:val="18"/>
              </w:rPr>
              <w:t>(Plant Health Australia 2018)</w:t>
            </w:r>
          </w:p>
        </w:tc>
        <w:tc>
          <w:tcPr>
            <w:tcW w:w="2552" w:type="dxa"/>
            <w:shd w:val="clear" w:color="auto" w:fill="auto"/>
          </w:tcPr>
          <w:p w14:paraId="0D00F496"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381" w:type="dxa"/>
            <w:shd w:val="clear" w:color="auto" w:fill="auto"/>
          </w:tcPr>
          <w:p w14:paraId="78B3E96B"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211" w:type="dxa"/>
            <w:shd w:val="clear" w:color="auto" w:fill="auto"/>
          </w:tcPr>
          <w:p w14:paraId="290EA04A"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auto"/>
          </w:tcPr>
          <w:p w14:paraId="3127F872"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95799" w14:paraId="59496D51" w14:textId="77777777" w:rsidTr="00A62ECE">
        <w:trPr>
          <w:cantSplit/>
          <w:trHeight w:val="75"/>
          <w:jc w:val="center"/>
        </w:trPr>
        <w:tc>
          <w:tcPr>
            <w:tcW w:w="1985" w:type="dxa"/>
            <w:shd w:val="clear" w:color="auto" w:fill="auto"/>
          </w:tcPr>
          <w:p w14:paraId="088B3E8E"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
                <w:iCs/>
                <w:sz w:val="18"/>
                <w:szCs w:val="18"/>
              </w:rPr>
              <w:t xml:space="preserve">Valsa ambiens </w:t>
            </w:r>
            <w:r w:rsidRPr="00D95799">
              <w:rPr>
                <w:rFonts w:eastAsia="Calibri" w:cs="Times New Roman"/>
                <w:iCs/>
                <w:sz w:val="18"/>
                <w:szCs w:val="18"/>
              </w:rPr>
              <w:t>(Pers.: Fr.) Fr.</w:t>
            </w:r>
          </w:p>
          <w:p w14:paraId="60EB9584"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 xml:space="preserve">Synonym: </w:t>
            </w:r>
            <w:r w:rsidRPr="00D95799">
              <w:rPr>
                <w:rFonts w:eastAsia="Calibri" w:cs="Times New Roman"/>
                <w:i/>
                <w:iCs/>
                <w:sz w:val="18"/>
                <w:szCs w:val="18"/>
              </w:rPr>
              <w:t xml:space="preserve">Cytospora ambiens </w:t>
            </w:r>
            <w:r w:rsidRPr="00D95799">
              <w:rPr>
                <w:rFonts w:eastAsia="Calibri" w:cs="Times New Roman"/>
                <w:iCs/>
                <w:sz w:val="18"/>
                <w:szCs w:val="18"/>
              </w:rPr>
              <w:t>Sacc.</w:t>
            </w:r>
          </w:p>
          <w:p w14:paraId="48D3D12E" w14:textId="77777777" w:rsidR="003438A2" w:rsidRPr="00D95799" w:rsidRDefault="003438A2" w:rsidP="00881E29">
            <w:pPr>
              <w:spacing w:before="60" w:after="60" w:line="240" w:lineRule="auto"/>
              <w:rPr>
                <w:rFonts w:eastAsia="Calibri" w:cs="Times New Roman"/>
                <w:i/>
                <w:iCs/>
                <w:sz w:val="18"/>
                <w:szCs w:val="18"/>
              </w:rPr>
            </w:pPr>
            <w:r w:rsidRPr="00D95799">
              <w:rPr>
                <w:rFonts w:eastAsia="Calibri" w:cs="Times New Roman"/>
                <w:iCs/>
                <w:sz w:val="18"/>
                <w:szCs w:val="18"/>
              </w:rPr>
              <w:t>[Diaporthales: Valsaceae]</w:t>
            </w:r>
          </w:p>
        </w:tc>
        <w:tc>
          <w:tcPr>
            <w:tcW w:w="1474" w:type="dxa"/>
            <w:shd w:val="clear" w:color="auto" w:fill="auto"/>
          </w:tcPr>
          <w:p w14:paraId="010C9E97"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sz w:val="18"/>
                <w:szCs w:val="18"/>
                <w:lang w:val="pt-BR"/>
              </w:rPr>
              <w:t xml:space="preserve">Yes. </w:t>
            </w:r>
            <w:r>
              <w:rPr>
                <w:rFonts w:eastAsia="Calibri" w:cs="Times New Roman"/>
                <w:sz w:val="18"/>
                <w:szCs w:val="18"/>
                <w:lang w:val="pt-BR"/>
              </w:rPr>
              <w:t>Present in OR and WA. Also present in n</w:t>
            </w:r>
            <w:r w:rsidRPr="00D95799">
              <w:rPr>
                <w:rFonts w:eastAsia="Calibri" w:cs="Times New Roman"/>
                <w:sz w:val="18"/>
                <w:szCs w:val="18"/>
                <w:lang w:val="pt-BR"/>
              </w:rPr>
              <w:t>orth central, northeastern and western states, IA</w:t>
            </w:r>
            <w:r>
              <w:rPr>
                <w:rFonts w:eastAsia="Calibri" w:cs="Times New Roman"/>
                <w:sz w:val="18"/>
                <w:szCs w:val="18"/>
                <w:lang w:val="pt-BR"/>
              </w:rPr>
              <w:t xml:space="preserve"> and</w:t>
            </w:r>
            <w:r w:rsidRPr="00D95799">
              <w:rPr>
                <w:rFonts w:eastAsia="Calibri" w:cs="Times New Roman"/>
                <w:sz w:val="18"/>
                <w:szCs w:val="18"/>
                <w:lang w:val="pt-BR"/>
              </w:rPr>
              <w:t xml:space="preserve"> OK </w:t>
            </w:r>
            <w:r>
              <w:rPr>
                <w:rFonts w:eastAsia="Calibri" w:cs="Times New Roman"/>
                <w:noProof/>
                <w:sz w:val="18"/>
                <w:szCs w:val="18"/>
                <w:lang w:val="pt-BR"/>
              </w:rPr>
              <w:t>(Farr &amp; Rossman 2018; Glawe 2009; Zeller 1927)</w:t>
            </w:r>
          </w:p>
        </w:tc>
        <w:tc>
          <w:tcPr>
            <w:tcW w:w="1474" w:type="dxa"/>
            <w:shd w:val="clear" w:color="auto" w:fill="auto"/>
          </w:tcPr>
          <w:p w14:paraId="5C2CC844"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SA, NSW, Vic., Tas. </w:t>
            </w:r>
            <w:r>
              <w:rPr>
                <w:rFonts w:eastAsia="Calibri" w:cs="Times New Roman"/>
                <w:noProof/>
                <w:sz w:val="18"/>
                <w:szCs w:val="18"/>
              </w:rPr>
              <w:t>(Plant Health Australia 2018)</w:t>
            </w:r>
          </w:p>
        </w:tc>
        <w:tc>
          <w:tcPr>
            <w:tcW w:w="2552" w:type="dxa"/>
            <w:shd w:val="clear" w:color="auto" w:fill="auto"/>
          </w:tcPr>
          <w:p w14:paraId="3D0BC87F"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381" w:type="dxa"/>
            <w:shd w:val="clear" w:color="auto" w:fill="auto"/>
          </w:tcPr>
          <w:p w14:paraId="081795BE"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211" w:type="dxa"/>
            <w:shd w:val="clear" w:color="auto" w:fill="auto"/>
          </w:tcPr>
          <w:p w14:paraId="0BD85931"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auto"/>
          </w:tcPr>
          <w:p w14:paraId="05E26500"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A62ECE" w14:paraId="4F4C8A13" w14:textId="77777777" w:rsidTr="00A62ECE">
        <w:trPr>
          <w:cantSplit/>
          <w:trHeight w:val="75"/>
          <w:jc w:val="center"/>
        </w:trPr>
        <w:tc>
          <w:tcPr>
            <w:tcW w:w="1985" w:type="dxa"/>
            <w:shd w:val="clear" w:color="auto" w:fill="auto"/>
          </w:tcPr>
          <w:p w14:paraId="70F39EBB" w14:textId="77777777" w:rsidR="003438A2" w:rsidRPr="00A62ECE" w:rsidRDefault="003438A2" w:rsidP="00881E29">
            <w:pPr>
              <w:spacing w:before="60" w:after="60" w:line="240" w:lineRule="auto"/>
              <w:rPr>
                <w:rFonts w:eastAsia="Calibri" w:cs="Times New Roman"/>
                <w:iCs/>
                <w:sz w:val="18"/>
                <w:szCs w:val="18"/>
              </w:rPr>
            </w:pPr>
            <w:r w:rsidRPr="00A62ECE">
              <w:rPr>
                <w:rFonts w:eastAsia="Calibri" w:cs="Times New Roman"/>
                <w:i/>
                <w:iCs/>
                <w:sz w:val="18"/>
                <w:szCs w:val="18"/>
              </w:rPr>
              <w:t xml:space="preserve">Valsa ceratosperma </w:t>
            </w:r>
            <w:r w:rsidRPr="00A62ECE">
              <w:rPr>
                <w:rFonts w:eastAsia="Calibri" w:cs="Times New Roman"/>
                <w:iCs/>
                <w:sz w:val="18"/>
                <w:szCs w:val="18"/>
              </w:rPr>
              <w:t>(Tode) Maire</w:t>
            </w:r>
          </w:p>
          <w:p w14:paraId="4D1D51C3" w14:textId="77777777" w:rsidR="003438A2" w:rsidRPr="00A62ECE" w:rsidRDefault="003438A2" w:rsidP="00881E29">
            <w:pPr>
              <w:spacing w:before="60" w:after="60" w:line="240" w:lineRule="auto"/>
              <w:rPr>
                <w:rFonts w:eastAsia="Calibri" w:cs="Times New Roman"/>
                <w:iCs/>
                <w:sz w:val="18"/>
                <w:szCs w:val="18"/>
              </w:rPr>
            </w:pPr>
            <w:r w:rsidRPr="00A62ECE">
              <w:rPr>
                <w:rFonts w:eastAsia="Calibri" w:cs="Times New Roman"/>
                <w:iCs/>
                <w:sz w:val="18"/>
                <w:szCs w:val="18"/>
              </w:rPr>
              <w:t xml:space="preserve">Synonym: </w:t>
            </w:r>
            <w:r w:rsidRPr="00A62ECE">
              <w:rPr>
                <w:rFonts w:eastAsia="Calibri" w:cs="Times New Roman"/>
                <w:i/>
                <w:iCs/>
                <w:sz w:val="18"/>
                <w:szCs w:val="18"/>
              </w:rPr>
              <w:t xml:space="preserve">Cytospora ceratosperma </w:t>
            </w:r>
            <w:r w:rsidRPr="00A62ECE">
              <w:rPr>
                <w:rFonts w:eastAsia="Calibri" w:cs="Times New Roman"/>
                <w:iCs/>
                <w:sz w:val="18"/>
                <w:szCs w:val="18"/>
              </w:rPr>
              <w:t>(Tode) G.C. Adams &amp; Rossman</w:t>
            </w:r>
          </w:p>
          <w:p w14:paraId="78D679FB" w14:textId="77777777" w:rsidR="003438A2" w:rsidRPr="00A62ECE" w:rsidRDefault="003438A2" w:rsidP="00CF0DD6">
            <w:pPr>
              <w:spacing w:before="60" w:after="60" w:line="240" w:lineRule="auto"/>
              <w:rPr>
                <w:rFonts w:eastAsia="Calibri" w:cs="Times New Roman"/>
                <w:sz w:val="18"/>
                <w:szCs w:val="18"/>
              </w:rPr>
            </w:pPr>
            <w:r w:rsidRPr="00A62ECE">
              <w:rPr>
                <w:rFonts w:eastAsia="Calibri" w:cs="Times New Roman"/>
                <w:i/>
                <w:iCs/>
                <w:sz w:val="18"/>
                <w:szCs w:val="18"/>
              </w:rPr>
              <w:t xml:space="preserve">Cytospora ceratophora </w:t>
            </w:r>
            <w:r w:rsidRPr="00A62ECE">
              <w:rPr>
                <w:rFonts w:eastAsia="Calibri" w:cs="Times New Roman"/>
                <w:sz w:val="18"/>
                <w:szCs w:val="18"/>
              </w:rPr>
              <w:t>Sacc.</w:t>
            </w:r>
          </w:p>
          <w:p w14:paraId="571291B6" w14:textId="77777777" w:rsidR="003438A2" w:rsidRPr="00A62ECE" w:rsidRDefault="003438A2" w:rsidP="00CF0DD6">
            <w:pPr>
              <w:spacing w:before="60" w:after="60" w:line="240" w:lineRule="auto"/>
              <w:rPr>
                <w:rFonts w:eastAsia="Calibri" w:cs="Times New Roman"/>
                <w:sz w:val="18"/>
                <w:szCs w:val="18"/>
              </w:rPr>
            </w:pPr>
            <w:r w:rsidRPr="00A62ECE">
              <w:rPr>
                <w:rFonts w:eastAsia="Calibri" w:cs="Times New Roman"/>
                <w:i/>
                <w:iCs/>
                <w:sz w:val="18"/>
                <w:szCs w:val="18"/>
              </w:rPr>
              <w:t xml:space="preserve">Valsa ceratophora </w:t>
            </w:r>
            <w:r w:rsidRPr="00A62ECE">
              <w:rPr>
                <w:rFonts w:eastAsia="Calibri" w:cs="Times New Roman"/>
                <w:sz w:val="18"/>
                <w:szCs w:val="18"/>
              </w:rPr>
              <w:t>Tul. &amp; C. Tul.</w:t>
            </w:r>
          </w:p>
          <w:p w14:paraId="7E6CD2F2" w14:textId="77777777" w:rsidR="003438A2" w:rsidRPr="00A62ECE" w:rsidRDefault="003438A2" w:rsidP="00881E29">
            <w:pPr>
              <w:spacing w:before="60" w:after="60" w:line="240" w:lineRule="auto"/>
              <w:rPr>
                <w:rFonts w:eastAsia="Calibri" w:cs="Times New Roman"/>
                <w:iCs/>
                <w:sz w:val="18"/>
                <w:szCs w:val="18"/>
              </w:rPr>
            </w:pPr>
            <w:r w:rsidRPr="00A62ECE">
              <w:rPr>
                <w:rFonts w:eastAsia="Calibri" w:cs="Times New Roman"/>
                <w:iCs/>
                <w:sz w:val="18"/>
                <w:szCs w:val="18"/>
              </w:rPr>
              <w:t>[Diaporthales: Valsaceae]</w:t>
            </w:r>
          </w:p>
          <w:p w14:paraId="2FE59A55" w14:textId="77777777" w:rsidR="003438A2" w:rsidRPr="00A62ECE" w:rsidRDefault="003438A2" w:rsidP="00881E29">
            <w:pPr>
              <w:spacing w:before="60" w:after="60" w:line="240" w:lineRule="auto"/>
              <w:rPr>
                <w:rFonts w:eastAsia="Calibri" w:cs="Times New Roman"/>
                <w:i/>
                <w:iCs/>
                <w:sz w:val="18"/>
                <w:szCs w:val="18"/>
              </w:rPr>
            </w:pPr>
            <w:r w:rsidRPr="00A62ECE">
              <w:rPr>
                <w:rFonts w:eastAsia="Calibri" w:cs="Times New Roman"/>
                <w:iCs/>
                <w:sz w:val="18"/>
                <w:szCs w:val="18"/>
              </w:rPr>
              <w:t>Valsa canker/dieback of apple</w:t>
            </w:r>
          </w:p>
        </w:tc>
        <w:tc>
          <w:tcPr>
            <w:tcW w:w="1474" w:type="dxa"/>
            <w:shd w:val="clear" w:color="auto" w:fill="auto"/>
          </w:tcPr>
          <w:p w14:paraId="165E71A5" w14:textId="77777777" w:rsidR="003438A2" w:rsidRDefault="003438A2" w:rsidP="002F3FAE">
            <w:pPr>
              <w:rPr>
                <w:rFonts w:eastAsia="Calibri" w:cs="Times New Roman"/>
                <w:sz w:val="18"/>
                <w:szCs w:val="18"/>
                <w:lang w:val="pt-BR"/>
              </w:rPr>
            </w:pPr>
            <w:r w:rsidRPr="00A62ECE">
              <w:rPr>
                <w:rFonts w:eastAsia="Calibri" w:cs="Times New Roman"/>
                <w:sz w:val="18"/>
                <w:szCs w:val="18"/>
                <w:lang w:val="pt-BR"/>
              </w:rPr>
              <w:t>Yes. Present in WA. Also present in GA and NJ</w:t>
            </w:r>
            <w:r>
              <w:rPr>
                <w:rFonts w:eastAsia="Calibri" w:cs="Times New Roman"/>
                <w:sz w:val="18"/>
                <w:szCs w:val="18"/>
                <w:lang w:val="pt-BR"/>
              </w:rPr>
              <w:t xml:space="preserve"> </w:t>
            </w:r>
            <w:r>
              <w:rPr>
                <w:rFonts w:eastAsia="Calibri" w:cs="Times New Roman"/>
                <w:noProof/>
                <w:sz w:val="18"/>
                <w:szCs w:val="18"/>
                <w:lang w:val="pt-BR"/>
              </w:rPr>
              <w:t>(CABI 2020b; EPPO 2004; Farr &amp; Rossman 2018)</w:t>
            </w:r>
          </w:p>
          <w:p w14:paraId="403A7459" w14:textId="77777777" w:rsidR="003438A2" w:rsidRPr="00A62ECE" w:rsidRDefault="003438A2" w:rsidP="00881E29">
            <w:pPr>
              <w:spacing w:before="60" w:after="60" w:line="240" w:lineRule="auto"/>
              <w:rPr>
                <w:rFonts w:eastAsia="Calibri" w:cs="Times New Roman"/>
                <w:sz w:val="18"/>
                <w:szCs w:val="18"/>
                <w:lang w:val="pt-BR"/>
              </w:rPr>
            </w:pPr>
          </w:p>
        </w:tc>
        <w:tc>
          <w:tcPr>
            <w:tcW w:w="1474" w:type="dxa"/>
            <w:shd w:val="clear" w:color="auto" w:fill="auto"/>
          </w:tcPr>
          <w:p w14:paraId="1D8E5705" w14:textId="77777777" w:rsidR="003438A2" w:rsidRPr="00A62ECE" w:rsidRDefault="003438A2" w:rsidP="00881E29">
            <w:pPr>
              <w:spacing w:before="60" w:after="60" w:line="240" w:lineRule="auto"/>
              <w:rPr>
                <w:rFonts w:eastAsia="Calibri" w:cs="Times New Roman"/>
                <w:sz w:val="18"/>
                <w:szCs w:val="18"/>
              </w:rPr>
            </w:pPr>
            <w:r w:rsidRPr="00A62ECE">
              <w:rPr>
                <w:rFonts w:eastAsia="Calibri" w:cs="Times New Roman"/>
                <w:sz w:val="18"/>
                <w:szCs w:val="18"/>
              </w:rPr>
              <w:t xml:space="preserve">Yes. ACT, NSW, Tas. </w:t>
            </w:r>
            <w:r w:rsidRPr="00A62ECE">
              <w:rPr>
                <w:rFonts w:eastAsia="Calibri" w:cs="Times New Roman"/>
                <w:noProof/>
                <w:sz w:val="18"/>
                <w:szCs w:val="18"/>
              </w:rPr>
              <w:t>(Plant Health Australia 2018)</w:t>
            </w:r>
          </w:p>
        </w:tc>
        <w:tc>
          <w:tcPr>
            <w:tcW w:w="2552" w:type="dxa"/>
            <w:shd w:val="clear" w:color="auto" w:fill="auto"/>
          </w:tcPr>
          <w:p w14:paraId="78AD28BD" w14:textId="77777777" w:rsidR="003438A2" w:rsidRPr="00A62ECE" w:rsidRDefault="003438A2" w:rsidP="00881E29">
            <w:pPr>
              <w:spacing w:before="60" w:after="60" w:line="240" w:lineRule="auto"/>
              <w:rPr>
                <w:rFonts w:eastAsia="Calibri" w:cs="Times New Roman"/>
                <w:sz w:val="18"/>
                <w:szCs w:val="18"/>
              </w:rPr>
            </w:pPr>
            <w:r w:rsidRPr="00A62ECE">
              <w:rPr>
                <w:rFonts w:eastAsia="Calibri" w:cs="Times New Roman"/>
                <w:sz w:val="18"/>
                <w:szCs w:val="18"/>
              </w:rPr>
              <w:t>Assessment not required</w:t>
            </w:r>
          </w:p>
        </w:tc>
        <w:tc>
          <w:tcPr>
            <w:tcW w:w="2381" w:type="dxa"/>
            <w:shd w:val="clear" w:color="auto" w:fill="auto"/>
          </w:tcPr>
          <w:p w14:paraId="2600D745" w14:textId="77777777" w:rsidR="003438A2" w:rsidRPr="00A62ECE" w:rsidRDefault="003438A2" w:rsidP="00881E29">
            <w:pPr>
              <w:spacing w:before="60" w:after="60" w:line="240" w:lineRule="auto"/>
              <w:rPr>
                <w:rFonts w:eastAsia="Calibri" w:cs="Times New Roman"/>
                <w:sz w:val="18"/>
                <w:szCs w:val="18"/>
              </w:rPr>
            </w:pPr>
            <w:r w:rsidRPr="00A62ECE">
              <w:rPr>
                <w:rFonts w:eastAsia="Calibri" w:cs="Times New Roman"/>
                <w:sz w:val="18"/>
                <w:szCs w:val="18"/>
              </w:rPr>
              <w:t>Assessment not required</w:t>
            </w:r>
          </w:p>
        </w:tc>
        <w:tc>
          <w:tcPr>
            <w:tcW w:w="2211" w:type="dxa"/>
            <w:shd w:val="clear" w:color="auto" w:fill="auto"/>
          </w:tcPr>
          <w:p w14:paraId="094F283E" w14:textId="77777777" w:rsidR="003438A2" w:rsidRPr="00A62ECE" w:rsidRDefault="003438A2" w:rsidP="00881E29">
            <w:pPr>
              <w:spacing w:before="60" w:after="60" w:line="240" w:lineRule="auto"/>
              <w:rPr>
                <w:rFonts w:eastAsia="Calibri" w:cs="Times New Roman"/>
                <w:sz w:val="18"/>
                <w:szCs w:val="18"/>
              </w:rPr>
            </w:pPr>
            <w:r w:rsidRPr="00A62ECE">
              <w:rPr>
                <w:rFonts w:eastAsia="Calibri" w:cs="Times New Roman"/>
                <w:sz w:val="18"/>
                <w:szCs w:val="18"/>
              </w:rPr>
              <w:t>Assessment not required</w:t>
            </w:r>
          </w:p>
        </w:tc>
        <w:tc>
          <w:tcPr>
            <w:tcW w:w="1191" w:type="dxa"/>
            <w:shd w:val="clear" w:color="auto" w:fill="auto"/>
          </w:tcPr>
          <w:p w14:paraId="3CC79283" w14:textId="77777777" w:rsidR="003438A2" w:rsidRPr="00A62ECE" w:rsidRDefault="003438A2" w:rsidP="00881E29">
            <w:pPr>
              <w:spacing w:before="60" w:after="60" w:line="240" w:lineRule="auto"/>
              <w:rPr>
                <w:rFonts w:eastAsia="Calibri" w:cs="Times New Roman"/>
                <w:sz w:val="18"/>
                <w:szCs w:val="18"/>
              </w:rPr>
            </w:pPr>
            <w:r w:rsidRPr="00A62ECE">
              <w:rPr>
                <w:rFonts w:eastAsia="Calibri" w:cs="Times New Roman"/>
                <w:sz w:val="18"/>
                <w:szCs w:val="18"/>
              </w:rPr>
              <w:t>No</w:t>
            </w:r>
          </w:p>
        </w:tc>
      </w:tr>
      <w:tr w:rsidR="003438A2" w:rsidRPr="00D95799" w14:paraId="1D9DEFE1" w14:textId="77777777" w:rsidTr="00A62ECE">
        <w:trPr>
          <w:cantSplit/>
          <w:trHeight w:val="75"/>
          <w:jc w:val="center"/>
        </w:trPr>
        <w:tc>
          <w:tcPr>
            <w:tcW w:w="1985" w:type="dxa"/>
            <w:shd w:val="clear" w:color="auto" w:fill="FFFFFF" w:themeFill="background1"/>
          </w:tcPr>
          <w:p w14:paraId="4659D69D" w14:textId="77777777" w:rsidR="003438A2" w:rsidRPr="000A79E3" w:rsidRDefault="003438A2" w:rsidP="00881E29">
            <w:pPr>
              <w:spacing w:before="60" w:after="60" w:line="240" w:lineRule="auto"/>
              <w:rPr>
                <w:rFonts w:eastAsia="Calibri" w:cs="Times New Roman"/>
                <w:iCs/>
                <w:sz w:val="18"/>
                <w:szCs w:val="18"/>
              </w:rPr>
            </w:pPr>
            <w:r w:rsidRPr="000A79E3">
              <w:rPr>
                <w:rFonts w:eastAsia="Calibri" w:cs="Times New Roman"/>
                <w:i/>
                <w:iCs/>
                <w:sz w:val="18"/>
                <w:szCs w:val="18"/>
              </w:rPr>
              <w:lastRenderedPageBreak/>
              <w:t xml:space="preserve">Valsa cincta </w:t>
            </w:r>
            <w:r w:rsidRPr="000A79E3">
              <w:rPr>
                <w:rFonts w:eastAsia="Calibri" w:cs="Times New Roman"/>
                <w:iCs/>
                <w:sz w:val="18"/>
                <w:szCs w:val="18"/>
              </w:rPr>
              <w:t>(Fr.) Fr.</w:t>
            </w:r>
          </w:p>
          <w:p w14:paraId="7F8B2B75" w14:textId="77777777" w:rsidR="003438A2" w:rsidRPr="000A79E3" w:rsidRDefault="003438A2" w:rsidP="00881E29">
            <w:pPr>
              <w:spacing w:before="60" w:after="60" w:line="240" w:lineRule="auto"/>
              <w:rPr>
                <w:rFonts w:eastAsia="Calibri" w:cs="Times New Roman"/>
                <w:i/>
                <w:iCs/>
                <w:sz w:val="18"/>
                <w:szCs w:val="18"/>
              </w:rPr>
            </w:pPr>
            <w:r w:rsidRPr="000A79E3">
              <w:rPr>
                <w:rFonts w:eastAsia="Calibri" w:cs="Times New Roman"/>
                <w:iCs/>
                <w:sz w:val="18"/>
                <w:szCs w:val="18"/>
              </w:rPr>
              <w:t>Synonyms:</w:t>
            </w:r>
            <w:r w:rsidRPr="000A79E3">
              <w:rPr>
                <w:rFonts w:eastAsia="Calibri" w:cs="Times New Roman"/>
                <w:i/>
                <w:iCs/>
                <w:sz w:val="18"/>
                <w:szCs w:val="18"/>
              </w:rPr>
              <w:t xml:space="preserve"> Cytospora cincta</w:t>
            </w:r>
            <w:r w:rsidRPr="000A79E3">
              <w:rPr>
                <w:rFonts w:eastAsia="Calibri" w:cs="Times New Roman"/>
                <w:iCs/>
                <w:sz w:val="18"/>
                <w:szCs w:val="18"/>
              </w:rPr>
              <w:t xml:space="preserve"> Sacc.; </w:t>
            </w:r>
            <w:r w:rsidRPr="000A79E3">
              <w:rPr>
                <w:rFonts w:eastAsia="Calibri" w:cs="Times New Roman"/>
                <w:i/>
                <w:iCs/>
                <w:sz w:val="18"/>
                <w:szCs w:val="18"/>
              </w:rPr>
              <w:t xml:space="preserve">Leucostoma cinctum </w:t>
            </w:r>
            <w:r w:rsidRPr="000A79E3">
              <w:rPr>
                <w:rFonts w:eastAsia="Calibri" w:cs="Times New Roman"/>
                <w:iCs/>
                <w:sz w:val="18"/>
                <w:szCs w:val="18"/>
              </w:rPr>
              <w:t>(Fr.) H</w:t>
            </w:r>
            <w:r w:rsidRPr="000A79E3">
              <w:rPr>
                <w:rFonts w:eastAsia="Calibri" w:cs="Arial"/>
                <w:iCs/>
                <w:sz w:val="18"/>
                <w:szCs w:val="18"/>
              </w:rPr>
              <w:t>ö</w:t>
            </w:r>
            <w:r w:rsidRPr="000A79E3">
              <w:rPr>
                <w:rFonts w:eastAsia="Calibri" w:cs="Times New Roman"/>
                <w:iCs/>
                <w:sz w:val="18"/>
                <w:szCs w:val="18"/>
              </w:rPr>
              <w:t>hn.</w:t>
            </w:r>
            <w:r w:rsidRPr="000A79E3">
              <w:rPr>
                <w:rFonts w:eastAsia="Calibri" w:cs="Times New Roman"/>
                <w:i/>
                <w:iCs/>
                <w:sz w:val="18"/>
                <w:szCs w:val="18"/>
              </w:rPr>
              <w:t xml:space="preserve"> </w:t>
            </w:r>
            <w:r w:rsidRPr="000A79E3">
              <w:rPr>
                <w:rFonts w:eastAsia="Calibri" w:cs="Times New Roman"/>
                <w:iCs/>
                <w:sz w:val="18"/>
                <w:szCs w:val="18"/>
              </w:rPr>
              <w:t xml:space="preserve">(variant spelling: </w:t>
            </w:r>
            <w:r w:rsidRPr="000A79E3">
              <w:rPr>
                <w:rFonts w:eastAsia="Calibri" w:cs="Times New Roman"/>
                <w:i/>
                <w:iCs/>
                <w:sz w:val="18"/>
                <w:szCs w:val="18"/>
              </w:rPr>
              <w:t xml:space="preserve">Leucostoma cincta </w:t>
            </w:r>
            <w:r w:rsidRPr="000A79E3">
              <w:rPr>
                <w:rFonts w:eastAsia="Calibri" w:cs="Times New Roman"/>
                <w:iCs/>
                <w:sz w:val="18"/>
                <w:szCs w:val="18"/>
              </w:rPr>
              <w:t>(Fr.) H</w:t>
            </w:r>
            <w:r w:rsidRPr="000A79E3">
              <w:rPr>
                <w:rFonts w:eastAsia="Calibri" w:cs="Arial"/>
                <w:iCs/>
                <w:sz w:val="18"/>
                <w:szCs w:val="18"/>
              </w:rPr>
              <w:t>ö</w:t>
            </w:r>
            <w:r w:rsidRPr="000A79E3">
              <w:rPr>
                <w:rFonts w:eastAsia="Calibri" w:cs="Times New Roman"/>
                <w:iCs/>
                <w:sz w:val="18"/>
                <w:szCs w:val="18"/>
              </w:rPr>
              <w:t>hn.)</w:t>
            </w:r>
          </w:p>
          <w:p w14:paraId="190F3353" w14:textId="77777777" w:rsidR="003438A2" w:rsidRPr="000A79E3" w:rsidRDefault="003438A2" w:rsidP="00881E29">
            <w:pPr>
              <w:spacing w:before="60" w:after="60" w:line="240" w:lineRule="auto"/>
              <w:rPr>
                <w:rFonts w:eastAsia="Calibri" w:cs="Times New Roman"/>
                <w:i/>
                <w:iCs/>
                <w:sz w:val="18"/>
                <w:szCs w:val="18"/>
              </w:rPr>
            </w:pPr>
            <w:r w:rsidRPr="000A79E3">
              <w:rPr>
                <w:rFonts w:eastAsia="Calibri" w:cs="Times New Roman"/>
                <w:iCs/>
                <w:sz w:val="18"/>
                <w:szCs w:val="18"/>
              </w:rPr>
              <w:t>[Diaporthales: Valsaceae]</w:t>
            </w:r>
          </w:p>
          <w:p w14:paraId="7730A887" w14:textId="77777777" w:rsidR="003438A2" w:rsidRPr="000A79E3" w:rsidRDefault="003438A2" w:rsidP="00881E29">
            <w:pPr>
              <w:spacing w:before="60" w:after="60" w:line="240" w:lineRule="auto"/>
              <w:rPr>
                <w:rFonts w:eastAsia="Calibri" w:cs="Times New Roman"/>
                <w:sz w:val="18"/>
                <w:szCs w:val="18"/>
                <w:lang w:val="pt-BR"/>
              </w:rPr>
            </w:pPr>
            <w:r w:rsidRPr="000A79E3">
              <w:rPr>
                <w:rFonts w:eastAsia="Calibri" w:cs="Times New Roman"/>
                <w:iCs/>
                <w:sz w:val="18"/>
                <w:szCs w:val="18"/>
              </w:rPr>
              <w:t>Leucostoma canker and dieback</w:t>
            </w:r>
          </w:p>
        </w:tc>
        <w:tc>
          <w:tcPr>
            <w:tcW w:w="1474" w:type="dxa"/>
            <w:shd w:val="clear" w:color="auto" w:fill="FFFFFF" w:themeFill="background1"/>
          </w:tcPr>
          <w:p w14:paraId="20BE37C9" w14:textId="77777777" w:rsidR="003438A2" w:rsidRPr="000A79E3" w:rsidRDefault="003438A2" w:rsidP="00881E29">
            <w:pPr>
              <w:spacing w:before="60" w:after="60" w:line="240" w:lineRule="auto"/>
              <w:rPr>
                <w:rFonts w:eastAsia="Calibri" w:cs="Times New Roman"/>
                <w:sz w:val="18"/>
                <w:szCs w:val="18"/>
                <w:lang w:val="pt-BR"/>
              </w:rPr>
            </w:pPr>
            <w:r>
              <w:rPr>
                <w:rFonts w:eastAsia="Calibri" w:cs="Times New Roman"/>
                <w:sz w:val="18"/>
                <w:szCs w:val="18"/>
              </w:rPr>
              <w:t>No</w:t>
            </w:r>
            <w:r w:rsidRPr="000A79E3">
              <w:rPr>
                <w:rFonts w:eastAsia="Calibri" w:cs="Times New Roman"/>
                <w:sz w:val="18"/>
                <w:szCs w:val="18"/>
              </w:rPr>
              <w:t xml:space="preserve">. </w:t>
            </w:r>
            <w:r>
              <w:rPr>
                <w:rFonts w:eastAsia="Calibri" w:cs="Times New Roman"/>
                <w:sz w:val="18"/>
                <w:szCs w:val="18"/>
              </w:rPr>
              <w:t xml:space="preserve">Present in </w:t>
            </w:r>
            <w:r w:rsidRPr="000A79E3">
              <w:rPr>
                <w:rFonts w:eastAsia="Calibri" w:cs="Times New Roman"/>
                <w:sz w:val="18"/>
                <w:szCs w:val="18"/>
              </w:rPr>
              <w:t>MI</w:t>
            </w:r>
            <w:r>
              <w:rPr>
                <w:rFonts w:eastAsia="Calibri" w:cs="Times New Roman"/>
                <w:sz w:val="18"/>
                <w:szCs w:val="18"/>
              </w:rPr>
              <w:t xml:space="preserve"> and</w:t>
            </w:r>
            <w:r w:rsidRPr="000A79E3">
              <w:rPr>
                <w:rFonts w:eastAsia="Calibri" w:cs="Times New Roman"/>
                <w:sz w:val="18"/>
                <w:szCs w:val="18"/>
              </w:rPr>
              <w:t xml:space="preserve"> WI, </w:t>
            </w:r>
            <w:r w:rsidRPr="000A79E3">
              <w:rPr>
                <w:rFonts w:eastAsia="Calibri" w:cs="Times New Roman"/>
                <w:iCs/>
                <w:sz w:val="18"/>
                <w:szCs w:val="18"/>
              </w:rPr>
              <w:t xml:space="preserve">as </w:t>
            </w:r>
            <w:r w:rsidRPr="000A79E3">
              <w:rPr>
                <w:rFonts w:eastAsia="Calibri" w:cs="Times New Roman"/>
                <w:i/>
                <w:iCs/>
                <w:sz w:val="18"/>
                <w:szCs w:val="18"/>
              </w:rPr>
              <w:t>Leucostoma cinctum</w:t>
            </w:r>
            <w:r w:rsidRPr="000A79E3">
              <w:rPr>
                <w:rFonts w:eastAsia="Calibri" w:cs="Times New Roman"/>
                <w:iCs/>
                <w:sz w:val="18"/>
                <w:szCs w:val="18"/>
              </w:rPr>
              <w:t xml:space="preserve"> </w:t>
            </w:r>
            <w:r>
              <w:rPr>
                <w:rFonts w:eastAsia="Calibri" w:cs="Times New Roman"/>
                <w:iCs/>
                <w:noProof/>
                <w:sz w:val="18"/>
                <w:szCs w:val="18"/>
              </w:rPr>
              <w:t>(Farr &amp; Rossman 2018)</w:t>
            </w:r>
          </w:p>
        </w:tc>
        <w:tc>
          <w:tcPr>
            <w:tcW w:w="1474" w:type="dxa"/>
            <w:shd w:val="clear" w:color="auto" w:fill="FFFFFF" w:themeFill="background1"/>
          </w:tcPr>
          <w:p w14:paraId="3C6ECD7F" w14:textId="77777777" w:rsidR="003438A2" w:rsidRPr="000A79E3" w:rsidRDefault="003438A2" w:rsidP="00881E29">
            <w:pPr>
              <w:spacing w:before="60" w:after="60" w:line="240" w:lineRule="auto"/>
              <w:rPr>
                <w:rFonts w:eastAsia="Calibri" w:cs="Times New Roman"/>
                <w:sz w:val="18"/>
                <w:szCs w:val="18"/>
              </w:rPr>
            </w:pPr>
            <w:r w:rsidRPr="000A79E3">
              <w:rPr>
                <w:rFonts w:eastAsia="Calibri" w:cs="Times New Roman"/>
                <w:sz w:val="18"/>
                <w:szCs w:val="18"/>
              </w:rPr>
              <w:t>No records found</w:t>
            </w:r>
          </w:p>
        </w:tc>
        <w:tc>
          <w:tcPr>
            <w:tcW w:w="2552" w:type="dxa"/>
            <w:shd w:val="clear" w:color="auto" w:fill="FFFFFF" w:themeFill="background1"/>
          </w:tcPr>
          <w:p w14:paraId="01CE52D0" w14:textId="77777777" w:rsidR="003438A2" w:rsidRPr="000A79E3" w:rsidRDefault="003438A2" w:rsidP="00881E29">
            <w:pPr>
              <w:spacing w:before="60" w:after="60" w:line="240" w:lineRule="auto"/>
              <w:rPr>
                <w:rFonts w:eastAsia="Calibri" w:cs="Times New Roman"/>
                <w:sz w:val="18"/>
                <w:szCs w:val="18"/>
              </w:rPr>
            </w:pPr>
            <w:r w:rsidRPr="000A79E3">
              <w:rPr>
                <w:rFonts w:eastAsia="Calibri" w:cs="Times New Roman"/>
                <w:sz w:val="18"/>
                <w:szCs w:val="18"/>
              </w:rPr>
              <w:t>Assessment not required</w:t>
            </w:r>
          </w:p>
        </w:tc>
        <w:tc>
          <w:tcPr>
            <w:tcW w:w="2381" w:type="dxa"/>
            <w:shd w:val="clear" w:color="auto" w:fill="FFFFFF" w:themeFill="background1"/>
          </w:tcPr>
          <w:p w14:paraId="634BA896" w14:textId="77777777" w:rsidR="003438A2" w:rsidRPr="000A79E3" w:rsidRDefault="003438A2" w:rsidP="00881E29">
            <w:pPr>
              <w:spacing w:before="60" w:after="60" w:line="240" w:lineRule="auto"/>
              <w:rPr>
                <w:rFonts w:eastAsia="Calibri" w:cs="Times New Roman"/>
                <w:sz w:val="18"/>
                <w:szCs w:val="18"/>
              </w:rPr>
            </w:pPr>
            <w:r w:rsidRPr="000A79E3">
              <w:rPr>
                <w:rFonts w:eastAsia="Calibri" w:cs="Times New Roman"/>
                <w:sz w:val="18"/>
                <w:szCs w:val="18"/>
              </w:rPr>
              <w:t>Assessment not required</w:t>
            </w:r>
          </w:p>
        </w:tc>
        <w:tc>
          <w:tcPr>
            <w:tcW w:w="2211" w:type="dxa"/>
            <w:shd w:val="clear" w:color="auto" w:fill="FFFFFF" w:themeFill="background1"/>
          </w:tcPr>
          <w:p w14:paraId="688F7715" w14:textId="77777777" w:rsidR="003438A2" w:rsidRPr="000A79E3" w:rsidRDefault="003438A2" w:rsidP="00881E29">
            <w:pPr>
              <w:spacing w:before="60" w:after="60" w:line="240" w:lineRule="auto"/>
              <w:rPr>
                <w:rFonts w:eastAsia="Calibri" w:cs="Times New Roman"/>
                <w:sz w:val="18"/>
                <w:szCs w:val="18"/>
              </w:rPr>
            </w:pPr>
            <w:r w:rsidRPr="000A79E3">
              <w:rPr>
                <w:rFonts w:eastAsia="Calibri" w:cs="Times New Roman"/>
                <w:sz w:val="18"/>
                <w:szCs w:val="18"/>
              </w:rPr>
              <w:t>Assessment not required</w:t>
            </w:r>
          </w:p>
        </w:tc>
        <w:tc>
          <w:tcPr>
            <w:tcW w:w="1191" w:type="dxa"/>
            <w:shd w:val="clear" w:color="auto" w:fill="FFFFFF" w:themeFill="background1"/>
          </w:tcPr>
          <w:p w14:paraId="62D84362" w14:textId="77777777" w:rsidR="003438A2" w:rsidRPr="00D95799" w:rsidRDefault="003438A2" w:rsidP="00881E29">
            <w:pPr>
              <w:spacing w:before="60" w:after="60" w:line="240" w:lineRule="auto"/>
              <w:rPr>
                <w:rFonts w:eastAsia="Calibri" w:cs="Times New Roman"/>
                <w:sz w:val="18"/>
                <w:szCs w:val="18"/>
              </w:rPr>
            </w:pPr>
            <w:r w:rsidRPr="000A79E3">
              <w:rPr>
                <w:rFonts w:eastAsia="Calibri" w:cs="Times New Roman"/>
                <w:sz w:val="18"/>
                <w:szCs w:val="18"/>
              </w:rPr>
              <w:t>No</w:t>
            </w:r>
          </w:p>
        </w:tc>
      </w:tr>
      <w:tr w:rsidR="003438A2" w:rsidRPr="00D95799" w14:paraId="6FCA860A" w14:textId="77777777" w:rsidTr="00A62ECE">
        <w:trPr>
          <w:cantSplit/>
          <w:trHeight w:val="75"/>
          <w:jc w:val="center"/>
        </w:trPr>
        <w:tc>
          <w:tcPr>
            <w:tcW w:w="1985" w:type="dxa"/>
            <w:shd w:val="clear" w:color="auto" w:fill="FFFFFF" w:themeFill="background1"/>
          </w:tcPr>
          <w:p w14:paraId="4F084615"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
                <w:iCs/>
                <w:sz w:val="18"/>
                <w:szCs w:val="18"/>
              </w:rPr>
              <w:t>Valsa leucostoma</w:t>
            </w:r>
            <w:r w:rsidRPr="00D95799">
              <w:rPr>
                <w:rFonts w:eastAsia="Calibri" w:cs="Times New Roman"/>
                <w:iCs/>
                <w:sz w:val="18"/>
                <w:szCs w:val="18"/>
              </w:rPr>
              <w:t xml:space="preserve"> (Pers.: Fr.) Fr.</w:t>
            </w:r>
          </w:p>
          <w:p w14:paraId="0B756814"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Synonyms:</w:t>
            </w:r>
            <w:r w:rsidRPr="00D95799">
              <w:rPr>
                <w:rFonts w:eastAsia="Calibri" w:cs="Times New Roman"/>
                <w:i/>
                <w:iCs/>
                <w:sz w:val="18"/>
                <w:szCs w:val="18"/>
              </w:rPr>
              <w:t xml:space="preserve"> Cytospora leucostoma </w:t>
            </w:r>
            <w:r w:rsidRPr="00D95799">
              <w:rPr>
                <w:rFonts w:eastAsia="Calibri" w:cs="Times New Roman"/>
                <w:iCs/>
                <w:sz w:val="18"/>
                <w:szCs w:val="18"/>
              </w:rPr>
              <w:t xml:space="preserve">Sacc.; </w:t>
            </w:r>
            <w:r w:rsidRPr="00D95799">
              <w:rPr>
                <w:rFonts w:eastAsia="Calibri" w:cs="Times New Roman"/>
                <w:i/>
                <w:iCs/>
                <w:sz w:val="18"/>
                <w:szCs w:val="18"/>
              </w:rPr>
              <w:t xml:space="preserve">Leucostoma persoonii </w:t>
            </w:r>
            <w:r w:rsidRPr="00D95799">
              <w:rPr>
                <w:rFonts w:eastAsia="Calibri" w:cs="Times New Roman"/>
                <w:iCs/>
                <w:sz w:val="18"/>
                <w:szCs w:val="18"/>
              </w:rPr>
              <w:t>(Nitschke) Höhn.</w:t>
            </w:r>
          </w:p>
          <w:p w14:paraId="32266F94"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[Diaporthales: Valsaceae]</w:t>
            </w:r>
          </w:p>
          <w:p w14:paraId="07934FF8" w14:textId="77777777" w:rsidR="003438A2" w:rsidRPr="00D95799" w:rsidRDefault="003438A2" w:rsidP="00881E29">
            <w:pPr>
              <w:spacing w:before="60" w:after="60" w:line="240" w:lineRule="auto"/>
              <w:rPr>
                <w:rFonts w:eastAsia="Calibri" w:cs="Times New Roman"/>
                <w:i/>
                <w:iCs/>
                <w:sz w:val="18"/>
                <w:szCs w:val="18"/>
              </w:rPr>
            </w:pPr>
            <w:r w:rsidRPr="00D95799">
              <w:rPr>
                <w:rFonts w:eastAsia="Calibri" w:cs="Times New Roman"/>
                <w:iCs/>
                <w:sz w:val="18"/>
                <w:szCs w:val="18"/>
              </w:rPr>
              <w:t>Leucostoma canker</w:t>
            </w:r>
          </w:p>
        </w:tc>
        <w:tc>
          <w:tcPr>
            <w:tcW w:w="1474" w:type="dxa"/>
            <w:shd w:val="clear" w:color="auto" w:fill="FFFFFF" w:themeFill="background1"/>
          </w:tcPr>
          <w:p w14:paraId="396F9058"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w:t>
            </w:r>
            <w:r>
              <w:rPr>
                <w:rFonts w:eastAsia="Calibri" w:cs="Times New Roman"/>
                <w:sz w:val="18"/>
                <w:szCs w:val="18"/>
              </w:rPr>
              <w:t>Present in ID and WA. Also present in n</w:t>
            </w:r>
            <w:r w:rsidRPr="00D95799">
              <w:rPr>
                <w:rFonts w:eastAsia="Calibri" w:cs="Times New Roman"/>
                <w:sz w:val="18"/>
                <w:szCs w:val="18"/>
              </w:rPr>
              <w:t>orth central states, northeastern states</w:t>
            </w:r>
            <w:r>
              <w:rPr>
                <w:rFonts w:eastAsia="Calibri" w:cs="Times New Roman"/>
                <w:sz w:val="18"/>
                <w:szCs w:val="18"/>
              </w:rPr>
              <w:t>.</w:t>
            </w:r>
            <w:r w:rsidRPr="00D95799">
              <w:rPr>
                <w:rFonts w:eastAsia="Calibri" w:cs="Times New Roman"/>
                <w:sz w:val="18"/>
                <w:szCs w:val="18"/>
              </w:rPr>
              <w:t>western states, MI</w:t>
            </w:r>
            <w:r>
              <w:rPr>
                <w:rFonts w:eastAsia="Calibri" w:cs="Times New Roman"/>
                <w:sz w:val="18"/>
                <w:szCs w:val="18"/>
              </w:rPr>
              <w:t xml:space="preserve"> and</w:t>
            </w:r>
            <w:r w:rsidRPr="00D95799">
              <w:rPr>
                <w:rFonts w:eastAsia="Calibri" w:cs="Times New Roman"/>
                <w:sz w:val="18"/>
                <w:szCs w:val="18"/>
              </w:rPr>
              <w:t xml:space="preserve"> OK </w:t>
            </w:r>
            <w:r>
              <w:rPr>
                <w:rFonts w:eastAsia="Calibri" w:cs="Times New Roman"/>
                <w:noProof/>
                <w:sz w:val="18"/>
                <w:szCs w:val="18"/>
              </w:rPr>
              <w:t>(Farr &amp; Rossman 2018; Glawe 2009)</w:t>
            </w:r>
          </w:p>
        </w:tc>
        <w:tc>
          <w:tcPr>
            <w:tcW w:w="1474" w:type="dxa"/>
            <w:shd w:val="clear" w:color="auto" w:fill="FFFFFF" w:themeFill="background1"/>
          </w:tcPr>
          <w:p w14:paraId="0801631A"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SA, NSW, Vic. as </w:t>
            </w:r>
            <w:r w:rsidRPr="00320B57">
              <w:rPr>
                <w:rFonts w:eastAsia="Calibri" w:cs="Times New Roman"/>
                <w:i/>
                <w:sz w:val="18"/>
                <w:szCs w:val="18"/>
              </w:rPr>
              <w:t>Cytospora leucostoma</w:t>
            </w:r>
            <w:r w:rsidRPr="00D95799">
              <w:rPr>
                <w:rFonts w:eastAsia="Calibri" w:cs="Times New Roman"/>
                <w:sz w:val="18"/>
                <w:szCs w:val="18"/>
              </w:rPr>
              <w:t xml:space="preserve"> </w:t>
            </w:r>
            <w:r>
              <w:rPr>
                <w:rFonts w:eastAsia="Calibri" w:cs="Times New Roman"/>
                <w:noProof/>
                <w:sz w:val="18"/>
                <w:szCs w:val="18"/>
              </w:rPr>
              <w:t>(Plant Health Australia 2018)</w:t>
            </w:r>
          </w:p>
        </w:tc>
        <w:tc>
          <w:tcPr>
            <w:tcW w:w="2552" w:type="dxa"/>
            <w:shd w:val="clear" w:color="auto" w:fill="FFFFFF" w:themeFill="background1"/>
          </w:tcPr>
          <w:p w14:paraId="38439BD6"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No. Causes a wilt and dieback of scaffold limbs and the central leader. Cankers form on limbs and trunk </w:t>
            </w:r>
            <w:r>
              <w:rPr>
                <w:rFonts w:eastAsia="Calibri" w:cs="Times New Roman"/>
                <w:noProof/>
                <w:sz w:val="18"/>
                <w:szCs w:val="18"/>
              </w:rPr>
              <w:t>(Jones 1990)</w:t>
            </w:r>
            <w:r>
              <w:rPr>
                <w:rFonts w:eastAsia="Calibri" w:cs="Times New Roman"/>
                <w:sz w:val="18"/>
                <w:szCs w:val="18"/>
              </w:rPr>
              <w:t>.</w:t>
            </w:r>
          </w:p>
        </w:tc>
        <w:tc>
          <w:tcPr>
            <w:tcW w:w="2381" w:type="dxa"/>
            <w:shd w:val="clear" w:color="auto" w:fill="FFFFFF" w:themeFill="background1"/>
          </w:tcPr>
          <w:p w14:paraId="14BE2DD9"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211" w:type="dxa"/>
            <w:shd w:val="clear" w:color="auto" w:fill="FFFFFF" w:themeFill="background1"/>
          </w:tcPr>
          <w:p w14:paraId="5EF18DC9"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FFFFFF" w:themeFill="background1"/>
          </w:tcPr>
          <w:p w14:paraId="73D93B72"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95799" w14:paraId="7F228B72" w14:textId="77777777" w:rsidTr="00A62ECE">
        <w:trPr>
          <w:cantSplit/>
          <w:trHeight w:val="75"/>
          <w:jc w:val="center"/>
        </w:trPr>
        <w:tc>
          <w:tcPr>
            <w:tcW w:w="1985" w:type="dxa"/>
            <w:shd w:val="clear" w:color="auto" w:fill="FFFFFF" w:themeFill="background1"/>
          </w:tcPr>
          <w:p w14:paraId="478510C3"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
                <w:iCs/>
                <w:sz w:val="18"/>
                <w:szCs w:val="18"/>
              </w:rPr>
              <w:t xml:space="preserve">Valsa papyriferae </w:t>
            </w:r>
            <w:r w:rsidRPr="00D95799">
              <w:rPr>
                <w:rFonts w:eastAsia="Calibri" w:cs="Times New Roman"/>
                <w:iCs/>
                <w:sz w:val="18"/>
                <w:szCs w:val="18"/>
              </w:rPr>
              <w:t>(Schwein.) Cooke</w:t>
            </w:r>
          </w:p>
          <w:p w14:paraId="56E0EEAB"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iCs/>
                <w:sz w:val="18"/>
                <w:szCs w:val="18"/>
              </w:rPr>
              <w:t>[Diaporthales: Valsaceae]</w:t>
            </w:r>
          </w:p>
        </w:tc>
        <w:tc>
          <w:tcPr>
            <w:tcW w:w="1474" w:type="dxa"/>
            <w:shd w:val="clear" w:color="auto" w:fill="FFFFFF" w:themeFill="background1"/>
          </w:tcPr>
          <w:p w14:paraId="0E30EA32"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sz w:val="18"/>
                <w:szCs w:val="18"/>
                <w:lang w:val="pt-BR"/>
              </w:rPr>
              <w:t xml:space="preserve">Yes. </w:t>
            </w:r>
            <w:r>
              <w:rPr>
                <w:rFonts w:eastAsia="Calibri" w:cs="Times New Roman"/>
                <w:sz w:val="18"/>
                <w:szCs w:val="18"/>
                <w:lang w:val="pt-BR"/>
              </w:rPr>
              <w:t xml:space="preserve">Present in </w:t>
            </w:r>
            <w:r w:rsidRPr="00D95799">
              <w:rPr>
                <w:rFonts w:eastAsia="Calibri" w:cs="Times New Roman"/>
                <w:sz w:val="18"/>
                <w:szCs w:val="18"/>
                <w:lang w:val="pt-BR"/>
              </w:rPr>
              <w:t xml:space="preserve">OR </w:t>
            </w:r>
            <w:r>
              <w:rPr>
                <w:rFonts w:eastAsia="Calibri" w:cs="Times New Roman"/>
                <w:noProof/>
                <w:sz w:val="18"/>
                <w:szCs w:val="18"/>
                <w:lang w:val="pt-BR"/>
              </w:rPr>
              <w:t>(Farr &amp; Rossman 2018; Glawe 2009)</w:t>
            </w:r>
          </w:p>
        </w:tc>
        <w:tc>
          <w:tcPr>
            <w:tcW w:w="1474" w:type="dxa"/>
            <w:shd w:val="clear" w:color="auto" w:fill="FFFFFF" w:themeFill="background1"/>
          </w:tcPr>
          <w:p w14:paraId="05952C00"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 records found</w:t>
            </w:r>
          </w:p>
        </w:tc>
        <w:tc>
          <w:tcPr>
            <w:tcW w:w="2552" w:type="dxa"/>
            <w:shd w:val="clear" w:color="auto" w:fill="FFFFFF" w:themeFill="background1"/>
          </w:tcPr>
          <w:p w14:paraId="46C5B971"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No. </w:t>
            </w:r>
            <w:r>
              <w:rPr>
                <w:rFonts w:eastAsia="Calibri" w:cs="Times New Roman"/>
                <w:sz w:val="18"/>
                <w:szCs w:val="18"/>
              </w:rPr>
              <w:t>F</w:t>
            </w:r>
            <w:r w:rsidRPr="00D95799">
              <w:rPr>
                <w:rFonts w:eastAsia="Calibri" w:cs="Times New Roman"/>
                <w:sz w:val="18"/>
                <w:szCs w:val="18"/>
              </w:rPr>
              <w:t xml:space="preserve">ound on winter injured bark of apple in OR </w:t>
            </w:r>
            <w:r>
              <w:rPr>
                <w:rFonts w:eastAsia="Calibri" w:cs="Times New Roman"/>
                <w:noProof/>
                <w:sz w:val="18"/>
                <w:szCs w:val="18"/>
              </w:rPr>
              <w:t>(Farr et al. 1989; Zeller 1927)</w:t>
            </w:r>
          </w:p>
        </w:tc>
        <w:tc>
          <w:tcPr>
            <w:tcW w:w="2381" w:type="dxa"/>
            <w:shd w:val="clear" w:color="auto" w:fill="FFFFFF" w:themeFill="background1"/>
          </w:tcPr>
          <w:p w14:paraId="2A67FBCB"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211" w:type="dxa"/>
            <w:shd w:val="clear" w:color="auto" w:fill="FFFFFF" w:themeFill="background1"/>
          </w:tcPr>
          <w:p w14:paraId="7233691E"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FFFFFF" w:themeFill="background1"/>
          </w:tcPr>
          <w:p w14:paraId="3954A3F4"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95799" w14:paraId="38B9BF8A" w14:textId="77777777" w:rsidTr="00A62ECE">
        <w:trPr>
          <w:cantSplit/>
          <w:trHeight w:val="75"/>
          <w:jc w:val="center"/>
        </w:trPr>
        <w:tc>
          <w:tcPr>
            <w:tcW w:w="1985" w:type="dxa"/>
            <w:shd w:val="clear" w:color="auto" w:fill="FFFFFF" w:themeFill="background1"/>
          </w:tcPr>
          <w:p w14:paraId="6B4CA360" w14:textId="77777777" w:rsidR="003438A2" w:rsidRDefault="003438A2" w:rsidP="00881E29">
            <w:pPr>
              <w:spacing w:before="60" w:after="60" w:line="240" w:lineRule="auto"/>
              <w:rPr>
                <w:rFonts w:eastAsia="Calibri" w:cs="Times New Roman"/>
                <w:iCs/>
                <w:sz w:val="18"/>
                <w:szCs w:val="18"/>
              </w:rPr>
            </w:pPr>
            <w:r w:rsidRPr="00D95799">
              <w:rPr>
                <w:rFonts w:eastAsia="Calibri" w:cs="Times New Roman"/>
                <w:i/>
                <w:iCs/>
                <w:sz w:val="18"/>
                <w:szCs w:val="18"/>
              </w:rPr>
              <w:t xml:space="preserve">Valsella melastoma </w:t>
            </w:r>
            <w:r w:rsidRPr="00D95799">
              <w:rPr>
                <w:rFonts w:eastAsia="Calibri" w:cs="Times New Roman"/>
                <w:iCs/>
                <w:sz w:val="18"/>
                <w:szCs w:val="18"/>
              </w:rPr>
              <w:t>(Fr.) Sacc.</w:t>
            </w:r>
          </w:p>
          <w:p w14:paraId="76248997"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 xml:space="preserve">Synonym: </w:t>
            </w:r>
            <w:r w:rsidRPr="00D95799">
              <w:rPr>
                <w:rFonts w:eastAsia="Calibri" w:cs="Times New Roman"/>
                <w:i/>
                <w:iCs/>
                <w:sz w:val="18"/>
                <w:szCs w:val="18"/>
              </w:rPr>
              <w:t>Valsa melastoma</w:t>
            </w:r>
            <w:r w:rsidRPr="00D95799">
              <w:rPr>
                <w:rFonts w:eastAsia="Calibri" w:cs="Times New Roman"/>
                <w:iCs/>
                <w:sz w:val="18"/>
                <w:szCs w:val="18"/>
              </w:rPr>
              <w:t xml:space="preserve"> Fr.</w:t>
            </w:r>
          </w:p>
          <w:p w14:paraId="72BF5F76"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iCs/>
                <w:sz w:val="18"/>
                <w:szCs w:val="18"/>
              </w:rPr>
              <w:t>[Diaporthales: Valsaceae]</w:t>
            </w:r>
          </w:p>
        </w:tc>
        <w:tc>
          <w:tcPr>
            <w:tcW w:w="1474" w:type="dxa"/>
            <w:shd w:val="clear" w:color="auto" w:fill="FFFFFF" w:themeFill="background1"/>
          </w:tcPr>
          <w:p w14:paraId="32BE2A94"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sz w:val="18"/>
                <w:szCs w:val="18"/>
                <w:lang w:val="pt-BR"/>
              </w:rPr>
              <w:t xml:space="preserve">Yes. </w:t>
            </w:r>
            <w:r>
              <w:rPr>
                <w:rFonts w:eastAsia="Calibri" w:cs="Times New Roman"/>
                <w:sz w:val="18"/>
                <w:szCs w:val="18"/>
                <w:lang w:val="pt-BR"/>
              </w:rPr>
              <w:t xml:space="preserve">Present in WA. Also present in </w:t>
            </w:r>
            <w:r w:rsidRPr="00D95799">
              <w:rPr>
                <w:rFonts w:eastAsia="Calibri" w:cs="Times New Roman"/>
                <w:sz w:val="18"/>
                <w:szCs w:val="18"/>
                <w:lang w:val="pt-BR"/>
              </w:rPr>
              <w:t>IA</w:t>
            </w:r>
            <w:r>
              <w:rPr>
                <w:rFonts w:eastAsia="Calibri" w:cs="Times New Roman"/>
                <w:sz w:val="18"/>
                <w:szCs w:val="18"/>
                <w:lang w:val="pt-BR"/>
              </w:rPr>
              <w:t xml:space="preserve"> and</w:t>
            </w:r>
            <w:r w:rsidRPr="00D95799">
              <w:rPr>
                <w:rFonts w:eastAsia="Calibri" w:cs="Times New Roman"/>
                <w:sz w:val="18"/>
                <w:szCs w:val="18"/>
                <w:lang w:val="pt-BR"/>
              </w:rPr>
              <w:t xml:space="preserve"> MI </w:t>
            </w:r>
            <w:r>
              <w:rPr>
                <w:rFonts w:eastAsia="Calibri" w:cs="Times New Roman"/>
                <w:noProof/>
                <w:sz w:val="18"/>
                <w:szCs w:val="18"/>
                <w:lang w:val="pt-BR"/>
              </w:rPr>
              <w:t>(Farr &amp; Rossman 2018; Glawe 2009)</w:t>
            </w:r>
          </w:p>
        </w:tc>
        <w:tc>
          <w:tcPr>
            <w:tcW w:w="1474" w:type="dxa"/>
            <w:shd w:val="clear" w:color="auto" w:fill="FFFFFF" w:themeFill="background1"/>
          </w:tcPr>
          <w:p w14:paraId="44743B38"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 records found</w:t>
            </w:r>
          </w:p>
        </w:tc>
        <w:tc>
          <w:tcPr>
            <w:tcW w:w="2552" w:type="dxa"/>
            <w:shd w:val="clear" w:color="auto" w:fill="FFFFFF" w:themeFill="background1"/>
          </w:tcPr>
          <w:p w14:paraId="3A10A9D0"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No. Found on limbs of apple </w:t>
            </w:r>
            <w:r>
              <w:rPr>
                <w:rFonts w:eastAsia="Calibri" w:cs="Times New Roman"/>
                <w:sz w:val="18"/>
                <w:szCs w:val="18"/>
              </w:rPr>
              <w:t xml:space="preserve">tree </w:t>
            </w:r>
            <w:r>
              <w:rPr>
                <w:rFonts w:eastAsia="Calibri" w:cs="Times New Roman"/>
                <w:noProof/>
                <w:sz w:val="18"/>
                <w:szCs w:val="18"/>
              </w:rPr>
              <w:t>(Farr et al. 1989)</w:t>
            </w:r>
          </w:p>
        </w:tc>
        <w:tc>
          <w:tcPr>
            <w:tcW w:w="2381" w:type="dxa"/>
            <w:shd w:val="clear" w:color="auto" w:fill="FFFFFF" w:themeFill="background1"/>
          </w:tcPr>
          <w:p w14:paraId="2C4F5B91"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211" w:type="dxa"/>
            <w:shd w:val="clear" w:color="auto" w:fill="FFFFFF" w:themeFill="background1"/>
          </w:tcPr>
          <w:p w14:paraId="7B789CB1"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FFFFFF" w:themeFill="background1"/>
          </w:tcPr>
          <w:p w14:paraId="5D203C64"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95799" w14:paraId="766248EF" w14:textId="77777777" w:rsidTr="006C48B5">
        <w:trPr>
          <w:cantSplit/>
          <w:trHeight w:val="75"/>
          <w:jc w:val="center"/>
        </w:trPr>
        <w:tc>
          <w:tcPr>
            <w:tcW w:w="1985" w:type="dxa"/>
            <w:shd w:val="clear" w:color="auto" w:fill="auto"/>
          </w:tcPr>
          <w:p w14:paraId="48F5EA99"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
                <w:iCs/>
                <w:sz w:val="18"/>
                <w:szCs w:val="18"/>
              </w:rPr>
              <w:lastRenderedPageBreak/>
              <w:t xml:space="preserve">Venturia inaequalis </w:t>
            </w:r>
            <w:r w:rsidRPr="00D95799">
              <w:rPr>
                <w:rFonts w:eastAsia="Calibri" w:cs="Times New Roman"/>
                <w:iCs/>
                <w:sz w:val="18"/>
                <w:szCs w:val="18"/>
              </w:rPr>
              <w:t>(Cooke) G. Winter</w:t>
            </w:r>
          </w:p>
          <w:p w14:paraId="1D35C4C7"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 xml:space="preserve">Synonym: </w:t>
            </w:r>
            <w:r w:rsidRPr="00D95799">
              <w:rPr>
                <w:rFonts w:eastAsia="Calibri" w:cs="Times New Roman"/>
                <w:i/>
                <w:iCs/>
                <w:sz w:val="18"/>
                <w:szCs w:val="18"/>
              </w:rPr>
              <w:t>Fusicladium pomi</w:t>
            </w:r>
            <w:r w:rsidRPr="00D95799">
              <w:rPr>
                <w:rFonts w:eastAsia="Calibri" w:cs="Times New Roman"/>
                <w:iCs/>
                <w:sz w:val="18"/>
                <w:szCs w:val="18"/>
              </w:rPr>
              <w:t xml:space="preserve"> (Fr.) Lind</w:t>
            </w:r>
          </w:p>
          <w:p w14:paraId="32CACDED" w14:textId="77777777" w:rsidR="003438A2" w:rsidRPr="00D95799" w:rsidRDefault="003438A2" w:rsidP="00881E29">
            <w:pPr>
              <w:spacing w:before="60" w:after="60" w:line="240" w:lineRule="auto"/>
              <w:rPr>
                <w:rFonts w:eastAsia="Calibri" w:cs="Times New Roman"/>
                <w:iCs/>
                <w:sz w:val="18"/>
                <w:szCs w:val="18"/>
              </w:rPr>
            </w:pPr>
            <w:r w:rsidRPr="00D95799">
              <w:rPr>
                <w:rFonts w:eastAsia="Calibri" w:cs="Times New Roman"/>
                <w:iCs/>
                <w:sz w:val="18"/>
                <w:szCs w:val="18"/>
              </w:rPr>
              <w:t>[</w:t>
            </w:r>
            <w:r w:rsidRPr="00D95799">
              <w:rPr>
                <w:rFonts w:eastAsia="Calibri" w:cs="Times New Roman"/>
                <w:sz w:val="18"/>
                <w:szCs w:val="18"/>
              </w:rPr>
              <w:t>Venturiales:</w:t>
            </w:r>
            <w:r w:rsidRPr="00D95799">
              <w:rPr>
                <w:rFonts w:eastAsia="Calibri" w:cs="Times New Roman"/>
                <w:iCs/>
                <w:sz w:val="18"/>
                <w:szCs w:val="18"/>
              </w:rPr>
              <w:t xml:space="preserve"> Venturiaceae]</w:t>
            </w:r>
          </w:p>
          <w:p w14:paraId="294AC974"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iCs/>
                <w:sz w:val="18"/>
                <w:szCs w:val="18"/>
              </w:rPr>
              <w:t>Apple scab</w:t>
            </w:r>
          </w:p>
        </w:tc>
        <w:tc>
          <w:tcPr>
            <w:tcW w:w="1474" w:type="dxa"/>
            <w:shd w:val="clear" w:color="auto" w:fill="auto"/>
          </w:tcPr>
          <w:p w14:paraId="351F1E24"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w:t>
            </w:r>
            <w:r>
              <w:rPr>
                <w:rFonts w:eastAsia="Calibri" w:cs="Times New Roman"/>
                <w:sz w:val="18"/>
                <w:szCs w:val="18"/>
              </w:rPr>
              <w:t xml:space="preserve">Present in </w:t>
            </w:r>
            <w:r w:rsidRPr="00D95799">
              <w:rPr>
                <w:rFonts w:eastAsia="Calibri" w:cs="Times New Roman"/>
                <w:sz w:val="18"/>
                <w:szCs w:val="18"/>
              </w:rPr>
              <w:t>ID, OR</w:t>
            </w:r>
            <w:r>
              <w:rPr>
                <w:rFonts w:eastAsia="Calibri" w:cs="Times New Roman"/>
                <w:sz w:val="18"/>
                <w:szCs w:val="18"/>
              </w:rPr>
              <w:t xml:space="preserve"> and</w:t>
            </w:r>
            <w:r w:rsidRPr="00D95799">
              <w:rPr>
                <w:rFonts w:eastAsia="Calibri" w:cs="Times New Roman"/>
                <w:sz w:val="18"/>
                <w:szCs w:val="18"/>
              </w:rPr>
              <w:t xml:space="preserve"> WA</w:t>
            </w:r>
            <w:r>
              <w:rPr>
                <w:rFonts w:eastAsia="Calibri" w:cs="Times New Roman"/>
                <w:sz w:val="18"/>
                <w:szCs w:val="18"/>
              </w:rPr>
              <w:t>. Also present in</w:t>
            </w:r>
            <w:r w:rsidRPr="00D95799">
              <w:rPr>
                <w:rFonts w:eastAsia="Calibri" w:cs="Times New Roman"/>
                <w:sz w:val="18"/>
                <w:szCs w:val="18"/>
              </w:rPr>
              <w:t xml:space="preserve"> AK, AL, CA, CT, FL, GA, MS, MT, NC, OK, SD</w:t>
            </w:r>
            <w:r>
              <w:rPr>
                <w:rFonts w:eastAsia="Calibri" w:cs="Times New Roman"/>
                <w:sz w:val="18"/>
                <w:szCs w:val="18"/>
              </w:rPr>
              <w:t xml:space="preserve"> and</w:t>
            </w:r>
            <w:r w:rsidRPr="00D95799">
              <w:rPr>
                <w:rFonts w:eastAsia="Calibri" w:cs="Times New Roman"/>
                <w:sz w:val="18"/>
                <w:szCs w:val="18"/>
              </w:rPr>
              <w:t xml:space="preserve"> TN </w:t>
            </w:r>
            <w:r>
              <w:rPr>
                <w:rFonts w:eastAsia="Calibri" w:cs="Times New Roman"/>
                <w:noProof/>
                <w:sz w:val="18"/>
                <w:szCs w:val="18"/>
              </w:rPr>
              <w:t>(APHIS 2007; Farr &amp; Rossman 2018)</w:t>
            </w:r>
          </w:p>
        </w:tc>
        <w:tc>
          <w:tcPr>
            <w:tcW w:w="1474" w:type="dxa"/>
            <w:shd w:val="clear" w:color="auto" w:fill="auto"/>
          </w:tcPr>
          <w:p w14:paraId="05D40AFF"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NSW, Qld, SA, Tas., Vic., WA </w:t>
            </w:r>
            <w:r>
              <w:rPr>
                <w:rFonts w:eastAsia="Calibri" w:cs="Times New Roman"/>
                <w:noProof/>
                <w:sz w:val="18"/>
                <w:szCs w:val="18"/>
              </w:rPr>
              <w:t>(Plant Health Australia 2018)</w:t>
            </w:r>
          </w:p>
        </w:tc>
        <w:tc>
          <w:tcPr>
            <w:tcW w:w="2552" w:type="dxa"/>
            <w:shd w:val="clear" w:color="auto" w:fill="auto"/>
          </w:tcPr>
          <w:p w14:paraId="32B689CA"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381" w:type="dxa"/>
            <w:shd w:val="clear" w:color="auto" w:fill="auto"/>
          </w:tcPr>
          <w:p w14:paraId="1FD0EA38"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211" w:type="dxa"/>
            <w:shd w:val="clear" w:color="auto" w:fill="auto"/>
          </w:tcPr>
          <w:p w14:paraId="2CB62609"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auto"/>
          </w:tcPr>
          <w:p w14:paraId="62DDE9E1"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EA4704" w14:paraId="710C025D" w14:textId="77777777" w:rsidTr="002878F4">
        <w:trPr>
          <w:cantSplit/>
          <w:trHeight w:val="75"/>
          <w:jc w:val="center"/>
        </w:trPr>
        <w:tc>
          <w:tcPr>
            <w:tcW w:w="13268" w:type="dxa"/>
            <w:gridSpan w:val="7"/>
            <w:shd w:val="clear" w:color="auto" w:fill="auto"/>
          </w:tcPr>
          <w:p w14:paraId="3394DDC1" w14:textId="77777777" w:rsidR="003438A2" w:rsidRPr="00EA4704" w:rsidRDefault="003438A2" w:rsidP="00881E29">
            <w:pPr>
              <w:spacing w:before="60" w:after="60" w:line="240" w:lineRule="auto"/>
              <w:rPr>
                <w:rFonts w:eastAsia="Calibri" w:cs="Times New Roman"/>
                <w:sz w:val="18"/>
                <w:szCs w:val="18"/>
              </w:rPr>
            </w:pPr>
            <w:r>
              <w:rPr>
                <w:b/>
                <w:sz w:val="18"/>
              </w:rPr>
              <w:t>PHYTOPLASMA</w:t>
            </w:r>
          </w:p>
        </w:tc>
      </w:tr>
      <w:tr w:rsidR="003438A2" w:rsidRPr="007107BF" w14:paraId="3B18CFED" w14:textId="77777777" w:rsidTr="006C48B5">
        <w:trPr>
          <w:cantSplit/>
          <w:trHeight w:val="75"/>
          <w:jc w:val="center"/>
        </w:trPr>
        <w:tc>
          <w:tcPr>
            <w:tcW w:w="1985" w:type="dxa"/>
            <w:shd w:val="clear" w:color="auto" w:fill="auto"/>
          </w:tcPr>
          <w:p w14:paraId="74C38E09"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Apple chat fruit phytoplasma</w:t>
            </w:r>
          </w:p>
          <w:p w14:paraId="0D2CF0F9"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Apple chat fruit; apple small fruit</w:t>
            </w:r>
          </w:p>
        </w:tc>
        <w:tc>
          <w:tcPr>
            <w:tcW w:w="1474" w:type="dxa"/>
            <w:shd w:val="clear" w:color="auto" w:fill="auto"/>
          </w:tcPr>
          <w:p w14:paraId="1025441F" w14:textId="77777777" w:rsidR="003438A2" w:rsidRPr="0054161D" w:rsidRDefault="003438A2" w:rsidP="00CF0DD6">
            <w:pPr>
              <w:spacing w:before="60" w:after="60" w:line="240" w:lineRule="auto"/>
              <w:rPr>
                <w:sz w:val="18"/>
                <w:szCs w:val="18"/>
              </w:rPr>
            </w:pPr>
            <w:r w:rsidRPr="00574C2A">
              <w:rPr>
                <w:rFonts w:eastAsia="Calibri" w:cs="Times New Roman"/>
                <w:sz w:val="18"/>
                <w:szCs w:val="18"/>
              </w:rPr>
              <w:t xml:space="preserve">No. Present in other parts of </w:t>
            </w:r>
            <w:r w:rsidRPr="0054161D">
              <w:rPr>
                <w:rFonts w:eastAsia="Calibri" w:cs="Times New Roman"/>
                <w:sz w:val="18"/>
                <w:szCs w:val="18"/>
              </w:rPr>
              <w:t xml:space="preserve">the USA </w:t>
            </w:r>
            <w:r w:rsidRPr="0054161D">
              <w:rPr>
                <w:noProof/>
                <w:sz w:val="18"/>
                <w:szCs w:val="18"/>
              </w:rPr>
              <w:t>(Pscheidt &amp; Ocamb 2019)</w:t>
            </w:r>
          </w:p>
          <w:p w14:paraId="00B30D91" w14:textId="77777777" w:rsidR="003438A2" w:rsidRPr="00574C2A" w:rsidRDefault="003438A2" w:rsidP="00881E29">
            <w:pPr>
              <w:spacing w:before="60" w:after="60" w:line="240" w:lineRule="auto"/>
              <w:rPr>
                <w:rFonts w:eastAsia="Calibri" w:cs="Times New Roman"/>
                <w:sz w:val="18"/>
                <w:szCs w:val="18"/>
                <w:highlight w:val="cyan"/>
                <w:lang w:val="pt-BR"/>
              </w:rPr>
            </w:pPr>
            <w:r w:rsidRPr="00574C2A">
              <w:rPr>
                <w:rFonts w:eastAsia="Calibri" w:cs="Times New Roman"/>
                <w:sz w:val="18"/>
                <w:szCs w:val="18"/>
                <w:highlight w:val="cyan"/>
              </w:rPr>
              <w:t xml:space="preserve"> </w:t>
            </w:r>
          </w:p>
        </w:tc>
        <w:tc>
          <w:tcPr>
            <w:tcW w:w="1474" w:type="dxa"/>
            <w:shd w:val="clear" w:color="auto" w:fill="auto"/>
          </w:tcPr>
          <w:p w14:paraId="701C1EE8"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 records found</w:t>
            </w:r>
          </w:p>
        </w:tc>
        <w:tc>
          <w:tcPr>
            <w:tcW w:w="2552" w:type="dxa"/>
            <w:shd w:val="clear" w:color="auto" w:fill="auto"/>
          </w:tcPr>
          <w:p w14:paraId="01DAA312" w14:textId="77777777" w:rsidR="003438A2" w:rsidRPr="007107BF" w:rsidRDefault="003438A2" w:rsidP="00881E29">
            <w:pPr>
              <w:spacing w:before="60" w:after="60" w:line="240" w:lineRule="auto"/>
              <w:rPr>
                <w:rFonts w:eastAsia="Calibri" w:cs="Times New Roman"/>
                <w:sz w:val="18"/>
                <w:szCs w:val="18"/>
              </w:rPr>
            </w:pPr>
            <w:r w:rsidRPr="00764903">
              <w:rPr>
                <w:rFonts w:eastAsia="Calibri" w:cs="Times New Roman"/>
                <w:sz w:val="18"/>
                <w:szCs w:val="18"/>
              </w:rPr>
              <w:t>Assessment not required</w:t>
            </w:r>
          </w:p>
        </w:tc>
        <w:tc>
          <w:tcPr>
            <w:tcW w:w="2381" w:type="dxa"/>
            <w:shd w:val="clear" w:color="auto" w:fill="auto"/>
          </w:tcPr>
          <w:p w14:paraId="3BAEA110"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2211" w:type="dxa"/>
            <w:shd w:val="clear" w:color="auto" w:fill="auto"/>
          </w:tcPr>
          <w:p w14:paraId="3565AD25"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Assessment not required</w:t>
            </w:r>
          </w:p>
        </w:tc>
        <w:tc>
          <w:tcPr>
            <w:tcW w:w="1191" w:type="dxa"/>
            <w:shd w:val="clear" w:color="auto" w:fill="auto"/>
          </w:tcPr>
          <w:p w14:paraId="18B0361E" w14:textId="77777777" w:rsidR="003438A2" w:rsidRPr="007107BF" w:rsidRDefault="003438A2" w:rsidP="00881E29">
            <w:pPr>
              <w:spacing w:before="60" w:after="60" w:line="240" w:lineRule="auto"/>
              <w:rPr>
                <w:rFonts w:eastAsia="Calibri" w:cs="Times New Roman"/>
                <w:sz w:val="18"/>
                <w:szCs w:val="18"/>
              </w:rPr>
            </w:pPr>
            <w:r w:rsidRPr="007107BF">
              <w:rPr>
                <w:rFonts w:eastAsia="Calibri" w:cs="Times New Roman"/>
                <w:sz w:val="18"/>
                <w:szCs w:val="18"/>
              </w:rPr>
              <w:t>No</w:t>
            </w:r>
          </w:p>
        </w:tc>
      </w:tr>
      <w:tr w:rsidR="003438A2" w:rsidRPr="00D95799" w14:paraId="50208CE7" w14:textId="77777777" w:rsidTr="0029397E">
        <w:trPr>
          <w:cantSplit/>
          <w:trHeight w:val="75"/>
          <w:jc w:val="center"/>
        </w:trPr>
        <w:tc>
          <w:tcPr>
            <w:tcW w:w="13268" w:type="dxa"/>
            <w:gridSpan w:val="7"/>
            <w:shd w:val="clear" w:color="auto" w:fill="auto"/>
          </w:tcPr>
          <w:p w14:paraId="41ED8553" w14:textId="77777777" w:rsidR="003438A2" w:rsidRPr="00D95799" w:rsidRDefault="003438A2" w:rsidP="00881E29">
            <w:pPr>
              <w:keepNext/>
              <w:spacing w:before="60" w:after="60" w:line="240" w:lineRule="auto"/>
              <w:rPr>
                <w:rFonts w:eastAsia="Calibri" w:cs="Times New Roman"/>
                <w:sz w:val="18"/>
                <w:szCs w:val="18"/>
              </w:rPr>
            </w:pPr>
            <w:bookmarkStart w:id="550" w:name="_Hlk75105598"/>
            <w:r w:rsidRPr="00D95799">
              <w:rPr>
                <w:rFonts w:eastAsia="Calibri" w:cs="Times New Roman"/>
                <w:b/>
                <w:iCs/>
                <w:sz w:val="18"/>
                <w:szCs w:val="18"/>
              </w:rPr>
              <w:t>VIROIDS</w:t>
            </w:r>
          </w:p>
        </w:tc>
      </w:tr>
      <w:tr w:rsidR="003438A2" w:rsidRPr="000A0EAD" w14:paraId="50A949BA" w14:textId="77777777" w:rsidTr="00713136">
        <w:trPr>
          <w:cantSplit/>
          <w:trHeight w:val="75"/>
          <w:jc w:val="center"/>
        </w:trPr>
        <w:tc>
          <w:tcPr>
            <w:tcW w:w="1985" w:type="dxa"/>
            <w:shd w:val="clear" w:color="auto" w:fill="auto"/>
          </w:tcPr>
          <w:p w14:paraId="0BCA6C43" w14:textId="77777777" w:rsidR="003438A2" w:rsidRPr="000A0EAD" w:rsidRDefault="003438A2" w:rsidP="00CF0DD6">
            <w:pPr>
              <w:spacing w:before="60" w:after="60" w:line="240" w:lineRule="auto"/>
              <w:rPr>
                <w:rFonts w:asciiTheme="majorHAnsi" w:eastAsia="Calibri" w:hAnsiTheme="majorHAnsi" w:cs="Times New Roman"/>
                <w:sz w:val="18"/>
                <w:szCs w:val="18"/>
              </w:rPr>
            </w:pPr>
            <w:r w:rsidRPr="0073398E">
              <w:rPr>
                <w:rFonts w:asciiTheme="majorHAnsi" w:eastAsia="Calibri" w:hAnsiTheme="majorHAnsi" w:cs="Times New Roman"/>
                <w:i/>
                <w:iCs/>
                <w:sz w:val="18"/>
                <w:szCs w:val="18"/>
              </w:rPr>
              <w:t>Apple hammerhead viroid</w:t>
            </w:r>
            <w:r w:rsidRPr="000A0EAD">
              <w:rPr>
                <w:rFonts w:asciiTheme="majorHAnsi" w:eastAsia="Calibri" w:hAnsiTheme="majorHAnsi" w:cs="Times New Roman"/>
                <w:sz w:val="18"/>
                <w:szCs w:val="18"/>
              </w:rPr>
              <w:t xml:space="preserve"> (AhVd)</w:t>
            </w:r>
          </w:p>
          <w:p w14:paraId="6FA800DB" w14:textId="77777777" w:rsidR="003438A2" w:rsidRPr="000A0EAD" w:rsidRDefault="003438A2" w:rsidP="00CF0DD6">
            <w:pPr>
              <w:spacing w:before="60" w:after="60" w:line="240" w:lineRule="auto"/>
              <w:rPr>
                <w:rFonts w:asciiTheme="majorHAnsi" w:eastAsia="Calibri" w:hAnsiTheme="majorHAnsi" w:cs="Times New Roman"/>
                <w:sz w:val="18"/>
                <w:szCs w:val="18"/>
              </w:rPr>
            </w:pPr>
            <w:r w:rsidRPr="000A0EAD">
              <w:rPr>
                <w:rFonts w:asciiTheme="majorHAnsi" w:eastAsia="Calibri" w:hAnsiTheme="majorHAnsi" w:cs="Times New Roman"/>
                <w:sz w:val="18"/>
                <w:szCs w:val="18"/>
              </w:rPr>
              <w:t>[Avsunviroidae: Pelamoviroid]</w:t>
            </w:r>
          </w:p>
        </w:tc>
        <w:tc>
          <w:tcPr>
            <w:tcW w:w="1474" w:type="dxa"/>
            <w:shd w:val="clear" w:color="auto" w:fill="auto"/>
          </w:tcPr>
          <w:p w14:paraId="1B35CC72" w14:textId="77777777" w:rsidR="003438A2" w:rsidRPr="000A0EAD" w:rsidRDefault="003438A2" w:rsidP="00CF0DD6">
            <w:pPr>
              <w:spacing w:before="60" w:after="60" w:line="240" w:lineRule="auto"/>
              <w:rPr>
                <w:rFonts w:asciiTheme="majorHAnsi" w:eastAsia="Calibri" w:hAnsiTheme="majorHAnsi" w:cs="Times New Roman"/>
                <w:sz w:val="18"/>
                <w:szCs w:val="18"/>
              </w:rPr>
            </w:pPr>
            <w:r w:rsidRPr="000A0EAD">
              <w:rPr>
                <w:rFonts w:asciiTheme="majorHAnsi" w:eastAsia="Calibri" w:hAnsiTheme="majorHAnsi" w:cs="Times New Roman"/>
                <w:sz w:val="18"/>
                <w:szCs w:val="18"/>
              </w:rPr>
              <w:t xml:space="preserve">Yes. Present in WA </w:t>
            </w:r>
            <w:r w:rsidRPr="000A0EAD">
              <w:rPr>
                <w:rFonts w:asciiTheme="majorHAnsi" w:hAnsiTheme="majorHAnsi"/>
                <w:noProof/>
                <w:sz w:val="18"/>
                <w:szCs w:val="18"/>
              </w:rPr>
              <w:t>(Szostek, Wright &amp; Harper 2018)</w:t>
            </w:r>
            <w:r>
              <w:rPr>
                <w:rFonts w:asciiTheme="majorHAnsi" w:hAnsiTheme="majorHAnsi"/>
                <w:sz w:val="18"/>
                <w:szCs w:val="18"/>
              </w:rPr>
              <w:t xml:space="preserve"> and OR </w:t>
            </w:r>
            <w:r>
              <w:rPr>
                <w:noProof/>
                <w:sz w:val="18"/>
                <w:szCs w:val="18"/>
              </w:rPr>
              <w:t>(Pscheidt &amp; Ocamb 2022a)</w:t>
            </w:r>
          </w:p>
        </w:tc>
        <w:tc>
          <w:tcPr>
            <w:tcW w:w="1474" w:type="dxa"/>
            <w:shd w:val="clear" w:color="auto" w:fill="auto"/>
          </w:tcPr>
          <w:p w14:paraId="79F0E0B1" w14:textId="77777777" w:rsidR="003438A2" w:rsidRPr="000A0EAD" w:rsidRDefault="003438A2" w:rsidP="00881E29">
            <w:pPr>
              <w:spacing w:before="60" w:after="60" w:line="240" w:lineRule="auto"/>
              <w:rPr>
                <w:rFonts w:asciiTheme="majorHAnsi" w:eastAsia="Calibri" w:hAnsiTheme="majorHAnsi" w:cs="Times New Roman"/>
                <w:sz w:val="18"/>
                <w:szCs w:val="18"/>
              </w:rPr>
            </w:pPr>
            <w:r w:rsidRPr="000A0EAD">
              <w:rPr>
                <w:rFonts w:asciiTheme="majorHAnsi" w:hAnsiTheme="majorHAnsi" w:cstheme="minorHAnsi"/>
                <w:sz w:val="18"/>
                <w:szCs w:val="18"/>
              </w:rPr>
              <w:t>No records found</w:t>
            </w:r>
          </w:p>
        </w:tc>
        <w:tc>
          <w:tcPr>
            <w:tcW w:w="2552" w:type="dxa"/>
            <w:shd w:val="clear" w:color="auto" w:fill="auto"/>
          </w:tcPr>
          <w:p w14:paraId="28E8D7BE" w14:textId="77777777" w:rsidR="003438A2" w:rsidRPr="000A0EAD" w:rsidRDefault="003438A2" w:rsidP="00CF0DD6">
            <w:pPr>
              <w:spacing w:before="60" w:after="60" w:line="240" w:lineRule="auto"/>
              <w:rPr>
                <w:rFonts w:asciiTheme="majorHAnsi" w:eastAsia="Calibri" w:hAnsiTheme="majorHAnsi" w:cs="Times New Roman"/>
                <w:sz w:val="18"/>
                <w:szCs w:val="18"/>
              </w:rPr>
            </w:pPr>
            <w:r w:rsidRPr="000A0EAD">
              <w:rPr>
                <w:rFonts w:asciiTheme="majorHAnsi" w:eastAsia="Calibri" w:hAnsiTheme="majorHAnsi" w:cs="Times New Roman"/>
                <w:sz w:val="18"/>
                <w:szCs w:val="18"/>
              </w:rPr>
              <w:t xml:space="preserve">No. Apple is a host for </w:t>
            </w:r>
            <w:r w:rsidRPr="000A0EAD">
              <w:rPr>
                <w:rFonts w:asciiTheme="majorHAnsi" w:hAnsiTheme="majorHAnsi" w:cstheme="minorHAnsi"/>
                <w:sz w:val="18"/>
                <w:szCs w:val="18"/>
                <w:lang w:val="en"/>
              </w:rPr>
              <w:t xml:space="preserve">AHVd </w:t>
            </w:r>
            <w:r w:rsidRPr="000A0EAD">
              <w:rPr>
                <w:rFonts w:asciiTheme="majorHAnsi" w:hAnsiTheme="majorHAnsi" w:cstheme="minorHAnsi"/>
                <w:noProof/>
                <w:sz w:val="18"/>
                <w:szCs w:val="18"/>
                <w:lang w:val="en"/>
              </w:rPr>
              <w:t>(Hadidi et al. 2011)</w:t>
            </w:r>
            <w:r w:rsidRPr="000A0EAD">
              <w:rPr>
                <w:rFonts w:asciiTheme="majorHAnsi" w:hAnsiTheme="majorHAnsi" w:cstheme="minorHAnsi"/>
                <w:iCs/>
                <w:sz w:val="18"/>
                <w:szCs w:val="18"/>
              </w:rPr>
              <w:t>. Fruit infection has not been re</w:t>
            </w:r>
            <w:r>
              <w:rPr>
                <w:rFonts w:asciiTheme="majorHAnsi" w:hAnsiTheme="majorHAnsi" w:cstheme="minorHAnsi"/>
                <w:iCs/>
                <w:sz w:val="18"/>
                <w:szCs w:val="18"/>
              </w:rPr>
              <w:t>cord</w:t>
            </w:r>
            <w:r w:rsidRPr="000A0EAD">
              <w:rPr>
                <w:rFonts w:asciiTheme="majorHAnsi" w:hAnsiTheme="majorHAnsi" w:cstheme="minorHAnsi"/>
                <w:iCs/>
                <w:sz w:val="18"/>
                <w:szCs w:val="18"/>
              </w:rPr>
              <w:t>ed</w:t>
            </w:r>
            <w:r>
              <w:rPr>
                <w:rFonts w:asciiTheme="majorHAnsi" w:hAnsiTheme="majorHAnsi" w:cstheme="minorHAnsi"/>
                <w:iCs/>
                <w:sz w:val="18"/>
                <w:szCs w:val="18"/>
              </w:rPr>
              <w:t xml:space="preserve"> </w:t>
            </w:r>
            <w:r w:rsidRPr="000A0EAD">
              <w:rPr>
                <w:rFonts w:asciiTheme="majorHAnsi" w:hAnsiTheme="majorHAnsi"/>
                <w:noProof/>
                <w:sz w:val="18"/>
                <w:szCs w:val="18"/>
              </w:rPr>
              <w:t>(Szostek, Wright &amp; Harper 2018)</w:t>
            </w:r>
            <w:r>
              <w:rPr>
                <w:rFonts w:asciiTheme="majorHAnsi" w:hAnsiTheme="majorHAnsi"/>
                <w:sz w:val="18"/>
                <w:szCs w:val="18"/>
              </w:rPr>
              <w:t>.</w:t>
            </w:r>
          </w:p>
        </w:tc>
        <w:tc>
          <w:tcPr>
            <w:tcW w:w="2381" w:type="dxa"/>
            <w:shd w:val="clear" w:color="auto" w:fill="auto"/>
          </w:tcPr>
          <w:p w14:paraId="07A96E2A" w14:textId="77777777" w:rsidR="003438A2" w:rsidRPr="000A0EAD" w:rsidRDefault="003438A2" w:rsidP="00881E29">
            <w:pPr>
              <w:spacing w:before="60" w:after="60" w:line="240" w:lineRule="auto"/>
              <w:rPr>
                <w:rFonts w:asciiTheme="majorHAnsi" w:eastAsia="Calibri" w:hAnsiTheme="majorHAnsi" w:cs="Times New Roman"/>
                <w:sz w:val="18"/>
                <w:szCs w:val="18"/>
              </w:rPr>
            </w:pPr>
            <w:r w:rsidRPr="000A0EAD">
              <w:rPr>
                <w:rFonts w:asciiTheme="majorHAnsi" w:eastAsia="Calibri" w:hAnsiTheme="majorHAnsi" w:cs="Times New Roman"/>
                <w:sz w:val="18"/>
                <w:szCs w:val="18"/>
              </w:rPr>
              <w:t>Assessment not required</w:t>
            </w:r>
          </w:p>
        </w:tc>
        <w:tc>
          <w:tcPr>
            <w:tcW w:w="2211" w:type="dxa"/>
            <w:shd w:val="clear" w:color="auto" w:fill="auto"/>
          </w:tcPr>
          <w:p w14:paraId="09F40871" w14:textId="77777777" w:rsidR="003438A2" w:rsidRPr="000A0EAD" w:rsidRDefault="003438A2" w:rsidP="00881E29">
            <w:pPr>
              <w:spacing w:before="60" w:after="60" w:line="240" w:lineRule="auto"/>
              <w:rPr>
                <w:rFonts w:asciiTheme="majorHAnsi" w:eastAsia="Calibri" w:hAnsiTheme="majorHAnsi" w:cs="Times New Roman"/>
                <w:sz w:val="18"/>
                <w:szCs w:val="18"/>
              </w:rPr>
            </w:pPr>
            <w:r w:rsidRPr="000A0EAD">
              <w:rPr>
                <w:rFonts w:asciiTheme="majorHAnsi" w:eastAsia="Calibri" w:hAnsiTheme="majorHAnsi" w:cs="Times New Roman"/>
                <w:sz w:val="18"/>
                <w:szCs w:val="18"/>
              </w:rPr>
              <w:t>Assessment not required</w:t>
            </w:r>
          </w:p>
        </w:tc>
        <w:tc>
          <w:tcPr>
            <w:tcW w:w="1191" w:type="dxa"/>
            <w:shd w:val="clear" w:color="auto" w:fill="auto"/>
          </w:tcPr>
          <w:p w14:paraId="71F49FF4" w14:textId="77777777" w:rsidR="003438A2" w:rsidRPr="000A0EAD" w:rsidRDefault="003438A2" w:rsidP="00881E29">
            <w:pPr>
              <w:spacing w:before="60" w:after="60" w:line="240" w:lineRule="auto"/>
              <w:rPr>
                <w:rFonts w:asciiTheme="majorHAnsi" w:eastAsia="Calibri" w:hAnsiTheme="majorHAnsi" w:cs="Times New Roman"/>
                <w:sz w:val="18"/>
                <w:szCs w:val="18"/>
              </w:rPr>
            </w:pPr>
            <w:r w:rsidRPr="000A0EAD">
              <w:rPr>
                <w:rFonts w:asciiTheme="majorHAnsi" w:eastAsia="Calibri" w:hAnsiTheme="majorHAnsi" w:cs="Times New Roman"/>
                <w:sz w:val="18"/>
                <w:szCs w:val="18"/>
              </w:rPr>
              <w:t>No</w:t>
            </w:r>
          </w:p>
        </w:tc>
      </w:tr>
      <w:tr w:rsidR="003438A2" w:rsidRPr="00D95799" w14:paraId="074AB79D" w14:textId="77777777" w:rsidTr="00713136">
        <w:trPr>
          <w:cantSplit/>
          <w:trHeight w:val="75"/>
          <w:jc w:val="center"/>
        </w:trPr>
        <w:tc>
          <w:tcPr>
            <w:tcW w:w="1985" w:type="dxa"/>
            <w:shd w:val="clear" w:color="auto" w:fill="auto"/>
          </w:tcPr>
          <w:p w14:paraId="097E489A" w14:textId="77777777" w:rsidR="003438A2" w:rsidRPr="00D95799" w:rsidRDefault="003438A2" w:rsidP="00881E29">
            <w:pPr>
              <w:spacing w:before="60" w:after="60" w:line="240" w:lineRule="auto"/>
              <w:rPr>
                <w:rFonts w:eastAsia="Calibri" w:cs="Times New Roman"/>
                <w:i/>
                <w:sz w:val="18"/>
                <w:szCs w:val="18"/>
              </w:rPr>
            </w:pPr>
            <w:r w:rsidRPr="00D95799">
              <w:rPr>
                <w:rFonts w:eastAsia="Calibri" w:cs="Times New Roman"/>
                <w:i/>
                <w:sz w:val="18"/>
                <w:szCs w:val="18"/>
              </w:rPr>
              <w:lastRenderedPageBreak/>
              <w:t>Apple scar skin viroid</w:t>
            </w:r>
          </w:p>
          <w:p w14:paraId="4CB4023A"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[Pospiviroidae: Apscaviroid]</w:t>
            </w:r>
          </w:p>
          <w:p w14:paraId="30C65372" w14:textId="77777777" w:rsidR="003438A2"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ASSVd; Apple scar skin</w:t>
            </w:r>
          </w:p>
          <w:p w14:paraId="437C173A" w14:textId="77777777" w:rsidR="003438A2" w:rsidRPr="00D95799" w:rsidRDefault="003438A2" w:rsidP="00881E29">
            <w:pPr>
              <w:spacing w:before="60" w:after="60" w:line="240" w:lineRule="auto"/>
              <w:rPr>
                <w:rFonts w:eastAsia="Calibri" w:cs="Times New Roman"/>
                <w:color w:val="FF0000"/>
                <w:sz w:val="18"/>
                <w:szCs w:val="18"/>
                <w:lang w:val="pt-BR"/>
              </w:rPr>
            </w:pPr>
            <w:r>
              <w:rPr>
                <w:rFonts w:eastAsia="Calibri" w:cs="Times New Roman"/>
                <w:sz w:val="18"/>
                <w:szCs w:val="18"/>
              </w:rPr>
              <w:t xml:space="preserve">Synonyms: </w:t>
            </w:r>
            <w:r w:rsidRPr="00424120">
              <w:rPr>
                <w:rFonts w:eastAsia="Calibri" w:cs="Times New Roman"/>
                <w:i/>
                <w:sz w:val="18"/>
                <w:szCs w:val="18"/>
              </w:rPr>
              <w:t>Dapple apple viroid</w:t>
            </w:r>
            <w:r>
              <w:rPr>
                <w:rFonts w:eastAsia="Calibri" w:cs="Times New Roman"/>
                <w:sz w:val="18"/>
                <w:szCs w:val="18"/>
              </w:rPr>
              <w:t xml:space="preserve">; </w:t>
            </w:r>
            <w:r w:rsidRPr="00424120">
              <w:rPr>
                <w:rFonts w:eastAsia="Calibri" w:cs="Times New Roman"/>
                <w:i/>
                <w:sz w:val="18"/>
                <w:szCs w:val="18"/>
              </w:rPr>
              <w:t>Pear rusty skin viroid</w:t>
            </w:r>
          </w:p>
        </w:tc>
        <w:tc>
          <w:tcPr>
            <w:tcW w:w="1474" w:type="dxa"/>
            <w:shd w:val="clear" w:color="auto" w:fill="auto"/>
          </w:tcPr>
          <w:p w14:paraId="0A93EB9C" w14:textId="77777777" w:rsidR="003438A2" w:rsidRPr="00D95799" w:rsidRDefault="003438A2" w:rsidP="0007427F">
            <w:pPr>
              <w:spacing w:before="60" w:after="60" w:line="240" w:lineRule="auto"/>
              <w:rPr>
                <w:rFonts w:eastAsia="Calibri" w:cs="Times New Roman"/>
                <w:sz w:val="18"/>
                <w:szCs w:val="18"/>
              </w:rPr>
            </w:pPr>
            <w:r w:rsidRPr="00D95799">
              <w:rPr>
                <w:rFonts w:eastAsia="Calibri" w:cs="Times New Roman"/>
                <w:sz w:val="18"/>
                <w:szCs w:val="18"/>
              </w:rPr>
              <w:t xml:space="preserve">Yes. </w:t>
            </w:r>
            <w:r>
              <w:rPr>
                <w:rFonts w:eastAsia="Calibri" w:cs="Times New Roman"/>
                <w:sz w:val="18"/>
                <w:szCs w:val="18"/>
              </w:rPr>
              <w:t xml:space="preserve">Present in </w:t>
            </w:r>
            <w:r w:rsidRPr="00D95799">
              <w:rPr>
                <w:rFonts w:eastAsia="Calibri" w:cs="Times New Roman"/>
                <w:sz w:val="18"/>
                <w:szCs w:val="18"/>
              </w:rPr>
              <w:t>WA</w:t>
            </w:r>
            <w:r>
              <w:rPr>
                <w:rFonts w:eastAsia="Calibri" w:cs="Times New Roman"/>
                <w:sz w:val="18"/>
                <w:szCs w:val="18"/>
              </w:rPr>
              <w:t xml:space="preserve"> </w:t>
            </w:r>
            <w:r>
              <w:rPr>
                <w:rFonts w:eastAsia="Calibri" w:cs="Times New Roman"/>
                <w:noProof/>
                <w:sz w:val="18"/>
                <w:szCs w:val="18"/>
              </w:rPr>
              <w:t>(CABI 2022; Hadidi et al. 1991)</w:t>
            </w:r>
            <w:r w:rsidRPr="00D95799">
              <w:rPr>
                <w:rFonts w:eastAsia="Calibri" w:cs="Times New Roman"/>
                <w:sz w:val="18"/>
                <w:szCs w:val="18"/>
              </w:rPr>
              <w:t xml:space="preserve"> </w:t>
            </w:r>
          </w:p>
        </w:tc>
        <w:tc>
          <w:tcPr>
            <w:tcW w:w="1474" w:type="dxa"/>
            <w:shd w:val="clear" w:color="auto" w:fill="auto"/>
          </w:tcPr>
          <w:p w14:paraId="67C2637C"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lang w:val="pt-BR"/>
              </w:rPr>
              <w:t>No records found</w:t>
            </w:r>
          </w:p>
        </w:tc>
        <w:tc>
          <w:tcPr>
            <w:tcW w:w="2552" w:type="dxa"/>
            <w:shd w:val="clear" w:color="auto" w:fill="auto"/>
          </w:tcPr>
          <w:p w14:paraId="276F8582"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This viroid can be found in the fruit pulp </w:t>
            </w:r>
            <w:r>
              <w:rPr>
                <w:rFonts w:eastAsia="Calibri" w:cs="Times New Roman"/>
                <w:noProof/>
                <w:sz w:val="18"/>
                <w:szCs w:val="18"/>
              </w:rPr>
              <w:t>(Hurtt &amp; Podleckis 1995; Koganezawa et al. 2003)</w:t>
            </w:r>
            <w:r w:rsidRPr="00D95799">
              <w:rPr>
                <w:rFonts w:eastAsia="Calibri" w:cs="Times New Roman"/>
                <w:sz w:val="18"/>
                <w:szCs w:val="18"/>
              </w:rPr>
              <w:t xml:space="preserve"> and seeds </w:t>
            </w:r>
            <w:r>
              <w:rPr>
                <w:rFonts w:eastAsia="Calibri" w:cs="Times New Roman"/>
                <w:noProof/>
                <w:sz w:val="18"/>
                <w:szCs w:val="18"/>
              </w:rPr>
              <w:t>(Hadidi et al. 1991; Han et al. 2003)</w:t>
            </w:r>
            <w:r>
              <w:rPr>
                <w:rFonts w:eastAsia="Calibri" w:cs="Times New Roman"/>
                <w:sz w:val="18"/>
                <w:szCs w:val="18"/>
              </w:rPr>
              <w:t>.</w:t>
            </w:r>
          </w:p>
        </w:tc>
        <w:tc>
          <w:tcPr>
            <w:tcW w:w="2381" w:type="dxa"/>
            <w:shd w:val="clear" w:color="auto" w:fill="auto"/>
          </w:tcPr>
          <w:p w14:paraId="7C61908F"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w:t>
            </w:r>
            <w:r w:rsidRPr="003571ED">
              <w:rPr>
                <w:rFonts w:eastAsia="Calibri" w:cs="Times New Roman"/>
                <w:sz w:val="18"/>
                <w:szCs w:val="18"/>
              </w:rPr>
              <w:t>ASSV</w:t>
            </w:r>
            <w:r>
              <w:rPr>
                <w:rFonts w:eastAsia="Calibri" w:cs="Times New Roman"/>
                <w:sz w:val="18"/>
                <w:szCs w:val="18"/>
              </w:rPr>
              <w:t>d is present in a number of A</w:t>
            </w:r>
            <w:r w:rsidRPr="00D95799">
              <w:rPr>
                <w:rFonts w:eastAsia="Calibri" w:cs="Times New Roman"/>
                <w:sz w:val="18"/>
                <w:szCs w:val="18"/>
              </w:rPr>
              <w:t>sian countries, Europe and North America. The climat</w:t>
            </w:r>
            <w:r>
              <w:rPr>
                <w:rFonts w:eastAsia="Calibri" w:cs="Times New Roman"/>
                <w:sz w:val="18"/>
                <w:szCs w:val="18"/>
              </w:rPr>
              <w:t>ic</w:t>
            </w:r>
            <w:r w:rsidRPr="00D95799">
              <w:rPr>
                <w:rFonts w:eastAsia="Calibri" w:cs="Times New Roman"/>
                <w:sz w:val="18"/>
                <w:szCs w:val="18"/>
              </w:rPr>
              <w:t xml:space="preserve"> conditions in many parts of Australia are similar to these countries.</w:t>
            </w:r>
            <w:r>
              <w:rPr>
                <w:rFonts w:eastAsia="Calibri" w:cs="Times New Roman"/>
                <w:sz w:val="18"/>
                <w:szCs w:val="18"/>
              </w:rPr>
              <w:t xml:space="preserve"> </w:t>
            </w:r>
            <w:r w:rsidRPr="00D95799">
              <w:rPr>
                <w:rFonts w:eastAsia="Calibri" w:cs="Times New Roman"/>
                <w:sz w:val="18"/>
                <w:szCs w:val="18"/>
              </w:rPr>
              <w:t>It is generally agreed that the means of transmission of</w:t>
            </w:r>
            <w:r>
              <w:rPr>
                <w:rFonts w:eastAsia="Calibri" w:cs="Times New Roman"/>
                <w:sz w:val="18"/>
                <w:szCs w:val="18"/>
              </w:rPr>
              <w:t xml:space="preserve"> ASSVd</w:t>
            </w:r>
            <w:r w:rsidRPr="00D95799">
              <w:rPr>
                <w:rFonts w:eastAsia="Calibri" w:cs="Times New Roman"/>
                <w:sz w:val="18"/>
                <w:szCs w:val="18"/>
              </w:rPr>
              <w:t xml:space="preserve"> is by grafting and contaminated pruning equipment </w:t>
            </w:r>
            <w:r>
              <w:rPr>
                <w:rFonts w:eastAsia="Calibri" w:cs="Times New Roman"/>
                <w:noProof/>
                <w:sz w:val="18"/>
                <w:szCs w:val="18"/>
              </w:rPr>
              <w:t>(Grove et al. 2003; Han et al. 2003)</w:t>
            </w:r>
            <w:r w:rsidRPr="00D95799">
              <w:rPr>
                <w:rFonts w:eastAsia="Calibri" w:cs="Times New Roman"/>
                <w:sz w:val="18"/>
                <w:szCs w:val="18"/>
              </w:rPr>
              <w:t>.</w:t>
            </w:r>
            <w:r>
              <w:rPr>
                <w:rFonts w:eastAsia="Calibri" w:cs="Times New Roman"/>
                <w:sz w:val="18"/>
                <w:szCs w:val="18"/>
              </w:rPr>
              <w:t xml:space="preserve"> </w:t>
            </w:r>
            <w:r w:rsidRPr="00D95799">
              <w:rPr>
                <w:rFonts w:eastAsia="Calibri" w:cs="Times New Roman"/>
                <w:sz w:val="18"/>
                <w:szCs w:val="18"/>
              </w:rPr>
              <w:t>A recent paper suggested ASSVd can transmit from infected seeds to the seedlings germinated from these seeds with a 7.7</w:t>
            </w:r>
            <w:r>
              <w:rPr>
                <w:rFonts w:eastAsia="Calibri" w:cs="Times New Roman"/>
                <w:sz w:val="18"/>
                <w:szCs w:val="18"/>
              </w:rPr>
              <w:t xml:space="preserve"> per cent</w:t>
            </w:r>
            <w:r w:rsidRPr="00D95799">
              <w:rPr>
                <w:rFonts w:eastAsia="Calibri" w:cs="Times New Roman"/>
                <w:sz w:val="18"/>
                <w:szCs w:val="18"/>
              </w:rPr>
              <w:t xml:space="preserve"> transmi</w:t>
            </w:r>
            <w:r>
              <w:rPr>
                <w:rFonts w:eastAsia="Calibri" w:cs="Times New Roman"/>
                <w:sz w:val="18"/>
                <w:szCs w:val="18"/>
              </w:rPr>
              <w:t>s</w:t>
            </w:r>
            <w:r w:rsidRPr="00D95799">
              <w:rPr>
                <w:rFonts w:eastAsia="Calibri" w:cs="Times New Roman"/>
                <w:sz w:val="18"/>
                <w:szCs w:val="18"/>
              </w:rPr>
              <w:t xml:space="preserve">sion rate </w:t>
            </w:r>
            <w:r>
              <w:rPr>
                <w:rFonts w:eastAsia="Calibri" w:cs="Times New Roman"/>
                <w:noProof/>
                <w:sz w:val="18"/>
                <w:szCs w:val="18"/>
              </w:rPr>
              <w:t>(Kim et al. 2006)</w:t>
            </w:r>
            <w:r>
              <w:rPr>
                <w:rFonts w:eastAsia="Calibri" w:cs="Times New Roman"/>
                <w:sz w:val="18"/>
                <w:szCs w:val="18"/>
              </w:rPr>
              <w:t>.</w:t>
            </w:r>
          </w:p>
        </w:tc>
        <w:tc>
          <w:tcPr>
            <w:tcW w:w="2211" w:type="dxa"/>
            <w:shd w:val="clear" w:color="auto" w:fill="auto"/>
          </w:tcPr>
          <w:p w14:paraId="45F3B0F7"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Yes. Apple scar skin caused by A</w:t>
            </w:r>
            <w:r>
              <w:rPr>
                <w:rFonts w:eastAsia="Calibri" w:cs="Times New Roman"/>
                <w:sz w:val="18"/>
                <w:szCs w:val="18"/>
              </w:rPr>
              <w:t>SSVd</w:t>
            </w:r>
            <w:r w:rsidRPr="00D95799">
              <w:rPr>
                <w:rFonts w:eastAsia="Calibri" w:cs="Times New Roman"/>
                <w:sz w:val="18"/>
                <w:szCs w:val="18"/>
              </w:rPr>
              <w:t xml:space="preserve"> is one of the most destructive diseases in Korea </w:t>
            </w:r>
            <w:r>
              <w:rPr>
                <w:rFonts w:eastAsia="Calibri" w:cs="Times New Roman"/>
                <w:noProof/>
                <w:sz w:val="18"/>
                <w:szCs w:val="18"/>
              </w:rPr>
              <w:t>(Kim et al. 2006)</w:t>
            </w:r>
            <w:r w:rsidRPr="00D95799">
              <w:rPr>
                <w:rFonts w:eastAsia="Calibri" w:cs="Times New Roman"/>
                <w:sz w:val="18"/>
                <w:szCs w:val="18"/>
              </w:rPr>
              <w:t>.</w:t>
            </w:r>
            <w:r>
              <w:rPr>
                <w:rFonts w:eastAsia="Calibri" w:cs="Times New Roman"/>
                <w:sz w:val="18"/>
                <w:szCs w:val="18"/>
              </w:rPr>
              <w:t xml:space="preserve"> </w:t>
            </w:r>
            <w:r w:rsidRPr="00D95799">
              <w:rPr>
                <w:rFonts w:eastAsia="Calibri" w:cs="Times New Roman"/>
                <w:sz w:val="18"/>
                <w:szCs w:val="18"/>
              </w:rPr>
              <w:t>According to surveys conducted in 1950s in China, in some counties of Shanxi, Hebei and Shaanxi provinces, more than 50</w:t>
            </w:r>
            <w:r>
              <w:rPr>
                <w:rFonts w:eastAsia="Calibri" w:cs="Times New Roman"/>
                <w:sz w:val="18"/>
                <w:szCs w:val="18"/>
              </w:rPr>
              <w:t xml:space="preserve"> per cent</w:t>
            </w:r>
            <w:r w:rsidRPr="00D95799">
              <w:rPr>
                <w:rFonts w:eastAsia="Calibri" w:cs="Times New Roman"/>
                <w:sz w:val="18"/>
                <w:szCs w:val="18"/>
              </w:rPr>
              <w:t xml:space="preserve"> of apple trees were affected with this vir</w:t>
            </w:r>
            <w:r>
              <w:rPr>
                <w:rFonts w:eastAsia="Calibri" w:cs="Times New Roman"/>
                <w:sz w:val="18"/>
                <w:szCs w:val="18"/>
              </w:rPr>
              <w:t>oid</w:t>
            </w:r>
            <w:r w:rsidRPr="00D95799">
              <w:rPr>
                <w:rFonts w:eastAsia="Calibri" w:cs="Times New Roman"/>
                <w:sz w:val="18"/>
                <w:szCs w:val="18"/>
              </w:rPr>
              <w:t xml:space="preserve"> </w:t>
            </w:r>
            <w:r>
              <w:rPr>
                <w:rFonts w:eastAsia="Calibri" w:cs="Times New Roman"/>
                <w:noProof/>
                <w:sz w:val="18"/>
                <w:szCs w:val="18"/>
              </w:rPr>
              <w:t>(Han et al. 2003)</w:t>
            </w:r>
            <w:r w:rsidRPr="00D95799">
              <w:rPr>
                <w:rFonts w:eastAsia="Calibri" w:cs="Times New Roman"/>
                <w:sz w:val="18"/>
                <w:szCs w:val="18"/>
              </w:rPr>
              <w:t>.</w:t>
            </w:r>
            <w:r>
              <w:rPr>
                <w:rFonts w:eastAsia="Calibri" w:cs="Times New Roman"/>
                <w:sz w:val="18"/>
                <w:szCs w:val="18"/>
              </w:rPr>
              <w:t xml:space="preserve"> </w:t>
            </w:r>
            <w:r w:rsidRPr="00D95799">
              <w:rPr>
                <w:rFonts w:eastAsia="Calibri" w:cs="Times New Roman"/>
                <w:sz w:val="18"/>
                <w:szCs w:val="18"/>
              </w:rPr>
              <w:t xml:space="preserve">In the US, this disease was first described in 1956 </w:t>
            </w:r>
            <w:r>
              <w:rPr>
                <w:rFonts w:eastAsia="Calibri" w:cs="Times New Roman"/>
                <w:noProof/>
                <w:sz w:val="18"/>
                <w:szCs w:val="18"/>
              </w:rPr>
              <w:t>(Millikan &amp; Marting 1956; Smith, Barrat &amp; Rich 1956)</w:t>
            </w:r>
            <w:r w:rsidRPr="00D95799">
              <w:rPr>
                <w:rFonts w:eastAsia="Calibri" w:cs="Times New Roman"/>
                <w:sz w:val="18"/>
                <w:szCs w:val="18"/>
              </w:rPr>
              <w:t xml:space="preserve">. The disease decreases the market value of the fruit </w:t>
            </w:r>
            <w:r>
              <w:rPr>
                <w:rFonts w:eastAsia="Calibri" w:cs="Times New Roman"/>
                <w:noProof/>
                <w:sz w:val="18"/>
                <w:szCs w:val="18"/>
              </w:rPr>
              <w:t>(Nemeth 1986b)</w:t>
            </w:r>
            <w:r w:rsidRPr="00D95799">
              <w:rPr>
                <w:rFonts w:eastAsia="Calibri" w:cs="Times New Roman"/>
                <w:sz w:val="18"/>
                <w:szCs w:val="18"/>
              </w:rPr>
              <w:t xml:space="preserve">. The entire crop from affected trees becomes unmarketable </w:t>
            </w:r>
            <w:r>
              <w:rPr>
                <w:rFonts w:eastAsia="Calibri" w:cs="Times New Roman"/>
                <w:noProof/>
                <w:sz w:val="18"/>
                <w:szCs w:val="18"/>
              </w:rPr>
              <w:t>(Koganezawa 2001)</w:t>
            </w:r>
            <w:r>
              <w:rPr>
                <w:rFonts w:eastAsia="Calibri" w:cs="Times New Roman"/>
                <w:sz w:val="18"/>
                <w:szCs w:val="18"/>
              </w:rPr>
              <w:t>.</w:t>
            </w:r>
          </w:p>
        </w:tc>
        <w:tc>
          <w:tcPr>
            <w:tcW w:w="1191" w:type="dxa"/>
            <w:shd w:val="clear" w:color="auto" w:fill="auto"/>
          </w:tcPr>
          <w:p w14:paraId="30D8C6AD"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Yes</w:t>
            </w:r>
            <w:r>
              <w:rPr>
                <w:rFonts w:eastAsia="Calibri" w:cs="Times New Roman"/>
                <w:sz w:val="18"/>
                <w:szCs w:val="18"/>
              </w:rPr>
              <w:t xml:space="preserve"> (EP)</w:t>
            </w:r>
          </w:p>
        </w:tc>
      </w:tr>
      <w:tr w:rsidR="003438A2" w:rsidRPr="00D95799" w14:paraId="42EC7CCC" w14:textId="77777777" w:rsidTr="00101EF0">
        <w:trPr>
          <w:cantSplit/>
          <w:trHeight w:val="75"/>
          <w:jc w:val="center"/>
        </w:trPr>
        <w:tc>
          <w:tcPr>
            <w:tcW w:w="13268" w:type="dxa"/>
            <w:gridSpan w:val="7"/>
            <w:shd w:val="clear" w:color="auto" w:fill="auto"/>
          </w:tcPr>
          <w:p w14:paraId="5872B091" w14:textId="77777777" w:rsidR="003438A2" w:rsidRPr="00D95799" w:rsidRDefault="003438A2" w:rsidP="00881E29">
            <w:pPr>
              <w:keepNext/>
              <w:spacing w:before="60" w:after="60" w:line="240" w:lineRule="auto"/>
              <w:rPr>
                <w:rFonts w:eastAsia="Calibri" w:cs="Times New Roman"/>
                <w:sz w:val="18"/>
                <w:szCs w:val="18"/>
              </w:rPr>
            </w:pPr>
            <w:r w:rsidRPr="00D95799">
              <w:rPr>
                <w:rFonts w:eastAsia="Calibri" w:cs="Times New Roman"/>
                <w:b/>
                <w:iCs/>
                <w:sz w:val="18"/>
                <w:szCs w:val="18"/>
              </w:rPr>
              <w:t>VIRUSES</w:t>
            </w:r>
          </w:p>
        </w:tc>
      </w:tr>
      <w:tr w:rsidR="003438A2" w:rsidRPr="00D95799" w14:paraId="1CD4D7BE" w14:textId="77777777" w:rsidTr="00F3712B">
        <w:trPr>
          <w:cantSplit/>
          <w:trHeight w:val="75"/>
          <w:jc w:val="center"/>
        </w:trPr>
        <w:tc>
          <w:tcPr>
            <w:tcW w:w="1985" w:type="dxa"/>
            <w:shd w:val="clear" w:color="auto" w:fill="auto"/>
          </w:tcPr>
          <w:p w14:paraId="057C7AF3" w14:textId="77777777" w:rsidR="003438A2" w:rsidRPr="00295C05" w:rsidRDefault="003438A2" w:rsidP="00881E29">
            <w:pPr>
              <w:spacing w:before="60" w:after="60" w:line="240" w:lineRule="auto"/>
              <w:rPr>
                <w:rFonts w:eastAsia="Calibri" w:cs="Times New Roman"/>
                <w:i/>
                <w:sz w:val="18"/>
                <w:szCs w:val="18"/>
              </w:rPr>
            </w:pPr>
            <w:r w:rsidRPr="00295C05">
              <w:rPr>
                <w:rFonts w:eastAsia="Calibri" w:cs="Times New Roman"/>
                <w:i/>
                <w:sz w:val="18"/>
                <w:szCs w:val="18"/>
              </w:rPr>
              <w:t>Apple chlorotic leaf spot virus</w:t>
            </w:r>
          </w:p>
          <w:p w14:paraId="138571C7" w14:textId="77777777" w:rsidR="003438A2" w:rsidRPr="00295C05" w:rsidRDefault="003438A2" w:rsidP="00881E29">
            <w:pPr>
              <w:spacing w:before="60" w:after="60" w:line="240" w:lineRule="auto"/>
              <w:rPr>
                <w:rFonts w:eastAsia="Calibri" w:cs="Times New Roman"/>
                <w:sz w:val="18"/>
                <w:szCs w:val="18"/>
              </w:rPr>
            </w:pPr>
            <w:r w:rsidRPr="00295C05">
              <w:rPr>
                <w:rFonts w:eastAsia="Calibri" w:cs="Times New Roman"/>
                <w:sz w:val="18"/>
                <w:szCs w:val="18"/>
              </w:rPr>
              <w:t>[Betaflexiviridae: Trichovirus]</w:t>
            </w:r>
          </w:p>
          <w:p w14:paraId="016AAD4C" w14:textId="77777777" w:rsidR="003438A2" w:rsidRPr="00295C05" w:rsidRDefault="003438A2" w:rsidP="00881E29">
            <w:pPr>
              <w:spacing w:before="60" w:after="60" w:line="240" w:lineRule="auto"/>
              <w:rPr>
                <w:rFonts w:eastAsia="Calibri" w:cs="Times New Roman"/>
                <w:sz w:val="18"/>
                <w:szCs w:val="18"/>
                <w:lang w:val="pt-BR"/>
              </w:rPr>
            </w:pPr>
            <w:r>
              <w:rPr>
                <w:rFonts w:eastAsia="Calibri" w:cs="Times New Roman"/>
                <w:sz w:val="18"/>
                <w:szCs w:val="18"/>
              </w:rPr>
              <w:t>ACLSV</w:t>
            </w:r>
          </w:p>
        </w:tc>
        <w:tc>
          <w:tcPr>
            <w:tcW w:w="1474" w:type="dxa"/>
            <w:shd w:val="clear" w:color="auto" w:fill="auto"/>
          </w:tcPr>
          <w:p w14:paraId="7486F374" w14:textId="77777777" w:rsidR="003438A2" w:rsidRPr="00295C05" w:rsidRDefault="003438A2" w:rsidP="00881E29">
            <w:pPr>
              <w:spacing w:before="60" w:after="60" w:line="240" w:lineRule="auto"/>
              <w:rPr>
                <w:rFonts w:eastAsia="Calibri" w:cs="Times New Roman"/>
                <w:sz w:val="18"/>
                <w:szCs w:val="18"/>
              </w:rPr>
            </w:pPr>
            <w:r w:rsidRPr="00295C05">
              <w:rPr>
                <w:rFonts w:eastAsia="Calibri" w:cs="Times New Roman"/>
                <w:sz w:val="18"/>
                <w:szCs w:val="18"/>
              </w:rPr>
              <w:t xml:space="preserve">Yes. </w:t>
            </w:r>
            <w:r>
              <w:rPr>
                <w:rFonts w:eastAsia="Calibri" w:cs="Times New Roman"/>
                <w:sz w:val="18"/>
                <w:szCs w:val="18"/>
              </w:rPr>
              <w:t xml:space="preserve">Present in </w:t>
            </w:r>
            <w:r w:rsidRPr="00295C05">
              <w:rPr>
                <w:rFonts w:eastAsia="Calibri" w:cs="Times New Roman"/>
                <w:sz w:val="18"/>
                <w:szCs w:val="18"/>
              </w:rPr>
              <w:t>OR</w:t>
            </w:r>
            <w:r>
              <w:rPr>
                <w:rFonts w:eastAsia="Calibri" w:cs="Times New Roman"/>
                <w:sz w:val="18"/>
                <w:szCs w:val="18"/>
              </w:rPr>
              <w:t xml:space="preserve"> and</w:t>
            </w:r>
            <w:r w:rsidRPr="00295C05">
              <w:rPr>
                <w:rFonts w:eastAsia="Calibri" w:cs="Times New Roman"/>
                <w:sz w:val="18"/>
                <w:szCs w:val="18"/>
              </w:rPr>
              <w:t xml:space="preserve"> WA</w:t>
            </w:r>
            <w:r>
              <w:rPr>
                <w:rFonts w:eastAsia="Calibri" w:cs="Times New Roman"/>
                <w:sz w:val="18"/>
                <w:szCs w:val="18"/>
              </w:rPr>
              <w:t xml:space="preserve"> </w:t>
            </w:r>
            <w:r>
              <w:rPr>
                <w:rFonts w:eastAsia="Calibri" w:cs="Times New Roman"/>
                <w:noProof/>
                <w:sz w:val="18"/>
                <w:szCs w:val="18"/>
              </w:rPr>
              <w:t>(Oregon Department of Agriculture 2007; USDA-APHIS 2007c)</w:t>
            </w:r>
          </w:p>
        </w:tc>
        <w:tc>
          <w:tcPr>
            <w:tcW w:w="1474" w:type="dxa"/>
            <w:shd w:val="clear" w:color="auto" w:fill="auto"/>
          </w:tcPr>
          <w:p w14:paraId="7836A7D8"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w:t>
            </w:r>
            <w:r>
              <w:rPr>
                <w:rFonts w:eastAsia="Calibri" w:cs="Times New Roman"/>
                <w:sz w:val="18"/>
                <w:szCs w:val="18"/>
              </w:rPr>
              <w:t xml:space="preserve">NSW, </w:t>
            </w:r>
            <w:r w:rsidRPr="00D95799">
              <w:rPr>
                <w:rFonts w:eastAsia="Calibri" w:cs="Times New Roman"/>
                <w:sz w:val="18"/>
                <w:szCs w:val="18"/>
              </w:rPr>
              <w:t>Qld,</w:t>
            </w:r>
            <w:r>
              <w:rPr>
                <w:rFonts w:eastAsia="Calibri" w:cs="Times New Roman"/>
                <w:sz w:val="18"/>
                <w:szCs w:val="18"/>
              </w:rPr>
              <w:t xml:space="preserve"> SA, </w:t>
            </w:r>
            <w:r w:rsidRPr="00D95799">
              <w:rPr>
                <w:rFonts w:eastAsia="Calibri" w:cs="Times New Roman"/>
                <w:sz w:val="18"/>
                <w:szCs w:val="18"/>
              </w:rPr>
              <w:t>Tas., Vic.</w:t>
            </w:r>
            <w:r>
              <w:rPr>
                <w:rFonts w:eastAsia="Calibri" w:cs="Times New Roman"/>
                <w:sz w:val="18"/>
                <w:szCs w:val="18"/>
              </w:rPr>
              <w:t>, WA</w:t>
            </w:r>
            <w:r w:rsidRPr="00D95799">
              <w:rPr>
                <w:rFonts w:eastAsia="Calibri" w:cs="Times New Roman"/>
                <w:sz w:val="18"/>
                <w:szCs w:val="18"/>
              </w:rPr>
              <w:t xml:space="preserve"> </w:t>
            </w:r>
            <w:r>
              <w:rPr>
                <w:rFonts w:eastAsia="Calibri" w:cs="Times New Roman"/>
                <w:noProof/>
                <w:sz w:val="18"/>
                <w:szCs w:val="18"/>
              </w:rPr>
              <w:t>(Constable, Joyce &amp; Rodoni 2007; Plant Health Australia 2018)</w:t>
            </w:r>
          </w:p>
        </w:tc>
        <w:tc>
          <w:tcPr>
            <w:tcW w:w="2552" w:type="dxa"/>
            <w:shd w:val="clear" w:color="auto" w:fill="auto"/>
          </w:tcPr>
          <w:p w14:paraId="63D1F4D7"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lang w:val="pt-BR"/>
              </w:rPr>
              <w:t>Assessment not required</w:t>
            </w:r>
          </w:p>
        </w:tc>
        <w:tc>
          <w:tcPr>
            <w:tcW w:w="2381" w:type="dxa"/>
            <w:shd w:val="clear" w:color="auto" w:fill="auto"/>
          </w:tcPr>
          <w:p w14:paraId="08AAC130"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lang w:val="pt-BR"/>
              </w:rPr>
              <w:t>Assessment not required</w:t>
            </w:r>
          </w:p>
        </w:tc>
        <w:tc>
          <w:tcPr>
            <w:tcW w:w="2211" w:type="dxa"/>
            <w:shd w:val="clear" w:color="auto" w:fill="auto"/>
          </w:tcPr>
          <w:p w14:paraId="19C20331"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lang w:val="pt-BR"/>
              </w:rPr>
              <w:t>Assessment not required</w:t>
            </w:r>
          </w:p>
        </w:tc>
        <w:tc>
          <w:tcPr>
            <w:tcW w:w="1191" w:type="dxa"/>
            <w:shd w:val="clear" w:color="auto" w:fill="auto"/>
          </w:tcPr>
          <w:p w14:paraId="43011D7B"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95799" w14:paraId="20A8FF8D" w14:textId="77777777" w:rsidTr="00F3712B">
        <w:trPr>
          <w:cantSplit/>
          <w:trHeight w:val="75"/>
          <w:jc w:val="center"/>
        </w:trPr>
        <w:tc>
          <w:tcPr>
            <w:tcW w:w="1985" w:type="dxa"/>
            <w:shd w:val="clear" w:color="auto" w:fill="auto"/>
          </w:tcPr>
          <w:p w14:paraId="2C65689E" w14:textId="77777777" w:rsidR="003438A2" w:rsidRDefault="003438A2" w:rsidP="00881E29">
            <w:pPr>
              <w:spacing w:before="60" w:after="60" w:line="240" w:lineRule="auto"/>
              <w:rPr>
                <w:rFonts w:eastAsia="Calibri" w:cs="Times New Roman"/>
                <w:i/>
                <w:sz w:val="18"/>
                <w:szCs w:val="18"/>
              </w:rPr>
            </w:pPr>
            <w:r w:rsidRPr="00D95799">
              <w:rPr>
                <w:rFonts w:eastAsia="Calibri" w:cs="Times New Roman"/>
                <w:i/>
                <w:sz w:val="18"/>
                <w:szCs w:val="18"/>
              </w:rPr>
              <w:lastRenderedPageBreak/>
              <w:t>Apple mosaic virus</w:t>
            </w:r>
          </w:p>
          <w:p w14:paraId="496B5202"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[Bromoviridae: Ilavirus]</w:t>
            </w:r>
          </w:p>
          <w:p w14:paraId="3536040C"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ApMV</w:t>
            </w:r>
          </w:p>
        </w:tc>
        <w:tc>
          <w:tcPr>
            <w:tcW w:w="1474" w:type="dxa"/>
            <w:shd w:val="clear" w:color="auto" w:fill="auto"/>
          </w:tcPr>
          <w:p w14:paraId="74461AB8"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w:t>
            </w:r>
            <w:r>
              <w:rPr>
                <w:rFonts w:eastAsia="Calibri" w:cs="Times New Roman"/>
                <w:sz w:val="18"/>
                <w:szCs w:val="18"/>
              </w:rPr>
              <w:t xml:space="preserve">Present in ID, OR and WA. Also widespread elsewhere in the USA. </w:t>
            </w:r>
            <w:r>
              <w:rPr>
                <w:rFonts w:eastAsia="Calibri" w:cs="Times New Roman"/>
                <w:noProof/>
                <w:sz w:val="18"/>
                <w:szCs w:val="18"/>
              </w:rPr>
              <w:t>(CABI 2019; USDA-APHIS 2007a, c, b)</w:t>
            </w:r>
          </w:p>
        </w:tc>
        <w:tc>
          <w:tcPr>
            <w:tcW w:w="1474" w:type="dxa"/>
            <w:shd w:val="clear" w:color="auto" w:fill="auto"/>
          </w:tcPr>
          <w:p w14:paraId="407C074B"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Yes. Qld, SA, Vic., Tas</w:t>
            </w:r>
            <w:r>
              <w:rPr>
                <w:rFonts w:eastAsia="Calibri" w:cs="Times New Roman"/>
                <w:sz w:val="18"/>
                <w:szCs w:val="18"/>
              </w:rPr>
              <w:t>.,</w:t>
            </w:r>
            <w:r w:rsidRPr="00D95799">
              <w:rPr>
                <w:rFonts w:eastAsia="Calibri" w:cs="Times New Roman"/>
                <w:sz w:val="18"/>
                <w:szCs w:val="18"/>
              </w:rPr>
              <w:t xml:space="preserve"> WA </w:t>
            </w:r>
            <w:r>
              <w:rPr>
                <w:rFonts w:eastAsia="Calibri" w:cs="Times New Roman"/>
                <w:noProof/>
                <w:sz w:val="18"/>
                <w:szCs w:val="18"/>
              </w:rPr>
              <w:t>(CABI 2019; McLean &amp; Price 1984; Plant Health Australia 2018)</w:t>
            </w:r>
          </w:p>
        </w:tc>
        <w:tc>
          <w:tcPr>
            <w:tcW w:w="2552" w:type="dxa"/>
            <w:shd w:val="clear" w:color="auto" w:fill="auto"/>
          </w:tcPr>
          <w:p w14:paraId="7130AB39"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lang w:val="pt-BR"/>
              </w:rPr>
              <w:t>Assessment not required</w:t>
            </w:r>
          </w:p>
        </w:tc>
        <w:tc>
          <w:tcPr>
            <w:tcW w:w="2381" w:type="dxa"/>
            <w:shd w:val="clear" w:color="auto" w:fill="auto"/>
          </w:tcPr>
          <w:p w14:paraId="7325A7E2"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lang w:val="pt-BR"/>
              </w:rPr>
              <w:t>Assessment not required</w:t>
            </w:r>
          </w:p>
        </w:tc>
        <w:tc>
          <w:tcPr>
            <w:tcW w:w="2211" w:type="dxa"/>
            <w:shd w:val="clear" w:color="auto" w:fill="auto"/>
          </w:tcPr>
          <w:p w14:paraId="06A684D0"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lang w:val="pt-BR"/>
              </w:rPr>
              <w:t>Assessment not required</w:t>
            </w:r>
          </w:p>
        </w:tc>
        <w:tc>
          <w:tcPr>
            <w:tcW w:w="1191" w:type="dxa"/>
            <w:shd w:val="clear" w:color="auto" w:fill="auto"/>
          </w:tcPr>
          <w:p w14:paraId="3D41CED8"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7D3036" w14:paraId="14E6CB6D" w14:textId="77777777" w:rsidTr="001F363B">
        <w:trPr>
          <w:cantSplit/>
          <w:trHeight w:val="75"/>
          <w:jc w:val="center"/>
        </w:trPr>
        <w:tc>
          <w:tcPr>
            <w:tcW w:w="1985" w:type="dxa"/>
            <w:shd w:val="clear" w:color="auto" w:fill="auto"/>
          </w:tcPr>
          <w:p w14:paraId="0E6077DA" w14:textId="77777777" w:rsidR="003438A2" w:rsidRPr="007D3036" w:rsidRDefault="003438A2" w:rsidP="0007427F">
            <w:pPr>
              <w:spacing w:before="60" w:after="60" w:line="240" w:lineRule="auto"/>
              <w:rPr>
                <w:rFonts w:cstheme="minorHAnsi"/>
                <w:iCs/>
                <w:sz w:val="18"/>
                <w:szCs w:val="18"/>
              </w:rPr>
            </w:pPr>
            <w:r w:rsidRPr="002878F4">
              <w:rPr>
                <w:rFonts w:cstheme="minorHAnsi"/>
                <w:i/>
                <w:iCs/>
                <w:sz w:val="18"/>
                <w:szCs w:val="18"/>
              </w:rPr>
              <w:t>Apple rubbery wood associated virus</w:t>
            </w:r>
            <w:r w:rsidRPr="007D3036">
              <w:rPr>
                <w:rFonts w:cstheme="minorHAnsi"/>
                <w:i/>
                <w:iCs/>
                <w:sz w:val="18"/>
                <w:szCs w:val="18"/>
              </w:rPr>
              <w:t xml:space="preserve"> 1</w:t>
            </w:r>
            <w:r w:rsidRPr="007D3036">
              <w:rPr>
                <w:rFonts w:cstheme="minorHAnsi"/>
                <w:iCs/>
                <w:sz w:val="18"/>
                <w:szCs w:val="18"/>
              </w:rPr>
              <w:t xml:space="preserve"> (ARWaV1)</w:t>
            </w:r>
          </w:p>
          <w:p w14:paraId="25E29F71" w14:textId="77777777" w:rsidR="003438A2" w:rsidRPr="007D3036" w:rsidRDefault="003438A2" w:rsidP="0007427F">
            <w:pPr>
              <w:spacing w:before="60" w:after="60" w:line="240" w:lineRule="auto"/>
              <w:rPr>
                <w:rFonts w:cstheme="minorHAnsi"/>
                <w:iCs/>
                <w:sz w:val="18"/>
                <w:szCs w:val="18"/>
              </w:rPr>
            </w:pPr>
            <w:r w:rsidRPr="007D3036">
              <w:rPr>
                <w:rFonts w:cstheme="minorHAnsi"/>
                <w:iCs/>
                <w:sz w:val="18"/>
                <w:szCs w:val="18"/>
              </w:rPr>
              <w:t>Syn.: Apple rubodvirus 1</w:t>
            </w:r>
          </w:p>
          <w:p w14:paraId="020B8334" w14:textId="77777777" w:rsidR="003438A2" w:rsidRPr="007D3036" w:rsidRDefault="003438A2" w:rsidP="0007427F">
            <w:pPr>
              <w:spacing w:before="60" w:after="60" w:line="240" w:lineRule="auto"/>
              <w:rPr>
                <w:rFonts w:cstheme="minorHAnsi"/>
                <w:iCs/>
                <w:sz w:val="18"/>
                <w:szCs w:val="18"/>
              </w:rPr>
            </w:pPr>
            <w:r w:rsidRPr="007D3036">
              <w:rPr>
                <w:rFonts w:cstheme="minorHAnsi"/>
                <w:iCs/>
                <w:sz w:val="18"/>
                <w:szCs w:val="18"/>
              </w:rPr>
              <w:t>[Phenuiviridae:</w:t>
            </w:r>
            <w:r w:rsidRPr="007D3036">
              <w:rPr>
                <w:rFonts w:cstheme="minorHAnsi"/>
                <w:i/>
                <w:iCs/>
                <w:sz w:val="18"/>
                <w:szCs w:val="18"/>
              </w:rPr>
              <w:t xml:space="preserve"> </w:t>
            </w:r>
            <w:r w:rsidRPr="007D3036">
              <w:rPr>
                <w:rFonts w:cstheme="minorHAnsi"/>
                <w:sz w:val="18"/>
                <w:szCs w:val="18"/>
              </w:rPr>
              <w:t>Rubodvirus]</w:t>
            </w:r>
          </w:p>
        </w:tc>
        <w:tc>
          <w:tcPr>
            <w:tcW w:w="1474" w:type="dxa"/>
            <w:shd w:val="clear" w:color="auto" w:fill="auto"/>
          </w:tcPr>
          <w:p w14:paraId="0EB50A81" w14:textId="77777777" w:rsidR="003438A2" w:rsidRPr="007D3036" w:rsidRDefault="003438A2" w:rsidP="0007427F">
            <w:pPr>
              <w:spacing w:before="60" w:after="60" w:line="240" w:lineRule="auto"/>
              <w:rPr>
                <w:noProof/>
                <w:sz w:val="18"/>
                <w:szCs w:val="18"/>
              </w:rPr>
            </w:pPr>
            <w:r w:rsidRPr="007D3036">
              <w:rPr>
                <w:rFonts w:eastAsia="Calibri" w:cs="Times New Roman"/>
                <w:sz w:val="18"/>
                <w:szCs w:val="18"/>
              </w:rPr>
              <w:t>Yes. Present in WA</w:t>
            </w:r>
            <w:r>
              <w:rPr>
                <w:rFonts w:eastAsia="Calibri" w:cs="Times New Roman"/>
                <w:sz w:val="18"/>
                <w:szCs w:val="18"/>
              </w:rPr>
              <w:t xml:space="preserve"> </w:t>
            </w:r>
            <w:r>
              <w:rPr>
                <w:noProof/>
                <w:sz w:val="18"/>
                <w:szCs w:val="18"/>
              </w:rPr>
              <w:t>(CABI 2022; Pscheidt &amp; Ocamb 2022b)</w:t>
            </w:r>
            <w:r w:rsidRPr="007D3036">
              <w:rPr>
                <w:noProof/>
                <w:sz w:val="18"/>
                <w:szCs w:val="18"/>
              </w:rPr>
              <w:t xml:space="preserve"> </w:t>
            </w:r>
          </w:p>
          <w:p w14:paraId="5260BB93" w14:textId="77777777" w:rsidR="003438A2" w:rsidRPr="007D3036" w:rsidRDefault="003438A2" w:rsidP="0007427F">
            <w:pPr>
              <w:spacing w:before="60" w:after="60" w:line="240" w:lineRule="auto"/>
              <w:rPr>
                <w:noProof/>
                <w:sz w:val="18"/>
                <w:szCs w:val="18"/>
              </w:rPr>
            </w:pPr>
          </w:p>
          <w:p w14:paraId="6408D689" w14:textId="77777777" w:rsidR="003438A2" w:rsidRPr="007D3036" w:rsidRDefault="003438A2" w:rsidP="00881E29">
            <w:pPr>
              <w:spacing w:before="60" w:after="60" w:line="240" w:lineRule="auto"/>
              <w:rPr>
                <w:rFonts w:eastAsia="Calibri" w:cs="Times New Roman"/>
                <w:sz w:val="18"/>
                <w:szCs w:val="18"/>
              </w:rPr>
            </w:pPr>
          </w:p>
        </w:tc>
        <w:tc>
          <w:tcPr>
            <w:tcW w:w="1474" w:type="dxa"/>
            <w:shd w:val="clear" w:color="auto" w:fill="auto"/>
          </w:tcPr>
          <w:p w14:paraId="421B2155" w14:textId="77777777" w:rsidR="003438A2" w:rsidRPr="003379D4" w:rsidRDefault="003438A2" w:rsidP="003379D4">
            <w:pPr>
              <w:pStyle w:val="TableText"/>
              <w:rPr>
                <w:sz w:val="22"/>
              </w:rPr>
            </w:pPr>
            <w:r w:rsidRPr="007D3036">
              <w:t>No records found. However, apple rubbery wood disease is reported from Tasmania</w:t>
            </w:r>
            <w:r>
              <w:t xml:space="preserve"> </w:t>
            </w:r>
            <w:r>
              <w:rPr>
                <w:noProof/>
              </w:rPr>
              <w:t>(Sampson &amp; Walker 1982; Wright et al. 2018)</w:t>
            </w:r>
          </w:p>
        </w:tc>
        <w:tc>
          <w:tcPr>
            <w:tcW w:w="2552" w:type="dxa"/>
            <w:shd w:val="clear" w:color="auto" w:fill="auto"/>
          </w:tcPr>
          <w:p w14:paraId="25DA925F" w14:textId="77777777" w:rsidR="003438A2" w:rsidRPr="007D3036" w:rsidRDefault="003438A2" w:rsidP="00881E29">
            <w:pPr>
              <w:spacing w:before="60" w:after="60" w:line="240" w:lineRule="auto"/>
              <w:rPr>
                <w:rFonts w:eastAsia="Calibri" w:cs="Times New Roman"/>
                <w:sz w:val="18"/>
                <w:szCs w:val="18"/>
                <w:lang w:val="pt-BR"/>
              </w:rPr>
            </w:pPr>
            <w:r w:rsidRPr="007D3036">
              <w:rPr>
                <w:rFonts w:eastAsia="Calibri" w:cs="Times New Roman"/>
                <w:sz w:val="18"/>
                <w:szCs w:val="18"/>
                <w:lang w:val="pt-BR"/>
              </w:rPr>
              <w:t>Assessment not required</w:t>
            </w:r>
          </w:p>
        </w:tc>
        <w:tc>
          <w:tcPr>
            <w:tcW w:w="2381" w:type="dxa"/>
            <w:shd w:val="clear" w:color="auto" w:fill="auto"/>
          </w:tcPr>
          <w:p w14:paraId="4D2E0DD8" w14:textId="77777777" w:rsidR="003438A2" w:rsidRPr="007D3036" w:rsidRDefault="003438A2" w:rsidP="00881E29">
            <w:pPr>
              <w:spacing w:before="60" w:after="60" w:line="240" w:lineRule="auto"/>
              <w:rPr>
                <w:rFonts w:eastAsia="Calibri" w:cs="Times New Roman"/>
                <w:sz w:val="18"/>
                <w:szCs w:val="18"/>
                <w:lang w:val="pt-BR"/>
              </w:rPr>
            </w:pPr>
            <w:r w:rsidRPr="007D3036">
              <w:rPr>
                <w:rFonts w:eastAsia="Calibri" w:cs="Times New Roman"/>
                <w:sz w:val="18"/>
                <w:szCs w:val="18"/>
                <w:lang w:val="pt-BR"/>
              </w:rPr>
              <w:t>Assessment not required</w:t>
            </w:r>
          </w:p>
        </w:tc>
        <w:tc>
          <w:tcPr>
            <w:tcW w:w="2211" w:type="dxa"/>
            <w:shd w:val="clear" w:color="auto" w:fill="auto"/>
          </w:tcPr>
          <w:p w14:paraId="7AD5EE4F" w14:textId="77777777" w:rsidR="003438A2" w:rsidRPr="007D3036" w:rsidRDefault="003438A2" w:rsidP="00881E29">
            <w:pPr>
              <w:spacing w:before="60" w:after="60" w:line="240" w:lineRule="auto"/>
              <w:rPr>
                <w:rFonts w:eastAsia="Calibri" w:cs="Times New Roman"/>
                <w:sz w:val="18"/>
                <w:szCs w:val="18"/>
                <w:lang w:val="pt-BR"/>
              </w:rPr>
            </w:pPr>
            <w:r w:rsidRPr="007D3036">
              <w:rPr>
                <w:rFonts w:eastAsia="Calibri" w:cs="Times New Roman"/>
                <w:sz w:val="18"/>
                <w:szCs w:val="18"/>
                <w:lang w:val="pt-BR"/>
              </w:rPr>
              <w:t>Assessment not required</w:t>
            </w:r>
          </w:p>
        </w:tc>
        <w:tc>
          <w:tcPr>
            <w:tcW w:w="1191" w:type="dxa"/>
            <w:shd w:val="clear" w:color="auto" w:fill="auto"/>
          </w:tcPr>
          <w:p w14:paraId="7C243A8A" w14:textId="77777777" w:rsidR="003438A2" w:rsidRPr="007D3036" w:rsidRDefault="003438A2" w:rsidP="00881E29">
            <w:pPr>
              <w:spacing w:before="60" w:after="60" w:line="240" w:lineRule="auto"/>
              <w:rPr>
                <w:rFonts w:eastAsia="Calibri" w:cs="Times New Roman"/>
                <w:sz w:val="18"/>
                <w:szCs w:val="18"/>
              </w:rPr>
            </w:pPr>
            <w:r w:rsidRPr="007D3036">
              <w:rPr>
                <w:rFonts w:eastAsia="Calibri" w:cs="Times New Roman"/>
                <w:sz w:val="18"/>
                <w:szCs w:val="18"/>
              </w:rPr>
              <w:t>No</w:t>
            </w:r>
          </w:p>
        </w:tc>
      </w:tr>
      <w:tr w:rsidR="003438A2" w:rsidRPr="007D3036" w14:paraId="5F0D3F14" w14:textId="77777777" w:rsidTr="00B62D89">
        <w:trPr>
          <w:cantSplit/>
          <w:trHeight w:val="75"/>
          <w:jc w:val="center"/>
        </w:trPr>
        <w:tc>
          <w:tcPr>
            <w:tcW w:w="1985" w:type="dxa"/>
            <w:shd w:val="clear" w:color="auto" w:fill="auto"/>
          </w:tcPr>
          <w:p w14:paraId="7516E1D9" w14:textId="77777777" w:rsidR="003438A2" w:rsidRPr="007D3036" w:rsidRDefault="003438A2" w:rsidP="0007427F">
            <w:pPr>
              <w:spacing w:before="60" w:after="60" w:line="240" w:lineRule="auto"/>
              <w:rPr>
                <w:rFonts w:cstheme="minorHAnsi"/>
                <w:iCs/>
                <w:sz w:val="18"/>
                <w:szCs w:val="18"/>
              </w:rPr>
            </w:pPr>
            <w:r w:rsidRPr="002878F4">
              <w:rPr>
                <w:rFonts w:cstheme="minorHAnsi"/>
                <w:i/>
                <w:iCs/>
                <w:sz w:val="18"/>
                <w:szCs w:val="18"/>
              </w:rPr>
              <w:t>Apple rubbery wood associated virus</w:t>
            </w:r>
            <w:r w:rsidRPr="007D3036">
              <w:rPr>
                <w:rFonts w:cstheme="minorHAnsi"/>
                <w:i/>
                <w:iCs/>
                <w:sz w:val="18"/>
                <w:szCs w:val="18"/>
              </w:rPr>
              <w:t xml:space="preserve"> 2</w:t>
            </w:r>
            <w:r w:rsidRPr="007D3036">
              <w:rPr>
                <w:rFonts w:cstheme="minorHAnsi"/>
                <w:iCs/>
                <w:sz w:val="18"/>
                <w:szCs w:val="18"/>
              </w:rPr>
              <w:t xml:space="preserve"> (ARWaV1)</w:t>
            </w:r>
          </w:p>
          <w:p w14:paraId="09E32617" w14:textId="77777777" w:rsidR="003438A2" w:rsidRPr="007D3036" w:rsidRDefault="003438A2" w:rsidP="0007427F">
            <w:pPr>
              <w:spacing w:before="60" w:after="60" w:line="240" w:lineRule="auto"/>
              <w:rPr>
                <w:rFonts w:cstheme="minorHAnsi"/>
                <w:iCs/>
                <w:sz w:val="18"/>
                <w:szCs w:val="18"/>
              </w:rPr>
            </w:pPr>
            <w:r w:rsidRPr="007D3036">
              <w:rPr>
                <w:rFonts w:cstheme="minorHAnsi"/>
                <w:iCs/>
                <w:sz w:val="18"/>
                <w:szCs w:val="18"/>
              </w:rPr>
              <w:t>Syn.: Apple rubodvirus 2</w:t>
            </w:r>
          </w:p>
          <w:p w14:paraId="6A38F554" w14:textId="77777777" w:rsidR="003438A2" w:rsidRPr="007D3036" w:rsidRDefault="003438A2" w:rsidP="0007427F">
            <w:pPr>
              <w:spacing w:before="60" w:after="60" w:line="240" w:lineRule="auto"/>
              <w:rPr>
                <w:rFonts w:cstheme="minorHAnsi"/>
                <w:iCs/>
                <w:sz w:val="18"/>
                <w:szCs w:val="18"/>
              </w:rPr>
            </w:pPr>
            <w:r w:rsidRPr="007D3036">
              <w:rPr>
                <w:rFonts w:cstheme="minorHAnsi"/>
                <w:iCs/>
                <w:sz w:val="18"/>
                <w:szCs w:val="18"/>
              </w:rPr>
              <w:t>[Phenuiviridae:</w:t>
            </w:r>
            <w:r w:rsidRPr="007D3036">
              <w:rPr>
                <w:rFonts w:cstheme="minorHAnsi"/>
                <w:i/>
                <w:iCs/>
                <w:sz w:val="18"/>
                <w:szCs w:val="18"/>
              </w:rPr>
              <w:t xml:space="preserve"> </w:t>
            </w:r>
            <w:r w:rsidRPr="007D3036">
              <w:rPr>
                <w:rFonts w:cstheme="minorHAnsi"/>
                <w:sz w:val="18"/>
                <w:szCs w:val="18"/>
              </w:rPr>
              <w:t>Rubodvirus]</w:t>
            </w:r>
          </w:p>
        </w:tc>
        <w:tc>
          <w:tcPr>
            <w:tcW w:w="1474" w:type="dxa"/>
            <w:shd w:val="clear" w:color="auto" w:fill="auto"/>
          </w:tcPr>
          <w:p w14:paraId="26288177" w14:textId="77777777" w:rsidR="003438A2" w:rsidRPr="007D3036" w:rsidRDefault="003438A2" w:rsidP="0007427F">
            <w:pPr>
              <w:spacing w:before="60" w:after="60" w:line="240" w:lineRule="auto"/>
              <w:rPr>
                <w:noProof/>
                <w:sz w:val="18"/>
                <w:szCs w:val="18"/>
              </w:rPr>
            </w:pPr>
            <w:r w:rsidRPr="007D3036">
              <w:rPr>
                <w:rFonts w:eastAsia="Calibri" w:cs="Times New Roman"/>
                <w:sz w:val="18"/>
                <w:szCs w:val="18"/>
              </w:rPr>
              <w:t>Yes. Present in WA</w:t>
            </w:r>
            <w:r>
              <w:rPr>
                <w:rFonts w:eastAsia="Calibri" w:cs="Times New Roman"/>
                <w:sz w:val="18"/>
                <w:szCs w:val="18"/>
              </w:rPr>
              <w:t xml:space="preserve"> </w:t>
            </w:r>
            <w:r>
              <w:rPr>
                <w:noProof/>
                <w:sz w:val="18"/>
                <w:szCs w:val="18"/>
              </w:rPr>
              <w:t>(CABI 2022; Pscheidt &amp; Ocamb 2022b)</w:t>
            </w:r>
            <w:r>
              <w:rPr>
                <w:sz w:val="18"/>
                <w:szCs w:val="18"/>
              </w:rPr>
              <w:t xml:space="preserve"> </w:t>
            </w:r>
          </w:p>
          <w:p w14:paraId="7AFB85EC" w14:textId="77777777" w:rsidR="003438A2" w:rsidRPr="007D3036" w:rsidRDefault="003438A2" w:rsidP="0007427F">
            <w:pPr>
              <w:spacing w:before="60" w:after="60" w:line="240" w:lineRule="auto"/>
              <w:rPr>
                <w:noProof/>
                <w:sz w:val="18"/>
                <w:szCs w:val="18"/>
              </w:rPr>
            </w:pPr>
          </w:p>
          <w:p w14:paraId="1E4DAAD1" w14:textId="77777777" w:rsidR="003438A2" w:rsidRPr="007D3036" w:rsidRDefault="003438A2" w:rsidP="00881E29">
            <w:pPr>
              <w:spacing w:before="60" w:after="60" w:line="240" w:lineRule="auto"/>
              <w:rPr>
                <w:rFonts w:eastAsia="Calibri" w:cs="Times New Roman"/>
                <w:sz w:val="18"/>
                <w:szCs w:val="18"/>
              </w:rPr>
            </w:pPr>
          </w:p>
        </w:tc>
        <w:tc>
          <w:tcPr>
            <w:tcW w:w="1474" w:type="dxa"/>
            <w:shd w:val="clear" w:color="auto" w:fill="auto"/>
          </w:tcPr>
          <w:p w14:paraId="249EE5F9" w14:textId="77777777" w:rsidR="003438A2" w:rsidRPr="0085623C" w:rsidRDefault="003438A2" w:rsidP="0085623C">
            <w:pPr>
              <w:pStyle w:val="TableText"/>
              <w:rPr>
                <w:sz w:val="22"/>
              </w:rPr>
            </w:pPr>
            <w:r w:rsidRPr="007D3036">
              <w:t>No records found. However, apple rubbery wood disease is reported from Tasmania</w:t>
            </w:r>
            <w:r>
              <w:t xml:space="preserve"> </w:t>
            </w:r>
            <w:r>
              <w:rPr>
                <w:noProof/>
              </w:rPr>
              <w:t>(Sampson &amp; Walker 1982; Wright et al. 2018)</w:t>
            </w:r>
          </w:p>
        </w:tc>
        <w:tc>
          <w:tcPr>
            <w:tcW w:w="2552" w:type="dxa"/>
            <w:shd w:val="clear" w:color="auto" w:fill="auto"/>
          </w:tcPr>
          <w:p w14:paraId="7EE95752" w14:textId="77777777" w:rsidR="003438A2" w:rsidRPr="007D3036" w:rsidRDefault="003438A2" w:rsidP="00881E29">
            <w:pPr>
              <w:spacing w:before="60" w:after="60" w:line="240" w:lineRule="auto"/>
              <w:rPr>
                <w:rFonts w:eastAsia="Calibri" w:cs="Times New Roman"/>
                <w:sz w:val="18"/>
                <w:szCs w:val="18"/>
                <w:lang w:val="pt-BR"/>
              </w:rPr>
            </w:pPr>
            <w:r w:rsidRPr="007D3036">
              <w:rPr>
                <w:rFonts w:eastAsia="Calibri" w:cs="Times New Roman"/>
                <w:sz w:val="18"/>
                <w:szCs w:val="18"/>
                <w:lang w:val="pt-BR"/>
              </w:rPr>
              <w:t>Assessment not required</w:t>
            </w:r>
          </w:p>
        </w:tc>
        <w:tc>
          <w:tcPr>
            <w:tcW w:w="2381" w:type="dxa"/>
            <w:shd w:val="clear" w:color="auto" w:fill="auto"/>
          </w:tcPr>
          <w:p w14:paraId="58C7EB22" w14:textId="77777777" w:rsidR="003438A2" w:rsidRPr="007D3036" w:rsidRDefault="003438A2" w:rsidP="00881E29">
            <w:pPr>
              <w:spacing w:before="60" w:after="60" w:line="240" w:lineRule="auto"/>
              <w:rPr>
                <w:rFonts w:eastAsia="Calibri" w:cs="Times New Roman"/>
                <w:sz w:val="18"/>
                <w:szCs w:val="18"/>
                <w:lang w:val="pt-BR"/>
              </w:rPr>
            </w:pPr>
            <w:r w:rsidRPr="007D3036">
              <w:rPr>
                <w:rFonts w:eastAsia="Calibri" w:cs="Times New Roman"/>
                <w:sz w:val="18"/>
                <w:szCs w:val="18"/>
                <w:lang w:val="pt-BR"/>
              </w:rPr>
              <w:t>Assessment not required</w:t>
            </w:r>
          </w:p>
        </w:tc>
        <w:tc>
          <w:tcPr>
            <w:tcW w:w="2211" w:type="dxa"/>
            <w:shd w:val="clear" w:color="auto" w:fill="auto"/>
          </w:tcPr>
          <w:p w14:paraId="08946B6B" w14:textId="77777777" w:rsidR="003438A2" w:rsidRPr="007D3036" w:rsidRDefault="003438A2" w:rsidP="00881E29">
            <w:pPr>
              <w:spacing w:before="60" w:after="60" w:line="240" w:lineRule="auto"/>
              <w:rPr>
                <w:rFonts w:eastAsia="Calibri" w:cs="Times New Roman"/>
                <w:sz w:val="18"/>
                <w:szCs w:val="18"/>
                <w:lang w:val="pt-BR"/>
              </w:rPr>
            </w:pPr>
            <w:r w:rsidRPr="007D3036">
              <w:rPr>
                <w:rFonts w:eastAsia="Calibri" w:cs="Times New Roman"/>
                <w:sz w:val="18"/>
                <w:szCs w:val="18"/>
                <w:lang w:val="pt-BR"/>
              </w:rPr>
              <w:t>Assessment not required</w:t>
            </w:r>
          </w:p>
        </w:tc>
        <w:tc>
          <w:tcPr>
            <w:tcW w:w="1191" w:type="dxa"/>
            <w:shd w:val="clear" w:color="auto" w:fill="auto"/>
          </w:tcPr>
          <w:p w14:paraId="40E9A935" w14:textId="77777777" w:rsidR="003438A2" w:rsidRPr="007D3036" w:rsidRDefault="003438A2" w:rsidP="00881E29">
            <w:pPr>
              <w:spacing w:before="60" w:after="60" w:line="240" w:lineRule="auto"/>
              <w:rPr>
                <w:rFonts w:eastAsia="Calibri" w:cs="Times New Roman"/>
                <w:sz w:val="18"/>
                <w:szCs w:val="18"/>
              </w:rPr>
            </w:pPr>
            <w:r w:rsidRPr="007D3036">
              <w:rPr>
                <w:rFonts w:eastAsia="Calibri" w:cs="Times New Roman"/>
                <w:sz w:val="18"/>
                <w:szCs w:val="18"/>
              </w:rPr>
              <w:t>No</w:t>
            </w:r>
          </w:p>
        </w:tc>
      </w:tr>
      <w:tr w:rsidR="003438A2" w:rsidRPr="00F3712B" w14:paraId="3410560F" w14:textId="77777777" w:rsidTr="001F363B">
        <w:trPr>
          <w:cantSplit/>
          <w:trHeight w:val="75"/>
          <w:jc w:val="center"/>
        </w:trPr>
        <w:tc>
          <w:tcPr>
            <w:tcW w:w="1985" w:type="dxa"/>
            <w:shd w:val="clear" w:color="auto" w:fill="auto"/>
          </w:tcPr>
          <w:p w14:paraId="1A39C087" w14:textId="77777777" w:rsidR="003438A2" w:rsidRPr="00F3712B" w:rsidRDefault="003438A2" w:rsidP="00881E29">
            <w:pPr>
              <w:spacing w:before="60" w:after="60" w:line="240" w:lineRule="auto"/>
              <w:rPr>
                <w:rFonts w:eastAsia="Calibri" w:cs="Times New Roman"/>
                <w:i/>
                <w:sz w:val="18"/>
                <w:szCs w:val="18"/>
              </w:rPr>
            </w:pPr>
            <w:r w:rsidRPr="00F3712B">
              <w:rPr>
                <w:rFonts w:eastAsia="Calibri" w:cs="Times New Roman"/>
                <w:i/>
                <w:sz w:val="18"/>
                <w:szCs w:val="18"/>
              </w:rPr>
              <w:lastRenderedPageBreak/>
              <w:t>Apple stem grooving virus</w:t>
            </w:r>
          </w:p>
          <w:p w14:paraId="349BC1DA" w14:textId="77777777" w:rsidR="003438A2" w:rsidRPr="00F3712B" w:rsidRDefault="003438A2" w:rsidP="00881E29">
            <w:pPr>
              <w:spacing w:before="60" w:after="60" w:line="240" w:lineRule="auto"/>
              <w:rPr>
                <w:rFonts w:eastAsia="Calibri" w:cs="Times New Roman"/>
                <w:sz w:val="18"/>
                <w:szCs w:val="18"/>
              </w:rPr>
            </w:pPr>
            <w:r w:rsidRPr="00F3712B">
              <w:rPr>
                <w:rFonts w:eastAsia="Calibri" w:cs="Times New Roman"/>
                <w:sz w:val="18"/>
                <w:szCs w:val="18"/>
              </w:rPr>
              <w:t>[Betaflexiviridae: Capillovirus]</w:t>
            </w:r>
          </w:p>
          <w:p w14:paraId="5668949F" w14:textId="77777777" w:rsidR="003438A2" w:rsidRPr="00F3712B" w:rsidRDefault="003438A2" w:rsidP="00881E29">
            <w:pPr>
              <w:spacing w:before="60" w:after="60" w:line="240" w:lineRule="auto"/>
              <w:rPr>
                <w:rFonts w:eastAsia="Calibri" w:cs="Times New Roman"/>
                <w:i/>
                <w:sz w:val="18"/>
                <w:szCs w:val="18"/>
              </w:rPr>
            </w:pPr>
            <w:r w:rsidRPr="00F3712B">
              <w:rPr>
                <w:rFonts w:eastAsia="Calibri" w:cs="Times New Roman"/>
                <w:sz w:val="18"/>
                <w:szCs w:val="18"/>
              </w:rPr>
              <w:t>ASGV</w:t>
            </w:r>
          </w:p>
        </w:tc>
        <w:tc>
          <w:tcPr>
            <w:tcW w:w="1474" w:type="dxa"/>
            <w:shd w:val="clear" w:color="auto" w:fill="auto"/>
          </w:tcPr>
          <w:p w14:paraId="051A7C18" w14:textId="77777777" w:rsidR="003438A2" w:rsidRPr="00F3712B" w:rsidRDefault="003438A2" w:rsidP="00881E29">
            <w:pPr>
              <w:spacing w:before="60" w:after="60" w:line="240" w:lineRule="auto"/>
              <w:rPr>
                <w:rFonts w:eastAsia="Calibri" w:cs="Times New Roman"/>
                <w:sz w:val="18"/>
                <w:szCs w:val="18"/>
              </w:rPr>
            </w:pPr>
            <w:r w:rsidRPr="00F3712B">
              <w:rPr>
                <w:rFonts w:eastAsia="Calibri" w:cs="Times New Roman"/>
                <w:sz w:val="18"/>
                <w:szCs w:val="18"/>
              </w:rPr>
              <w:t xml:space="preserve">Yes. Present in WA. Also present in CA </w:t>
            </w:r>
            <w:r>
              <w:rPr>
                <w:rFonts w:eastAsia="Calibri" w:cs="Times New Roman"/>
                <w:noProof/>
                <w:sz w:val="18"/>
                <w:szCs w:val="18"/>
              </w:rPr>
              <w:t>(USDA-APHIS 2007c)</w:t>
            </w:r>
          </w:p>
        </w:tc>
        <w:tc>
          <w:tcPr>
            <w:tcW w:w="1474" w:type="dxa"/>
            <w:shd w:val="clear" w:color="auto" w:fill="auto"/>
          </w:tcPr>
          <w:p w14:paraId="64176082" w14:textId="77777777" w:rsidR="003438A2" w:rsidRPr="00F3712B" w:rsidRDefault="003438A2" w:rsidP="00881E29">
            <w:pPr>
              <w:spacing w:before="60" w:after="60" w:line="240" w:lineRule="auto"/>
              <w:rPr>
                <w:rFonts w:eastAsia="Calibri" w:cs="Times New Roman"/>
                <w:sz w:val="18"/>
                <w:szCs w:val="18"/>
              </w:rPr>
            </w:pPr>
            <w:r w:rsidRPr="00F3712B">
              <w:rPr>
                <w:rFonts w:eastAsia="Calibri" w:cs="Times New Roman"/>
                <w:sz w:val="18"/>
                <w:szCs w:val="18"/>
              </w:rPr>
              <w:t xml:space="preserve">Yes. NSW, Qld, SA, Tas., Vic., WA </w:t>
            </w:r>
            <w:r w:rsidRPr="00F3712B">
              <w:rPr>
                <w:rFonts w:eastAsia="Calibri" w:cs="Times New Roman"/>
                <w:noProof/>
                <w:sz w:val="18"/>
                <w:szCs w:val="18"/>
              </w:rPr>
              <w:t>(Constable, Joyce &amp; Rodoni 2007; Plant Health Australia 2018)</w:t>
            </w:r>
          </w:p>
        </w:tc>
        <w:tc>
          <w:tcPr>
            <w:tcW w:w="2552" w:type="dxa"/>
            <w:shd w:val="clear" w:color="auto" w:fill="auto"/>
          </w:tcPr>
          <w:p w14:paraId="6FDE597A" w14:textId="77777777" w:rsidR="003438A2" w:rsidRPr="00F3712B" w:rsidRDefault="003438A2" w:rsidP="00881E29">
            <w:pPr>
              <w:spacing w:before="60" w:after="60" w:line="240" w:lineRule="auto"/>
              <w:rPr>
                <w:rFonts w:eastAsia="Calibri" w:cs="Times New Roman"/>
                <w:sz w:val="18"/>
                <w:szCs w:val="18"/>
              </w:rPr>
            </w:pPr>
            <w:r w:rsidRPr="00F3712B">
              <w:rPr>
                <w:rFonts w:eastAsia="Calibri" w:cs="Times New Roman"/>
                <w:sz w:val="18"/>
                <w:szCs w:val="18"/>
                <w:lang w:val="pt-BR"/>
              </w:rPr>
              <w:t>Assessment not required</w:t>
            </w:r>
          </w:p>
        </w:tc>
        <w:tc>
          <w:tcPr>
            <w:tcW w:w="2381" w:type="dxa"/>
            <w:shd w:val="clear" w:color="auto" w:fill="auto"/>
          </w:tcPr>
          <w:p w14:paraId="401B9FFF" w14:textId="77777777" w:rsidR="003438A2" w:rsidRPr="00F3712B" w:rsidRDefault="003438A2" w:rsidP="00881E29">
            <w:pPr>
              <w:spacing w:before="60" w:after="60" w:line="240" w:lineRule="auto"/>
              <w:rPr>
                <w:rFonts w:eastAsia="Calibri" w:cs="Times New Roman"/>
                <w:sz w:val="18"/>
                <w:szCs w:val="18"/>
                <w:lang w:val="pt-BR"/>
              </w:rPr>
            </w:pPr>
            <w:r w:rsidRPr="00F3712B">
              <w:rPr>
                <w:rFonts w:eastAsia="Calibri" w:cs="Times New Roman"/>
                <w:sz w:val="18"/>
                <w:szCs w:val="18"/>
                <w:lang w:val="pt-BR"/>
              </w:rPr>
              <w:t>Assessment not required</w:t>
            </w:r>
          </w:p>
        </w:tc>
        <w:tc>
          <w:tcPr>
            <w:tcW w:w="2211" w:type="dxa"/>
            <w:shd w:val="clear" w:color="auto" w:fill="auto"/>
          </w:tcPr>
          <w:p w14:paraId="7ED5CB15" w14:textId="77777777" w:rsidR="003438A2" w:rsidRPr="00F3712B" w:rsidRDefault="003438A2" w:rsidP="00881E29">
            <w:pPr>
              <w:spacing w:before="60" w:after="60" w:line="240" w:lineRule="auto"/>
              <w:rPr>
                <w:rFonts w:eastAsia="Calibri" w:cs="Times New Roman"/>
                <w:sz w:val="18"/>
                <w:szCs w:val="18"/>
                <w:lang w:val="pt-BR"/>
              </w:rPr>
            </w:pPr>
            <w:r w:rsidRPr="00F3712B">
              <w:rPr>
                <w:rFonts w:eastAsia="Calibri" w:cs="Times New Roman"/>
                <w:sz w:val="18"/>
                <w:szCs w:val="18"/>
                <w:lang w:val="pt-BR"/>
              </w:rPr>
              <w:t>Assessment not required</w:t>
            </w:r>
          </w:p>
        </w:tc>
        <w:tc>
          <w:tcPr>
            <w:tcW w:w="1191" w:type="dxa"/>
            <w:shd w:val="clear" w:color="auto" w:fill="auto"/>
          </w:tcPr>
          <w:p w14:paraId="6ADCCF79" w14:textId="77777777" w:rsidR="003438A2" w:rsidRPr="00F3712B" w:rsidRDefault="003438A2" w:rsidP="00881E29">
            <w:pPr>
              <w:spacing w:before="60" w:after="60" w:line="240" w:lineRule="auto"/>
              <w:rPr>
                <w:rFonts w:eastAsia="Calibri" w:cs="Times New Roman"/>
                <w:sz w:val="18"/>
                <w:szCs w:val="18"/>
              </w:rPr>
            </w:pPr>
            <w:r w:rsidRPr="00F3712B">
              <w:rPr>
                <w:rFonts w:eastAsia="Calibri" w:cs="Times New Roman"/>
                <w:sz w:val="18"/>
                <w:szCs w:val="18"/>
              </w:rPr>
              <w:t>No</w:t>
            </w:r>
          </w:p>
        </w:tc>
      </w:tr>
      <w:tr w:rsidR="003438A2" w:rsidRPr="00D72A24" w14:paraId="27E7760D" w14:textId="77777777" w:rsidTr="00D72A24">
        <w:trPr>
          <w:cantSplit/>
          <w:trHeight w:val="75"/>
          <w:jc w:val="center"/>
        </w:trPr>
        <w:tc>
          <w:tcPr>
            <w:tcW w:w="1985" w:type="dxa"/>
            <w:shd w:val="clear" w:color="auto" w:fill="auto"/>
          </w:tcPr>
          <w:p w14:paraId="71C25616" w14:textId="77777777" w:rsidR="003438A2" w:rsidRPr="00D72A24" w:rsidRDefault="003438A2" w:rsidP="00881E29">
            <w:pPr>
              <w:spacing w:before="60" w:after="60" w:line="240" w:lineRule="auto"/>
              <w:rPr>
                <w:rFonts w:eastAsia="Calibri" w:cs="Times New Roman"/>
                <w:i/>
                <w:sz w:val="18"/>
                <w:szCs w:val="18"/>
              </w:rPr>
            </w:pPr>
            <w:r w:rsidRPr="00D72A24">
              <w:rPr>
                <w:rFonts w:eastAsia="Calibri" w:cs="Times New Roman"/>
                <w:i/>
                <w:sz w:val="18"/>
                <w:szCs w:val="18"/>
              </w:rPr>
              <w:t>Apple stem pitting virus</w:t>
            </w:r>
          </w:p>
          <w:p w14:paraId="476D85A0" w14:textId="77777777" w:rsidR="003438A2" w:rsidRPr="00D72A24" w:rsidRDefault="003438A2" w:rsidP="00881E29">
            <w:pPr>
              <w:spacing w:before="60" w:after="60" w:line="240" w:lineRule="auto"/>
              <w:rPr>
                <w:rFonts w:eastAsia="Calibri" w:cs="Times New Roman"/>
                <w:sz w:val="18"/>
                <w:szCs w:val="18"/>
              </w:rPr>
            </w:pPr>
            <w:r w:rsidRPr="00D72A24">
              <w:rPr>
                <w:rFonts w:eastAsia="Calibri" w:cs="Times New Roman"/>
                <w:sz w:val="18"/>
                <w:szCs w:val="18"/>
              </w:rPr>
              <w:t>[Flexiviridae: Foveavirus]</w:t>
            </w:r>
          </w:p>
          <w:p w14:paraId="4FAC19E0" w14:textId="77777777" w:rsidR="003438A2" w:rsidRPr="00D72A24" w:rsidRDefault="003438A2" w:rsidP="00881E29">
            <w:pPr>
              <w:spacing w:before="60" w:after="60" w:line="240" w:lineRule="auto"/>
              <w:rPr>
                <w:rFonts w:eastAsia="Calibri" w:cs="Times New Roman"/>
                <w:i/>
                <w:sz w:val="18"/>
                <w:szCs w:val="18"/>
              </w:rPr>
            </w:pPr>
            <w:r w:rsidRPr="00D72A24">
              <w:rPr>
                <w:rFonts w:eastAsia="Calibri" w:cs="Times New Roman"/>
                <w:sz w:val="18"/>
                <w:szCs w:val="18"/>
              </w:rPr>
              <w:t>ASPV</w:t>
            </w:r>
          </w:p>
        </w:tc>
        <w:tc>
          <w:tcPr>
            <w:tcW w:w="1474" w:type="dxa"/>
            <w:shd w:val="clear" w:color="auto" w:fill="auto"/>
          </w:tcPr>
          <w:p w14:paraId="18697C8C" w14:textId="77777777" w:rsidR="003438A2" w:rsidRPr="00D72A24" w:rsidRDefault="003438A2" w:rsidP="00881E29">
            <w:pPr>
              <w:spacing w:before="60" w:after="60" w:line="240" w:lineRule="auto"/>
              <w:rPr>
                <w:rFonts w:eastAsia="Calibri" w:cs="Times New Roman"/>
                <w:sz w:val="18"/>
                <w:szCs w:val="18"/>
              </w:rPr>
            </w:pPr>
            <w:r w:rsidRPr="00D72A24">
              <w:rPr>
                <w:rFonts w:eastAsia="Calibri" w:cs="Times New Roman"/>
                <w:sz w:val="18"/>
                <w:szCs w:val="18"/>
              </w:rPr>
              <w:t xml:space="preserve">Yes. Present in WA </w:t>
            </w:r>
            <w:r>
              <w:rPr>
                <w:rFonts w:eastAsia="Calibri" w:cs="Times New Roman"/>
                <w:noProof/>
                <w:sz w:val="18"/>
                <w:szCs w:val="18"/>
              </w:rPr>
              <w:t>(USDA-APHIS 2007c)</w:t>
            </w:r>
          </w:p>
        </w:tc>
        <w:tc>
          <w:tcPr>
            <w:tcW w:w="1474" w:type="dxa"/>
            <w:shd w:val="clear" w:color="auto" w:fill="auto"/>
          </w:tcPr>
          <w:p w14:paraId="21DBB5FE" w14:textId="77777777" w:rsidR="003438A2" w:rsidRPr="00D72A24" w:rsidRDefault="003438A2" w:rsidP="00881E29">
            <w:pPr>
              <w:spacing w:before="60" w:after="60" w:line="240" w:lineRule="auto"/>
              <w:rPr>
                <w:rFonts w:eastAsia="Calibri" w:cs="Times New Roman"/>
                <w:sz w:val="18"/>
                <w:szCs w:val="18"/>
              </w:rPr>
            </w:pPr>
            <w:r w:rsidRPr="00D72A24">
              <w:rPr>
                <w:rFonts w:eastAsia="Calibri" w:cs="Times New Roman"/>
                <w:sz w:val="18"/>
                <w:szCs w:val="18"/>
              </w:rPr>
              <w:t>Yes. Qld, SA, Tas., Vic., WA</w:t>
            </w:r>
            <w:r>
              <w:rPr>
                <w:rFonts w:eastAsia="Calibri" w:cs="Times New Roman"/>
                <w:sz w:val="18"/>
                <w:szCs w:val="18"/>
              </w:rPr>
              <w:t xml:space="preserve"> </w:t>
            </w:r>
            <w:r w:rsidRPr="00F3712B">
              <w:rPr>
                <w:rFonts w:eastAsia="Calibri" w:cs="Times New Roman"/>
                <w:noProof/>
                <w:sz w:val="18"/>
                <w:szCs w:val="18"/>
              </w:rPr>
              <w:t>(Constable, Joyce &amp; Rodoni 2007; Plant Health Australia 2018)</w:t>
            </w:r>
          </w:p>
        </w:tc>
        <w:tc>
          <w:tcPr>
            <w:tcW w:w="2552" w:type="dxa"/>
            <w:shd w:val="clear" w:color="auto" w:fill="auto"/>
          </w:tcPr>
          <w:p w14:paraId="04E18E6B" w14:textId="77777777" w:rsidR="003438A2" w:rsidRPr="00D72A24" w:rsidRDefault="003438A2" w:rsidP="00881E29">
            <w:pPr>
              <w:spacing w:before="60" w:after="60" w:line="240" w:lineRule="auto"/>
              <w:rPr>
                <w:rFonts w:eastAsia="Calibri" w:cs="Times New Roman"/>
                <w:sz w:val="18"/>
                <w:szCs w:val="18"/>
              </w:rPr>
            </w:pPr>
            <w:r w:rsidRPr="00D72A24">
              <w:rPr>
                <w:rFonts w:eastAsia="Calibri" w:cs="Times New Roman"/>
                <w:sz w:val="18"/>
                <w:szCs w:val="18"/>
                <w:lang w:val="pt-BR"/>
              </w:rPr>
              <w:t>Assessment not required</w:t>
            </w:r>
          </w:p>
        </w:tc>
        <w:tc>
          <w:tcPr>
            <w:tcW w:w="2381" w:type="dxa"/>
            <w:shd w:val="clear" w:color="auto" w:fill="auto"/>
          </w:tcPr>
          <w:p w14:paraId="5C215ABD" w14:textId="77777777" w:rsidR="003438A2" w:rsidRPr="00D72A24" w:rsidRDefault="003438A2" w:rsidP="00881E29">
            <w:pPr>
              <w:spacing w:before="60" w:after="60" w:line="240" w:lineRule="auto"/>
              <w:rPr>
                <w:rFonts w:eastAsia="Calibri" w:cs="Times New Roman"/>
                <w:sz w:val="18"/>
                <w:szCs w:val="18"/>
                <w:lang w:val="pt-BR"/>
              </w:rPr>
            </w:pPr>
            <w:r w:rsidRPr="00D72A24">
              <w:rPr>
                <w:rFonts w:eastAsia="Calibri" w:cs="Times New Roman"/>
                <w:sz w:val="18"/>
                <w:szCs w:val="18"/>
                <w:lang w:val="pt-BR"/>
              </w:rPr>
              <w:t>Assessment not required</w:t>
            </w:r>
          </w:p>
        </w:tc>
        <w:tc>
          <w:tcPr>
            <w:tcW w:w="2211" w:type="dxa"/>
            <w:shd w:val="clear" w:color="auto" w:fill="auto"/>
          </w:tcPr>
          <w:p w14:paraId="06A2E386" w14:textId="77777777" w:rsidR="003438A2" w:rsidRPr="00D72A24" w:rsidRDefault="003438A2" w:rsidP="00881E29">
            <w:pPr>
              <w:spacing w:before="60" w:after="60" w:line="240" w:lineRule="auto"/>
              <w:rPr>
                <w:rFonts w:eastAsia="Calibri" w:cs="Times New Roman"/>
                <w:sz w:val="18"/>
                <w:szCs w:val="18"/>
                <w:lang w:val="pt-BR"/>
              </w:rPr>
            </w:pPr>
            <w:r w:rsidRPr="00D72A24">
              <w:rPr>
                <w:rFonts w:eastAsia="Calibri" w:cs="Times New Roman"/>
                <w:sz w:val="18"/>
                <w:szCs w:val="18"/>
                <w:lang w:val="pt-BR"/>
              </w:rPr>
              <w:t>Assessment not required</w:t>
            </w:r>
          </w:p>
        </w:tc>
        <w:tc>
          <w:tcPr>
            <w:tcW w:w="1191" w:type="dxa"/>
            <w:shd w:val="clear" w:color="auto" w:fill="auto"/>
          </w:tcPr>
          <w:p w14:paraId="31FF3D82" w14:textId="77777777" w:rsidR="003438A2" w:rsidRPr="00D72A24" w:rsidRDefault="003438A2" w:rsidP="00881E29">
            <w:pPr>
              <w:spacing w:before="60" w:after="60" w:line="240" w:lineRule="auto"/>
              <w:rPr>
                <w:rFonts w:eastAsia="Calibri" w:cs="Times New Roman"/>
                <w:sz w:val="18"/>
                <w:szCs w:val="18"/>
              </w:rPr>
            </w:pPr>
            <w:r w:rsidRPr="00D72A24">
              <w:rPr>
                <w:rFonts w:eastAsia="Calibri" w:cs="Times New Roman"/>
                <w:sz w:val="18"/>
                <w:szCs w:val="18"/>
              </w:rPr>
              <w:t>No</w:t>
            </w:r>
          </w:p>
        </w:tc>
      </w:tr>
      <w:tr w:rsidR="003438A2" w:rsidRPr="00D95799" w14:paraId="32A5003D" w14:textId="77777777" w:rsidTr="00D72A24">
        <w:trPr>
          <w:cantSplit/>
          <w:trHeight w:val="75"/>
          <w:jc w:val="center"/>
        </w:trPr>
        <w:tc>
          <w:tcPr>
            <w:tcW w:w="1985" w:type="dxa"/>
            <w:shd w:val="clear" w:color="auto" w:fill="auto"/>
          </w:tcPr>
          <w:p w14:paraId="75A891AF" w14:textId="77777777" w:rsidR="003438A2" w:rsidRDefault="003438A2" w:rsidP="00881E29">
            <w:pPr>
              <w:spacing w:before="60" w:after="60" w:line="240" w:lineRule="auto"/>
              <w:rPr>
                <w:rFonts w:eastAsia="Calibri" w:cs="Times New Roman"/>
                <w:i/>
                <w:sz w:val="18"/>
                <w:szCs w:val="18"/>
              </w:rPr>
            </w:pPr>
            <w:r w:rsidRPr="00B14E6A">
              <w:rPr>
                <w:rFonts w:eastAsia="Calibri" w:cs="Times New Roman"/>
                <w:i/>
                <w:sz w:val="18"/>
                <w:szCs w:val="18"/>
              </w:rPr>
              <w:t>Cherry rasp leaf virus</w:t>
            </w:r>
          </w:p>
          <w:p w14:paraId="5EE9D2EB" w14:textId="77777777" w:rsidR="003438A2" w:rsidRPr="00B14E6A" w:rsidRDefault="003438A2" w:rsidP="00881E29">
            <w:pPr>
              <w:spacing w:before="60" w:after="60" w:line="240" w:lineRule="auto"/>
              <w:rPr>
                <w:rFonts w:eastAsia="Calibri" w:cs="Times New Roman"/>
                <w:sz w:val="18"/>
                <w:szCs w:val="18"/>
              </w:rPr>
            </w:pPr>
            <w:r w:rsidRPr="00B14E6A">
              <w:rPr>
                <w:rFonts w:eastAsia="Calibri" w:cs="Times New Roman"/>
                <w:sz w:val="18"/>
                <w:szCs w:val="18"/>
              </w:rPr>
              <w:t xml:space="preserve">[Comoviridae: </w:t>
            </w:r>
            <w:hyperlink r:id="rId94" w:history="1">
              <w:r w:rsidRPr="00B14E6A">
                <w:rPr>
                  <w:rFonts w:eastAsia="Calibri" w:cs="Times New Roman"/>
                  <w:sz w:val="18"/>
                  <w:szCs w:val="18"/>
                </w:rPr>
                <w:t>Cheravirus</w:t>
              </w:r>
            </w:hyperlink>
            <w:r w:rsidRPr="00B14E6A">
              <w:rPr>
                <w:rFonts w:eastAsia="Calibri" w:cs="Times New Roman"/>
                <w:sz w:val="18"/>
                <w:szCs w:val="18"/>
              </w:rPr>
              <w:t>]</w:t>
            </w:r>
          </w:p>
          <w:p w14:paraId="4B4D7463" w14:textId="77777777" w:rsidR="003438A2" w:rsidRPr="00B14E6A" w:rsidRDefault="003438A2" w:rsidP="00881E29">
            <w:pPr>
              <w:spacing w:before="60" w:after="60" w:line="240" w:lineRule="auto"/>
              <w:rPr>
                <w:rFonts w:eastAsia="Calibri" w:cs="Times New Roman"/>
                <w:i/>
                <w:iCs/>
                <w:sz w:val="18"/>
                <w:szCs w:val="18"/>
              </w:rPr>
            </w:pPr>
            <w:r w:rsidRPr="00B14E6A">
              <w:rPr>
                <w:rFonts w:eastAsia="Calibri" w:cs="Times New Roman"/>
                <w:sz w:val="18"/>
                <w:szCs w:val="18"/>
              </w:rPr>
              <w:t>CRLV or Flat apple virus</w:t>
            </w:r>
          </w:p>
        </w:tc>
        <w:tc>
          <w:tcPr>
            <w:tcW w:w="1474" w:type="dxa"/>
            <w:shd w:val="clear" w:color="auto" w:fill="auto"/>
          </w:tcPr>
          <w:p w14:paraId="7576CCD5" w14:textId="77777777" w:rsidR="003438A2" w:rsidRPr="00B14E6A" w:rsidRDefault="003438A2" w:rsidP="00881E29">
            <w:pPr>
              <w:spacing w:before="60" w:after="60" w:line="240" w:lineRule="auto"/>
              <w:rPr>
                <w:rFonts w:eastAsia="Calibri" w:cs="Times New Roman"/>
                <w:sz w:val="18"/>
                <w:szCs w:val="18"/>
              </w:rPr>
            </w:pPr>
            <w:r w:rsidRPr="00B14E6A">
              <w:rPr>
                <w:rFonts w:eastAsia="Calibri" w:cs="Times New Roman"/>
                <w:sz w:val="18"/>
                <w:szCs w:val="18"/>
              </w:rPr>
              <w:t>Yes. Present in ID, OR, WA</w:t>
            </w:r>
            <w:r>
              <w:rPr>
                <w:rFonts w:eastAsia="Calibri" w:cs="Times New Roman"/>
                <w:sz w:val="18"/>
                <w:szCs w:val="18"/>
              </w:rPr>
              <w:t>. Also present in</w:t>
            </w:r>
            <w:r w:rsidRPr="00B14E6A">
              <w:rPr>
                <w:rFonts w:eastAsia="Calibri" w:cs="Times New Roman"/>
                <w:sz w:val="18"/>
                <w:szCs w:val="18"/>
              </w:rPr>
              <w:t xml:space="preserve"> a number of </w:t>
            </w:r>
            <w:r>
              <w:rPr>
                <w:rFonts w:eastAsia="Calibri" w:cs="Times New Roman"/>
                <w:sz w:val="18"/>
                <w:szCs w:val="18"/>
              </w:rPr>
              <w:t xml:space="preserve">other </w:t>
            </w:r>
            <w:r w:rsidRPr="00B14E6A">
              <w:rPr>
                <w:rFonts w:eastAsia="Calibri" w:cs="Times New Roman"/>
                <w:sz w:val="18"/>
                <w:szCs w:val="18"/>
              </w:rPr>
              <w:t xml:space="preserve">states </w:t>
            </w:r>
            <w:r>
              <w:rPr>
                <w:rFonts w:eastAsia="Calibri" w:cs="Times New Roman"/>
                <w:noProof/>
                <w:sz w:val="18"/>
                <w:szCs w:val="18"/>
              </w:rPr>
              <w:t>(CABI 2019)</w:t>
            </w:r>
          </w:p>
        </w:tc>
        <w:tc>
          <w:tcPr>
            <w:tcW w:w="1474" w:type="dxa"/>
            <w:shd w:val="clear" w:color="auto" w:fill="auto"/>
          </w:tcPr>
          <w:p w14:paraId="699D0388" w14:textId="77777777" w:rsidR="003438A2" w:rsidRPr="00B14E6A" w:rsidRDefault="003438A2" w:rsidP="00881E29">
            <w:pPr>
              <w:spacing w:before="60" w:after="60" w:line="240" w:lineRule="auto"/>
              <w:rPr>
                <w:rFonts w:eastAsia="Calibri" w:cs="Times New Roman"/>
                <w:sz w:val="18"/>
                <w:szCs w:val="18"/>
              </w:rPr>
            </w:pPr>
            <w:r w:rsidRPr="00B14E6A">
              <w:rPr>
                <w:rFonts w:eastAsia="Calibri" w:cs="Times New Roman"/>
                <w:sz w:val="18"/>
                <w:szCs w:val="18"/>
              </w:rPr>
              <w:t>No. Absent from Australia</w:t>
            </w:r>
            <w:r>
              <w:rPr>
                <w:rFonts w:eastAsia="Calibri" w:cs="Times New Roman"/>
                <w:sz w:val="18"/>
                <w:szCs w:val="18"/>
              </w:rPr>
              <w:t xml:space="preserve"> as</w:t>
            </w:r>
            <w:r w:rsidRPr="00B14E6A">
              <w:rPr>
                <w:rFonts w:eastAsia="Calibri" w:cs="Times New Roman"/>
                <w:sz w:val="18"/>
                <w:szCs w:val="18"/>
              </w:rPr>
              <w:t xml:space="preserve"> previous records for NSW, Vic., WA, SA and Tas. are deemed unreliable </w:t>
            </w:r>
            <w:r>
              <w:rPr>
                <w:rFonts w:eastAsia="Calibri" w:cs="Times New Roman"/>
                <w:noProof/>
                <w:sz w:val="18"/>
                <w:szCs w:val="18"/>
              </w:rPr>
              <w:t>(IPPC 2016a)</w:t>
            </w:r>
          </w:p>
        </w:tc>
        <w:tc>
          <w:tcPr>
            <w:tcW w:w="2552" w:type="dxa"/>
            <w:shd w:val="clear" w:color="auto" w:fill="auto"/>
          </w:tcPr>
          <w:p w14:paraId="479D77DC" w14:textId="77777777" w:rsidR="003438A2" w:rsidRPr="00B14E6A" w:rsidRDefault="003438A2" w:rsidP="00881E29">
            <w:pPr>
              <w:spacing w:before="60" w:after="60" w:line="240" w:lineRule="auto"/>
              <w:rPr>
                <w:rFonts w:eastAsia="Calibri" w:cs="Times New Roman"/>
                <w:sz w:val="18"/>
                <w:szCs w:val="18"/>
              </w:rPr>
            </w:pPr>
            <w:r w:rsidRPr="00B14E6A">
              <w:rPr>
                <w:rFonts w:eastAsia="Calibri" w:cs="Times New Roman"/>
                <w:sz w:val="18"/>
                <w:szCs w:val="18"/>
              </w:rPr>
              <w:t xml:space="preserve">No. May occur on both foliage and fruit with visible flat apple symptoms </w:t>
            </w:r>
            <w:r>
              <w:rPr>
                <w:rFonts w:eastAsia="Calibri" w:cs="Times New Roman"/>
                <w:noProof/>
                <w:sz w:val="18"/>
                <w:szCs w:val="18"/>
              </w:rPr>
              <w:t>(CABI 2019; Grove et al. 2003)</w:t>
            </w:r>
            <w:r w:rsidRPr="00B14E6A">
              <w:rPr>
                <w:rFonts w:eastAsia="Calibri" w:cs="Times New Roman"/>
                <w:sz w:val="18"/>
                <w:szCs w:val="18"/>
              </w:rPr>
              <w:t xml:space="preserve">. </w:t>
            </w:r>
            <w:r w:rsidRPr="00B14E6A">
              <w:rPr>
                <w:rFonts w:eastAsia="Calibri" w:cs="Times New Roman"/>
                <w:sz w:val="18"/>
                <w:szCs w:val="18"/>
                <w:lang w:val="pt-BR"/>
              </w:rPr>
              <w:t xml:space="preserve">Spread is slow and trasmission </w:t>
            </w:r>
            <w:r>
              <w:rPr>
                <w:rFonts w:eastAsia="Calibri" w:cs="Times New Roman"/>
                <w:sz w:val="18"/>
                <w:szCs w:val="18"/>
                <w:lang w:val="pt-BR"/>
              </w:rPr>
              <w:t xml:space="preserve">is </w:t>
            </w:r>
            <w:r w:rsidRPr="00B14E6A">
              <w:rPr>
                <w:rFonts w:eastAsia="Calibri" w:cs="Times New Roman"/>
                <w:sz w:val="18"/>
                <w:szCs w:val="18"/>
                <w:lang w:val="pt-BR"/>
              </w:rPr>
              <w:t xml:space="preserve">mainly by nematode vectors and infected propagating material </w:t>
            </w:r>
            <w:r>
              <w:rPr>
                <w:rFonts w:eastAsia="Calibri" w:cs="Times New Roman"/>
                <w:noProof/>
                <w:sz w:val="18"/>
                <w:szCs w:val="18"/>
                <w:lang w:val="pt-BR"/>
              </w:rPr>
              <w:t>(Grove et al. 2003; Hadidi et al. 2011)</w:t>
            </w:r>
            <w:r w:rsidRPr="00B14E6A">
              <w:rPr>
                <w:rFonts w:eastAsia="Calibri" w:cs="Times New Roman"/>
                <w:sz w:val="18"/>
                <w:szCs w:val="18"/>
                <w:lang w:val="pt-BR"/>
              </w:rPr>
              <w:t>. Commercially produced</w:t>
            </w:r>
            <w:r>
              <w:rPr>
                <w:rFonts w:eastAsia="Calibri" w:cs="Times New Roman"/>
                <w:sz w:val="18"/>
                <w:szCs w:val="18"/>
                <w:lang w:val="pt-BR"/>
              </w:rPr>
              <w:t xml:space="preserve"> </w:t>
            </w:r>
            <w:r w:rsidRPr="00B14E6A">
              <w:rPr>
                <w:rFonts w:eastAsia="Calibri" w:cs="Times New Roman"/>
                <w:sz w:val="18"/>
                <w:szCs w:val="18"/>
                <w:lang w:val="pt-BR"/>
              </w:rPr>
              <w:t>fruit will not provide a pathway as this affects fruit development or fruit develop flat apple symptoms</w:t>
            </w:r>
            <w:r>
              <w:rPr>
                <w:rFonts w:eastAsia="Calibri" w:cs="Times New Roman"/>
                <w:sz w:val="18"/>
                <w:szCs w:val="18"/>
                <w:lang w:val="pt-BR"/>
              </w:rPr>
              <w:t>,</w:t>
            </w:r>
            <w:r w:rsidRPr="00B14E6A">
              <w:rPr>
                <w:rFonts w:eastAsia="Calibri" w:cs="Times New Roman"/>
                <w:sz w:val="18"/>
                <w:szCs w:val="18"/>
                <w:lang w:val="pt-BR"/>
              </w:rPr>
              <w:t xml:space="preserve"> which will be discarded</w:t>
            </w:r>
            <w:r>
              <w:rPr>
                <w:rFonts w:eastAsia="Calibri" w:cs="Times New Roman"/>
                <w:sz w:val="18"/>
                <w:szCs w:val="18"/>
                <w:lang w:val="pt-BR"/>
              </w:rPr>
              <w:t>.</w:t>
            </w:r>
          </w:p>
        </w:tc>
        <w:tc>
          <w:tcPr>
            <w:tcW w:w="2381" w:type="dxa"/>
            <w:shd w:val="clear" w:color="auto" w:fill="auto"/>
          </w:tcPr>
          <w:p w14:paraId="7F0C0BA2" w14:textId="77777777" w:rsidR="003438A2" w:rsidRPr="00B14E6A" w:rsidRDefault="003438A2" w:rsidP="00881E29">
            <w:pPr>
              <w:spacing w:before="60" w:after="60" w:line="240" w:lineRule="auto"/>
              <w:rPr>
                <w:rFonts w:eastAsia="Calibri" w:cs="Times New Roman"/>
                <w:sz w:val="18"/>
                <w:szCs w:val="18"/>
              </w:rPr>
            </w:pPr>
            <w:r w:rsidRPr="00B14E6A">
              <w:rPr>
                <w:rFonts w:eastAsia="Calibri" w:cs="Times New Roman"/>
                <w:sz w:val="18"/>
                <w:szCs w:val="18"/>
                <w:lang w:val="pt-BR"/>
              </w:rPr>
              <w:t>Assessment not required</w:t>
            </w:r>
          </w:p>
        </w:tc>
        <w:tc>
          <w:tcPr>
            <w:tcW w:w="2211" w:type="dxa"/>
            <w:shd w:val="clear" w:color="auto" w:fill="auto"/>
          </w:tcPr>
          <w:p w14:paraId="0C274874" w14:textId="77777777" w:rsidR="003438A2" w:rsidRPr="00B14E6A" w:rsidRDefault="003438A2" w:rsidP="00881E29">
            <w:pPr>
              <w:spacing w:before="60" w:after="60" w:line="240" w:lineRule="auto"/>
              <w:rPr>
                <w:rFonts w:eastAsia="Calibri" w:cs="Times New Roman"/>
                <w:sz w:val="18"/>
                <w:szCs w:val="18"/>
              </w:rPr>
            </w:pPr>
            <w:r w:rsidRPr="00B14E6A">
              <w:rPr>
                <w:rFonts w:eastAsia="Calibri" w:cs="Times New Roman"/>
                <w:sz w:val="18"/>
                <w:szCs w:val="18"/>
                <w:lang w:val="pt-BR"/>
              </w:rPr>
              <w:t>Assessment not required</w:t>
            </w:r>
          </w:p>
        </w:tc>
        <w:tc>
          <w:tcPr>
            <w:tcW w:w="1191" w:type="dxa"/>
            <w:shd w:val="clear" w:color="auto" w:fill="auto"/>
          </w:tcPr>
          <w:p w14:paraId="5A1354B1" w14:textId="77777777" w:rsidR="003438A2" w:rsidRPr="00D95799" w:rsidRDefault="003438A2" w:rsidP="00881E29">
            <w:pPr>
              <w:spacing w:before="60" w:after="60" w:line="240" w:lineRule="auto"/>
              <w:rPr>
                <w:rFonts w:eastAsia="Calibri" w:cs="Times New Roman"/>
                <w:sz w:val="18"/>
                <w:szCs w:val="18"/>
              </w:rPr>
            </w:pPr>
            <w:r w:rsidRPr="00B14E6A">
              <w:rPr>
                <w:rFonts w:eastAsia="Calibri" w:cs="Times New Roman"/>
                <w:sz w:val="18"/>
                <w:szCs w:val="18"/>
              </w:rPr>
              <w:t>No</w:t>
            </w:r>
          </w:p>
        </w:tc>
      </w:tr>
      <w:tr w:rsidR="003438A2" w:rsidRPr="00D20FB7" w14:paraId="09FA5971" w14:textId="77777777" w:rsidTr="00D72A24">
        <w:trPr>
          <w:cantSplit/>
          <w:trHeight w:val="75"/>
          <w:jc w:val="center"/>
        </w:trPr>
        <w:tc>
          <w:tcPr>
            <w:tcW w:w="1985" w:type="dxa"/>
            <w:shd w:val="clear" w:color="auto" w:fill="auto"/>
          </w:tcPr>
          <w:p w14:paraId="7F06FA40" w14:textId="77777777" w:rsidR="003438A2" w:rsidRPr="00D20FB7" w:rsidRDefault="003438A2" w:rsidP="0018260B">
            <w:pPr>
              <w:pStyle w:val="TableText"/>
            </w:pPr>
            <w:bookmarkStart w:id="551" w:name="_Hlk89939586"/>
            <w:bookmarkStart w:id="552" w:name="_Hlk109820731"/>
            <w:bookmarkStart w:id="553" w:name="_Hlk109808098"/>
            <w:r w:rsidRPr="00D20FB7">
              <w:lastRenderedPageBreak/>
              <w:t>Citrus concave gum associated virus</w:t>
            </w:r>
            <w:bookmarkEnd w:id="551"/>
            <w:r w:rsidRPr="00D20FB7">
              <w:t xml:space="preserve"> (CCGaV)</w:t>
            </w:r>
          </w:p>
          <w:bookmarkEnd w:id="552"/>
          <w:p w14:paraId="49BB5E23" w14:textId="77777777" w:rsidR="003438A2" w:rsidRPr="00D20FB7" w:rsidRDefault="003438A2" w:rsidP="0018260B">
            <w:pPr>
              <w:pStyle w:val="TableText"/>
              <w:rPr>
                <w:rFonts w:eastAsia="Calibri" w:cs="Times New Roman"/>
                <w:i/>
              </w:rPr>
            </w:pPr>
            <w:r w:rsidRPr="00D20FB7">
              <w:t xml:space="preserve">[Pheniviridae: </w:t>
            </w:r>
            <w:r w:rsidRPr="00D20FB7">
              <w:rPr>
                <w:iCs/>
              </w:rPr>
              <w:t>Phlebovirus]</w:t>
            </w:r>
          </w:p>
        </w:tc>
        <w:tc>
          <w:tcPr>
            <w:tcW w:w="1474" w:type="dxa"/>
            <w:shd w:val="clear" w:color="auto" w:fill="auto"/>
          </w:tcPr>
          <w:p w14:paraId="34174C57" w14:textId="77777777" w:rsidR="003438A2" w:rsidRPr="00E76618" w:rsidRDefault="003438A2" w:rsidP="0018260B">
            <w:pPr>
              <w:pStyle w:val="TableText"/>
            </w:pPr>
            <w:r w:rsidRPr="00D20FB7">
              <w:rPr>
                <w:rFonts w:eastAsia="Calibri" w:cs="Times New Roman"/>
              </w:rPr>
              <w:t xml:space="preserve">Yes. Present in WA </w:t>
            </w:r>
            <w:r>
              <w:rPr>
                <w:noProof/>
              </w:rPr>
              <w:t>(Pscheidt &amp; Ocamb 2022a)</w:t>
            </w:r>
          </w:p>
          <w:p w14:paraId="7CD88775" w14:textId="77777777" w:rsidR="003438A2" w:rsidRPr="00D20FB7" w:rsidRDefault="003438A2" w:rsidP="0018260B">
            <w:pPr>
              <w:pStyle w:val="TableText"/>
              <w:rPr>
                <w:rFonts w:eastAsia="Calibri" w:cs="Times New Roman"/>
              </w:rPr>
            </w:pPr>
          </w:p>
        </w:tc>
        <w:tc>
          <w:tcPr>
            <w:tcW w:w="1474" w:type="dxa"/>
            <w:shd w:val="clear" w:color="auto" w:fill="auto"/>
          </w:tcPr>
          <w:p w14:paraId="19D19C40" w14:textId="77777777" w:rsidR="003438A2" w:rsidRPr="00A960A0" w:rsidRDefault="003438A2" w:rsidP="0018260B">
            <w:pPr>
              <w:pStyle w:val="TableText"/>
              <w:rPr>
                <w:rFonts w:eastAsia="Calibri" w:cs="Times New Roman"/>
              </w:rPr>
            </w:pPr>
            <w:r w:rsidRPr="00D20FB7">
              <w:rPr>
                <w:rFonts w:eastAsia="Calibri" w:cs="Times New Roman"/>
              </w:rPr>
              <w:t xml:space="preserve">Yes. </w:t>
            </w:r>
            <w:r>
              <w:rPr>
                <w:rFonts w:eastAsia="Calibri" w:cs="Times New Roman"/>
              </w:rPr>
              <w:t xml:space="preserve">There are uncertain records of samples collected from apple trees tested positive for CCGaV </w:t>
            </w:r>
            <w:r w:rsidRPr="00A960A0">
              <w:rPr>
                <w:rFonts w:eastAsia="Calibri" w:cs="Times New Roman"/>
              </w:rPr>
              <w:t>(Wright et al. 2018)</w:t>
            </w:r>
          </w:p>
          <w:p w14:paraId="196409C3" w14:textId="77777777" w:rsidR="003438A2" w:rsidRPr="00D20FB7" w:rsidRDefault="003438A2" w:rsidP="0018260B">
            <w:pPr>
              <w:pStyle w:val="TableText"/>
              <w:rPr>
                <w:rFonts w:eastAsia="Calibri" w:cs="Times New Roman"/>
              </w:rPr>
            </w:pPr>
          </w:p>
        </w:tc>
        <w:tc>
          <w:tcPr>
            <w:tcW w:w="2552" w:type="dxa"/>
            <w:shd w:val="clear" w:color="auto" w:fill="auto"/>
          </w:tcPr>
          <w:p w14:paraId="2DD72E65" w14:textId="77777777" w:rsidR="003438A2" w:rsidRPr="00D20FB7" w:rsidRDefault="003438A2" w:rsidP="0018260B">
            <w:pPr>
              <w:pStyle w:val="TableText"/>
              <w:rPr>
                <w:rFonts w:eastAsia="Calibri" w:cs="Times New Roman"/>
              </w:rPr>
            </w:pPr>
            <w:r w:rsidRPr="00355CD8">
              <w:rPr>
                <w:rFonts w:eastAsia="Calibri" w:cs="Times New Roman"/>
              </w:rPr>
              <w:t xml:space="preserve">No. Less likely to be </w:t>
            </w:r>
            <w:r>
              <w:rPr>
                <w:rFonts w:eastAsia="Calibri" w:cs="Times New Roman"/>
              </w:rPr>
              <w:t>o</w:t>
            </w:r>
            <w:r w:rsidRPr="00355CD8">
              <w:rPr>
                <w:rFonts w:eastAsia="Calibri" w:cs="Times New Roman"/>
              </w:rPr>
              <w:t>n fruit pathway as the disease is currently known to be graft transmissible</w:t>
            </w:r>
            <w:r>
              <w:rPr>
                <w:rFonts w:eastAsia="Calibri" w:cs="Times New Roman"/>
              </w:rPr>
              <w:t xml:space="preserve"> </w:t>
            </w:r>
            <w:r>
              <w:rPr>
                <w:noProof/>
              </w:rPr>
              <w:t>(Navarro et al. 2018)</w:t>
            </w:r>
          </w:p>
        </w:tc>
        <w:tc>
          <w:tcPr>
            <w:tcW w:w="2381" w:type="dxa"/>
            <w:shd w:val="clear" w:color="auto" w:fill="auto"/>
          </w:tcPr>
          <w:p w14:paraId="331BA724" w14:textId="77777777" w:rsidR="003438A2" w:rsidRPr="00D20FB7" w:rsidRDefault="003438A2" w:rsidP="0018260B">
            <w:pPr>
              <w:pStyle w:val="TableText"/>
              <w:rPr>
                <w:rFonts w:eastAsia="Calibri" w:cs="Times New Roman"/>
                <w:lang w:val="pt-BR"/>
              </w:rPr>
            </w:pPr>
            <w:r w:rsidRPr="00D20FB7">
              <w:rPr>
                <w:rFonts w:eastAsia="Calibri" w:cs="Times New Roman"/>
                <w:lang w:val="pt-BR"/>
              </w:rPr>
              <w:t>Assessment not required</w:t>
            </w:r>
          </w:p>
        </w:tc>
        <w:tc>
          <w:tcPr>
            <w:tcW w:w="2211" w:type="dxa"/>
            <w:shd w:val="clear" w:color="auto" w:fill="auto"/>
          </w:tcPr>
          <w:p w14:paraId="46E7F0BC" w14:textId="77777777" w:rsidR="003438A2" w:rsidRPr="00D20FB7" w:rsidRDefault="003438A2" w:rsidP="0018260B">
            <w:pPr>
              <w:pStyle w:val="TableText"/>
              <w:rPr>
                <w:rFonts w:eastAsia="Calibri" w:cs="Times New Roman"/>
                <w:lang w:val="pt-BR"/>
              </w:rPr>
            </w:pPr>
            <w:r w:rsidRPr="00D20FB7">
              <w:rPr>
                <w:rFonts w:eastAsia="Calibri" w:cs="Times New Roman"/>
                <w:lang w:val="pt-BR"/>
              </w:rPr>
              <w:t>Assessment not required</w:t>
            </w:r>
          </w:p>
        </w:tc>
        <w:tc>
          <w:tcPr>
            <w:tcW w:w="1191" w:type="dxa"/>
            <w:shd w:val="clear" w:color="auto" w:fill="auto"/>
          </w:tcPr>
          <w:p w14:paraId="4B0B4246" w14:textId="77777777" w:rsidR="003438A2" w:rsidRPr="00D20FB7" w:rsidRDefault="003438A2" w:rsidP="0018260B">
            <w:pPr>
              <w:pStyle w:val="TableText"/>
              <w:rPr>
                <w:rFonts w:eastAsia="Calibri" w:cs="Times New Roman"/>
              </w:rPr>
            </w:pPr>
            <w:r w:rsidRPr="00D20FB7">
              <w:rPr>
                <w:rFonts w:eastAsia="Calibri" w:cs="Times New Roman"/>
              </w:rPr>
              <w:t>No</w:t>
            </w:r>
          </w:p>
        </w:tc>
      </w:tr>
      <w:bookmarkEnd w:id="553"/>
      <w:tr w:rsidR="003438A2" w:rsidRPr="00D95799" w14:paraId="4458837C" w14:textId="77777777" w:rsidTr="00227EEC">
        <w:trPr>
          <w:cantSplit/>
          <w:trHeight w:val="75"/>
          <w:jc w:val="center"/>
        </w:trPr>
        <w:tc>
          <w:tcPr>
            <w:tcW w:w="1985" w:type="dxa"/>
            <w:shd w:val="clear" w:color="auto" w:fill="auto"/>
          </w:tcPr>
          <w:p w14:paraId="6445E7A4" w14:textId="77777777" w:rsidR="003438A2" w:rsidRDefault="003438A2" w:rsidP="00881E29">
            <w:pPr>
              <w:spacing w:before="60" w:after="60" w:line="240" w:lineRule="auto"/>
              <w:rPr>
                <w:rFonts w:eastAsia="Calibri" w:cs="Times New Roman"/>
                <w:i/>
                <w:sz w:val="18"/>
                <w:szCs w:val="18"/>
              </w:rPr>
            </w:pPr>
            <w:r w:rsidRPr="00D95799">
              <w:rPr>
                <w:rFonts w:eastAsia="Calibri" w:cs="Times New Roman"/>
                <w:i/>
                <w:sz w:val="18"/>
                <w:szCs w:val="18"/>
              </w:rPr>
              <w:lastRenderedPageBreak/>
              <w:t>Tobacco necrosis viruses</w:t>
            </w:r>
          </w:p>
          <w:p w14:paraId="68D46321" w14:textId="77777777" w:rsidR="003438A2" w:rsidRPr="00295C05" w:rsidRDefault="003438A2" w:rsidP="00881E29">
            <w:pPr>
              <w:spacing w:before="60" w:after="60" w:line="240" w:lineRule="auto"/>
              <w:rPr>
                <w:rFonts w:eastAsia="Calibri" w:cs="Times New Roman"/>
                <w:sz w:val="18"/>
                <w:szCs w:val="18"/>
              </w:rPr>
            </w:pPr>
            <w:r>
              <w:rPr>
                <w:rFonts w:eastAsia="Calibri" w:cs="Times New Roman"/>
                <w:sz w:val="18"/>
                <w:szCs w:val="18"/>
              </w:rPr>
              <w:t>[Tombusviridae: Necrovirus]</w:t>
            </w:r>
          </w:p>
        </w:tc>
        <w:tc>
          <w:tcPr>
            <w:tcW w:w="1474" w:type="dxa"/>
            <w:shd w:val="clear" w:color="auto" w:fill="auto"/>
          </w:tcPr>
          <w:p w14:paraId="36EBE00D" w14:textId="77777777" w:rsidR="003438A2" w:rsidRPr="00A614F9" w:rsidRDefault="003438A2" w:rsidP="00A614F9">
            <w:pPr>
              <w:pStyle w:val="TableText"/>
            </w:pPr>
            <w:r w:rsidRPr="00A614F9">
              <w:t xml:space="preserve">Yes. Present in OR. Also present in CA (APHIS 2007) </w:t>
            </w:r>
          </w:p>
        </w:tc>
        <w:tc>
          <w:tcPr>
            <w:tcW w:w="1474" w:type="dxa"/>
            <w:shd w:val="clear" w:color="auto" w:fill="auto"/>
          </w:tcPr>
          <w:p w14:paraId="11FF1E41" w14:textId="77777777" w:rsidR="003438A2" w:rsidRPr="00104663" w:rsidRDefault="003438A2" w:rsidP="00104663">
            <w:pPr>
              <w:pStyle w:val="TableText"/>
            </w:pPr>
            <w:r w:rsidRPr="007C09DE">
              <w:t>Yes. Viruses likely to be strains of tobacco necrosis viruses A and D have been recorded in Vic. and Qld (CABI 2022; Finlay &amp; Teakle 1969; Teakle 1988).</w:t>
            </w:r>
            <w:r w:rsidRPr="00D95799">
              <w:rPr>
                <w:rFonts w:eastAsia="Calibri" w:cs="Times New Roman"/>
                <w:szCs w:val="18"/>
              </w:rPr>
              <w:t xml:space="preserve"> </w:t>
            </w:r>
            <w:r w:rsidRPr="00F24FCA">
              <w:rPr>
                <w:rFonts w:eastAsia="Calibri" w:cs="Times New Roman"/>
                <w:i/>
                <w:szCs w:val="18"/>
              </w:rPr>
              <w:t>Tobacco necrosis virus</w:t>
            </w:r>
            <w:r w:rsidRPr="00D95799">
              <w:rPr>
                <w:rFonts w:eastAsia="Calibri" w:cs="Times New Roman"/>
                <w:szCs w:val="18"/>
              </w:rPr>
              <w:t xml:space="preserve"> Nebraska isolate has not been recorded in Australia, nor have other tobacco necrosis viruses that have since been renamed or have not yet been formally recognised </w:t>
            </w:r>
            <w:r>
              <w:rPr>
                <w:rFonts w:eastAsia="Calibri" w:cs="Times New Roman"/>
                <w:noProof/>
                <w:szCs w:val="18"/>
              </w:rPr>
              <w:t>(Cardoso et al. 2005; NCBI 2009; Tomlinson et al. 1983; Zhang, French &amp; Langenberg 1993)</w:t>
            </w:r>
            <w:r>
              <w:rPr>
                <w:rFonts w:eastAsia="Calibri" w:cs="Times New Roman"/>
                <w:szCs w:val="18"/>
              </w:rPr>
              <w:t>.</w:t>
            </w:r>
          </w:p>
        </w:tc>
        <w:tc>
          <w:tcPr>
            <w:tcW w:w="2552" w:type="dxa"/>
            <w:shd w:val="clear" w:color="auto" w:fill="auto"/>
          </w:tcPr>
          <w:p w14:paraId="03385AB1"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Tobacco necrosis viruses (TNVs) have been isolated from apple fruit flesh </w:t>
            </w:r>
            <w:r>
              <w:rPr>
                <w:rFonts w:eastAsia="Calibri" w:cs="Times New Roman"/>
                <w:noProof/>
                <w:sz w:val="18"/>
                <w:szCs w:val="18"/>
              </w:rPr>
              <w:t>(Uyemoto &amp; Gilmer 1972)</w:t>
            </w:r>
            <w:r w:rsidRPr="00D95799">
              <w:rPr>
                <w:rFonts w:eastAsia="Calibri" w:cs="Times New Roman"/>
                <w:sz w:val="18"/>
                <w:szCs w:val="18"/>
              </w:rPr>
              <w:t xml:space="preserve">. Known to infect apple </w:t>
            </w:r>
            <w:r>
              <w:rPr>
                <w:rFonts w:eastAsia="Calibri" w:cs="Times New Roman"/>
                <w:noProof/>
                <w:sz w:val="18"/>
                <w:szCs w:val="18"/>
              </w:rPr>
              <w:t>(CABI 2019)</w:t>
            </w:r>
            <w:r w:rsidRPr="00D95799">
              <w:rPr>
                <w:rFonts w:eastAsia="Calibri" w:cs="Times New Roman"/>
                <w:sz w:val="18"/>
                <w:szCs w:val="18"/>
              </w:rPr>
              <w:t>.</w:t>
            </w:r>
            <w:r>
              <w:rPr>
                <w:rFonts w:eastAsia="Calibri" w:cs="Times New Roman"/>
                <w:sz w:val="18"/>
                <w:szCs w:val="18"/>
              </w:rPr>
              <w:t xml:space="preserve"> </w:t>
            </w:r>
            <w:r w:rsidRPr="00D95799">
              <w:rPr>
                <w:rFonts w:eastAsia="Calibri" w:cs="Times New Roman"/>
                <w:sz w:val="18"/>
                <w:szCs w:val="18"/>
              </w:rPr>
              <w:t>Virus particles released from plant debris and acquired in soil by zoospores of chytrid fungi (</w:t>
            </w:r>
            <w:r w:rsidRPr="00D95799">
              <w:rPr>
                <w:rFonts w:eastAsia="Calibri" w:cs="Times New Roman"/>
                <w:i/>
                <w:sz w:val="18"/>
                <w:szCs w:val="18"/>
              </w:rPr>
              <w:t xml:space="preserve">Olpidium </w:t>
            </w:r>
            <w:r w:rsidRPr="00D95799">
              <w:rPr>
                <w:rFonts w:eastAsia="Calibri" w:cs="Times New Roman"/>
                <w:sz w:val="18"/>
                <w:szCs w:val="18"/>
              </w:rPr>
              <w:t xml:space="preserve">spp.) may be transmitted to suitable hosts </w:t>
            </w:r>
            <w:r>
              <w:rPr>
                <w:rFonts w:eastAsia="Calibri" w:cs="Times New Roman"/>
                <w:noProof/>
                <w:sz w:val="18"/>
                <w:szCs w:val="18"/>
              </w:rPr>
              <w:t>(CABI 2018; Spence 2001; Uyemoto 1981)</w:t>
            </w:r>
            <w:r w:rsidRPr="00D95799">
              <w:rPr>
                <w:rFonts w:eastAsia="Calibri" w:cs="Times New Roman"/>
                <w:sz w:val="18"/>
                <w:szCs w:val="18"/>
              </w:rPr>
              <w:t>.</w:t>
            </w:r>
            <w:r>
              <w:rPr>
                <w:rFonts w:eastAsia="Calibri" w:cs="Times New Roman"/>
                <w:sz w:val="18"/>
                <w:szCs w:val="18"/>
              </w:rPr>
              <w:t xml:space="preserve"> </w:t>
            </w:r>
            <w:r w:rsidRPr="00D95799">
              <w:rPr>
                <w:rFonts w:eastAsia="Calibri" w:cs="Times New Roman"/>
                <w:sz w:val="18"/>
                <w:szCs w:val="18"/>
              </w:rPr>
              <w:t xml:space="preserve">Necroviruses may also be transmitted in soil water without a vector </w:t>
            </w:r>
            <w:r>
              <w:rPr>
                <w:rFonts w:eastAsia="Calibri" w:cs="Times New Roman"/>
                <w:noProof/>
                <w:sz w:val="18"/>
                <w:szCs w:val="18"/>
              </w:rPr>
              <w:t>(Lommel et al. 2005)</w:t>
            </w:r>
            <w:r>
              <w:rPr>
                <w:rFonts w:eastAsia="Calibri" w:cs="Times New Roman"/>
                <w:sz w:val="18"/>
                <w:szCs w:val="18"/>
              </w:rPr>
              <w:t>.</w:t>
            </w:r>
          </w:p>
        </w:tc>
        <w:tc>
          <w:tcPr>
            <w:tcW w:w="2381" w:type="dxa"/>
            <w:shd w:val="clear" w:color="auto" w:fill="auto"/>
          </w:tcPr>
          <w:p w14:paraId="23FBD8D2" w14:textId="77777777" w:rsidR="003438A2" w:rsidRPr="00295C05" w:rsidRDefault="003438A2" w:rsidP="00881E29">
            <w:pPr>
              <w:spacing w:before="60" w:after="60" w:line="240" w:lineRule="auto"/>
              <w:rPr>
                <w:rFonts w:eastAsia="Times New Roman" w:cs="Arial"/>
                <w:sz w:val="18"/>
                <w:szCs w:val="18"/>
                <w:lang w:eastAsia="en-AU"/>
              </w:rPr>
            </w:pPr>
            <w:r w:rsidRPr="00D95799">
              <w:rPr>
                <w:rFonts w:eastAsia="Times New Roman" w:cs="Arial"/>
                <w:sz w:val="18"/>
                <w:szCs w:val="18"/>
                <w:lang w:eastAsia="en-AU"/>
              </w:rPr>
              <w:t xml:space="preserve">Yes. </w:t>
            </w:r>
            <w:r w:rsidRPr="00F24FCA">
              <w:rPr>
                <w:rFonts w:eastAsia="Times New Roman" w:cs="Arial"/>
                <w:i/>
                <w:sz w:val="18"/>
                <w:szCs w:val="18"/>
                <w:lang w:eastAsia="en-AU"/>
              </w:rPr>
              <w:t>Tobacco necrosis virus</w:t>
            </w:r>
            <w:r w:rsidRPr="00D95799">
              <w:rPr>
                <w:rFonts w:eastAsia="Times New Roman" w:cs="Arial"/>
                <w:sz w:val="18"/>
                <w:szCs w:val="18"/>
                <w:lang w:eastAsia="en-AU"/>
              </w:rPr>
              <w:t xml:space="preserve"> strains are established in Australia </w:t>
            </w:r>
            <w:r>
              <w:rPr>
                <w:rFonts w:eastAsia="Times New Roman" w:cs="Arial"/>
                <w:noProof/>
                <w:sz w:val="18"/>
                <w:szCs w:val="18"/>
                <w:lang w:eastAsia="en-AU"/>
              </w:rPr>
              <w:t>(Teakle 1988)</w:t>
            </w:r>
            <w:r w:rsidRPr="00D95799">
              <w:rPr>
                <w:rFonts w:eastAsia="Times New Roman" w:cs="Arial"/>
                <w:sz w:val="18"/>
                <w:szCs w:val="18"/>
                <w:lang w:eastAsia="en-AU"/>
              </w:rPr>
              <w:t xml:space="preserve">. TNVs infect common vegetable crop plants, ornamental plants and tree species </w:t>
            </w:r>
            <w:r>
              <w:rPr>
                <w:rFonts w:eastAsia="Times New Roman" w:cs="Arial"/>
                <w:noProof/>
                <w:sz w:val="18"/>
                <w:szCs w:val="18"/>
                <w:lang w:eastAsia="en-AU"/>
              </w:rPr>
              <w:t>(Brunt &amp; Teakle 1996; CABI 2019; Zitikaite &amp; Staniulis 2009)</w:t>
            </w:r>
            <w:r w:rsidRPr="00D95799">
              <w:rPr>
                <w:rFonts w:eastAsia="Times New Roman" w:cs="Arial"/>
                <w:sz w:val="18"/>
                <w:szCs w:val="18"/>
                <w:lang w:eastAsia="en-AU"/>
              </w:rPr>
              <w:t>. TNVs are transmitted by</w:t>
            </w:r>
            <w:r w:rsidRPr="00D95799">
              <w:rPr>
                <w:rFonts w:eastAsia="Times New Roman" w:cs="Arial"/>
                <w:i/>
                <w:sz w:val="18"/>
                <w:szCs w:val="18"/>
                <w:lang w:eastAsia="en-AU"/>
              </w:rPr>
              <w:t xml:space="preserve"> Olpidium </w:t>
            </w:r>
            <w:r w:rsidRPr="00D95799">
              <w:rPr>
                <w:rFonts w:eastAsia="Times New Roman" w:cs="Arial"/>
                <w:sz w:val="18"/>
                <w:szCs w:val="18"/>
                <w:lang w:eastAsia="en-AU"/>
              </w:rPr>
              <w:t xml:space="preserve">spp. </w:t>
            </w:r>
            <w:r>
              <w:rPr>
                <w:rFonts w:eastAsia="Times New Roman" w:cs="Arial"/>
                <w:noProof/>
                <w:sz w:val="18"/>
                <w:szCs w:val="18"/>
                <w:lang w:eastAsia="en-AU"/>
              </w:rPr>
              <w:t>(Rochon et al. 2004; Sasaya &amp; Koganezawa 2006)</w:t>
            </w:r>
            <w:r w:rsidRPr="00D95799">
              <w:rPr>
                <w:rFonts w:eastAsia="Times New Roman" w:cs="Arial"/>
                <w:sz w:val="18"/>
                <w:szCs w:val="18"/>
                <w:lang w:eastAsia="en-AU"/>
              </w:rPr>
              <w:t xml:space="preserve"> and these vectors occur in Australia </w:t>
            </w:r>
            <w:r>
              <w:rPr>
                <w:rFonts w:eastAsia="Times New Roman" w:cs="Arial"/>
                <w:noProof/>
                <w:sz w:val="18"/>
                <w:szCs w:val="18"/>
                <w:lang w:eastAsia="en-AU"/>
              </w:rPr>
              <w:t>(Maccarone et al. 2008; McDougall 2006)</w:t>
            </w:r>
            <w:r>
              <w:rPr>
                <w:rFonts w:eastAsia="Times New Roman" w:cs="Arial"/>
                <w:sz w:val="18"/>
                <w:szCs w:val="18"/>
                <w:lang w:eastAsia="en-AU"/>
              </w:rPr>
              <w:t>.</w:t>
            </w:r>
          </w:p>
        </w:tc>
        <w:tc>
          <w:tcPr>
            <w:tcW w:w="2211" w:type="dxa"/>
            <w:shd w:val="clear" w:color="auto" w:fill="auto"/>
          </w:tcPr>
          <w:p w14:paraId="0FB9C3B1"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Tobacco necrosis viruses cause rusty root disease of carrot, Augusta disease of tulip, stipple streak disease of common bean, necrosis diseases of cabbage, cucumber, soybean and zucchini and ABC disease of potato </w:t>
            </w:r>
            <w:r>
              <w:rPr>
                <w:rFonts w:eastAsia="Calibri" w:cs="Times New Roman"/>
                <w:noProof/>
                <w:sz w:val="18"/>
                <w:szCs w:val="18"/>
              </w:rPr>
              <w:t>(Smith et al. 1988; Uyemoto 1981; Xi et al. 2008; Zitikaite &amp; Staniulis 2009)</w:t>
            </w:r>
            <w:r>
              <w:rPr>
                <w:rFonts w:eastAsia="Calibri" w:cs="Times New Roman"/>
                <w:sz w:val="18"/>
                <w:szCs w:val="18"/>
              </w:rPr>
              <w:t>.</w:t>
            </w:r>
          </w:p>
        </w:tc>
        <w:tc>
          <w:tcPr>
            <w:tcW w:w="1191" w:type="dxa"/>
            <w:shd w:val="clear" w:color="auto" w:fill="auto"/>
          </w:tcPr>
          <w:p w14:paraId="649507C9"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Yes</w:t>
            </w:r>
            <w:r>
              <w:rPr>
                <w:rFonts w:eastAsia="Calibri" w:cs="Times New Roman"/>
                <w:sz w:val="18"/>
                <w:szCs w:val="18"/>
              </w:rPr>
              <w:t xml:space="preserve"> (EP)</w:t>
            </w:r>
          </w:p>
        </w:tc>
      </w:tr>
      <w:tr w:rsidR="003438A2" w:rsidRPr="00D95799" w14:paraId="3B5E2E48" w14:textId="77777777" w:rsidTr="00C714B1">
        <w:trPr>
          <w:cantSplit/>
          <w:trHeight w:val="75"/>
          <w:jc w:val="center"/>
        </w:trPr>
        <w:tc>
          <w:tcPr>
            <w:tcW w:w="1985" w:type="dxa"/>
            <w:shd w:val="clear" w:color="auto" w:fill="auto"/>
          </w:tcPr>
          <w:p w14:paraId="12B9013E" w14:textId="77777777" w:rsidR="003438A2" w:rsidRDefault="003438A2" w:rsidP="00881E29">
            <w:pPr>
              <w:spacing w:before="60" w:after="60" w:line="240" w:lineRule="auto"/>
              <w:rPr>
                <w:rFonts w:eastAsia="Calibri" w:cs="Times New Roman"/>
                <w:i/>
                <w:sz w:val="18"/>
                <w:szCs w:val="18"/>
              </w:rPr>
            </w:pPr>
            <w:r w:rsidRPr="003D68F8">
              <w:rPr>
                <w:rFonts w:eastAsia="Calibri" w:cs="Times New Roman"/>
                <w:i/>
                <w:sz w:val="18"/>
                <w:szCs w:val="18"/>
              </w:rPr>
              <w:lastRenderedPageBreak/>
              <w:t>Tobacco ringspot virus</w:t>
            </w:r>
          </w:p>
          <w:p w14:paraId="5E716F27" w14:textId="77777777" w:rsidR="003438A2" w:rsidRPr="003D68F8" w:rsidRDefault="003438A2" w:rsidP="00881E29">
            <w:pPr>
              <w:spacing w:before="60" w:after="60" w:line="240" w:lineRule="auto"/>
              <w:rPr>
                <w:rFonts w:eastAsia="Calibri" w:cs="Times New Roman"/>
                <w:sz w:val="18"/>
                <w:szCs w:val="18"/>
              </w:rPr>
            </w:pPr>
            <w:r w:rsidRPr="003D68F8">
              <w:rPr>
                <w:rFonts w:eastAsia="Calibri" w:cs="Times New Roman"/>
                <w:sz w:val="18"/>
                <w:szCs w:val="18"/>
              </w:rPr>
              <w:t>[Secoviridae: Nepovirus]</w:t>
            </w:r>
          </w:p>
          <w:p w14:paraId="40C21DE2" w14:textId="77777777" w:rsidR="003438A2" w:rsidRPr="003D68F8" w:rsidRDefault="003438A2" w:rsidP="00881E29">
            <w:pPr>
              <w:spacing w:before="60" w:after="60" w:line="240" w:lineRule="auto"/>
              <w:rPr>
                <w:rFonts w:eastAsia="Calibri" w:cs="Times New Roman"/>
                <w:i/>
                <w:sz w:val="18"/>
                <w:szCs w:val="18"/>
              </w:rPr>
            </w:pPr>
            <w:r w:rsidRPr="003D68F8">
              <w:rPr>
                <w:rFonts w:eastAsia="Calibri" w:cs="Times New Roman"/>
                <w:sz w:val="18"/>
                <w:szCs w:val="18"/>
              </w:rPr>
              <w:t>TRSV</w:t>
            </w:r>
          </w:p>
        </w:tc>
        <w:tc>
          <w:tcPr>
            <w:tcW w:w="1474" w:type="dxa"/>
            <w:shd w:val="clear" w:color="auto" w:fill="auto"/>
          </w:tcPr>
          <w:p w14:paraId="72014476" w14:textId="77777777" w:rsidR="003438A2" w:rsidRPr="003D68F8" w:rsidRDefault="003438A2" w:rsidP="00881E29">
            <w:pPr>
              <w:spacing w:before="60" w:after="60" w:line="240" w:lineRule="auto"/>
              <w:rPr>
                <w:rFonts w:eastAsia="Calibri" w:cs="Times New Roman"/>
                <w:sz w:val="18"/>
                <w:szCs w:val="18"/>
              </w:rPr>
            </w:pPr>
            <w:r w:rsidRPr="003D68F8">
              <w:rPr>
                <w:rFonts w:eastAsia="Calibri" w:cs="Times New Roman"/>
                <w:sz w:val="18"/>
                <w:szCs w:val="18"/>
              </w:rPr>
              <w:t xml:space="preserve">Yes. </w:t>
            </w:r>
            <w:r>
              <w:rPr>
                <w:rFonts w:eastAsia="Calibri" w:cs="Times New Roman"/>
                <w:sz w:val="18"/>
                <w:szCs w:val="18"/>
              </w:rPr>
              <w:t>Present in OR</w:t>
            </w:r>
            <w:r w:rsidRPr="003D68F8">
              <w:rPr>
                <w:rFonts w:eastAsia="Calibri" w:cs="Times New Roman"/>
                <w:sz w:val="18"/>
                <w:szCs w:val="18"/>
              </w:rPr>
              <w:t xml:space="preserve"> on </w:t>
            </w:r>
            <w:r w:rsidRPr="003D68F8">
              <w:rPr>
                <w:rFonts w:eastAsia="Calibri" w:cs="Times New Roman"/>
                <w:i/>
                <w:sz w:val="18"/>
                <w:szCs w:val="18"/>
              </w:rPr>
              <w:t xml:space="preserve">Vaccinium </w:t>
            </w:r>
            <w:r w:rsidRPr="003D68F8">
              <w:rPr>
                <w:rFonts w:eastAsia="Calibri" w:cs="Times New Roman"/>
                <w:sz w:val="18"/>
                <w:szCs w:val="18"/>
              </w:rPr>
              <w:t>spp</w:t>
            </w:r>
            <w:r>
              <w:rPr>
                <w:rFonts w:eastAsia="Calibri" w:cs="Times New Roman"/>
                <w:sz w:val="18"/>
                <w:szCs w:val="18"/>
              </w:rPr>
              <w:t>. Also present in</w:t>
            </w:r>
            <w:r w:rsidRPr="003D68F8">
              <w:rPr>
                <w:rFonts w:eastAsia="Calibri" w:cs="Times New Roman"/>
                <w:sz w:val="18"/>
                <w:szCs w:val="18"/>
              </w:rPr>
              <w:t xml:space="preserve"> eastern and central USA states. </w:t>
            </w:r>
            <w:r>
              <w:rPr>
                <w:rFonts w:eastAsia="Calibri" w:cs="Times New Roman"/>
                <w:noProof/>
                <w:sz w:val="18"/>
                <w:szCs w:val="18"/>
              </w:rPr>
              <w:t>(CABI &amp; EPPO 1997b)</w:t>
            </w:r>
          </w:p>
        </w:tc>
        <w:tc>
          <w:tcPr>
            <w:tcW w:w="1474" w:type="dxa"/>
            <w:shd w:val="clear" w:color="auto" w:fill="auto"/>
          </w:tcPr>
          <w:p w14:paraId="35AC4925" w14:textId="77777777" w:rsidR="003438A2" w:rsidRPr="003D68F8" w:rsidRDefault="003438A2" w:rsidP="00881E29">
            <w:pPr>
              <w:spacing w:before="60" w:after="60" w:line="240" w:lineRule="auto"/>
              <w:rPr>
                <w:rFonts w:eastAsia="Calibri" w:cs="Times New Roman"/>
                <w:sz w:val="18"/>
                <w:szCs w:val="18"/>
              </w:rPr>
            </w:pPr>
            <w:r w:rsidRPr="003D68F8">
              <w:rPr>
                <w:rFonts w:eastAsia="Calibri" w:cs="Times New Roman"/>
                <w:sz w:val="18"/>
                <w:szCs w:val="18"/>
              </w:rPr>
              <w:t xml:space="preserve">Yes. Qld, SA, WA </w:t>
            </w:r>
            <w:r>
              <w:rPr>
                <w:rFonts w:eastAsia="Calibri" w:cs="Times New Roman"/>
                <w:noProof/>
                <w:sz w:val="18"/>
                <w:szCs w:val="18"/>
              </w:rPr>
              <w:t>(CABI &amp; EPPO 1997b; CMI 1984)</w:t>
            </w:r>
          </w:p>
        </w:tc>
        <w:tc>
          <w:tcPr>
            <w:tcW w:w="2552" w:type="dxa"/>
            <w:shd w:val="clear" w:color="auto" w:fill="auto"/>
          </w:tcPr>
          <w:p w14:paraId="2D7EE809" w14:textId="77777777" w:rsidR="003438A2" w:rsidRPr="003D68F8"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381" w:type="dxa"/>
            <w:shd w:val="clear" w:color="auto" w:fill="auto"/>
          </w:tcPr>
          <w:p w14:paraId="789861B4" w14:textId="77777777" w:rsidR="003438A2" w:rsidRPr="003D68F8" w:rsidRDefault="003438A2" w:rsidP="00881E29">
            <w:pPr>
              <w:spacing w:before="60" w:after="60" w:line="240" w:lineRule="auto"/>
              <w:rPr>
                <w:rFonts w:eastAsia="Calibri" w:cs="Times New Roman"/>
                <w:sz w:val="18"/>
                <w:szCs w:val="18"/>
                <w:lang w:val="pt-BR"/>
              </w:rPr>
            </w:pPr>
            <w:r w:rsidRPr="00D95799">
              <w:rPr>
                <w:rFonts w:eastAsia="Calibri" w:cs="Times New Roman"/>
                <w:sz w:val="18"/>
                <w:szCs w:val="18"/>
              </w:rPr>
              <w:t>Assessment not required</w:t>
            </w:r>
          </w:p>
        </w:tc>
        <w:tc>
          <w:tcPr>
            <w:tcW w:w="2211" w:type="dxa"/>
            <w:shd w:val="clear" w:color="auto" w:fill="auto"/>
          </w:tcPr>
          <w:p w14:paraId="08E93EB0" w14:textId="77777777" w:rsidR="003438A2" w:rsidRPr="003D68F8" w:rsidRDefault="003438A2" w:rsidP="00881E29">
            <w:pPr>
              <w:spacing w:before="60" w:after="60" w:line="240" w:lineRule="auto"/>
              <w:rPr>
                <w:rFonts w:eastAsia="Calibri" w:cs="Times New Roman"/>
                <w:sz w:val="18"/>
                <w:szCs w:val="18"/>
                <w:lang w:val="pt-BR"/>
              </w:rPr>
            </w:pPr>
            <w:r w:rsidRPr="00D95799">
              <w:rPr>
                <w:rFonts w:eastAsia="Calibri" w:cs="Times New Roman"/>
                <w:sz w:val="18"/>
                <w:szCs w:val="18"/>
              </w:rPr>
              <w:t>Assessment not required</w:t>
            </w:r>
          </w:p>
        </w:tc>
        <w:tc>
          <w:tcPr>
            <w:tcW w:w="1191" w:type="dxa"/>
            <w:shd w:val="clear" w:color="auto" w:fill="auto"/>
          </w:tcPr>
          <w:p w14:paraId="7716A8FF" w14:textId="77777777" w:rsidR="003438A2" w:rsidRPr="00D95799" w:rsidRDefault="003438A2" w:rsidP="00881E29">
            <w:pPr>
              <w:spacing w:before="60" w:after="60" w:line="240" w:lineRule="auto"/>
              <w:rPr>
                <w:rFonts w:eastAsia="Calibri" w:cs="Times New Roman"/>
                <w:sz w:val="18"/>
                <w:szCs w:val="18"/>
              </w:rPr>
            </w:pPr>
            <w:r w:rsidRPr="003D68F8">
              <w:rPr>
                <w:rFonts w:eastAsia="Calibri" w:cs="Times New Roman"/>
                <w:sz w:val="18"/>
                <w:szCs w:val="18"/>
              </w:rPr>
              <w:t>No</w:t>
            </w:r>
          </w:p>
        </w:tc>
      </w:tr>
      <w:tr w:rsidR="003438A2" w:rsidRPr="00D95799" w14:paraId="0FDF2F0C" w14:textId="77777777" w:rsidTr="00C714B1">
        <w:trPr>
          <w:cantSplit/>
          <w:trHeight w:val="75"/>
          <w:jc w:val="center"/>
        </w:trPr>
        <w:tc>
          <w:tcPr>
            <w:tcW w:w="1985" w:type="dxa"/>
            <w:shd w:val="clear" w:color="auto" w:fill="auto"/>
          </w:tcPr>
          <w:p w14:paraId="27224C83" w14:textId="77777777" w:rsidR="003438A2" w:rsidRDefault="003438A2" w:rsidP="00881E29">
            <w:pPr>
              <w:spacing w:before="60" w:after="60" w:line="240" w:lineRule="auto"/>
              <w:rPr>
                <w:rFonts w:eastAsia="Calibri" w:cs="Times New Roman"/>
                <w:i/>
                <w:sz w:val="18"/>
                <w:szCs w:val="18"/>
              </w:rPr>
            </w:pPr>
            <w:r w:rsidRPr="00D95799">
              <w:rPr>
                <w:rFonts w:eastAsia="Calibri" w:cs="Times New Roman"/>
                <w:i/>
                <w:sz w:val="18"/>
                <w:szCs w:val="18"/>
              </w:rPr>
              <w:t>Tomato ringspot virus</w:t>
            </w:r>
          </w:p>
          <w:p w14:paraId="69DDF496"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[Secoviridae: Nepovirus]</w:t>
            </w:r>
          </w:p>
          <w:p w14:paraId="02FD04C6" w14:textId="77777777" w:rsidR="003438A2" w:rsidRPr="00D95799" w:rsidRDefault="003438A2" w:rsidP="00881E29">
            <w:pPr>
              <w:spacing w:before="60" w:after="60" w:line="240" w:lineRule="auto"/>
              <w:rPr>
                <w:rFonts w:eastAsia="Calibri" w:cs="Times New Roman"/>
                <w:i/>
                <w:sz w:val="18"/>
                <w:szCs w:val="18"/>
              </w:rPr>
            </w:pPr>
            <w:r w:rsidRPr="00D95799">
              <w:rPr>
                <w:rFonts w:eastAsia="Calibri" w:cs="Times New Roman"/>
                <w:sz w:val="18"/>
                <w:szCs w:val="18"/>
              </w:rPr>
              <w:t>TmRSV, Apple union necrosis and decline</w:t>
            </w:r>
          </w:p>
        </w:tc>
        <w:tc>
          <w:tcPr>
            <w:tcW w:w="1474" w:type="dxa"/>
            <w:shd w:val="clear" w:color="auto" w:fill="auto"/>
          </w:tcPr>
          <w:p w14:paraId="3FACD115" w14:textId="77777777" w:rsidR="003438A2" w:rsidRPr="00403050" w:rsidRDefault="003438A2" w:rsidP="00403050">
            <w:pPr>
              <w:pStyle w:val="TableText"/>
              <w:rPr>
                <w:sz w:val="22"/>
              </w:rPr>
            </w:pPr>
            <w:r w:rsidRPr="00D95799">
              <w:rPr>
                <w:szCs w:val="18"/>
              </w:rPr>
              <w:t xml:space="preserve">Yes. </w:t>
            </w:r>
            <w:r>
              <w:rPr>
                <w:szCs w:val="18"/>
              </w:rPr>
              <w:t>Present in OR. Also present on e</w:t>
            </w:r>
            <w:r w:rsidRPr="00D95799">
              <w:rPr>
                <w:szCs w:val="18"/>
              </w:rPr>
              <w:t>ast</w:t>
            </w:r>
            <w:r>
              <w:rPr>
                <w:szCs w:val="18"/>
              </w:rPr>
              <w:t xml:space="preserve"> </w:t>
            </w:r>
            <w:r w:rsidRPr="00D95799">
              <w:rPr>
                <w:szCs w:val="18"/>
              </w:rPr>
              <w:t>coast</w:t>
            </w:r>
            <w:r>
              <w:rPr>
                <w:szCs w:val="18"/>
              </w:rPr>
              <w:t xml:space="preserve"> USA and</w:t>
            </w:r>
            <w:r w:rsidRPr="00D95799">
              <w:rPr>
                <w:szCs w:val="18"/>
              </w:rPr>
              <w:t xml:space="preserve"> MI</w:t>
            </w:r>
            <w:r>
              <w:rPr>
                <w:szCs w:val="18"/>
              </w:rPr>
              <w:t xml:space="preserve"> </w:t>
            </w:r>
            <w:r>
              <w:rPr>
                <w:noProof/>
              </w:rPr>
              <w:t>(APHIS 2007; Pscheidt &amp; Ocamb 2018; Stouffer &amp; Powell 1989)</w:t>
            </w:r>
          </w:p>
        </w:tc>
        <w:tc>
          <w:tcPr>
            <w:tcW w:w="1474" w:type="dxa"/>
            <w:shd w:val="clear" w:color="auto" w:fill="auto"/>
          </w:tcPr>
          <w:p w14:paraId="63DDF276"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No. Eradicated from Australia, previously present in SA </w:t>
            </w:r>
            <w:r>
              <w:rPr>
                <w:rFonts w:eastAsia="Calibri" w:cs="Times New Roman"/>
                <w:noProof/>
                <w:sz w:val="18"/>
                <w:szCs w:val="18"/>
              </w:rPr>
              <w:t>(CABI 2019)</w:t>
            </w:r>
          </w:p>
        </w:tc>
        <w:tc>
          <w:tcPr>
            <w:tcW w:w="2552" w:type="dxa"/>
            <w:shd w:val="clear" w:color="auto" w:fill="auto"/>
          </w:tcPr>
          <w:p w14:paraId="54AB95EC"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No. This virus is not directly associated with apple fruit. </w:t>
            </w:r>
            <w:r>
              <w:rPr>
                <w:rFonts w:eastAsia="Calibri" w:cs="Times New Roman"/>
                <w:sz w:val="18"/>
                <w:szCs w:val="18"/>
              </w:rPr>
              <w:t>H</w:t>
            </w:r>
            <w:r w:rsidRPr="00D95799">
              <w:rPr>
                <w:rFonts w:eastAsia="Calibri" w:cs="Times New Roman"/>
                <w:sz w:val="18"/>
                <w:szCs w:val="18"/>
              </w:rPr>
              <w:t>owever</w:t>
            </w:r>
            <w:r>
              <w:rPr>
                <w:rFonts w:eastAsia="Calibri" w:cs="Times New Roman"/>
                <w:sz w:val="18"/>
                <w:szCs w:val="18"/>
              </w:rPr>
              <w:t>,</w:t>
            </w:r>
            <w:r w:rsidRPr="00D95799">
              <w:rPr>
                <w:rFonts w:eastAsia="Calibri" w:cs="Times New Roman"/>
                <w:sz w:val="18"/>
                <w:szCs w:val="18"/>
              </w:rPr>
              <w:t xml:space="preserve"> </w:t>
            </w:r>
            <w:r>
              <w:rPr>
                <w:rFonts w:eastAsia="Calibri" w:cs="Times New Roman"/>
                <w:sz w:val="18"/>
                <w:szCs w:val="18"/>
              </w:rPr>
              <w:t>i</w:t>
            </w:r>
            <w:r w:rsidRPr="00D95799">
              <w:rPr>
                <w:rFonts w:eastAsia="Calibri" w:cs="Times New Roman"/>
                <w:sz w:val="18"/>
                <w:szCs w:val="18"/>
              </w:rPr>
              <w:t>t is strongly associated with apple union necrosis which results in pi</w:t>
            </w:r>
            <w:r>
              <w:rPr>
                <w:rFonts w:eastAsia="Calibri" w:cs="Times New Roman"/>
                <w:sz w:val="18"/>
                <w:szCs w:val="18"/>
              </w:rPr>
              <w:t>t</w:t>
            </w:r>
            <w:r w:rsidRPr="00D95799">
              <w:rPr>
                <w:rFonts w:eastAsia="Calibri" w:cs="Times New Roman"/>
                <w:sz w:val="18"/>
                <w:szCs w:val="18"/>
              </w:rPr>
              <w:t xml:space="preserve">ting </w:t>
            </w:r>
            <w:r>
              <w:rPr>
                <w:rFonts w:eastAsia="Calibri" w:cs="Times New Roman"/>
                <w:sz w:val="18"/>
                <w:szCs w:val="18"/>
              </w:rPr>
              <w:t xml:space="preserve">of the stem </w:t>
            </w:r>
            <w:r w:rsidRPr="00D95799">
              <w:rPr>
                <w:rFonts w:eastAsia="Calibri" w:cs="Times New Roman"/>
                <w:sz w:val="18"/>
                <w:szCs w:val="18"/>
              </w:rPr>
              <w:t>at the graft union</w:t>
            </w:r>
            <w:r>
              <w:rPr>
                <w:rFonts w:eastAsia="Calibri" w:cs="Times New Roman"/>
                <w:sz w:val="18"/>
                <w:szCs w:val="18"/>
              </w:rPr>
              <w:t>,</w:t>
            </w:r>
            <w:r w:rsidRPr="00D95799">
              <w:rPr>
                <w:rFonts w:eastAsia="Calibri" w:cs="Times New Roman"/>
                <w:sz w:val="18"/>
                <w:szCs w:val="18"/>
              </w:rPr>
              <w:t xml:space="preserve"> productivity declines and apple trees may die </w:t>
            </w:r>
            <w:r>
              <w:rPr>
                <w:rFonts w:eastAsia="Calibri" w:cs="Times New Roman"/>
                <w:noProof/>
                <w:sz w:val="18"/>
                <w:szCs w:val="18"/>
              </w:rPr>
              <w:t>(CABI 2019)</w:t>
            </w:r>
            <w:r w:rsidRPr="00D95799">
              <w:rPr>
                <w:rFonts w:eastAsia="Calibri" w:cs="Times New Roman"/>
                <w:sz w:val="18"/>
                <w:szCs w:val="18"/>
              </w:rPr>
              <w:t xml:space="preserve">. </w:t>
            </w:r>
            <w:r>
              <w:rPr>
                <w:rFonts w:eastAsia="Calibri" w:cs="Times New Roman"/>
                <w:sz w:val="18"/>
                <w:szCs w:val="18"/>
              </w:rPr>
              <w:t>T</w:t>
            </w:r>
            <w:r w:rsidRPr="00D95799">
              <w:rPr>
                <w:rFonts w:eastAsia="Calibri" w:cs="Times New Roman"/>
                <w:sz w:val="18"/>
                <w:szCs w:val="18"/>
              </w:rPr>
              <w:t xml:space="preserve">ransmission occurs primarily through infected rootstock and vectoring nematodes </w:t>
            </w:r>
            <w:r>
              <w:rPr>
                <w:rFonts w:eastAsia="Calibri" w:cs="Times New Roman"/>
                <w:noProof/>
                <w:sz w:val="18"/>
                <w:szCs w:val="18"/>
              </w:rPr>
              <w:t>(Gonsalves 1990)</w:t>
            </w:r>
            <w:r>
              <w:rPr>
                <w:rFonts w:eastAsia="Calibri" w:cs="Times New Roman"/>
                <w:sz w:val="18"/>
                <w:szCs w:val="18"/>
              </w:rPr>
              <w:t>.</w:t>
            </w:r>
          </w:p>
        </w:tc>
        <w:tc>
          <w:tcPr>
            <w:tcW w:w="2381" w:type="dxa"/>
            <w:shd w:val="clear" w:color="auto" w:fill="auto"/>
          </w:tcPr>
          <w:p w14:paraId="55A35EA4"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sz w:val="18"/>
                <w:szCs w:val="18"/>
                <w:lang w:val="pt-BR"/>
              </w:rPr>
              <w:t>Assessment not required</w:t>
            </w:r>
          </w:p>
        </w:tc>
        <w:tc>
          <w:tcPr>
            <w:tcW w:w="2211" w:type="dxa"/>
            <w:shd w:val="clear" w:color="auto" w:fill="auto"/>
          </w:tcPr>
          <w:p w14:paraId="7772A699" w14:textId="77777777" w:rsidR="003438A2" w:rsidRPr="00D95799" w:rsidRDefault="003438A2" w:rsidP="00881E29">
            <w:pPr>
              <w:spacing w:before="60" w:after="60" w:line="240" w:lineRule="auto"/>
              <w:rPr>
                <w:rFonts w:eastAsia="Calibri" w:cs="Times New Roman"/>
                <w:sz w:val="18"/>
                <w:szCs w:val="18"/>
                <w:lang w:val="pt-BR"/>
              </w:rPr>
            </w:pPr>
            <w:r w:rsidRPr="00D95799">
              <w:rPr>
                <w:rFonts w:eastAsia="Calibri" w:cs="Times New Roman"/>
                <w:sz w:val="18"/>
                <w:szCs w:val="18"/>
                <w:lang w:val="pt-BR"/>
              </w:rPr>
              <w:t>Assessment not required</w:t>
            </w:r>
          </w:p>
        </w:tc>
        <w:tc>
          <w:tcPr>
            <w:tcW w:w="1191" w:type="dxa"/>
            <w:shd w:val="clear" w:color="auto" w:fill="auto"/>
          </w:tcPr>
          <w:p w14:paraId="046E2071"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95799" w14:paraId="3D802B5C" w14:textId="77777777" w:rsidTr="00C714B1">
        <w:trPr>
          <w:cantSplit/>
          <w:trHeight w:val="75"/>
          <w:jc w:val="center"/>
        </w:trPr>
        <w:tc>
          <w:tcPr>
            <w:tcW w:w="1985" w:type="dxa"/>
            <w:shd w:val="clear" w:color="auto" w:fill="auto"/>
          </w:tcPr>
          <w:p w14:paraId="001CA858" w14:textId="77777777" w:rsidR="003438A2" w:rsidRPr="00D54460" w:rsidRDefault="003438A2" w:rsidP="00881E29">
            <w:pPr>
              <w:spacing w:before="60" w:after="60" w:line="240" w:lineRule="auto"/>
              <w:rPr>
                <w:rFonts w:eastAsia="Calibri" w:cs="Times New Roman"/>
                <w:i/>
                <w:sz w:val="18"/>
                <w:szCs w:val="18"/>
              </w:rPr>
            </w:pPr>
            <w:r w:rsidRPr="00D54460">
              <w:rPr>
                <w:rFonts w:eastAsia="Calibri" w:cs="Times New Roman"/>
                <w:i/>
                <w:sz w:val="18"/>
                <w:szCs w:val="18"/>
              </w:rPr>
              <w:t>Tulare apple mosaic virus</w:t>
            </w:r>
          </w:p>
          <w:p w14:paraId="6672E84C" w14:textId="77777777" w:rsidR="003438A2" w:rsidRPr="00D54460" w:rsidRDefault="003438A2" w:rsidP="00881E29">
            <w:pPr>
              <w:spacing w:before="60" w:after="60" w:line="240" w:lineRule="auto"/>
              <w:rPr>
                <w:rFonts w:eastAsia="Calibri" w:cs="Times New Roman"/>
                <w:sz w:val="18"/>
                <w:szCs w:val="18"/>
              </w:rPr>
            </w:pPr>
            <w:r w:rsidRPr="00D54460">
              <w:rPr>
                <w:rFonts w:eastAsia="Calibri" w:cs="Times New Roman"/>
                <w:sz w:val="18"/>
                <w:szCs w:val="18"/>
              </w:rPr>
              <w:t>[Bromoviridae: Ilarvirus]</w:t>
            </w:r>
          </w:p>
          <w:p w14:paraId="61468B84" w14:textId="77777777" w:rsidR="003438A2" w:rsidRPr="00D54460" w:rsidRDefault="003438A2" w:rsidP="00881E29">
            <w:pPr>
              <w:spacing w:before="60" w:after="60" w:line="240" w:lineRule="auto"/>
              <w:rPr>
                <w:rFonts w:eastAsia="Calibri" w:cs="Times New Roman"/>
                <w:color w:val="FF0000"/>
                <w:sz w:val="18"/>
                <w:szCs w:val="18"/>
                <w:lang w:val="pt-BR"/>
              </w:rPr>
            </w:pPr>
            <w:r w:rsidRPr="00D54460">
              <w:rPr>
                <w:rFonts w:eastAsia="Calibri" w:cs="Times New Roman"/>
                <w:sz w:val="18"/>
                <w:szCs w:val="18"/>
              </w:rPr>
              <w:t>TAMV</w:t>
            </w:r>
          </w:p>
        </w:tc>
        <w:tc>
          <w:tcPr>
            <w:tcW w:w="1474" w:type="dxa"/>
            <w:shd w:val="clear" w:color="auto" w:fill="auto"/>
          </w:tcPr>
          <w:p w14:paraId="6A63425C" w14:textId="77777777" w:rsidR="003438A2" w:rsidRPr="00D54460" w:rsidRDefault="003438A2" w:rsidP="00881E29">
            <w:pPr>
              <w:spacing w:before="60" w:after="60" w:line="240" w:lineRule="auto"/>
              <w:rPr>
                <w:rFonts w:eastAsia="Calibri" w:cs="Times New Roman"/>
                <w:sz w:val="18"/>
                <w:szCs w:val="18"/>
                <w:lang w:val="pt-BR"/>
              </w:rPr>
            </w:pPr>
            <w:r>
              <w:rPr>
                <w:rFonts w:eastAsia="Calibri" w:cs="Times New Roman"/>
                <w:sz w:val="18"/>
                <w:szCs w:val="18"/>
              </w:rPr>
              <w:t>No</w:t>
            </w:r>
            <w:r w:rsidRPr="00D54460">
              <w:rPr>
                <w:rFonts w:eastAsia="Calibri" w:cs="Times New Roman"/>
                <w:sz w:val="18"/>
                <w:szCs w:val="18"/>
              </w:rPr>
              <w:t xml:space="preserve">. A single record for Tulare County, California </w:t>
            </w:r>
            <w:r>
              <w:rPr>
                <w:rFonts w:eastAsia="Calibri" w:cs="Times New Roman"/>
                <w:noProof/>
                <w:sz w:val="18"/>
                <w:szCs w:val="18"/>
              </w:rPr>
              <w:t>(Howell, Parish &amp; Mink 1990)</w:t>
            </w:r>
            <w:r w:rsidRPr="00D54460">
              <w:rPr>
                <w:rFonts w:eastAsia="Calibri" w:cs="Times New Roman"/>
                <w:sz w:val="18"/>
                <w:szCs w:val="18"/>
              </w:rPr>
              <w:t xml:space="preserve"> </w:t>
            </w:r>
          </w:p>
        </w:tc>
        <w:tc>
          <w:tcPr>
            <w:tcW w:w="1474" w:type="dxa"/>
            <w:shd w:val="clear" w:color="auto" w:fill="auto"/>
          </w:tcPr>
          <w:p w14:paraId="7CF5A37A" w14:textId="77777777" w:rsidR="003438A2" w:rsidRPr="00D54460" w:rsidRDefault="003438A2" w:rsidP="00881E29">
            <w:pPr>
              <w:spacing w:before="60" w:after="60" w:line="240" w:lineRule="auto"/>
              <w:rPr>
                <w:rFonts w:eastAsia="Calibri" w:cs="Times New Roman"/>
                <w:sz w:val="18"/>
                <w:szCs w:val="18"/>
              </w:rPr>
            </w:pPr>
            <w:r w:rsidRPr="00D54460">
              <w:rPr>
                <w:rFonts w:eastAsia="Calibri" w:cs="Times New Roman"/>
                <w:sz w:val="18"/>
                <w:szCs w:val="18"/>
              </w:rPr>
              <w:t>No records found</w:t>
            </w:r>
          </w:p>
        </w:tc>
        <w:tc>
          <w:tcPr>
            <w:tcW w:w="2552" w:type="dxa"/>
            <w:shd w:val="clear" w:color="auto" w:fill="auto"/>
          </w:tcPr>
          <w:p w14:paraId="768D7A46" w14:textId="77777777" w:rsidR="003438A2" w:rsidRPr="00D54460" w:rsidRDefault="003438A2" w:rsidP="00881E29">
            <w:pPr>
              <w:spacing w:before="60" w:after="60" w:line="240" w:lineRule="auto"/>
              <w:rPr>
                <w:rFonts w:eastAsia="Calibri" w:cs="Times New Roman"/>
                <w:sz w:val="18"/>
                <w:szCs w:val="18"/>
              </w:rPr>
            </w:pPr>
            <w:r w:rsidRPr="00D54460">
              <w:rPr>
                <w:rFonts w:eastAsia="Calibri" w:cs="Times New Roman"/>
                <w:sz w:val="18"/>
                <w:szCs w:val="18"/>
              </w:rPr>
              <w:t>Assessment not required</w:t>
            </w:r>
          </w:p>
        </w:tc>
        <w:tc>
          <w:tcPr>
            <w:tcW w:w="2381" w:type="dxa"/>
            <w:shd w:val="clear" w:color="auto" w:fill="auto"/>
          </w:tcPr>
          <w:p w14:paraId="2C98D27B" w14:textId="77777777" w:rsidR="003438A2" w:rsidRPr="00D54460" w:rsidRDefault="003438A2" w:rsidP="00881E29">
            <w:pPr>
              <w:spacing w:before="60" w:after="60" w:line="240" w:lineRule="auto"/>
              <w:rPr>
                <w:rFonts w:eastAsia="Calibri" w:cs="Times New Roman"/>
                <w:sz w:val="18"/>
                <w:szCs w:val="18"/>
              </w:rPr>
            </w:pPr>
            <w:r w:rsidRPr="00D54460">
              <w:rPr>
                <w:rFonts w:eastAsia="Calibri" w:cs="Times New Roman"/>
                <w:sz w:val="18"/>
                <w:szCs w:val="18"/>
              </w:rPr>
              <w:t>Assessment not required</w:t>
            </w:r>
          </w:p>
        </w:tc>
        <w:tc>
          <w:tcPr>
            <w:tcW w:w="2211" w:type="dxa"/>
            <w:shd w:val="clear" w:color="auto" w:fill="auto"/>
          </w:tcPr>
          <w:p w14:paraId="7DCF86AE" w14:textId="77777777" w:rsidR="003438A2" w:rsidRPr="00D54460" w:rsidRDefault="003438A2" w:rsidP="00881E29">
            <w:pPr>
              <w:spacing w:before="60" w:after="60" w:line="240" w:lineRule="auto"/>
              <w:rPr>
                <w:rFonts w:eastAsia="Calibri" w:cs="Times New Roman"/>
                <w:sz w:val="18"/>
                <w:szCs w:val="18"/>
              </w:rPr>
            </w:pPr>
            <w:r w:rsidRPr="00D54460">
              <w:rPr>
                <w:rFonts w:eastAsia="Calibri" w:cs="Times New Roman"/>
                <w:sz w:val="18"/>
                <w:szCs w:val="18"/>
              </w:rPr>
              <w:t>Assessment not required</w:t>
            </w:r>
          </w:p>
        </w:tc>
        <w:tc>
          <w:tcPr>
            <w:tcW w:w="1191" w:type="dxa"/>
            <w:shd w:val="clear" w:color="auto" w:fill="auto"/>
          </w:tcPr>
          <w:p w14:paraId="1D6EC4CA" w14:textId="77777777" w:rsidR="003438A2" w:rsidRPr="00D95799" w:rsidRDefault="003438A2" w:rsidP="00881E29">
            <w:pPr>
              <w:spacing w:before="60" w:after="60" w:line="240" w:lineRule="auto"/>
              <w:rPr>
                <w:rFonts w:eastAsia="Calibri" w:cs="Times New Roman"/>
                <w:sz w:val="18"/>
                <w:szCs w:val="18"/>
              </w:rPr>
            </w:pPr>
            <w:r w:rsidRPr="00D54460">
              <w:rPr>
                <w:rFonts w:eastAsia="Calibri" w:cs="Times New Roman"/>
                <w:sz w:val="18"/>
                <w:szCs w:val="18"/>
              </w:rPr>
              <w:t>No</w:t>
            </w:r>
          </w:p>
        </w:tc>
      </w:tr>
      <w:tr w:rsidR="003438A2" w:rsidRPr="00D95799" w14:paraId="6739EBCB" w14:textId="77777777" w:rsidTr="00C714B1">
        <w:trPr>
          <w:cantSplit/>
          <w:trHeight w:val="75"/>
          <w:jc w:val="center"/>
        </w:trPr>
        <w:tc>
          <w:tcPr>
            <w:tcW w:w="13268" w:type="dxa"/>
            <w:gridSpan w:val="7"/>
            <w:shd w:val="clear" w:color="auto" w:fill="FFFFFF" w:themeFill="background1"/>
          </w:tcPr>
          <w:p w14:paraId="790C482D" w14:textId="77777777" w:rsidR="003438A2" w:rsidRPr="00D95799" w:rsidRDefault="003438A2" w:rsidP="00881E29">
            <w:pPr>
              <w:spacing w:before="60" w:after="60" w:line="240" w:lineRule="auto"/>
              <w:rPr>
                <w:rFonts w:eastAsia="Calibri" w:cs="Times New Roman"/>
                <w:sz w:val="18"/>
                <w:szCs w:val="18"/>
              </w:rPr>
            </w:pPr>
            <w:r w:rsidRPr="00CD7D17">
              <w:rPr>
                <w:rFonts w:eastAsia="Calibri" w:cs="Times New Roman"/>
                <w:b/>
                <w:iCs/>
                <w:sz w:val="18"/>
                <w:szCs w:val="18"/>
              </w:rPr>
              <w:t>DISEASES OF UNKNOWN AETIOLOGY</w:t>
            </w:r>
          </w:p>
        </w:tc>
      </w:tr>
      <w:tr w:rsidR="003438A2" w:rsidRPr="00D95799" w14:paraId="62773DDF" w14:textId="77777777" w:rsidTr="00C714B1">
        <w:trPr>
          <w:cantSplit/>
          <w:trHeight w:val="75"/>
          <w:jc w:val="center"/>
        </w:trPr>
        <w:tc>
          <w:tcPr>
            <w:tcW w:w="1985" w:type="dxa"/>
            <w:shd w:val="clear" w:color="auto" w:fill="FFFFFF" w:themeFill="background1"/>
          </w:tcPr>
          <w:p w14:paraId="3417B7EB" w14:textId="77777777" w:rsidR="003438A2" w:rsidRPr="00D95799" w:rsidRDefault="003438A2" w:rsidP="00881E29">
            <w:pPr>
              <w:spacing w:before="60" w:after="60" w:line="240" w:lineRule="auto"/>
              <w:rPr>
                <w:rFonts w:eastAsia="Calibri" w:cs="Times New Roman"/>
                <w:i/>
                <w:sz w:val="18"/>
                <w:szCs w:val="18"/>
              </w:rPr>
            </w:pPr>
            <w:r w:rsidRPr="00D95799">
              <w:rPr>
                <w:rFonts w:eastAsia="Calibri" w:cs="Times New Roman"/>
                <w:sz w:val="18"/>
                <w:szCs w:val="18"/>
              </w:rPr>
              <w:t>Apple freckle scurf</w:t>
            </w:r>
          </w:p>
        </w:tc>
        <w:tc>
          <w:tcPr>
            <w:tcW w:w="1474" w:type="dxa"/>
            <w:shd w:val="clear" w:color="auto" w:fill="FFFFFF" w:themeFill="background1"/>
          </w:tcPr>
          <w:p w14:paraId="0CF77ECD"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 xml:space="preserve">Yes </w:t>
            </w:r>
            <w:r>
              <w:rPr>
                <w:rFonts w:eastAsia="Calibri" w:cs="Times New Roman"/>
                <w:noProof/>
                <w:sz w:val="18"/>
                <w:szCs w:val="18"/>
              </w:rPr>
              <w:t>(Nemeth 1986b)</w:t>
            </w:r>
          </w:p>
        </w:tc>
        <w:tc>
          <w:tcPr>
            <w:tcW w:w="1474" w:type="dxa"/>
            <w:shd w:val="clear" w:color="auto" w:fill="FFFFFF" w:themeFill="background1"/>
          </w:tcPr>
          <w:p w14:paraId="0DC83C71"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 records found</w:t>
            </w:r>
          </w:p>
        </w:tc>
        <w:tc>
          <w:tcPr>
            <w:tcW w:w="2552" w:type="dxa"/>
            <w:shd w:val="clear" w:color="auto" w:fill="FFFFFF" w:themeFill="background1"/>
          </w:tcPr>
          <w:p w14:paraId="55C376D8" w14:textId="77777777" w:rsidR="003438A2" w:rsidRPr="00D95799" w:rsidRDefault="003438A2" w:rsidP="00881E29">
            <w:pPr>
              <w:spacing w:before="60" w:after="60" w:line="240" w:lineRule="auto"/>
              <w:rPr>
                <w:rFonts w:eastAsia="Calibri" w:cs="Times New Roman"/>
                <w:sz w:val="18"/>
                <w:szCs w:val="18"/>
              </w:rPr>
            </w:pPr>
            <w:r>
              <w:rPr>
                <w:rFonts w:eastAsia="Calibri" w:cs="Times New Roman"/>
                <w:sz w:val="18"/>
                <w:szCs w:val="18"/>
              </w:rPr>
              <w:t>No</w:t>
            </w:r>
            <w:r w:rsidRPr="00D95799">
              <w:rPr>
                <w:rFonts w:eastAsia="Calibri" w:cs="Times New Roman"/>
                <w:sz w:val="18"/>
                <w:szCs w:val="18"/>
              </w:rPr>
              <w:t xml:space="preserve">. Symptoms occur on bark </w:t>
            </w:r>
            <w:r>
              <w:rPr>
                <w:rFonts w:eastAsia="Calibri" w:cs="Times New Roman"/>
                <w:noProof/>
                <w:sz w:val="18"/>
                <w:szCs w:val="18"/>
              </w:rPr>
              <w:t>(Parish &amp; Hansen 1990)</w:t>
            </w:r>
            <w:r w:rsidRPr="00D95799">
              <w:rPr>
                <w:rFonts w:eastAsia="Calibri" w:cs="Times New Roman"/>
                <w:sz w:val="18"/>
                <w:szCs w:val="18"/>
              </w:rPr>
              <w:t>. The disorder is transmitted by grafting</w:t>
            </w:r>
            <w:r>
              <w:rPr>
                <w:rFonts w:eastAsia="Calibri" w:cs="Times New Roman"/>
                <w:sz w:val="18"/>
                <w:szCs w:val="18"/>
              </w:rPr>
              <w:t xml:space="preserve"> and s</w:t>
            </w:r>
            <w:r w:rsidRPr="00D95799">
              <w:rPr>
                <w:rFonts w:eastAsia="Calibri" w:cs="Times New Roman"/>
                <w:sz w:val="18"/>
                <w:szCs w:val="18"/>
              </w:rPr>
              <w:t xml:space="preserve">pread occurs through infected budwood </w:t>
            </w:r>
            <w:r>
              <w:rPr>
                <w:rFonts w:eastAsia="Calibri" w:cs="Times New Roman"/>
                <w:noProof/>
                <w:sz w:val="18"/>
                <w:szCs w:val="18"/>
              </w:rPr>
              <w:t>(Parish &amp; Hansen 1990)</w:t>
            </w:r>
            <w:r>
              <w:rPr>
                <w:rFonts w:eastAsia="Calibri" w:cs="Times New Roman"/>
                <w:sz w:val="18"/>
                <w:szCs w:val="18"/>
              </w:rPr>
              <w:t>.</w:t>
            </w:r>
            <w:r w:rsidRPr="00946A87">
              <w:rPr>
                <w:rFonts w:eastAsia="Calibri" w:cs="Times New Roman"/>
                <w:sz w:val="18"/>
                <w:szCs w:val="18"/>
              </w:rPr>
              <w:t xml:space="preserve"> </w:t>
            </w:r>
          </w:p>
        </w:tc>
        <w:tc>
          <w:tcPr>
            <w:tcW w:w="2381" w:type="dxa"/>
            <w:shd w:val="clear" w:color="auto" w:fill="FFFFFF" w:themeFill="background1"/>
          </w:tcPr>
          <w:p w14:paraId="46B3145C"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211" w:type="dxa"/>
            <w:shd w:val="clear" w:color="auto" w:fill="FFFFFF" w:themeFill="background1"/>
          </w:tcPr>
          <w:p w14:paraId="5F20E9BB"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FFFFFF" w:themeFill="background1"/>
          </w:tcPr>
          <w:p w14:paraId="0CB3A2BF"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95799" w14:paraId="5F0D3785" w14:textId="77777777" w:rsidTr="00C714B1">
        <w:trPr>
          <w:cantSplit/>
          <w:trHeight w:val="75"/>
          <w:jc w:val="center"/>
        </w:trPr>
        <w:tc>
          <w:tcPr>
            <w:tcW w:w="1985" w:type="dxa"/>
            <w:shd w:val="clear" w:color="auto" w:fill="FFFFFF" w:themeFill="background1"/>
          </w:tcPr>
          <w:p w14:paraId="138D6E9A" w14:textId="77777777" w:rsidR="003438A2" w:rsidRPr="00CD7D17" w:rsidRDefault="003438A2" w:rsidP="00881E29">
            <w:pPr>
              <w:spacing w:before="60" w:after="60" w:line="240" w:lineRule="auto"/>
              <w:rPr>
                <w:rFonts w:eastAsia="Calibri" w:cs="Times New Roman"/>
                <w:i/>
                <w:sz w:val="18"/>
                <w:szCs w:val="18"/>
              </w:rPr>
            </w:pPr>
            <w:r w:rsidRPr="00CD7D17">
              <w:rPr>
                <w:rFonts w:eastAsia="Calibri" w:cs="Times New Roman"/>
                <w:i/>
                <w:sz w:val="18"/>
                <w:szCs w:val="18"/>
              </w:rPr>
              <w:lastRenderedPageBreak/>
              <w:t>Apple green mottle virus</w:t>
            </w:r>
          </w:p>
        </w:tc>
        <w:tc>
          <w:tcPr>
            <w:tcW w:w="1474" w:type="dxa"/>
            <w:shd w:val="clear" w:color="auto" w:fill="FFFFFF" w:themeFill="background1"/>
          </w:tcPr>
          <w:p w14:paraId="33D8D493" w14:textId="77777777" w:rsidR="003438A2" w:rsidRPr="003B3FE5" w:rsidRDefault="003438A2" w:rsidP="00881E29">
            <w:pPr>
              <w:spacing w:before="60" w:after="60" w:line="240" w:lineRule="auto"/>
              <w:rPr>
                <w:rFonts w:eastAsia="Calibri" w:cs="Times New Roman"/>
                <w:sz w:val="18"/>
                <w:szCs w:val="18"/>
              </w:rPr>
            </w:pPr>
            <w:r>
              <w:rPr>
                <w:rFonts w:eastAsia="Calibri" w:cs="Times New Roman"/>
                <w:sz w:val="18"/>
                <w:szCs w:val="18"/>
              </w:rPr>
              <w:t>No</w:t>
            </w:r>
            <w:r w:rsidRPr="003B3FE5">
              <w:rPr>
                <w:rFonts w:eastAsia="Calibri" w:cs="Times New Roman"/>
                <w:sz w:val="18"/>
                <w:szCs w:val="18"/>
              </w:rPr>
              <w:t xml:space="preserve">. </w:t>
            </w:r>
            <w:r>
              <w:rPr>
                <w:rFonts w:eastAsia="Calibri" w:cs="Times New Roman"/>
                <w:sz w:val="18"/>
                <w:szCs w:val="18"/>
              </w:rPr>
              <w:t>Present in e</w:t>
            </w:r>
            <w:r w:rsidRPr="003B3FE5">
              <w:rPr>
                <w:rFonts w:eastAsia="Calibri" w:cs="Times New Roman"/>
                <w:sz w:val="18"/>
                <w:szCs w:val="18"/>
              </w:rPr>
              <w:t>astern</w:t>
            </w:r>
            <w:r>
              <w:rPr>
                <w:rFonts w:eastAsia="Calibri" w:cs="Times New Roman"/>
                <w:sz w:val="18"/>
                <w:szCs w:val="18"/>
              </w:rPr>
              <w:t xml:space="preserve"> USA </w:t>
            </w:r>
            <w:r>
              <w:rPr>
                <w:rFonts w:eastAsia="Calibri" w:cs="Times New Roman"/>
                <w:noProof/>
                <w:sz w:val="18"/>
                <w:szCs w:val="18"/>
              </w:rPr>
              <w:t>(Nemeth 1986b)</w:t>
            </w:r>
          </w:p>
        </w:tc>
        <w:tc>
          <w:tcPr>
            <w:tcW w:w="1474" w:type="dxa"/>
            <w:shd w:val="clear" w:color="auto" w:fill="FFFFFF" w:themeFill="background1"/>
          </w:tcPr>
          <w:p w14:paraId="205FE1F2" w14:textId="77777777" w:rsidR="003438A2" w:rsidRPr="003B3FE5" w:rsidRDefault="003438A2" w:rsidP="00881E29">
            <w:pPr>
              <w:spacing w:before="60" w:after="60" w:line="240" w:lineRule="auto"/>
              <w:rPr>
                <w:rFonts w:eastAsia="Calibri" w:cs="Times New Roman"/>
                <w:sz w:val="18"/>
                <w:szCs w:val="18"/>
              </w:rPr>
            </w:pPr>
            <w:r w:rsidRPr="003B3FE5">
              <w:rPr>
                <w:rFonts w:eastAsia="Calibri" w:cs="Times New Roman"/>
                <w:sz w:val="18"/>
                <w:szCs w:val="18"/>
              </w:rPr>
              <w:t>No records found</w:t>
            </w:r>
          </w:p>
        </w:tc>
        <w:tc>
          <w:tcPr>
            <w:tcW w:w="2552" w:type="dxa"/>
            <w:shd w:val="clear" w:color="auto" w:fill="FFFFFF" w:themeFill="background1"/>
          </w:tcPr>
          <w:p w14:paraId="196BD2E3" w14:textId="77777777" w:rsidR="003438A2" w:rsidRPr="003B3FE5" w:rsidRDefault="003438A2" w:rsidP="00881E29">
            <w:pPr>
              <w:spacing w:before="60" w:after="60" w:line="240" w:lineRule="auto"/>
              <w:rPr>
                <w:rFonts w:eastAsia="Calibri" w:cs="Times New Roman"/>
                <w:sz w:val="18"/>
                <w:szCs w:val="18"/>
              </w:rPr>
            </w:pPr>
            <w:r w:rsidRPr="003B3FE5">
              <w:rPr>
                <w:rFonts w:eastAsia="Calibri" w:cs="Times New Roman"/>
                <w:sz w:val="18"/>
                <w:szCs w:val="18"/>
              </w:rPr>
              <w:t>Assessment not required</w:t>
            </w:r>
          </w:p>
        </w:tc>
        <w:tc>
          <w:tcPr>
            <w:tcW w:w="2381" w:type="dxa"/>
            <w:shd w:val="clear" w:color="auto" w:fill="FFFFFF" w:themeFill="background1"/>
          </w:tcPr>
          <w:p w14:paraId="58861D5D" w14:textId="77777777" w:rsidR="003438A2" w:rsidRPr="003B3FE5" w:rsidRDefault="003438A2" w:rsidP="00881E29">
            <w:pPr>
              <w:spacing w:before="60" w:after="60" w:line="240" w:lineRule="auto"/>
              <w:rPr>
                <w:rFonts w:eastAsia="Calibri" w:cs="Times New Roman"/>
                <w:sz w:val="18"/>
                <w:szCs w:val="18"/>
              </w:rPr>
            </w:pPr>
            <w:r w:rsidRPr="003B3FE5">
              <w:rPr>
                <w:rFonts w:eastAsia="Calibri" w:cs="Times New Roman"/>
                <w:sz w:val="18"/>
                <w:szCs w:val="18"/>
                <w:lang w:val="pt-BR"/>
              </w:rPr>
              <w:t>Assessment not required</w:t>
            </w:r>
          </w:p>
        </w:tc>
        <w:tc>
          <w:tcPr>
            <w:tcW w:w="2211" w:type="dxa"/>
            <w:shd w:val="clear" w:color="auto" w:fill="FFFFFF" w:themeFill="background1"/>
          </w:tcPr>
          <w:p w14:paraId="2C215CE4" w14:textId="77777777" w:rsidR="003438A2" w:rsidRPr="003B3FE5" w:rsidRDefault="003438A2" w:rsidP="00881E29">
            <w:pPr>
              <w:spacing w:before="60" w:after="60" w:line="240" w:lineRule="auto"/>
              <w:rPr>
                <w:rFonts w:eastAsia="Calibri" w:cs="Times New Roman"/>
                <w:sz w:val="18"/>
                <w:szCs w:val="18"/>
              </w:rPr>
            </w:pPr>
            <w:r w:rsidRPr="003B3FE5">
              <w:rPr>
                <w:rFonts w:eastAsia="Calibri" w:cs="Times New Roman"/>
                <w:sz w:val="18"/>
                <w:szCs w:val="18"/>
                <w:lang w:val="pt-BR"/>
              </w:rPr>
              <w:t>Assessment not required</w:t>
            </w:r>
          </w:p>
        </w:tc>
        <w:tc>
          <w:tcPr>
            <w:tcW w:w="1191" w:type="dxa"/>
            <w:shd w:val="clear" w:color="auto" w:fill="FFFFFF" w:themeFill="background1"/>
          </w:tcPr>
          <w:p w14:paraId="16F56415" w14:textId="77777777" w:rsidR="003438A2" w:rsidRPr="00D95799" w:rsidRDefault="003438A2" w:rsidP="00881E29">
            <w:pPr>
              <w:spacing w:before="60" w:after="60" w:line="240" w:lineRule="auto"/>
              <w:rPr>
                <w:rFonts w:eastAsia="Calibri" w:cs="Times New Roman"/>
                <w:sz w:val="18"/>
                <w:szCs w:val="18"/>
              </w:rPr>
            </w:pPr>
            <w:r w:rsidRPr="003B3FE5">
              <w:rPr>
                <w:rFonts w:eastAsia="Calibri" w:cs="Times New Roman"/>
                <w:sz w:val="18"/>
                <w:szCs w:val="18"/>
              </w:rPr>
              <w:t>No</w:t>
            </w:r>
          </w:p>
        </w:tc>
      </w:tr>
      <w:tr w:rsidR="003438A2" w:rsidRPr="00C714B1" w14:paraId="0136B062" w14:textId="77777777" w:rsidTr="00C714B1">
        <w:trPr>
          <w:cantSplit/>
          <w:trHeight w:val="75"/>
          <w:jc w:val="center"/>
        </w:trPr>
        <w:tc>
          <w:tcPr>
            <w:tcW w:w="1985" w:type="dxa"/>
            <w:shd w:val="clear" w:color="auto" w:fill="FFFFFF" w:themeFill="background1"/>
          </w:tcPr>
          <w:p w14:paraId="1917C482" w14:textId="77777777" w:rsidR="003438A2" w:rsidRPr="002A4056" w:rsidRDefault="003438A2" w:rsidP="00881E29">
            <w:pPr>
              <w:spacing w:before="60" w:after="60" w:line="240" w:lineRule="auto"/>
              <w:rPr>
                <w:rFonts w:eastAsia="Calibri" w:cs="Times New Roman"/>
                <w:i/>
                <w:sz w:val="18"/>
                <w:szCs w:val="18"/>
              </w:rPr>
            </w:pPr>
            <w:r w:rsidRPr="002A4056">
              <w:rPr>
                <w:rFonts w:eastAsia="Calibri" w:cs="Times New Roman"/>
                <w:i/>
                <w:sz w:val="18"/>
                <w:szCs w:val="18"/>
              </w:rPr>
              <w:t>Apple pucker leaf virus</w:t>
            </w:r>
          </w:p>
        </w:tc>
        <w:tc>
          <w:tcPr>
            <w:tcW w:w="1474" w:type="dxa"/>
            <w:shd w:val="clear" w:color="auto" w:fill="FFFFFF" w:themeFill="background1"/>
          </w:tcPr>
          <w:p w14:paraId="3FDA64E0" w14:textId="77777777" w:rsidR="003438A2" w:rsidRPr="002A4056" w:rsidRDefault="003438A2" w:rsidP="00881E29">
            <w:pPr>
              <w:spacing w:before="60" w:after="60" w:line="240" w:lineRule="auto"/>
              <w:rPr>
                <w:rFonts w:eastAsia="Calibri" w:cs="Times New Roman"/>
                <w:sz w:val="18"/>
                <w:szCs w:val="18"/>
              </w:rPr>
            </w:pPr>
            <w:r w:rsidRPr="002A4056">
              <w:rPr>
                <w:rFonts w:eastAsia="Calibri" w:cs="Times New Roman"/>
                <w:sz w:val="18"/>
                <w:szCs w:val="18"/>
              </w:rPr>
              <w:t xml:space="preserve">Yes. US, no particular region specified </w:t>
            </w:r>
            <w:r w:rsidRPr="002A4056">
              <w:rPr>
                <w:rFonts w:eastAsia="Calibri" w:cs="Times New Roman"/>
                <w:noProof/>
                <w:sz w:val="18"/>
                <w:szCs w:val="18"/>
              </w:rPr>
              <w:t>(Nemeth 1986b)</w:t>
            </w:r>
          </w:p>
        </w:tc>
        <w:tc>
          <w:tcPr>
            <w:tcW w:w="1474" w:type="dxa"/>
            <w:shd w:val="clear" w:color="auto" w:fill="FFFFFF" w:themeFill="background1"/>
          </w:tcPr>
          <w:p w14:paraId="385CC150" w14:textId="77777777" w:rsidR="003438A2" w:rsidRPr="002A4056" w:rsidRDefault="003438A2" w:rsidP="00881E29">
            <w:pPr>
              <w:spacing w:before="60" w:after="60" w:line="240" w:lineRule="auto"/>
              <w:rPr>
                <w:rFonts w:eastAsia="Calibri" w:cs="Times New Roman"/>
                <w:sz w:val="18"/>
                <w:szCs w:val="18"/>
              </w:rPr>
            </w:pPr>
            <w:r w:rsidRPr="002A4056">
              <w:rPr>
                <w:rFonts w:eastAsia="Calibri" w:cs="Times New Roman"/>
                <w:sz w:val="18"/>
                <w:szCs w:val="18"/>
              </w:rPr>
              <w:t>No records found</w:t>
            </w:r>
          </w:p>
        </w:tc>
        <w:tc>
          <w:tcPr>
            <w:tcW w:w="2552" w:type="dxa"/>
            <w:shd w:val="clear" w:color="auto" w:fill="FFFFFF" w:themeFill="background1"/>
          </w:tcPr>
          <w:p w14:paraId="5970EF08" w14:textId="77777777" w:rsidR="003438A2" w:rsidRPr="002A4056" w:rsidRDefault="003438A2" w:rsidP="00743F43">
            <w:pPr>
              <w:rPr>
                <w:rFonts w:eastAsia="Calibri" w:cs="Times New Roman"/>
                <w:sz w:val="18"/>
                <w:szCs w:val="18"/>
              </w:rPr>
            </w:pPr>
            <w:r w:rsidRPr="002A4056">
              <w:rPr>
                <w:rFonts w:eastAsia="Calibri" w:cs="Times New Roman"/>
                <w:sz w:val="18"/>
                <w:szCs w:val="18"/>
              </w:rPr>
              <w:t>No. Symptoms on fruit</w:t>
            </w:r>
            <w:r>
              <w:rPr>
                <w:rFonts w:eastAsia="Calibri" w:cs="Times New Roman"/>
                <w:sz w:val="18"/>
                <w:szCs w:val="18"/>
              </w:rPr>
              <w:t xml:space="preserve"> </w:t>
            </w:r>
            <w:r>
              <w:rPr>
                <w:rFonts w:eastAsia="Calibri" w:cs="Times New Roman"/>
                <w:noProof/>
                <w:sz w:val="18"/>
                <w:szCs w:val="18"/>
              </w:rPr>
              <w:t>(Hansen &amp; Parish 1990; Nemeth 1986b)</w:t>
            </w:r>
            <w:r>
              <w:rPr>
                <w:rFonts w:eastAsia="Calibri" w:cs="Times New Roman"/>
                <w:sz w:val="18"/>
                <w:szCs w:val="18"/>
              </w:rPr>
              <w:t xml:space="preserve">. </w:t>
            </w:r>
            <w:r w:rsidRPr="002A4056">
              <w:rPr>
                <w:rFonts w:eastAsia="Calibri" w:cs="Times New Roman"/>
                <w:sz w:val="18"/>
                <w:szCs w:val="18"/>
              </w:rPr>
              <w:t>No report of transmission through seeds or from fruit was found.</w:t>
            </w:r>
            <w:r>
              <w:rPr>
                <w:rFonts w:eastAsia="Calibri" w:cs="Times New Roman"/>
                <w:sz w:val="18"/>
                <w:szCs w:val="18"/>
              </w:rPr>
              <w:t xml:space="preserve"> </w:t>
            </w:r>
          </w:p>
        </w:tc>
        <w:tc>
          <w:tcPr>
            <w:tcW w:w="2381" w:type="dxa"/>
            <w:shd w:val="clear" w:color="auto" w:fill="FFFFFF" w:themeFill="background1"/>
          </w:tcPr>
          <w:p w14:paraId="5C8EDEFF" w14:textId="77777777" w:rsidR="003438A2" w:rsidRPr="002A4056" w:rsidRDefault="003438A2" w:rsidP="00881E29">
            <w:pPr>
              <w:spacing w:before="60" w:after="60" w:line="240" w:lineRule="auto"/>
              <w:rPr>
                <w:rFonts w:eastAsia="Calibri" w:cs="Times New Roman"/>
                <w:sz w:val="18"/>
                <w:szCs w:val="18"/>
              </w:rPr>
            </w:pPr>
            <w:r w:rsidRPr="002A4056">
              <w:rPr>
                <w:rFonts w:eastAsia="Calibri" w:cs="Times New Roman"/>
                <w:sz w:val="18"/>
                <w:szCs w:val="18"/>
                <w:lang w:val="pt-BR"/>
              </w:rPr>
              <w:t>Assessment not required</w:t>
            </w:r>
            <w:r w:rsidRPr="002A4056" w:rsidDel="008D3CFF">
              <w:rPr>
                <w:rFonts w:eastAsia="Calibri" w:cs="Times New Roman"/>
                <w:sz w:val="18"/>
                <w:szCs w:val="18"/>
              </w:rPr>
              <w:t xml:space="preserve"> </w:t>
            </w:r>
          </w:p>
        </w:tc>
        <w:tc>
          <w:tcPr>
            <w:tcW w:w="2211" w:type="dxa"/>
            <w:shd w:val="clear" w:color="auto" w:fill="FFFFFF" w:themeFill="background1"/>
          </w:tcPr>
          <w:p w14:paraId="700DB559" w14:textId="77777777" w:rsidR="003438A2" w:rsidRPr="002A4056" w:rsidRDefault="003438A2" w:rsidP="00881E29">
            <w:pPr>
              <w:spacing w:before="60" w:after="60" w:line="240" w:lineRule="auto"/>
              <w:rPr>
                <w:rFonts w:eastAsia="Calibri" w:cs="Times New Roman"/>
                <w:sz w:val="18"/>
                <w:szCs w:val="18"/>
              </w:rPr>
            </w:pPr>
            <w:r w:rsidRPr="002A4056">
              <w:rPr>
                <w:rFonts w:eastAsia="Calibri" w:cs="Times New Roman"/>
                <w:sz w:val="18"/>
                <w:szCs w:val="18"/>
                <w:lang w:val="pt-BR"/>
              </w:rPr>
              <w:t>Assessment not required</w:t>
            </w:r>
          </w:p>
        </w:tc>
        <w:tc>
          <w:tcPr>
            <w:tcW w:w="1191" w:type="dxa"/>
            <w:shd w:val="clear" w:color="auto" w:fill="FFFFFF" w:themeFill="background1"/>
          </w:tcPr>
          <w:p w14:paraId="58F319EE" w14:textId="77777777" w:rsidR="003438A2" w:rsidRPr="00C714B1" w:rsidRDefault="003438A2" w:rsidP="00881E29">
            <w:pPr>
              <w:spacing w:before="60" w:after="60" w:line="240" w:lineRule="auto"/>
              <w:rPr>
                <w:rFonts w:eastAsia="Calibri" w:cs="Times New Roman"/>
                <w:sz w:val="18"/>
                <w:szCs w:val="18"/>
              </w:rPr>
            </w:pPr>
            <w:r w:rsidRPr="002A4056">
              <w:rPr>
                <w:rFonts w:eastAsia="Calibri" w:cs="Times New Roman"/>
                <w:sz w:val="18"/>
                <w:szCs w:val="18"/>
              </w:rPr>
              <w:t>No</w:t>
            </w:r>
          </w:p>
        </w:tc>
      </w:tr>
      <w:tr w:rsidR="003438A2" w:rsidRPr="00D95799" w14:paraId="5F873619" w14:textId="77777777" w:rsidTr="00C714B1">
        <w:trPr>
          <w:cantSplit/>
          <w:trHeight w:val="75"/>
          <w:jc w:val="center"/>
        </w:trPr>
        <w:tc>
          <w:tcPr>
            <w:tcW w:w="1985" w:type="dxa"/>
            <w:shd w:val="clear" w:color="auto" w:fill="FFFFFF" w:themeFill="background1"/>
          </w:tcPr>
          <w:p w14:paraId="2A1948D0" w14:textId="77777777" w:rsidR="003438A2" w:rsidRPr="00CD7D17" w:rsidRDefault="003438A2" w:rsidP="00881E29">
            <w:pPr>
              <w:spacing w:before="60" w:after="60" w:line="240" w:lineRule="auto"/>
              <w:rPr>
                <w:rFonts w:eastAsia="Calibri" w:cs="Times New Roman"/>
                <w:i/>
                <w:sz w:val="18"/>
                <w:szCs w:val="18"/>
              </w:rPr>
            </w:pPr>
            <w:r w:rsidRPr="00CD7D17">
              <w:rPr>
                <w:rFonts w:eastAsia="Calibri" w:cs="Times New Roman"/>
                <w:i/>
                <w:sz w:val="18"/>
                <w:szCs w:val="18"/>
              </w:rPr>
              <w:t>Apple McIntosh depression virus</w:t>
            </w:r>
          </w:p>
        </w:tc>
        <w:tc>
          <w:tcPr>
            <w:tcW w:w="1474" w:type="dxa"/>
            <w:shd w:val="clear" w:color="auto" w:fill="FFFFFF" w:themeFill="background1"/>
          </w:tcPr>
          <w:p w14:paraId="270B29A8" w14:textId="77777777" w:rsidR="003438A2" w:rsidRPr="003B3FE5" w:rsidRDefault="003438A2" w:rsidP="00881E29">
            <w:pPr>
              <w:spacing w:before="60" w:after="60" w:line="240" w:lineRule="auto"/>
              <w:rPr>
                <w:rFonts w:eastAsia="Calibri" w:cs="Times New Roman"/>
                <w:sz w:val="18"/>
                <w:szCs w:val="18"/>
              </w:rPr>
            </w:pPr>
            <w:r>
              <w:rPr>
                <w:rFonts w:eastAsia="Calibri" w:cs="Times New Roman"/>
                <w:sz w:val="18"/>
                <w:szCs w:val="18"/>
              </w:rPr>
              <w:t>No</w:t>
            </w:r>
            <w:r w:rsidRPr="003B3FE5">
              <w:rPr>
                <w:rFonts w:eastAsia="Calibri" w:cs="Times New Roman"/>
                <w:sz w:val="18"/>
                <w:szCs w:val="18"/>
              </w:rPr>
              <w:t xml:space="preserve">. </w:t>
            </w:r>
            <w:r>
              <w:rPr>
                <w:rFonts w:eastAsia="Calibri" w:cs="Times New Roman"/>
                <w:sz w:val="18"/>
                <w:szCs w:val="18"/>
              </w:rPr>
              <w:t>Present in e</w:t>
            </w:r>
            <w:r w:rsidRPr="003B3FE5">
              <w:rPr>
                <w:rFonts w:eastAsia="Calibri" w:cs="Times New Roman"/>
                <w:sz w:val="18"/>
                <w:szCs w:val="18"/>
              </w:rPr>
              <w:t>astern</w:t>
            </w:r>
            <w:r>
              <w:rPr>
                <w:rFonts w:eastAsia="Calibri" w:cs="Times New Roman"/>
                <w:sz w:val="18"/>
                <w:szCs w:val="18"/>
              </w:rPr>
              <w:t xml:space="preserve"> USA </w:t>
            </w:r>
            <w:r>
              <w:rPr>
                <w:rFonts w:eastAsia="Calibri" w:cs="Times New Roman"/>
                <w:noProof/>
                <w:sz w:val="18"/>
                <w:szCs w:val="18"/>
              </w:rPr>
              <w:t>(Nemeth 1986b; Zawadzka &amp; Millikan 1989)</w:t>
            </w:r>
            <w:r w:rsidRPr="003B3FE5">
              <w:rPr>
                <w:rFonts w:eastAsia="Calibri" w:cs="Times New Roman"/>
                <w:sz w:val="18"/>
                <w:szCs w:val="18"/>
              </w:rPr>
              <w:t xml:space="preserve">. </w:t>
            </w:r>
          </w:p>
        </w:tc>
        <w:tc>
          <w:tcPr>
            <w:tcW w:w="1474" w:type="dxa"/>
            <w:shd w:val="clear" w:color="auto" w:fill="FFFFFF" w:themeFill="background1"/>
          </w:tcPr>
          <w:p w14:paraId="7249EC0E" w14:textId="77777777" w:rsidR="003438A2" w:rsidRPr="003B3FE5" w:rsidRDefault="003438A2" w:rsidP="00881E29">
            <w:pPr>
              <w:spacing w:before="60" w:after="60" w:line="240" w:lineRule="auto"/>
              <w:rPr>
                <w:rFonts w:eastAsia="Calibri" w:cs="Times New Roman"/>
                <w:sz w:val="18"/>
                <w:szCs w:val="18"/>
              </w:rPr>
            </w:pPr>
            <w:r w:rsidRPr="003B3FE5">
              <w:rPr>
                <w:rFonts w:eastAsia="Calibri" w:cs="Times New Roman"/>
                <w:sz w:val="18"/>
                <w:szCs w:val="18"/>
              </w:rPr>
              <w:t>No records found</w:t>
            </w:r>
          </w:p>
        </w:tc>
        <w:tc>
          <w:tcPr>
            <w:tcW w:w="2552" w:type="dxa"/>
            <w:shd w:val="clear" w:color="auto" w:fill="FFFFFF" w:themeFill="background1"/>
          </w:tcPr>
          <w:p w14:paraId="18F1CB5D" w14:textId="77777777" w:rsidR="003438A2" w:rsidRPr="003B3FE5" w:rsidRDefault="003438A2" w:rsidP="00881E29">
            <w:pPr>
              <w:spacing w:before="60" w:after="60" w:line="240" w:lineRule="auto"/>
              <w:rPr>
                <w:rFonts w:eastAsia="Calibri" w:cs="Times New Roman"/>
                <w:sz w:val="18"/>
                <w:szCs w:val="18"/>
              </w:rPr>
            </w:pPr>
            <w:r w:rsidRPr="003B3FE5">
              <w:rPr>
                <w:rFonts w:eastAsia="Calibri" w:cs="Times New Roman"/>
                <w:sz w:val="18"/>
                <w:szCs w:val="18"/>
              </w:rPr>
              <w:t>Assessment not required</w:t>
            </w:r>
          </w:p>
        </w:tc>
        <w:tc>
          <w:tcPr>
            <w:tcW w:w="2381" w:type="dxa"/>
            <w:shd w:val="clear" w:color="auto" w:fill="FFFFFF" w:themeFill="background1"/>
          </w:tcPr>
          <w:p w14:paraId="0F136ACE" w14:textId="77777777" w:rsidR="003438A2" w:rsidRPr="003B3FE5" w:rsidRDefault="003438A2" w:rsidP="00881E29">
            <w:pPr>
              <w:spacing w:before="60" w:after="60" w:line="240" w:lineRule="auto"/>
              <w:rPr>
                <w:rFonts w:eastAsia="Calibri" w:cs="Times New Roman"/>
                <w:sz w:val="18"/>
                <w:szCs w:val="18"/>
              </w:rPr>
            </w:pPr>
            <w:r w:rsidRPr="003B3FE5">
              <w:rPr>
                <w:rFonts w:eastAsia="Calibri" w:cs="Times New Roman"/>
                <w:sz w:val="18"/>
                <w:szCs w:val="18"/>
                <w:lang w:val="pt-BR"/>
              </w:rPr>
              <w:t>Assessment not required</w:t>
            </w:r>
          </w:p>
        </w:tc>
        <w:tc>
          <w:tcPr>
            <w:tcW w:w="2211" w:type="dxa"/>
            <w:shd w:val="clear" w:color="auto" w:fill="FFFFFF" w:themeFill="background1"/>
          </w:tcPr>
          <w:p w14:paraId="76F52744" w14:textId="77777777" w:rsidR="003438A2" w:rsidRPr="003B3FE5" w:rsidRDefault="003438A2" w:rsidP="00881E29">
            <w:pPr>
              <w:spacing w:before="60" w:after="60" w:line="240" w:lineRule="auto"/>
              <w:rPr>
                <w:rFonts w:eastAsia="Calibri" w:cs="Times New Roman"/>
                <w:sz w:val="18"/>
                <w:szCs w:val="18"/>
              </w:rPr>
            </w:pPr>
            <w:r w:rsidRPr="003B3FE5">
              <w:rPr>
                <w:rFonts w:eastAsia="Calibri" w:cs="Times New Roman"/>
                <w:sz w:val="18"/>
                <w:szCs w:val="18"/>
                <w:lang w:val="pt-BR"/>
              </w:rPr>
              <w:t>Assessment not required</w:t>
            </w:r>
          </w:p>
        </w:tc>
        <w:tc>
          <w:tcPr>
            <w:tcW w:w="1191" w:type="dxa"/>
            <w:shd w:val="clear" w:color="auto" w:fill="FFFFFF" w:themeFill="background1"/>
          </w:tcPr>
          <w:p w14:paraId="35F05204" w14:textId="77777777" w:rsidR="003438A2" w:rsidRPr="00D95799" w:rsidRDefault="003438A2" w:rsidP="00881E29">
            <w:pPr>
              <w:spacing w:before="60" w:after="60" w:line="240" w:lineRule="auto"/>
              <w:rPr>
                <w:rFonts w:eastAsia="Calibri" w:cs="Times New Roman"/>
                <w:sz w:val="18"/>
                <w:szCs w:val="18"/>
              </w:rPr>
            </w:pPr>
            <w:r w:rsidRPr="003B3FE5">
              <w:rPr>
                <w:rFonts w:eastAsia="Calibri" w:cs="Times New Roman"/>
                <w:sz w:val="18"/>
                <w:szCs w:val="18"/>
              </w:rPr>
              <w:t>No</w:t>
            </w:r>
          </w:p>
        </w:tc>
      </w:tr>
      <w:tr w:rsidR="003438A2" w:rsidRPr="00D95799" w14:paraId="5F0C6C00" w14:textId="77777777" w:rsidTr="00C714B1">
        <w:trPr>
          <w:cantSplit/>
          <w:trHeight w:val="75"/>
          <w:jc w:val="center"/>
        </w:trPr>
        <w:tc>
          <w:tcPr>
            <w:tcW w:w="1985" w:type="dxa"/>
            <w:shd w:val="clear" w:color="auto" w:fill="auto"/>
          </w:tcPr>
          <w:p w14:paraId="61334455" w14:textId="77777777" w:rsidR="003438A2" w:rsidRPr="00295C05" w:rsidRDefault="003438A2" w:rsidP="00881E29">
            <w:pPr>
              <w:spacing w:before="60" w:after="60" w:line="240" w:lineRule="auto"/>
              <w:rPr>
                <w:rFonts w:eastAsia="Calibri" w:cs="Times New Roman"/>
                <w:i/>
                <w:sz w:val="18"/>
                <w:szCs w:val="18"/>
                <w:lang w:val="pt-BR"/>
              </w:rPr>
            </w:pPr>
            <w:r w:rsidRPr="00295C05">
              <w:rPr>
                <w:rFonts w:eastAsia="Calibri" w:cs="Times New Roman"/>
                <w:sz w:val="18"/>
                <w:szCs w:val="18"/>
              </w:rPr>
              <w:t>Apple pustule canker</w:t>
            </w:r>
          </w:p>
        </w:tc>
        <w:tc>
          <w:tcPr>
            <w:tcW w:w="1474" w:type="dxa"/>
            <w:shd w:val="clear" w:color="auto" w:fill="auto"/>
          </w:tcPr>
          <w:p w14:paraId="06D15643" w14:textId="77777777" w:rsidR="003438A2" w:rsidRPr="00295C05" w:rsidRDefault="003438A2" w:rsidP="00881E29">
            <w:pPr>
              <w:spacing w:before="60" w:after="60" w:line="240" w:lineRule="auto"/>
              <w:rPr>
                <w:rFonts w:eastAsia="Calibri" w:cs="Times New Roman"/>
                <w:sz w:val="18"/>
                <w:szCs w:val="18"/>
                <w:lang w:val="pt-BR"/>
              </w:rPr>
            </w:pPr>
            <w:r w:rsidRPr="00295C05">
              <w:rPr>
                <w:rFonts w:eastAsia="Calibri" w:cs="Times New Roman"/>
                <w:sz w:val="18"/>
                <w:szCs w:val="18"/>
              </w:rPr>
              <w:t>Yes. Western</w:t>
            </w:r>
            <w:r>
              <w:rPr>
                <w:rFonts w:eastAsia="Calibri" w:cs="Times New Roman"/>
                <w:sz w:val="18"/>
                <w:szCs w:val="18"/>
              </w:rPr>
              <w:t xml:space="preserve"> USA </w:t>
            </w:r>
            <w:r>
              <w:rPr>
                <w:rFonts w:eastAsia="Calibri" w:cs="Times New Roman"/>
                <w:noProof/>
                <w:sz w:val="18"/>
                <w:szCs w:val="18"/>
              </w:rPr>
              <w:t>(Nemeth 1986b)</w:t>
            </w:r>
          </w:p>
        </w:tc>
        <w:tc>
          <w:tcPr>
            <w:tcW w:w="1474" w:type="dxa"/>
            <w:shd w:val="clear" w:color="auto" w:fill="auto"/>
          </w:tcPr>
          <w:p w14:paraId="27E6F29A" w14:textId="77777777" w:rsidR="003438A2" w:rsidRPr="00295C05" w:rsidRDefault="003438A2" w:rsidP="00881E29">
            <w:pPr>
              <w:spacing w:before="60" w:after="60" w:line="240" w:lineRule="auto"/>
              <w:rPr>
                <w:rFonts w:eastAsia="Calibri" w:cs="Times New Roman"/>
                <w:sz w:val="18"/>
                <w:szCs w:val="18"/>
              </w:rPr>
            </w:pPr>
            <w:r w:rsidRPr="00295C05">
              <w:rPr>
                <w:rFonts w:eastAsia="Calibri" w:cs="Times New Roman"/>
                <w:sz w:val="18"/>
                <w:szCs w:val="18"/>
              </w:rPr>
              <w:t>No records found</w:t>
            </w:r>
          </w:p>
        </w:tc>
        <w:tc>
          <w:tcPr>
            <w:tcW w:w="2552" w:type="dxa"/>
            <w:shd w:val="clear" w:color="auto" w:fill="auto"/>
          </w:tcPr>
          <w:p w14:paraId="61F5C281" w14:textId="77777777" w:rsidR="003438A2" w:rsidRPr="00295C05" w:rsidRDefault="003438A2" w:rsidP="00881E29">
            <w:pPr>
              <w:spacing w:before="60" w:after="60" w:line="240" w:lineRule="auto"/>
              <w:rPr>
                <w:rFonts w:eastAsia="Calibri" w:cs="Times New Roman"/>
                <w:sz w:val="18"/>
                <w:szCs w:val="18"/>
              </w:rPr>
            </w:pPr>
            <w:r w:rsidRPr="00295C05">
              <w:rPr>
                <w:rFonts w:eastAsia="Calibri" w:cs="Times New Roman"/>
                <w:sz w:val="18"/>
                <w:szCs w:val="18"/>
              </w:rPr>
              <w:t xml:space="preserve">No. Symptoms occur on woody parts of the plant </w:t>
            </w:r>
            <w:r>
              <w:rPr>
                <w:rFonts w:eastAsia="Calibri" w:cs="Times New Roman"/>
                <w:noProof/>
                <w:sz w:val="18"/>
                <w:szCs w:val="18"/>
              </w:rPr>
              <w:t>(Nemeth 1986b)</w:t>
            </w:r>
            <w:r w:rsidRPr="00295C05">
              <w:rPr>
                <w:rFonts w:eastAsia="Calibri" w:cs="Times New Roman"/>
                <w:sz w:val="18"/>
                <w:szCs w:val="18"/>
              </w:rPr>
              <w:t xml:space="preserve">. The disorder is spread by infected budwood </w:t>
            </w:r>
            <w:r>
              <w:rPr>
                <w:rFonts w:eastAsia="Calibri" w:cs="Times New Roman"/>
                <w:noProof/>
                <w:sz w:val="18"/>
                <w:szCs w:val="18"/>
              </w:rPr>
              <w:t>(Parish &amp; Hansen 1990)</w:t>
            </w:r>
            <w:r w:rsidRPr="00295C05">
              <w:rPr>
                <w:rFonts w:eastAsia="Calibri" w:cs="Times New Roman"/>
                <w:sz w:val="18"/>
                <w:szCs w:val="18"/>
              </w:rPr>
              <w:t xml:space="preserve">. Transmission by budding and grafting </w:t>
            </w:r>
            <w:r>
              <w:rPr>
                <w:rFonts w:eastAsia="Calibri" w:cs="Times New Roman"/>
                <w:noProof/>
                <w:sz w:val="18"/>
                <w:szCs w:val="18"/>
              </w:rPr>
              <w:t>(Nemeth 1986b)</w:t>
            </w:r>
          </w:p>
        </w:tc>
        <w:tc>
          <w:tcPr>
            <w:tcW w:w="2381" w:type="dxa"/>
            <w:shd w:val="clear" w:color="auto" w:fill="auto"/>
          </w:tcPr>
          <w:p w14:paraId="2C33B06C"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211" w:type="dxa"/>
            <w:shd w:val="clear" w:color="auto" w:fill="auto"/>
          </w:tcPr>
          <w:p w14:paraId="5603E5BE"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auto"/>
          </w:tcPr>
          <w:p w14:paraId="6E9180F0"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95799" w14:paraId="42B45BEE" w14:textId="77777777" w:rsidTr="00C714B1">
        <w:trPr>
          <w:cantSplit/>
          <w:trHeight w:val="75"/>
          <w:jc w:val="center"/>
        </w:trPr>
        <w:tc>
          <w:tcPr>
            <w:tcW w:w="1985" w:type="dxa"/>
            <w:shd w:val="clear" w:color="auto" w:fill="FFFFFF" w:themeFill="background1"/>
          </w:tcPr>
          <w:p w14:paraId="7A981CBB" w14:textId="77777777" w:rsidR="003438A2" w:rsidRPr="00271305" w:rsidRDefault="003438A2" w:rsidP="00881E29">
            <w:pPr>
              <w:spacing w:before="60" w:after="60" w:line="240" w:lineRule="auto"/>
              <w:rPr>
                <w:rFonts w:eastAsia="Calibri" w:cs="Times New Roman"/>
                <w:i/>
                <w:sz w:val="18"/>
                <w:szCs w:val="18"/>
                <w:lang w:val="pt-BR"/>
              </w:rPr>
            </w:pPr>
            <w:r w:rsidRPr="00271305">
              <w:rPr>
                <w:rFonts w:eastAsia="Calibri" w:cs="Times New Roman"/>
                <w:sz w:val="18"/>
                <w:szCs w:val="18"/>
              </w:rPr>
              <w:t>Apple rough skin</w:t>
            </w:r>
          </w:p>
        </w:tc>
        <w:tc>
          <w:tcPr>
            <w:tcW w:w="1474" w:type="dxa"/>
            <w:shd w:val="clear" w:color="auto" w:fill="FFFFFF" w:themeFill="background1"/>
          </w:tcPr>
          <w:p w14:paraId="38931EE1" w14:textId="77777777" w:rsidR="003438A2" w:rsidRPr="00271305" w:rsidRDefault="003438A2" w:rsidP="00881E29">
            <w:pPr>
              <w:spacing w:before="60" w:after="60" w:line="240" w:lineRule="auto"/>
              <w:rPr>
                <w:rFonts w:eastAsia="Calibri" w:cs="Times New Roman"/>
                <w:sz w:val="18"/>
                <w:szCs w:val="18"/>
                <w:lang w:val="pt-BR"/>
              </w:rPr>
            </w:pPr>
            <w:r w:rsidRPr="00271305">
              <w:rPr>
                <w:rFonts w:eastAsia="Calibri" w:cs="Times New Roman"/>
                <w:sz w:val="18"/>
                <w:szCs w:val="18"/>
              </w:rPr>
              <w:t xml:space="preserve">Yes. No particular region specified. Apple is the only known host </w:t>
            </w:r>
            <w:r>
              <w:rPr>
                <w:rFonts w:eastAsia="Calibri" w:cs="Times New Roman"/>
                <w:noProof/>
                <w:sz w:val="18"/>
                <w:szCs w:val="18"/>
              </w:rPr>
              <w:t>(Nemeth 1986b)</w:t>
            </w:r>
          </w:p>
        </w:tc>
        <w:tc>
          <w:tcPr>
            <w:tcW w:w="1474" w:type="dxa"/>
            <w:shd w:val="clear" w:color="auto" w:fill="FFFFFF" w:themeFill="background1"/>
          </w:tcPr>
          <w:p w14:paraId="7F147BC5" w14:textId="77777777" w:rsidR="003438A2" w:rsidRPr="00271305" w:rsidRDefault="003438A2" w:rsidP="00881E29">
            <w:pPr>
              <w:spacing w:before="60" w:after="60" w:line="240" w:lineRule="auto"/>
              <w:rPr>
                <w:rFonts w:eastAsia="Calibri" w:cs="Times New Roman"/>
                <w:sz w:val="18"/>
                <w:szCs w:val="18"/>
              </w:rPr>
            </w:pPr>
            <w:r w:rsidRPr="00271305">
              <w:rPr>
                <w:rFonts w:eastAsia="Calibri" w:cs="Times New Roman"/>
                <w:sz w:val="18"/>
                <w:szCs w:val="18"/>
              </w:rPr>
              <w:t>No records found</w:t>
            </w:r>
          </w:p>
        </w:tc>
        <w:tc>
          <w:tcPr>
            <w:tcW w:w="2552" w:type="dxa"/>
            <w:shd w:val="clear" w:color="auto" w:fill="FFFFFF" w:themeFill="background1"/>
          </w:tcPr>
          <w:p w14:paraId="4FDD3332" w14:textId="77777777" w:rsidR="003438A2" w:rsidRPr="00271305" w:rsidRDefault="003438A2" w:rsidP="00881E29">
            <w:pPr>
              <w:spacing w:before="60" w:after="60" w:line="240" w:lineRule="auto"/>
              <w:rPr>
                <w:rFonts w:eastAsia="Calibri" w:cs="Times New Roman"/>
                <w:sz w:val="18"/>
                <w:szCs w:val="18"/>
              </w:rPr>
            </w:pPr>
            <w:r>
              <w:rPr>
                <w:rFonts w:eastAsia="Calibri" w:cs="Times New Roman"/>
                <w:sz w:val="18"/>
                <w:szCs w:val="18"/>
              </w:rPr>
              <w:t>No</w:t>
            </w:r>
            <w:r w:rsidRPr="00271305">
              <w:rPr>
                <w:rFonts w:eastAsia="Calibri" w:cs="Times New Roman"/>
                <w:sz w:val="18"/>
                <w:szCs w:val="18"/>
              </w:rPr>
              <w:t xml:space="preserve">. Symptoms appear on fruit </w:t>
            </w:r>
            <w:r>
              <w:rPr>
                <w:rFonts w:eastAsia="Calibri" w:cs="Times New Roman"/>
                <w:noProof/>
                <w:sz w:val="18"/>
                <w:szCs w:val="18"/>
              </w:rPr>
              <w:t>(Hansen &amp; Parish 1990)</w:t>
            </w:r>
            <w:r w:rsidRPr="00271305">
              <w:rPr>
                <w:rFonts w:eastAsia="Calibri" w:cs="Times New Roman"/>
                <w:sz w:val="18"/>
                <w:szCs w:val="18"/>
              </w:rPr>
              <w:t>. No report of transmission through seeds or from fruit was found</w:t>
            </w:r>
            <w:r>
              <w:rPr>
                <w:rFonts w:eastAsia="Calibri" w:cs="Times New Roman"/>
                <w:sz w:val="18"/>
                <w:szCs w:val="18"/>
              </w:rPr>
              <w:t>.</w:t>
            </w:r>
          </w:p>
        </w:tc>
        <w:tc>
          <w:tcPr>
            <w:tcW w:w="2381" w:type="dxa"/>
            <w:shd w:val="clear" w:color="auto" w:fill="FFFFFF" w:themeFill="background1"/>
          </w:tcPr>
          <w:p w14:paraId="7401DE1A" w14:textId="77777777" w:rsidR="003438A2" w:rsidRPr="00271305" w:rsidRDefault="003438A2" w:rsidP="00881E29">
            <w:pPr>
              <w:spacing w:before="60" w:after="60" w:line="240" w:lineRule="auto"/>
              <w:rPr>
                <w:rFonts w:eastAsia="Calibri" w:cs="Times New Roman"/>
                <w:sz w:val="18"/>
                <w:szCs w:val="18"/>
              </w:rPr>
            </w:pPr>
            <w:r w:rsidRPr="00271305">
              <w:rPr>
                <w:rFonts w:eastAsia="Calibri" w:cs="Times New Roman"/>
                <w:sz w:val="18"/>
                <w:szCs w:val="18"/>
              </w:rPr>
              <w:t>Assessment not required</w:t>
            </w:r>
          </w:p>
        </w:tc>
        <w:tc>
          <w:tcPr>
            <w:tcW w:w="2211" w:type="dxa"/>
            <w:shd w:val="clear" w:color="auto" w:fill="FFFFFF" w:themeFill="background1"/>
          </w:tcPr>
          <w:p w14:paraId="06B27C97" w14:textId="77777777" w:rsidR="003438A2" w:rsidRPr="00271305" w:rsidRDefault="003438A2" w:rsidP="00881E29">
            <w:pPr>
              <w:spacing w:before="60" w:after="60" w:line="240" w:lineRule="auto"/>
              <w:rPr>
                <w:rFonts w:eastAsia="Calibri" w:cs="Times New Roman"/>
                <w:sz w:val="18"/>
                <w:szCs w:val="18"/>
              </w:rPr>
            </w:pPr>
            <w:r w:rsidRPr="00271305">
              <w:rPr>
                <w:rFonts w:eastAsia="Calibri" w:cs="Times New Roman"/>
                <w:sz w:val="18"/>
                <w:szCs w:val="18"/>
              </w:rPr>
              <w:t>Assessment not required</w:t>
            </w:r>
          </w:p>
        </w:tc>
        <w:tc>
          <w:tcPr>
            <w:tcW w:w="1191" w:type="dxa"/>
            <w:shd w:val="clear" w:color="auto" w:fill="FFFFFF" w:themeFill="background1"/>
          </w:tcPr>
          <w:p w14:paraId="08626B20" w14:textId="77777777" w:rsidR="003438A2" w:rsidRPr="00D95799" w:rsidRDefault="003438A2" w:rsidP="00881E29">
            <w:pPr>
              <w:spacing w:before="60" w:after="60" w:line="240" w:lineRule="auto"/>
              <w:rPr>
                <w:rFonts w:eastAsia="Calibri" w:cs="Times New Roman"/>
                <w:sz w:val="18"/>
                <w:szCs w:val="18"/>
              </w:rPr>
            </w:pPr>
            <w:r w:rsidRPr="00271305">
              <w:rPr>
                <w:rFonts w:eastAsia="Calibri" w:cs="Times New Roman"/>
                <w:sz w:val="18"/>
                <w:szCs w:val="18"/>
              </w:rPr>
              <w:t>No</w:t>
            </w:r>
          </w:p>
        </w:tc>
      </w:tr>
      <w:tr w:rsidR="003438A2" w:rsidRPr="00C714B1" w14:paraId="1A96101B" w14:textId="77777777" w:rsidTr="00C714B1">
        <w:trPr>
          <w:cantSplit/>
          <w:trHeight w:val="75"/>
          <w:jc w:val="center"/>
        </w:trPr>
        <w:tc>
          <w:tcPr>
            <w:tcW w:w="1985" w:type="dxa"/>
            <w:shd w:val="clear" w:color="auto" w:fill="auto"/>
          </w:tcPr>
          <w:p w14:paraId="1C3780DF" w14:textId="77777777" w:rsidR="003438A2" w:rsidRPr="00C714B1" w:rsidRDefault="003438A2" w:rsidP="00881E29">
            <w:pPr>
              <w:spacing w:before="60" w:after="60" w:line="240" w:lineRule="auto"/>
              <w:rPr>
                <w:rFonts w:eastAsia="Calibri" w:cs="Times New Roman"/>
                <w:sz w:val="18"/>
                <w:szCs w:val="18"/>
                <w:lang w:eastAsia="en-AU"/>
              </w:rPr>
            </w:pPr>
            <w:r w:rsidRPr="00C714B1">
              <w:rPr>
                <w:rFonts w:eastAsia="Calibri" w:cs="Times New Roman"/>
                <w:sz w:val="18"/>
                <w:szCs w:val="18"/>
                <w:lang w:eastAsia="en-AU"/>
              </w:rPr>
              <w:lastRenderedPageBreak/>
              <w:t>Apple russet ring and associated disorders</w:t>
            </w:r>
          </w:p>
          <w:p w14:paraId="1857A276" w14:textId="77777777" w:rsidR="003438A2" w:rsidRPr="00C714B1" w:rsidRDefault="003438A2" w:rsidP="00881E29">
            <w:pPr>
              <w:spacing w:before="60" w:after="60" w:line="240" w:lineRule="auto"/>
              <w:rPr>
                <w:rFonts w:eastAsia="Calibri" w:cs="Times New Roman"/>
                <w:i/>
                <w:sz w:val="18"/>
                <w:szCs w:val="18"/>
                <w:lang w:val="pt-BR"/>
              </w:rPr>
            </w:pPr>
            <w:r w:rsidRPr="00C714B1">
              <w:rPr>
                <w:rFonts w:eastAsia="Calibri" w:cs="Times New Roman"/>
                <w:sz w:val="18"/>
                <w:szCs w:val="18"/>
                <w:lang w:eastAsia="en-AU"/>
              </w:rPr>
              <w:t>Apple russet ring; leaf pucker and fruit russet; leaf fleck; blister bark, green crinkle and fruit distortion</w:t>
            </w:r>
          </w:p>
        </w:tc>
        <w:tc>
          <w:tcPr>
            <w:tcW w:w="1474" w:type="dxa"/>
            <w:shd w:val="clear" w:color="auto" w:fill="auto"/>
          </w:tcPr>
          <w:p w14:paraId="75004C3A" w14:textId="77777777" w:rsidR="003438A2" w:rsidRPr="00C714B1" w:rsidRDefault="003438A2" w:rsidP="00881E29">
            <w:pPr>
              <w:spacing w:before="60" w:after="60" w:line="240" w:lineRule="auto"/>
              <w:rPr>
                <w:rFonts w:eastAsia="Calibri" w:cs="Times New Roman"/>
                <w:sz w:val="18"/>
                <w:szCs w:val="18"/>
                <w:lang w:val="pt-BR"/>
              </w:rPr>
            </w:pPr>
            <w:r w:rsidRPr="00C714B1">
              <w:rPr>
                <w:rFonts w:eastAsia="Calibri" w:cs="Times New Roman"/>
                <w:sz w:val="18"/>
                <w:szCs w:val="18"/>
                <w:lang w:eastAsia="en-AU"/>
              </w:rPr>
              <w:t xml:space="preserve">Yes </w:t>
            </w:r>
            <w:r w:rsidRPr="00C714B1">
              <w:rPr>
                <w:rFonts w:eastAsia="Calibri" w:cs="Times New Roman"/>
                <w:noProof/>
                <w:sz w:val="18"/>
                <w:szCs w:val="18"/>
                <w:lang w:eastAsia="en-AU"/>
              </w:rPr>
              <w:t>(Pierson, Ceponis &amp; McColloch 1971)</w:t>
            </w:r>
          </w:p>
        </w:tc>
        <w:tc>
          <w:tcPr>
            <w:tcW w:w="1474" w:type="dxa"/>
            <w:shd w:val="clear" w:color="auto" w:fill="auto"/>
          </w:tcPr>
          <w:p w14:paraId="2779323A" w14:textId="77777777" w:rsidR="003438A2" w:rsidRPr="00C714B1" w:rsidRDefault="003438A2" w:rsidP="00881E29">
            <w:pPr>
              <w:spacing w:before="60" w:after="60" w:line="240" w:lineRule="auto"/>
              <w:rPr>
                <w:rFonts w:eastAsia="Calibri" w:cs="Times New Roman"/>
                <w:sz w:val="18"/>
                <w:szCs w:val="18"/>
              </w:rPr>
            </w:pPr>
            <w:r w:rsidRPr="00C714B1">
              <w:rPr>
                <w:rFonts w:eastAsia="Calibri" w:cs="Times New Roman"/>
                <w:sz w:val="18"/>
                <w:szCs w:val="18"/>
              </w:rPr>
              <w:t xml:space="preserve">Yes. Tas. </w:t>
            </w:r>
            <w:r w:rsidRPr="00C714B1">
              <w:rPr>
                <w:rFonts w:eastAsia="Calibri" w:cs="Times New Roman"/>
                <w:noProof/>
                <w:sz w:val="18"/>
                <w:szCs w:val="18"/>
              </w:rPr>
              <w:t>(Sampson &amp; Walker 1982)</w:t>
            </w:r>
            <w:r w:rsidRPr="00C714B1">
              <w:rPr>
                <w:rFonts w:eastAsia="Calibri" w:cs="Times New Roman"/>
                <w:sz w:val="18"/>
                <w:szCs w:val="18"/>
              </w:rPr>
              <w:t xml:space="preserve">; NSW </w:t>
            </w:r>
            <w:r w:rsidRPr="00C714B1">
              <w:rPr>
                <w:rFonts w:eastAsia="Calibri" w:cs="Times New Roman"/>
                <w:noProof/>
                <w:sz w:val="18"/>
                <w:szCs w:val="18"/>
              </w:rPr>
              <w:t>(Letham 1995)</w:t>
            </w:r>
          </w:p>
        </w:tc>
        <w:tc>
          <w:tcPr>
            <w:tcW w:w="2552" w:type="dxa"/>
            <w:shd w:val="clear" w:color="auto" w:fill="auto"/>
          </w:tcPr>
          <w:p w14:paraId="6F8896EF" w14:textId="77777777" w:rsidR="003438A2" w:rsidRPr="00C714B1" w:rsidRDefault="003438A2" w:rsidP="00881E29">
            <w:pPr>
              <w:spacing w:before="60" w:after="60" w:line="240" w:lineRule="auto"/>
              <w:rPr>
                <w:rFonts w:eastAsia="Calibri" w:cs="Times New Roman"/>
                <w:sz w:val="18"/>
                <w:szCs w:val="18"/>
              </w:rPr>
            </w:pPr>
            <w:r w:rsidRPr="00C714B1">
              <w:rPr>
                <w:rFonts w:eastAsia="Calibri" w:cs="Times New Roman"/>
                <w:sz w:val="18"/>
                <w:szCs w:val="18"/>
              </w:rPr>
              <w:t xml:space="preserve">No. Symptoms appear on fruit </w:t>
            </w:r>
            <w:r w:rsidRPr="00C714B1">
              <w:rPr>
                <w:rFonts w:eastAsia="Calibri" w:cs="Times New Roman"/>
                <w:noProof/>
                <w:sz w:val="18"/>
                <w:szCs w:val="18"/>
              </w:rPr>
              <w:t>(Hansen &amp; Parish 1990)</w:t>
            </w:r>
            <w:r w:rsidRPr="00C714B1">
              <w:rPr>
                <w:rFonts w:eastAsia="Calibri" w:cs="Times New Roman"/>
                <w:sz w:val="18"/>
                <w:szCs w:val="18"/>
                <w:lang w:eastAsia="en-AU"/>
              </w:rPr>
              <w:t xml:space="preserve">. </w:t>
            </w:r>
            <w:r w:rsidRPr="00C714B1">
              <w:rPr>
                <w:rFonts w:eastAsia="Calibri" w:cs="Times New Roman"/>
                <w:sz w:val="18"/>
                <w:szCs w:val="18"/>
              </w:rPr>
              <w:t>Russet ring is considered to be a graft</w:t>
            </w:r>
            <w:r w:rsidRPr="00C714B1">
              <w:rPr>
                <w:rFonts w:eastAsia="Calibri" w:cs="Times New Roman"/>
                <w:sz w:val="18"/>
                <w:szCs w:val="18"/>
                <w:lang w:eastAsia="en-AU"/>
              </w:rPr>
              <w:noBreakHyphen/>
            </w:r>
            <w:r w:rsidRPr="00C714B1">
              <w:rPr>
                <w:rFonts w:eastAsia="Calibri" w:cs="Times New Roman"/>
                <w:sz w:val="18"/>
                <w:szCs w:val="18"/>
              </w:rPr>
              <w:t xml:space="preserve">transmissible fruit disorder </w:t>
            </w:r>
            <w:r w:rsidRPr="00C714B1">
              <w:rPr>
                <w:rFonts w:eastAsia="Calibri" w:cs="Times New Roman"/>
                <w:noProof/>
                <w:sz w:val="18"/>
                <w:szCs w:val="18"/>
              </w:rPr>
              <w:t>(Hansen &amp; Parish 1990)</w:t>
            </w:r>
            <w:r w:rsidRPr="00C714B1">
              <w:rPr>
                <w:rFonts w:eastAsia="Calibri" w:cs="Times New Roman"/>
                <w:sz w:val="18"/>
                <w:szCs w:val="18"/>
                <w:lang w:eastAsia="en-AU"/>
              </w:rPr>
              <w:t xml:space="preserve">. Affected fruit are not expected to pass initial fruit quality inspection. </w:t>
            </w:r>
            <w:r w:rsidRPr="00C714B1">
              <w:rPr>
                <w:rFonts w:eastAsia="Calibri" w:cs="Times New Roman"/>
                <w:sz w:val="18"/>
                <w:szCs w:val="18"/>
              </w:rPr>
              <w:t>No report of transmission through seeds or from fruit was found</w:t>
            </w:r>
            <w:r>
              <w:rPr>
                <w:rFonts w:eastAsia="Calibri" w:cs="Times New Roman"/>
                <w:sz w:val="18"/>
                <w:szCs w:val="18"/>
              </w:rPr>
              <w:t>.</w:t>
            </w:r>
          </w:p>
        </w:tc>
        <w:tc>
          <w:tcPr>
            <w:tcW w:w="2381" w:type="dxa"/>
            <w:shd w:val="clear" w:color="auto" w:fill="auto"/>
          </w:tcPr>
          <w:p w14:paraId="6613540B" w14:textId="77777777" w:rsidR="003438A2" w:rsidRPr="00C714B1" w:rsidRDefault="003438A2" w:rsidP="00881E29">
            <w:pPr>
              <w:spacing w:before="60" w:after="60" w:line="240" w:lineRule="auto"/>
              <w:rPr>
                <w:rFonts w:eastAsia="Calibri" w:cs="Times New Roman"/>
                <w:sz w:val="18"/>
                <w:szCs w:val="18"/>
              </w:rPr>
            </w:pPr>
            <w:r w:rsidRPr="00C714B1">
              <w:rPr>
                <w:rFonts w:eastAsia="Calibri" w:cs="Times New Roman"/>
                <w:sz w:val="18"/>
                <w:szCs w:val="18"/>
              </w:rPr>
              <w:t>Assessment not required</w:t>
            </w:r>
          </w:p>
        </w:tc>
        <w:tc>
          <w:tcPr>
            <w:tcW w:w="2211" w:type="dxa"/>
            <w:shd w:val="clear" w:color="auto" w:fill="auto"/>
          </w:tcPr>
          <w:p w14:paraId="0E8C28B4" w14:textId="77777777" w:rsidR="003438A2" w:rsidRPr="00C714B1" w:rsidRDefault="003438A2" w:rsidP="00881E29">
            <w:pPr>
              <w:spacing w:before="60" w:after="60" w:line="240" w:lineRule="auto"/>
              <w:rPr>
                <w:rFonts w:eastAsia="Calibri" w:cs="Times New Roman"/>
                <w:sz w:val="18"/>
                <w:szCs w:val="18"/>
              </w:rPr>
            </w:pPr>
            <w:r w:rsidRPr="00C714B1">
              <w:rPr>
                <w:rFonts w:eastAsia="Calibri" w:cs="Times New Roman"/>
                <w:sz w:val="18"/>
                <w:szCs w:val="18"/>
              </w:rPr>
              <w:t>Assessment not required</w:t>
            </w:r>
          </w:p>
        </w:tc>
        <w:tc>
          <w:tcPr>
            <w:tcW w:w="1191" w:type="dxa"/>
            <w:shd w:val="clear" w:color="auto" w:fill="auto"/>
          </w:tcPr>
          <w:p w14:paraId="32023AC9" w14:textId="77777777" w:rsidR="003438A2" w:rsidRPr="00C714B1" w:rsidRDefault="003438A2" w:rsidP="00881E29">
            <w:pPr>
              <w:spacing w:before="60" w:after="60" w:line="240" w:lineRule="auto"/>
              <w:rPr>
                <w:rFonts w:eastAsia="Calibri" w:cs="Times New Roman"/>
                <w:sz w:val="18"/>
                <w:szCs w:val="18"/>
              </w:rPr>
            </w:pPr>
            <w:r w:rsidRPr="00C714B1">
              <w:rPr>
                <w:rFonts w:eastAsia="Calibri" w:cs="Times New Roman"/>
                <w:sz w:val="18"/>
                <w:szCs w:val="18"/>
              </w:rPr>
              <w:t>No</w:t>
            </w:r>
          </w:p>
        </w:tc>
      </w:tr>
      <w:tr w:rsidR="003438A2" w:rsidRPr="00D95799" w14:paraId="1F26E981" w14:textId="77777777" w:rsidTr="00C714B1">
        <w:trPr>
          <w:cantSplit/>
          <w:trHeight w:val="75"/>
          <w:jc w:val="center"/>
        </w:trPr>
        <w:tc>
          <w:tcPr>
            <w:tcW w:w="1985" w:type="dxa"/>
            <w:shd w:val="clear" w:color="auto" w:fill="auto"/>
          </w:tcPr>
          <w:p w14:paraId="09F4A28B" w14:textId="77777777" w:rsidR="003438A2" w:rsidRPr="00295C05" w:rsidRDefault="003438A2" w:rsidP="00881E29">
            <w:pPr>
              <w:spacing w:before="60" w:after="60" w:line="240" w:lineRule="auto"/>
              <w:rPr>
                <w:rFonts w:eastAsia="Calibri" w:cs="Times New Roman"/>
                <w:sz w:val="18"/>
                <w:szCs w:val="18"/>
              </w:rPr>
            </w:pPr>
            <w:r w:rsidRPr="00295C05">
              <w:rPr>
                <w:rFonts w:eastAsia="Calibri" w:cs="Times New Roman"/>
                <w:sz w:val="18"/>
                <w:szCs w:val="18"/>
              </w:rPr>
              <w:t>Apple star crack agent</w:t>
            </w:r>
          </w:p>
          <w:p w14:paraId="090C73F5" w14:textId="77777777" w:rsidR="003438A2" w:rsidRPr="00CD7D17" w:rsidRDefault="003438A2" w:rsidP="00881E29">
            <w:pPr>
              <w:spacing w:before="60" w:after="60" w:line="240" w:lineRule="auto"/>
              <w:rPr>
                <w:rFonts w:eastAsia="Calibri" w:cs="Times New Roman"/>
                <w:i/>
                <w:sz w:val="18"/>
                <w:szCs w:val="18"/>
                <w:lang w:val="pt-BR"/>
              </w:rPr>
            </w:pPr>
            <w:r w:rsidRPr="00CD7D17">
              <w:rPr>
                <w:rFonts w:eastAsia="Calibri" w:cs="Times New Roman"/>
                <w:i/>
                <w:sz w:val="18"/>
                <w:szCs w:val="18"/>
              </w:rPr>
              <w:t>Apple star crack virus</w:t>
            </w:r>
          </w:p>
        </w:tc>
        <w:tc>
          <w:tcPr>
            <w:tcW w:w="1474" w:type="dxa"/>
            <w:shd w:val="clear" w:color="auto" w:fill="auto"/>
          </w:tcPr>
          <w:p w14:paraId="3DC94017" w14:textId="77777777" w:rsidR="003438A2" w:rsidRDefault="003438A2" w:rsidP="00574C2A">
            <w:pPr>
              <w:pStyle w:val="TableText"/>
            </w:pPr>
            <w:r w:rsidRPr="00295C05">
              <w:t xml:space="preserve">Yes. </w:t>
            </w:r>
            <w:r>
              <w:t xml:space="preserve">Present in </w:t>
            </w:r>
            <w:r w:rsidRPr="00295C05">
              <w:t>WA</w:t>
            </w:r>
            <w:r>
              <w:t xml:space="preserve"> </w:t>
            </w:r>
            <w:r>
              <w:rPr>
                <w:noProof/>
              </w:rPr>
              <w:t>(Blodgett &amp; Aichele 1961; CABI 2021a; Pscheidt &amp; Ocamb 2018)</w:t>
            </w:r>
          </w:p>
          <w:p w14:paraId="6CAC9422" w14:textId="77777777" w:rsidR="003438A2" w:rsidRPr="00295C05" w:rsidRDefault="003438A2" w:rsidP="00881E29">
            <w:pPr>
              <w:spacing w:before="60" w:after="60" w:line="240" w:lineRule="auto"/>
              <w:rPr>
                <w:rFonts w:eastAsia="Calibri" w:cs="Times New Roman"/>
                <w:sz w:val="18"/>
                <w:szCs w:val="18"/>
                <w:lang w:val="pt-BR"/>
              </w:rPr>
            </w:pPr>
          </w:p>
        </w:tc>
        <w:tc>
          <w:tcPr>
            <w:tcW w:w="1474" w:type="dxa"/>
            <w:shd w:val="clear" w:color="auto" w:fill="auto"/>
          </w:tcPr>
          <w:p w14:paraId="33BBDE21" w14:textId="77777777" w:rsidR="003438A2" w:rsidRPr="00295C05" w:rsidRDefault="003438A2" w:rsidP="00881E29">
            <w:pPr>
              <w:spacing w:before="60" w:after="60" w:line="240" w:lineRule="auto"/>
              <w:rPr>
                <w:rFonts w:eastAsia="Calibri" w:cs="Times New Roman"/>
                <w:sz w:val="18"/>
                <w:szCs w:val="18"/>
              </w:rPr>
            </w:pPr>
            <w:r w:rsidRPr="00295C05">
              <w:rPr>
                <w:rFonts w:eastAsia="Calibri" w:cs="Times New Roman"/>
                <w:sz w:val="18"/>
                <w:szCs w:val="18"/>
              </w:rPr>
              <w:t xml:space="preserve">Yes. NSW </w:t>
            </w:r>
            <w:r>
              <w:rPr>
                <w:rFonts w:eastAsia="Calibri" w:cs="Times New Roman"/>
                <w:noProof/>
                <w:sz w:val="18"/>
                <w:szCs w:val="18"/>
              </w:rPr>
              <w:t>(Letham 1995)</w:t>
            </w:r>
          </w:p>
        </w:tc>
        <w:tc>
          <w:tcPr>
            <w:tcW w:w="2552" w:type="dxa"/>
            <w:shd w:val="clear" w:color="auto" w:fill="auto"/>
          </w:tcPr>
          <w:p w14:paraId="4945628B" w14:textId="77777777" w:rsidR="003438A2" w:rsidRPr="00295C05" w:rsidRDefault="003438A2" w:rsidP="00881E29">
            <w:pPr>
              <w:spacing w:before="60" w:after="60" w:line="240" w:lineRule="auto"/>
              <w:rPr>
                <w:rFonts w:eastAsia="Calibri" w:cs="Times New Roman"/>
                <w:sz w:val="18"/>
                <w:szCs w:val="18"/>
              </w:rPr>
            </w:pPr>
            <w:r>
              <w:rPr>
                <w:rFonts w:eastAsia="Calibri" w:cs="Times New Roman"/>
                <w:sz w:val="18"/>
                <w:szCs w:val="18"/>
              </w:rPr>
              <w:t>No</w:t>
            </w:r>
            <w:r w:rsidRPr="00295C05">
              <w:rPr>
                <w:rFonts w:eastAsia="Calibri" w:cs="Times New Roman"/>
                <w:sz w:val="18"/>
                <w:szCs w:val="18"/>
              </w:rPr>
              <w:t xml:space="preserve">. Symptoms </w:t>
            </w:r>
            <w:r>
              <w:rPr>
                <w:rFonts w:eastAsia="Calibri" w:cs="Times New Roman"/>
                <w:sz w:val="18"/>
                <w:szCs w:val="18"/>
              </w:rPr>
              <w:t xml:space="preserve">appear </w:t>
            </w:r>
            <w:r w:rsidRPr="00295C05">
              <w:rPr>
                <w:rFonts w:eastAsia="Calibri" w:cs="Times New Roman"/>
                <w:sz w:val="18"/>
                <w:szCs w:val="18"/>
              </w:rPr>
              <w:t xml:space="preserve">on fruit </w:t>
            </w:r>
            <w:r>
              <w:rPr>
                <w:rFonts w:eastAsia="Calibri" w:cs="Times New Roman"/>
                <w:noProof/>
                <w:sz w:val="18"/>
                <w:szCs w:val="18"/>
              </w:rPr>
              <w:t>(Hansen &amp; Parish 1990)</w:t>
            </w:r>
            <w:r w:rsidRPr="00295C05">
              <w:rPr>
                <w:rFonts w:eastAsia="Calibri" w:cs="Times New Roman"/>
                <w:sz w:val="18"/>
                <w:szCs w:val="18"/>
                <w:lang w:eastAsia="en-AU"/>
              </w:rPr>
              <w:t>.</w:t>
            </w:r>
            <w:r w:rsidRPr="00295C05">
              <w:rPr>
                <w:rFonts w:eastAsia="Calibri" w:cs="Times New Roman"/>
                <w:sz w:val="18"/>
                <w:szCs w:val="18"/>
              </w:rPr>
              <w:t xml:space="preserve"> No report of transmission through seeds or from fruit was found. Transmitted through budding or grafting </w:t>
            </w:r>
            <w:r>
              <w:rPr>
                <w:rFonts w:eastAsia="Calibri" w:cs="Times New Roman"/>
                <w:noProof/>
                <w:sz w:val="18"/>
                <w:szCs w:val="18"/>
              </w:rPr>
              <w:t>(CABI 2019)</w:t>
            </w:r>
            <w:r w:rsidRPr="00295C05">
              <w:rPr>
                <w:rFonts w:eastAsia="Calibri" w:cs="Times New Roman"/>
                <w:sz w:val="18"/>
                <w:szCs w:val="18"/>
              </w:rPr>
              <w:t>.</w:t>
            </w:r>
            <w:r>
              <w:rPr>
                <w:rFonts w:eastAsia="Calibri" w:cs="Times New Roman"/>
                <w:sz w:val="18"/>
                <w:szCs w:val="18"/>
              </w:rPr>
              <w:t xml:space="preserve"> </w:t>
            </w:r>
            <w:r w:rsidRPr="00295C05">
              <w:rPr>
                <w:rFonts w:eastAsia="Calibri" w:cs="Times New Roman"/>
                <w:sz w:val="18"/>
                <w:szCs w:val="18"/>
              </w:rPr>
              <w:t>Is considered to be a graft</w:t>
            </w:r>
            <w:r w:rsidRPr="00295C05">
              <w:rPr>
                <w:rFonts w:eastAsia="Calibri" w:cs="Times New Roman"/>
                <w:sz w:val="18"/>
                <w:szCs w:val="18"/>
                <w:lang w:eastAsia="en-AU"/>
              </w:rPr>
              <w:noBreakHyphen/>
            </w:r>
            <w:r w:rsidRPr="00295C05">
              <w:rPr>
                <w:rFonts w:eastAsia="Calibri" w:cs="Times New Roman"/>
                <w:sz w:val="18"/>
                <w:szCs w:val="18"/>
              </w:rPr>
              <w:t xml:space="preserve">transmissible fruit disorder </w:t>
            </w:r>
            <w:r>
              <w:rPr>
                <w:rFonts w:eastAsia="Calibri" w:cs="Times New Roman"/>
                <w:noProof/>
                <w:sz w:val="18"/>
                <w:szCs w:val="18"/>
              </w:rPr>
              <w:t>(Hansen &amp; Parish 1990)</w:t>
            </w:r>
          </w:p>
        </w:tc>
        <w:tc>
          <w:tcPr>
            <w:tcW w:w="2381" w:type="dxa"/>
            <w:shd w:val="clear" w:color="auto" w:fill="auto"/>
          </w:tcPr>
          <w:p w14:paraId="05E23E13" w14:textId="77777777" w:rsidR="003438A2" w:rsidRPr="00295C05" w:rsidRDefault="003438A2" w:rsidP="00881E29">
            <w:pPr>
              <w:spacing w:before="60" w:after="60" w:line="240" w:lineRule="auto"/>
              <w:rPr>
                <w:rFonts w:eastAsia="Calibri" w:cs="Times New Roman"/>
                <w:sz w:val="18"/>
                <w:szCs w:val="18"/>
              </w:rPr>
            </w:pPr>
            <w:r w:rsidRPr="00295C05">
              <w:rPr>
                <w:rFonts w:eastAsia="Calibri" w:cs="Times New Roman"/>
                <w:sz w:val="18"/>
                <w:szCs w:val="18"/>
              </w:rPr>
              <w:t>Assessment not required</w:t>
            </w:r>
          </w:p>
        </w:tc>
        <w:tc>
          <w:tcPr>
            <w:tcW w:w="2211" w:type="dxa"/>
            <w:shd w:val="clear" w:color="auto" w:fill="auto"/>
          </w:tcPr>
          <w:p w14:paraId="53740EA1"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auto"/>
          </w:tcPr>
          <w:p w14:paraId="26622B61"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tr w:rsidR="003438A2" w:rsidRPr="00D95799" w14:paraId="39CE5919" w14:textId="77777777" w:rsidTr="00C714B1">
        <w:trPr>
          <w:cantSplit/>
          <w:trHeight w:val="75"/>
          <w:jc w:val="center"/>
        </w:trPr>
        <w:tc>
          <w:tcPr>
            <w:tcW w:w="1985" w:type="dxa"/>
            <w:shd w:val="clear" w:color="auto" w:fill="auto"/>
          </w:tcPr>
          <w:p w14:paraId="32D8B55C" w14:textId="77777777" w:rsidR="003438A2" w:rsidRPr="00295C05" w:rsidRDefault="003438A2" w:rsidP="00881E29">
            <w:pPr>
              <w:spacing w:before="60" w:after="60" w:line="240" w:lineRule="auto"/>
              <w:rPr>
                <w:rFonts w:eastAsia="Calibri" w:cs="Times New Roman"/>
                <w:i/>
                <w:sz w:val="18"/>
                <w:szCs w:val="18"/>
                <w:lang w:val="pt-BR"/>
              </w:rPr>
            </w:pPr>
            <w:r w:rsidRPr="00295C05">
              <w:rPr>
                <w:rFonts w:eastAsia="Calibri" w:cs="Times New Roman"/>
                <w:sz w:val="18"/>
                <w:szCs w:val="18"/>
              </w:rPr>
              <w:t>Dead spur of apple</w:t>
            </w:r>
          </w:p>
        </w:tc>
        <w:tc>
          <w:tcPr>
            <w:tcW w:w="1474" w:type="dxa"/>
            <w:shd w:val="clear" w:color="auto" w:fill="auto"/>
          </w:tcPr>
          <w:p w14:paraId="3EB24671" w14:textId="77777777" w:rsidR="003438A2" w:rsidRPr="00295C05" w:rsidRDefault="003438A2" w:rsidP="00881E29">
            <w:pPr>
              <w:spacing w:before="60" w:after="60" w:line="240" w:lineRule="auto"/>
              <w:rPr>
                <w:rFonts w:eastAsia="Calibri" w:cs="Times New Roman"/>
                <w:sz w:val="18"/>
                <w:szCs w:val="18"/>
                <w:lang w:val="pt-BR"/>
              </w:rPr>
            </w:pPr>
            <w:r w:rsidRPr="00295C05">
              <w:rPr>
                <w:rFonts w:eastAsia="Calibri" w:cs="Times New Roman"/>
                <w:sz w:val="18"/>
                <w:szCs w:val="18"/>
              </w:rPr>
              <w:t xml:space="preserve">Yes. </w:t>
            </w:r>
            <w:r>
              <w:rPr>
                <w:rFonts w:eastAsia="Calibri" w:cs="Times New Roman"/>
                <w:sz w:val="18"/>
                <w:szCs w:val="18"/>
              </w:rPr>
              <w:t xml:space="preserve">Present in ID, OR and WA </w:t>
            </w:r>
            <w:r>
              <w:rPr>
                <w:rFonts w:eastAsia="Calibri" w:cs="Times New Roman"/>
                <w:noProof/>
                <w:sz w:val="18"/>
                <w:szCs w:val="18"/>
              </w:rPr>
              <w:t>(Parish 1990)</w:t>
            </w:r>
          </w:p>
        </w:tc>
        <w:tc>
          <w:tcPr>
            <w:tcW w:w="1474" w:type="dxa"/>
            <w:shd w:val="clear" w:color="auto" w:fill="auto"/>
          </w:tcPr>
          <w:p w14:paraId="5845237B"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 records found</w:t>
            </w:r>
          </w:p>
        </w:tc>
        <w:tc>
          <w:tcPr>
            <w:tcW w:w="2552" w:type="dxa"/>
            <w:shd w:val="clear" w:color="auto" w:fill="auto"/>
          </w:tcPr>
          <w:p w14:paraId="6F6F1BFE" w14:textId="77777777" w:rsidR="003438A2" w:rsidRPr="00D95799" w:rsidRDefault="003438A2" w:rsidP="00881E29">
            <w:pPr>
              <w:spacing w:before="60" w:after="60" w:line="240" w:lineRule="auto"/>
              <w:rPr>
                <w:rFonts w:eastAsia="Calibri" w:cs="Times New Roman"/>
                <w:sz w:val="18"/>
                <w:szCs w:val="18"/>
              </w:rPr>
            </w:pPr>
            <w:r>
              <w:rPr>
                <w:rFonts w:eastAsia="Calibri" w:cs="Times New Roman"/>
                <w:sz w:val="18"/>
                <w:szCs w:val="18"/>
              </w:rPr>
              <w:t>No.</w:t>
            </w:r>
            <w:r w:rsidRPr="00D95799">
              <w:rPr>
                <w:rFonts w:eastAsia="Calibri" w:cs="Times New Roman"/>
                <w:sz w:val="18"/>
                <w:szCs w:val="18"/>
              </w:rPr>
              <w:t xml:space="preserve"> Kills the fruiting spurs in the cent</w:t>
            </w:r>
            <w:r>
              <w:rPr>
                <w:rFonts w:eastAsia="Calibri" w:cs="Times New Roman"/>
                <w:sz w:val="18"/>
                <w:szCs w:val="18"/>
              </w:rPr>
              <w:t>re</w:t>
            </w:r>
            <w:r w:rsidRPr="00D95799">
              <w:rPr>
                <w:rFonts w:eastAsia="Calibri" w:cs="Times New Roman"/>
                <w:sz w:val="18"/>
                <w:szCs w:val="18"/>
              </w:rPr>
              <w:t xml:space="preserve">s of trees </w:t>
            </w:r>
            <w:r>
              <w:rPr>
                <w:rFonts w:eastAsia="Calibri" w:cs="Times New Roman"/>
                <w:noProof/>
                <w:sz w:val="18"/>
                <w:szCs w:val="18"/>
              </w:rPr>
              <w:t>(Parish 1990)</w:t>
            </w:r>
            <w:r w:rsidRPr="00D95799">
              <w:rPr>
                <w:rFonts w:eastAsia="Calibri" w:cs="Times New Roman"/>
                <w:sz w:val="18"/>
                <w:szCs w:val="18"/>
              </w:rPr>
              <w:t xml:space="preserve">. The causal agent has not been identified </w:t>
            </w:r>
            <w:r>
              <w:rPr>
                <w:rFonts w:eastAsia="Calibri" w:cs="Times New Roman"/>
                <w:noProof/>
                <w:sz w:val="18"/>
                <w:szCs w:val="18"/>
              </w:rPr>
              <w:t>(Parish 1990)</w:t>
            </w:r>
            <w:r w:rsidRPr="00D95799">
              <w:rPr>
                <w:rFonts w:eastAsia="Calibri" w:cs="Times New Roman"/>
                <w:sz w:val="18"/>
                <w:szCs w:val="18"/>
              </w:rPr>
              <w:t>, but virus</w:t>
            </w:r>
            <w:r w:rsidRPr="00D95799">
              <w:rPr>
                <w:rFonts w:eastAsia="Calibri" w:cs="Times New Roman"/>
                <w:sz w:val="18"/>
                <w:szCs w:val="18"/>
              </w:rPr>
              <w:noBreakHyphen/>
              <w:t xml:space="preserve">like particles have been associated with the disease </w:t>
            </w:r>
            <w:r>
              <w:rPr>
                <w:rFonts w:eastAsia="Calibri" w:cs="Times New Roman"/>
                <w:noProof/>
                <w:sz w:val="18"/>
                <w:szCs w:val="18"/>
              </w:rPr>
              <w:t>(Parish et al. 1982)</w:t>
            </w:r>
            <w:r>
              <w:rPr>
                <w:rFonts w:eastAsia="Calibri" w:cs="Times New Roman"/>
                <w:sz w:val="18"/>
                <w:szCs w:val="18"/>
              </w:rPr>
              <w:t xml:space="preserve">. </w:t>
            </w:r>
            <w:r w:rsidRPr="00D95799">
              <w:rPr>
                <w:rFonts w:eastAsia="Calibri" w:cs="Times New Roman"/>
                <w:sz w:val="18"/>
                <w:szCs w:val="18"/>
              </w:rPr>
              <w:t xml:space="preserve">No vectors are known. Spread by grafting </w:t>
            </w:r>
            <w:r>
              <w:rPr>
                <w:rFonts w:eastAsia="Calibri" w:cs="Times New Roman"/>
                <w:noProof/>
                <w:sz w:val="18"/>
                <w:szCs w:val="18"/>
              </w:rPr>
              <w:t>(Parish 1990)</w:t>
            </w:r>
          </w:p>
        </w:tc>
        <w:tc>
          <w:tcPr>
            <w:tcW w:w="2381" w:type="dxa"/>
            <w:shd w:val="clear" w:color="auto" w:fill="auto"/>
          </w:tcPr>
          <w:p w14:paraId="1491D836"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2211" w:type="dxa"/>
            <w:shd w:val="clear" w:color="auto" w:fill="auto"/>
          </w:tcPr>
          <w:p w14:paraId="3A2049B0"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Assessment not required</w:t>
            </w:r>
          </w:p>
        </w:tc>
        <w:tc>
          <w:tcPr>
            <w:tcW w:w="1191" w:type="dxa"/>
            <w:shd w:val="clear" w:color="auto" w:fill="auto"/>
          </w:tcPr>
          <w:p w14:paraId="03B7B604" w14:textId="77777777" w:rsidR="003438A2" w:rsidRPr="00D95799" w:rsidRDefault="003438A2" w:rsidP="00881E29">
            <w:pPr>
              <w:spacing w:before="60" w:after="60" w:line="240" w:lineRule="auto"/>
              <w:rPr>
                <w:rFonts w:eastAsia="Calibri" w:cs="Times New Roman"/>
                <w:sz w:val="18"/>
                <w:szCs w:val="18"/>
              </w:rPr>
            </w:pPr>
            <w:r w:rsidRPr="00D95799">
              <w:rPr>
                <w:rFonts w:eastAsia="Calibri" w:cs="Times New Roman"/>
                <w:sz w:val="18"/>
                <w:szCs w:val="18"/>
              </w:rPr>
              <w:t>No</w:t>
            </w:r>
          </w:p>
        </w:tc>
      </w:tr>
      <w:bookmarkEnd w:id="550"/>
    </w:tbl>
    <w:p w14:paraId="3C3CDCEA" w14:textId="77777777" w:rsidR="003438A2" w:rsidRPr="00D95799" w:rsidRDefault="003438A2" w:rsidP="005B1E45">
      <w:pPr>
        <w:sectPr w:rsidR="003438A2" w:rsidRPr="00D95799" w:rsidSect="004B74F1">
          <w:headerReference w:type="even" r:id="rId95"/>
          <w:headerReference w:type="default" r:id="rId96"/>
          <w:footerReference w:type="default" r:id="rId97"/>
          <w:headerReference w:type="first" r:id="rId98"/>
          <w:pgSz w:w="16838" w:h="11906" w:orient="landscape"/>
          <w:pgMar w:top="1418" w:right="1418" w:bottom="1418" w:left="1418" w:header="567" w:footer="283" w:gutter="0"/>
          <w:cols w:space="708"/>
          <w:docGrid w:linePitch="360"/>
        </w:sectPr>
      </w:pPr>
    </w:p>
    <w:p w14:paraId="05F3C5C4" w14:textId="77777777" w:rsidR="003438A2" w:rsidRDefault="003438A2" w:rsidP="00F77E28">
      <w:pPr>
        <w:pStyle w:val="Heading2"/>
        <w:numPr>
          <w:ilvl w:val="0"/>
          <w:numId w:val="0"/>
        </w:numPr>
        <w:sectPr w:rsidR="003438A2">
          <w:headerReference w:type="even" r:id="rId99"/>
          <w:headerReference w:type="default" r:id="rId100"/>
          <w:footerReference w:type="default" r:id="rId101"/>
          <w:headerReference w:type="first" r:id="rId102"/>
          <w:pgSz w:w="11906" w:h="16838"/>
          <w:pgMar w:top="1418" w:right="1418" w:bottom="1418" w:left="1418" w:header="567" w:footer="283" w:gutter="0"/>
          <w:cols w:space="708"/>
          <w:docGrid w:linePitch="360"/>
        </w:sectPr>
      </w:pPr>
      <w:bookmarkStart w:id="554" w:name="_Toc467052050"/>
      <w:bookmarkStart w:id="555" w:name="_Toc531328430"/>
    </w:p>
    <w:p w14:paraId="73F6B1FD" w14:textId="77777777" w:rsidR="003438A2" w:rsidRDefault="003438A2" w:rsidP="00F77E28">
      <w:pPr>
        <w:pStyle w:val="Heading2"/>
        <w:numPr>
          <w:ilvl w:val="0"/>
          <w:numId w:val="0"/>
        </w:numPr>
      </w:pPr>
      <w:bookmarkStart w:id="556" w:name="_Toc112769037"/>
      <w:r>
        <w:t>Appendix B: Issues raised in stakeholder comments</w:t>
      </w:r>
      <w:bookmarkEnd w:id="556"/>
    </w:p>
    <w:p w14:paraId="5A17232E" w14:textId="77777777" w:rsidR="003438A2" w:rsidRPr="00A72133" w:rsidRDefault="003438A2" w:rsidP="00F77E28">
      <w:r w:rsidRPr="00A72133">
        <w:t>This section summarises key technical issues raised by stakeholders during consultation on the draft report, and the department’s responses. Additional information on other issues commonly raised by stakeholders, which may be outside the scope of this technical report, is available on the department’s website.</w:t>
      </w:r>
    </w:p>
    <w:p w14:paraId="44AD87AF" w14:textId="77777777" w:rsidR="003438A2" w:rsidRPr="00085AB8" w:rsidRDefault="003438A2" w:rsidP="00F77E28">
      <w:pPr>
        <w:pBdr>
          <w:top w:val="single" w:sz="4" w:space="1" w:color="auto"/>
          <w:left w:val="single" w:sz="4" w:space="4" w:color="auto"/>
          <w:bottom w:val="single" w:sz="4" w:space="1" w:color="auto"/>
          <w:right w:val="single" w:sz="4" w:space="4" w:color="auto"/>
        </w:pBdr>
        <w:tabs>
          <w:tab w:val="left" w:pos="8080"/>
        </w:tabs>
        <w:spacing w:after="160" w:line="259" w:lineRule="auto"/>
        <w:contextualSpacing/>
        <w:rPr>
          <w:rFonts w:asciiTheme="majorHAnsi" w:hAnsiTheme="majorHAnsi"/>
          <w:b/>
          <w:bCs/>
        </w:rPr>
      </w:pPr>
      <w:r w:rsidRPr="00743CC9">
        <w:rPr>
          <w:rFonts w:asciiTheme="majorHAnsi" w:hAnsiTheme="majorHAnsi"/>
          <w:b/>
          <w:bCs/>
          <w:color w:val="000000" w:themeColor="text1"/>
        </w:rPr>
        <w:t xml:space="preserve">Comment 1: </w:t>
      </w:r>
      <w:r w:rsidRPr="00743CC9">
        <w:rPr>
          <w:rFonts w:asciiTheme="majorHAnsi" w:hAnsiTheme="majorHAnsi"/>
          <w:b/>
          <w:bCs/>
        </w:rPr>
        <w:t xml:space="preserve">Clarification on </w:t>
      </w:r>
      <w:r w:rsidRPr="00743CC9">
        <w:rPr>
          <w:rFonts w:asciiTheme="majorHAnsi" w:hAnsiTheme="majorHAnsi" w:cstheme="minorHAnsi"/>
          <w:b/>
          <w:bCs/>
        </w:rPr>
        <w:t>adoption of existing policies for some pests</w:t>
      </w:r>
    </w:p>
    <w:p w14:paraId="503B1499" w14:textId="77777777" w:rsidR="003438A2" w:rsidRPr="006F6C84" w:rsidRDefault="003438A2" w:rsidP="00F77E28">
      <w:pPr>
        <w:spacing w:after="0" w:line="240" w:lineRule="auto"/>
        <w:rPr>
          <w:rFonts w:asciiTheme="majorHAnsi" w:hAnsiTheme="majorHAnsi" w:cstheme="minorHAnsi"/>
        </w:rPr>
      </w:pPr>
    </w:p>
    <w:p w14:paraId="05920B20" w14:textId="65D38AD5" w:rsidR="003438A2" w:rsidRPr="00A72133" w:rsidRDefault="003438A2" w:rsidP="00F77E28">
      <w:bookmarkStart w:id="557" w:name="_Hlk110091791"/>
      <w:r w:rsidRPr="00A72133">
        <w:t xml:space="preserve">Consistent with the department’s method for pest risk analysis, outlined in Chapter 2, the report adopts existing policy in full or partially as appropriate. This is outlined in Section </w:t>
      </w:r>
      <w:r w:rsidRPr="00A72133">
        <w:fldChar w:fldCharType="begin" w:fldLock="1"/>
      </w:r>
      <w:r w:rsidRPr="00A72133">
        <w:instrText xml:space="preserve"> REF _Ref523924726 \n \h </w:instrText>
      </w:r>
      <w:r w:rsidR="00A72133">
        <w:instrText xml:space="preserve"> \* MERGEFORMAT </w:instrText>
      </w:r>
      <w:r w:rsidRPr="00A72133">
        <w:fldChar w:fldCharType="separate"/>
      </w:r>
      <w:r w:rsidRPr="00A72133">
        <w:t>2.2.6</w:t>
      </w:r>
      <w:r w:rsidRPr="00A72133">
        <w:fldChar w:fldCharType="end"/>
      </w:r>
      <w:r w:rsidRPr="00A72133">
        <w:t xml:space="preserve"> and is summarised below. </w:t>
      </w:r>
    </w:p>
    <w:p w14:paraId="4EC1806C" w14:textId="77777777" w:rsidR="003438A2" w:rsidRPr="00CF29E6" w:rsidRDefault="003438A2" w:rsidP="00F77E28">
      <w:pPr>
        <w:autoSpaceDE w:val="0"/>
        <w:autoSpaceDN w:val="0"/>
        <w:adjustRightInd w:val="0"/>
        <w:spacing w:before="120" w:after="120"/>
      </w:pPr>
      <w:r>
        <w:rPr>
          <w:rFonts w:cs="Roboto Light"/>
          <w:color w:val="000000"/>
          <w:lang w:eastAsia="en-AU"/>
        </w:rPr>
        <w:t>T</w:t>
      </w:r>
      <w:r w:rsidRPr="00CF29E6">
        <w:rPr>
          <w:rFonts w:cs="Roboto Light"/>
          <w:color w:val="000000"/>
          <w:lang w:eastAsia="en-AU"/>
        </w:rPr>
        <w:t xml:space="preserve">he </w:t>
      </w:r>
      <w:r w:rsidRPr="00CF29E6">
        <w:t xml:space="preserve">adoption of previous risk assessment ratings for </w:t>
      </w:r>
      <w:r w:rsidRPr="00CF29E6">
        <w:rPr>
          <w:rFonts w:cs="Roboto Light"/>
          <w:color w:val="000000"/>
          <w:lang w:eastAsia="en-AU"/>
        </w:rPr>
        <w:t xml:space="preserve">the likelihoods of importation and of distribution are considered on a case-by-case basis </w:t>
      </w:r>
      <w:r w:rsidRPr="00C312FF">
        <w:t>by comparing factors relevant to the current commodity/country pathway with those assessed previously</w:t>
      </w:r>
      <w:r w:rsidRPr="00CF29E6">
        <w:t>. After comparing these factors and reviewing the latest literature, previously determined ratings may be adopted if the department considers the likelihoods to be comparable to those assigned in the previous assessment(s), otherwise assessment for the current</w:t>
      </w:r>
      <w:r>
        <w:t>ly assessed</w:t>
      </w:r>
      <w:r w:rsidRPr="00CF29E6">
        <w:t xml:space="preserve"> pathway is required. </w:t>
      </w:r>
      <w:r w:rsidRPr="00CF29E6">
        <w:rPr>
          <w:rFonts w:cstheme="minorHAnsi"/>
          <w:color w:val="000000"/>
          <w:lang w:eastAsia="en-AU"/>
        </w:rPr>
        <w:t>The likelihoods of establishment and of spread of a pest in Australia relate specifically to conditions and events that occur in Australia, and are independent of the import pathway through which the pest enters. Similarly, the estimate of potential consequences associated with a pest is also</w:t>
      </w:r>
      <w:r>
        <w:rPr>
          <w:rFonts w:cstheme="minorHAnsi"/>
          <w:color w:val="000000"/>
          <w:lang w:eastAsia="en-AU"/>
        </w:rPr>
        <w:t xml:space="preserve"> </w:t>
      </w:r>
      <w:r w:rsidRPr="00CF29E6">
        <w:rPr>
          <w:rFonts w:cstheme="minorHAnsi"/>
          <w:color w:val="000000"/>
          <w:lang w:eastAsia="en-AU"/>
        </w:rPr>
        <w:t xml:space="preserve">independent of the </w:t>
      </w:r>
      <w:r w:rsidRPr="00CF29E6">
        <w:rPr>
          <w:rFonts w:cstheme="minorHAnsi"/>
        </w:rPr>
        <w:t>import pathway. Therefore, i</w:t>
      </w:r>
      <w:r w:rsidRPr="00CF29E6">
        <w:t>f there is no new information available that would significantly change the ratings for the likelihoods of establishment and of spread, or the consequences the pests may cause, the ratings assigned in previous assessments for these components are adopted.</w:t>
      </w:r>
    </w:p>
    <w:p w14:paraId="7068991B" w14:textId="77777777" w:rsidR="003438A2" w:rsidRDefault="003438A2" w:rsidP="00F77E28">
      <w:pPr>
        <w:autoSpaceDE w:val="0"/>
        <w:autoSpaceDN w:val="0"/>
        <w:adjustRightInd w:val="0"/>
        <w:spacing w:before="120" w:after="120"/>
        <w:rPr>
          <w:rFonts w:cs="Roboto Light"/>
          <w:color w:val="000000"/>
          <w:lang w:eastAsia="en-AU"/>
        </w:rPr>
      </w:pPr>
      <w:r>
        <w:t>The department has revised individual pest risk assessments in the report to make it clearer how existing policy has been adopted and the justification for adoption of that policy</w:t>
      </w:r>
      <w:r w:rsidRPr="00B13639">
        <w:rPr>
          <w:rFonts w:cs="Roboto Light"/>
          <w:color w:val="000000"/>
          <w:lang w:eastAsia="en-AU"/>
        </w:rPr>
        <w:t>.</w:t>
      </w:r>
      <w:r>
        <w:rPr>
          <w:rFonts w:cs="Roboto Light"/>
          <w:color w:val="000000"/>
          <w:lang w:eastAsia="en-AU"/>
        </w:rPr>
        <w:t xml:space="preserve"> </w:t>
      </w:r>
    </w:p>
    <w:bookmarkEnd w:id="557"/>
    <w:p w14:paraId="77C693E5" w14:textId="77777777" w:rsidR="003438A2" w:rsidRPr="006F6C84" w:rsidRDefault="003438A2" w:rsidP="00F77E28">
      <w:pPr>
        <w:spacing w:after="160" w:line="259" w:lineRule="auto"/>
        <w:contextualSpacing/>
        <w:rPr>
          <w:rFonts w:asciiTheme="majorHAnsi" w:hAnsiTheme="majorHAnsi"/>
        </w:rPr>
      </w:pPr>
    </w:p>
    <w:p w14:paraId="1824B865" w14:textId="77777777" w:rsidR="003438A2" w:rsidRPr="00743CC9" w:rsidRDefault="003438A2" w:rsidP="00F77E28">
      <w:pPr>
        <w:pBdr>
          <w:top w:val="single" w:sz="4" w:space="1" w:color="auto"/>
          <w:left w:val="single" w:sz="4" w:space="4" w:color="auto"/>
          <w:bottom w:val="single" w:sz="4" w:space="1" w:color="auto"/>
          <w:right w:val="single" w:sz="4" w:space="4" w:color="auto"/>
        </w:pBdr>
        <w:tabs>
          <w:tab w:val="left" w:pos="8080"/>
        </w:tabs>
        <w:spacing w:after="160" w:line="259" w:lineRule="auto"/>
        <w:contextualSpacing/>
        <w:rPr>
          <w:rFonts w:asciiTheme="majorHAnsi" w:hAnsiTheme="majorHAnsi"/>
          <w:b/>
          <w:bCs/>
        </w:rPr>
      </w:pPr>
      <w:r w:rsidRPr="00743CC9">
        <w:rPr>
          <w:rFonts w:asciiTheme="majorHAnsi" w:hAnsiTheme="majorHAnsi"/>
          <w:b/>
          <w:bCs/>
          <w:color w:val="000000" w:themeColor="text1"/>
        </w:rPr>
        <w:t xml:space="preserve">Comment 2: </w:t>
      </w:r>
      <w:r w:rsidRPr="00743CC9">
        <w:rPr>
          <w:rFonts w:asciiTheme="majorHAnsi" w:hAnsiTheme="majorHAnsi"/>
          <w:b/>
          <w:bCs/>
        </w:rPr>
        <w:t xml:space="preserve">Concern that the assessment is constrained by the World Trade Organization (WTO) ruling in 2010, which should be re-examined with reference to contemporary science. </w:t>
      </w:r>
    </w:p>
    <w:p w14:paraId="53C2CC70" w14:textId="77777777" w:rsidR="003438A2" w:rsidRPr="00743CC9" w:rsidRDefault="003438A2" w:rsidP="00F77E28">
      <w:pPr>
        <w:pStyle w:val="ListBullet"/>
        <w:numPr>
          <w:ilvl w:val="0"/>
          <w:numId w:val="0"/>
        </w:numPr>
        <w:spacing w:before="0" w:after="0"/>
        <w:rPr>
          <w:rFonts w:asciiTheme="majorHAnsi" w:hAnsiTheme="majorHAnsi" w:cstheme="minorHAnsi"/>
          <w:lang w:eastAsia="en-AU"/>
        </w:rPr>
      </w:pPr>
    </w:p>
    <w:p w14:paraId="7329C50B" w14:textId="77777777" w:rsidR="003438A2" w:rsidRPr="00743CC9" w:rsidRDefault="003438A2" w:rsidP="00F77E28">
      <w:r w:rsidRPr="00743CC9">
        <w:t xml:space="preserve">As a signatory member of the WTO, Australia has an obligation to consider findings from the Panel and Appellate </w:t>
      </w:r>
      <w:r w:rsidRPr="00743CC9">
        <w:rPr>
          <w:lang w:val="en"/>
        </w:rPr>
        <w:t xml:space="preserve">Body reports of the </w:t>
      </w:r>
      <w:r w:rsidRPr="00743CC9">
        <w:t xml:space="preserve">WTO in relation to New Zealand apples (DS367) when undertaking any pest risk assessments relevant to the findings. While Australia has the right to incorporate new information that becomes available in the pest risk assessments, any changes to the WTO findings (DS367) will need to be technically justified. The department has considered all available new evidence since the WTO ruling and has found no new information or scientific evidence to justify refuting the </w:t>
      </w:r>
      <w:r>
        <w:t xml:space="preserve">WTO </w:t>
      </w:r>
      <w:r w:rsidRPr="00743CC9">
        <w:t xml:space="preserve">findings. </w:t>
      </w:r>
    </w:p>
    <w:p w14:paraId="24792777" w14:textId="77777777" w:rsidR="003438A2" w:rsidRDefault="003438A2">
      <w:pPr>
        <w:spacing w:after="0" w:line="240" w:lineRule="auto"/>
        <w:rPr>
          <w:rFonts w:asciiTheme="majorHAnsi" w:hAnsiTheme="majorHAnsi" w:cstheme="minorHAnsi"/>
          <w:b/>
          <w:bCs/>
        </w:rPr>
      </w:pPr>
      <w:r>
        <w:rPr>
          <w:rFonts w:asciiTheme="majorHAnsi" w:hAnsiTheme="majorHAnsi" w:cstheme="minorHAnsi"/>
          <w:b/>
          <w:bCs/>
        </w:rPr>
        <w:br w:type="page"/>
      </w:r>
    </w:p>
    <w:p w14:paraId="56EBCC6E" w14:textId="77777777" w:rsidR="003438A2" w:rsidRPr="003F6503" w:rsidRDefault="003438A2" w:rsidP="00F77E28">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inorHAnsi"/>
          <w:b/>
          <w:bCs/>
        </w:rPr>
      </w:pPr>
      <w:r w:rsidRPr="00743CC9">
        <w:rPr>
          <w:rFonts w:asciiTheme="majorHAnsi" w:hAnsiTheme="majorHAnsi" w:cstheme="minorHAnsi"/>
          <w:b/>
          <w:bCs/>
        </w:rPr>
        <w:lastRenderedPageBreak/>
        <w:t>Comment 3:</w:t>
      </w:r>
      <w:r w:rsidRPr="00743CC9">
        <w:rPr>
          <w:rFonts w:asciiTheme="majorHAnsi" w:hAnsiTheme="majorHAnsi" w:cstheme="minorHAnsi"/>
        </w:rPr>
        <w:t xml:space="preserve"> </w:t>
      </w:r>
      <w:r w:rsidRPr="00743CC9">
        <w:rPr>
          <w:rFonts w:asciiTheme="majorHAnsi" w:hAnsiTheme="majorHAnsi" w:cstheme="minorHAnsi"/>
          <w:b/>
          <w:bCs/>
        </w:rPr>
        <w:t>Pests have unrestricted risk estimates that are too low or too high and require reassessment.</w:t>
      </w:r>
    </w:p>
    <w:p w14:paraId="2F0E8DC0" w14:textId="77777777" w:rsidR="003438A2" w:rsidRPr="006F6C84" w:rsidRDefault="003438A2" w:rsidP="00F77E28">
      <w:pPr>
        <w:spacing w:after="0" w:line="240" w:lineRule="auto"/>
        <w:rPr>
          <w:rFonts w:asciiTheme="majorHAnsi" w:hAnsiTheme="majorHAnsi" w:cstheme="minorHAnsi"/>
        </w:rPr>
      </w:pPr>
    </w:p>
    <w:p w14:paraId="5C60C6E8" w14:textId="77777777" w:rsidR="003438A2" w:rsidRPr="00EE3B88" w:rsidRDefault="003438A2" w:rsidP="00F77E28">
      <w:pPr>
        <w:rPr>
          <w:color w:val="000000" w:themeColor="text1"/>
        </w:rPr>
      </w:pPr>
      <w:r w:rsidRPr="00EE3B88">
        <w:rPr>
          <w:rFonts w:cstheme="minorHAnsi"/>
          <w:bCs/>
          <w:color w:val="000000" w:themeColor="text1"/>
        </w:rPr>
        <w:t xml:space="preserve">Australia’s method for pest risk analysis, outlined in Chapter 2, was followed in all pest risk assessments. </w:t>
      </w:r>
      <w:r w:rsidRPr="00EE3B88">
        <w:rPr>
          <w:rFonts w:cs="Roboto Light"/>
          <w:color w:val="000000"/>
          <w:lang w:eastAsia="en-AU"/>
        </w:rPr>
        <w:t xml:space="preserve">This method for pest risk analysis is consistent with the </w:t>
      </w:r>
      <w:r w:rsidRPr="00EE3B88">
        <w:rPr>
          <w:color w:val="000000" w:themeColor="text1"/>
        </w:rPr>
        <w:t xml:space="preserve">International Standards for Phytosanitary Measures (ISPMs), including ISPM 2: </w:t>
      </w:r>
      <w:r w:rsidRPr="00EE3B88">
        <w:rPr>
          <w:i/>
          <w:iCs/>
          <w:color w:val="000000" w:themeColor="text1"/>
        </w:rPr>
        <w:t>Framework for pest risk analysis</w:t>
      </w:r>
      <w:r w:rsidRPr="00EE3B88">
        <w:rPr>
          <w:color w:val="000000" w:themeColor="text1"/>
        </w:rPr>
        <w:t xml:space="preserve"> and ISPM 11: </w:t>
      </w:r>
      <w:r w:rsidRPr="00EE3B88">
        <w:rPr>
          <w:i/>
          <w:iCs/>
          <w:color w:val="000000" w:themeColor="text1"/>
        </w:rPr>
        <w:t>Pest risk analysis for quarantine pests,</w:t>
      </w:r>
      <w:r w:rsidRPr="00EE3B88">
        <w:rPr>
          <w:color w:val="000000" w:themeColor="text1"/>
        </w:rPr>
        <w:t xml:space="preserve"> and the WTO </w:t>
      </w:r>
      <w:r w:rsidRPr="00EE3B88">
        <w:rPr>
          <w:rFonts w:cstheme="minorHAnsi"/>
          <w:lang w:eastAsia="ja-JP"/>
        </w:rPr>
        <w:t>Agreement on the Application of Sanitary and Phytosanitary Measures (WTO-SPS Agreement)</w:t>
      </w:r>
      <w:r w:rsidRPr="00EE3B88">
        <w:rPr>
          <w:color w:val="000000" w:themeColor="text1"/>
        </w:rPr>
        <w:t>.</w:t>
      </w:r>
    </w:p>
    <w:p w14:paraId="07BB890D" w14:textId="77777777" w:rsidR="003438A2" w:rsidRPr="00EE3B88" w:rsidRDefault="003438A2" w:rsidP="00F77E28">
      <w:r w:rsidRPr="00EE3B88">
        <w:rPr>
          <w:rFonts w:cstheme="minorHAnsi"/>
          <w:color w:val="000000" w:themeColor="text1"/>
        </w:rPr>
        <w:t>It is important to note that b</w:t>
      </w:r>
      <w:r w:rsidRPr="00EE3B88">
        <w:t xml:space="preserve">iosecurity risk of a pest consists of 2 major components: the likelihood of a pest entering, establishing and spreading in Australia for a defined import pathway and the consequences should this happen. These 2 components are combined to give an overall unrestricted risk estimate (URE) of the pest for the defined import pathway. </w:t>
      </w:r>
    </w:p>
    <w:p w14:paraId="4085783C" w14:textId="77777777" w:rsidR="003438A2" w:rsidRPr="00EE3B88" w:rsidRDefault="003438A2" w:rsidP="00F77E28">
      <w:pPr>
        <w:rPr>
          <w:rFonts w:cstheme="minorHAnsi"/>
          <w:color w:val="000000" w:themeColor="text1"/>
        </w:rPr>
      </w:pPr>
      <w:r w:rsidRPr="00EE3B88">
        <w:rPr>
          <w:rFonts w:cstheme="minorHAnsi"/>
          <w:color w:val="000000" w:themeColor="text1"/>
        </w:rPr>
        <w:t xml:space="preserve">In response to criticisms from stakeholders, the department has </w:t>
      </w:r>
      <w:bookmarkStart w:id="558" w:name="_Hlk109244569"/>
      <w:bookmarkStart w:id="559" w:name="_Hlk110090585"/>
      <w:r w:rsidRPr="00EE3B88">
        <w:rPr>
          <w:rFonts w:cstheme="minorHAnsi"/>
          <w:color w:val="000000" w:themeColor="text1"/>
        </w:rPr>
        <w:t xml:space="preserve">reviewed and revised all individual pest risk assessments to clarify the evidence and arguments supporting ratings for likelihoods and consequences </w:t>
      </w:r>
      <w:bookmarkEnd w:id="558"/>
      <w:r w:rsidRPr="00EE3B88">
        <w:rPr>
          <w:rFonts w:cstheme="minorHAnsi"/>
          <w:color w:val="000000" w:themeColor="text1"/>
        </w:rPr>
        <w:t>that were combined to provide unrestricted risk estimates</w:t>
      </w:r>
      <w:bookmarkEnd w:id="559"/>
      <w:r w:rsidRPr="00EE3B88">
        <w:rPr>
          <w:rFonts w:cstheme="minorHAnsi"/>
          <w:color w:val="000000" w:themeColor="text1"/>
        </w:rPr>
        <w:t>. A summary of key changes is as follows:</w:t>
      </w:r>
    </w:p>
    <w:p w14:paraId="5B627EB2" w14:textId="77777777" w:rsidR="003438A2" w:rsidRPr="0054161D" w:rsidRDefault="003438A2" w:rsidP="003438A2">
      <w:pPr>
        <w:pStyle w:val="ListBullet"/>
        <w:numPr>
          <w:ilvl w:val="0"/>
          <w:numId w:val="15"/>
        </w:numPr>
        <w:rPr>
          <w:lang w:eastAsia="en-AU"/>
        </w:rPr>
      </w:pPr>
      <w:r w:rsidRPr="0054161D">
        <w:rPr>
          <w:lang w:eastAsia="en-AU"/>
        </w:rPr>
        <w:t xml:space="preserve">The likelihood of importation for </w:t>
      </w:r>
      <w:r w:rsidRPr="0054161D">
        <w:rPr>
          <w:i/>
          <w:iCs/>
          <w:lang w:eastAsia="en-AU"/>
        </w:rPr>
        <w:t>Cenopalpus pulcher</w:t>
      </w:r>
      <w:r w:rsidRPr="0054161D">
        <w:rPr>
          <w:lang w:eastAsia="en-AU"/>
        </w:rPr>
        <w:t xml:space="preserve"> was specifically assessed for the PNW-USA apple pathway, instead of adopting from the existing policy, and has been reduced from High to Low due to the pest’s limited distribution in the PNW-USA. The URE remains at Low, which does not achieve ALOP and therefore measures are still required.</w:t>
      </w:r>
    </w:p>
    <w:p w14:paraId="6CA357E4" w14:textId="77777777" w:rsidR="003438A2" w:rsidRDefault="003438A2" w:rsidP="003438A2">
      <w:pPr>
        <w:pStyle w:val="ListBullet"/>
        <w:numPr>
          <w:ilvl w:val="0"/>
          <w:numId w:val="15"/>
        </w:numPr>
        <w:rPr>
          <w:lang w:eastAsia="en-AU"/>
        </w:rPr>
      </w:pPr>
      <w:r>
        <w:rPr>
          <w:lang w:eastAsia="en-AU"/>
        </w:rPr>
        <w:t xml:space="preserve">The likelihood of importation for the three </w:t>
      </w:r>
      <w:r w:rsidRPr="00085AB8">
        <w:rPr>
          <w:i/>
          <w:iCs/>
          <w:lang w:eastAsia="en-AU"/>
        </w:rPr>
        <w:t>Tetranychus</w:t>
      </w:r>
      <w:r>
        <w:rPr>
          <w:lang w:eastAsia="en-AU"/>
        </w:rPr>
        <w:t xml:space="preserve"> species was assessed for the PNW-USA apples pathway, instead of adopting from the existing policy, and the rating for the likelihood of importation for</w:t>
      </w:r>
      <w:r w:rsidRPr="00095097">
        <w:rPr>
          <w:i/>
          <w:iCs/>
          <w:lang w:eastAsia="en-AU"/>
        </w:rPr>
        <w:t xml:space="preserve"> </w:t>
      </w:r>
      <w:r w:rsidRPr="00085AB8">
        <w:rPr>
          <w:i/>
          <w:iCs/>
          <w:lang w:eastAsia="en-AU"/>
        </w:rPr>
        <w:t>T. mcdanieli</w:t>
      </w:r>
      <w:r>
        <w:rPr>
          <w:lang w:eastAsia="en-AU"/>
        </w:rPr>
        <w:t xml:space="preserve"> has been increased from Moderate to High to reflect the species’ greater prevalence on apples relative to the other two species. As a result, the URE has increased to Low for </w:t>
      </w:r>
      <w:r w:rsidRPr="003C61E6">
        <w:rPr>
          <w:i/>
          <w:iCs/>
          <w:lang w:eastAsia="en-AU"/>
        </w:rPr>
        <w:t>T. mcdanieli</w:t>
      </w:r>
      <w:r>
        <w:rPr>
          <w:lang w:eastAsia="en-AU"/>
        </w:rPr>
        <w:t xml:space="preserve">, which does not achieve ALOP and therefore measures are required. Ratings for </w:t>
      </w:r>
      <w:r w:rsidRPr="00085AB8">
        <w:rPr>
          <w:i/>
          <w:iCs/>
          <w:lang w:eastAsia="en-AU"/>
        </w:rPr>
        <w:t>T. pacificus</w:t>
      </w:r>
      <w:r>
        <w:rPr>
          <w:lang w:eastAsia="en-AU"/>
        </w:rPr>
        <w:t xml:space="preserve"> and </w:t>
      </w:r>
      <w:r w:rsidRPr="00085AB8">
        <w:rPr>
          <w:i/>
          <w:iCs/>
          <w:lang w:eastAsia="en-AU"/>
        </w:rPr>
        <w:t>T. turkestani</w:t>
      </w:r>
      <w:r>
        <w:rPr>
          <w:lang w:eastAsia="en-AU"/>
        </w:rPr>
        <w:t xml:space="preserve"> have been maintained.</w:t>
      </w:r>
    </w:p>
    <w:p w14:paraId="516FAEE0" w14:textId="77777777" w:rsidR="003438A2" w:rsidRDefault="003438A2" w:rsidP="003438A2">
      <w:pPr>
        <w:pStyle w:val="ListBullet"/>
        <w:numPr>
          <w:ilvl w:val="0"/>
          <w:numId w:val="15"/>
        </w:numPr>
      </w:pPr>
      <w:r>
        <w:rPr>
          <w:rFonts w:cs="Roboto Light"/>
          <w:color w:val="000000"/>
          <w:lang w:eastAsia="en-AU"/>
        </w:rPr>
        <w:t xml:space="preserve">The likelihood of importation for the three </w:t>
      </w:r>
      <w:r w:rsidRPr="00643D71">
        <w:rPr>
          <w:rFonts w:cs="Roboto Light"/>
          <w:i/>
          <w:iCs/>
          <w:color w:val="000000"/>
          <w:lang w:eastAsia="en-AU"/>
        </w:rPr>
        <w:t>Grapholita</w:t>
      </w:r>
      <w:r>
        <w:rPr>
          <w:rFonts w:cs="Roboto Light"/>
          <w:color w:val="000000"/>
          <w:lang w:eastAsia="en-AU"/>
        </w:rPr>
        <w:t xml:space="preserve"> species, G</w:t>
      </w:r>
      <w:r w:rsidRPr="00643D71">
        <w:rPr>
          <w:rFonts w:cs="Roboto Light"/>
          <w:i/>
          <w:iCs/>
          <w:color w:val="000000"/>
          <w:lang w:eastAsia="en-AU"/>
        </w:rPr>
        <w:t>. molesta</w:t>
      </w:r>
      <w:r>
        <w:rPr>
          <w:rFonts w:cs="Roboto Light"/>
          <w:color w:val="000000"/>
          <w:lang w:eastAsia="en-AU"/>
        </w:rPr>
        <w:t xml:space="preserve">, </w:t>
      </w:r>
      <w:r w:rsidRPr="00643D71">
        <w:rPr>
          <w:rFonts w:cs="Roboto Light"/>
          <w:i/>
          <w:iCs/>
          <w:color w:val="000000"/>
          <w:lang w:eastAsia="en-AU"/>
        </w:rPr>
        <w:t>G. prunivora</w:t>
      </w:r>
      <w:r>
        <w:rPr>
          <w:rFonts w:cs="Roboto Light"/>
          <w:color w:val="000000"/>
          <w:lang w:eastAsia="en-AU"/>
        </w:rPr>
        <w:t xml:space="preserve"> and </w:t>
      </w:r>
      <w:r w:rsidRPr="00643D71">
        <w:rPr>
          <w:rFonts w:cs="Roboto Light"/>
          <w:i/>
          <w:iCs/>
          <w:color w:val="000000"/>
          <w:lang w:eastAsia="en-AU"/>
        </w:rPr>
        <w:t>G. packardi</w:t>
      </w:r>
      <w:r>
        <w:rPr>
          <w:rFonts w:cs="Roboto Light"/>
          <w:color w:val="000000"/>
          <w:lang w:eastAsia="en-AU"/>
        </w:rPr>
        <w:t xml:space="preserve">, was assessed for the PNW-USA apples pathway, instead of adopting from the existing policy. The rating for likelihood of importation for </w:t>
      </w:r>
      <w:r w:rsidRPr="00643D71">
        <w:rPr>
          <w:rFonts w:cs="Roboto Light"/>
          <w:i/>
          <w:iCs/>
          <w:color w:val="000000"/>
          <w:lang w:eastAsia="en-AU"/>
        </w:rPr>
        <w:t xml:space="preserve">G. prunivora </w:t>
      </w:r>
      <w:r>
        <w:rPr>
          <w:rFonts w:cs="Roboto Light"/>
          <w:color w:val="000000"/>
          <w:lang w:eastAsia="en-AU"/>
        </w:rPr>
        <w:t xml:space="preserve">and </w:t>
      </w:r>
      <w:r w:rsidRPr="00643D71">
        <w:rPr>
          <w:rFonts w:cs="Roboto Light"/>
          <w:i/>
          <w:iCs/>
          <w:color w:val="000000"/>
          <w:lang w:eastAsia="en-AU"/>
        </w:rPr>
        <w:t xml:space="preserve">G. packardi </w:t>
      </w:r>
      <w:r>
        <w:rPr>
          <w:rFonts w:cs="Roboto Light"/>
          <w:color w:val="000000"/>
          <w:lang w:eastAsia="en-AU"/>
        </w:rPr>
        <w:t>has been decreased from Low to Very Low, reflecting their</w:t>
      </w:r>
      <w:r w:rsidRPr="00314F0F">
        <w:rPr>
          <w:rFonts w:cs="Roboto Light"/>
          <w:color w:val="000000"/>
          <w:lang w:eastAsia="en-AU"/>
        </w:rPr>
        <w:t xml:space="preserve"> rare</w:t>
      </w:r>
      <w:r>
        <w:rPr>
          <w:rFonts w:cs="Roboto Light"/>
          <w:color w:val="000000"/>
          <w:lang w:eastAsia="en-AU"/>
        </w:rPr>
        <w:t>ness</w:t>
      </w:r>
      <w:r w:rsidRPr="00314F0F">
        <w:rPr>
          <w:rFonts w:cs="Roboto Light"/>
          <w:color w:val="000000"/>
          <w:lang w:eastAsia="en-AU"/>
        </w:rPr>
        <w:t xml:space="preserve"> and/or effective control in commercial </w:t>
      </w:r>
      <w:r>
        <w:rPr>
          <w:rFonts w:cs="Roboto Light"/>
          <w:color w:val="000000"/>
          <w:lang w:eastAsia="en-AU"/>
        </w:rPr>
        <w:t xml:space="preserve">PNW-USA apple </w:t>
      </w:r>
      <w:r w:rsidRPr="00314F0F">
        <w:rPr>
          <w:rFonts w:cs="Roboto Light"/>
          <w:color w:val="000000"/>
          <w:lang w:eastAsia="en-AU"/>
        </w:rPr>
        <w:t>orchards</w:t>
      </w:r>
      <w:r>
        <w:rPr>
          <w:rFonts w:cs="Roboto Light"/>
          <w:color w:val="000000"/>
          <w:lang w:eastAsia="en-AU"/>
        </w:rPr>
        <w:t xml:space="preserve">. As a result, the URE has decreased to Very Low for </w:t>
      </w:r>
      <w:r w:rsidRPr="003955F2">
        <w:rPr>
          <w:rFonts w:cs="Roboto Light"/>
          <w:i/>
          <w:iCs/>
          <w:color w:val="000000"/>
          <w:lang w:eastAsia="en-AU"/>
        </w:rPr>
        <w:t>G. prunivora</w:t>
      </w:r>
      <w:r>
        <w:rPr>
          <w:rFonts w:cs="Roboto Light"/>
          <w:color w:val="000000"/>
          <w:lang w:eastAsia="en-AU"/>
        </w:rPr>
        <w:t xml:space="preserve"> and </w:t>
      </w:r>
      <w:r w:rsidRPr="003955F2">
        <w:rPr>
          <w:rFonts w:cs="Roboto Light"/>
          <w:i/>
          <w:iCs/>
          <w:color w:val="000000"/>
          <w:lang w:eastAsia="en-AU"/>
        </w:rPr>
        <w:t>G. packardi</w:t>
      </w:r>
      <w:r>
        <w:rPr>
          <w:rFonts w:cs="Roboto Light"/>
          <w:color w:val="000000"/>
          <w:lang w:eastAsia="en-AU"/>
        </w:rPr>
        <w:t>, which achieves ALOP and therefore no measures are required.</w:t>
      </w:r>
      <w:r w:rsidRPr="0050448E">
        <w:t xml:space="preserve"> </w:t>
      </w:r>
      <w:r w:rsidRPr="002F1249">
        <w:t xml:space="preserve">For </w:t>
      </w:r>
      <w:r w:rsidRPr="000F1588">
        <w:rPr>
          <w:i/>
          <w:iCs/>
        </w:rPr>
        <w:t>G. molesta</w:t>
      </w:r>
      <w:r w:rsidRPr="002F1249">
        <w:t xml:space="preserve">, the URE of </w:t>
      </w:r>
      <w:r>
        <w:t xml:space="preserve">Very </w:t>
      </w:r>
      <w:r w:rsidRPr="002F1249">
        <w:t>Low, which achieve</w:t>
      </w:r>
      <w:r>
        <w:t>s</w:t>
      </w:r>
      <w:r w:rsidRPr="002F1249">
        <w:t xml:space="preserve"> the ALOP for Australia, has not changed.</w:t>
      </w:r>
    </w:p>
    <w:p w14:paraId="4494BAB1" w14:textId="77777777" w:rsidR="003438A2" w:rsidRPr="006F6C84" w:rsidRDefault="003438A2" w:rsidP="00F77E28">
      <w:pPr>
        <w:spacing w:after="160" w:line="259" w:lineRule="auto"/>
        <w:ind w:left="142"/>
        <w:contextualSpacing/>
        <w:rPr>
          <w:rFonts w:asciiTheme="majorHAnsi" w:hAnsiTheme="majorHAnsi"/>
        </w:rPr>
      </w:pPr>
    </w:p>
    <w:p w14:paraId="18CAE0AF" w14:textId="77777777" w:rsidR="003438A2" w:rsidRPr="006F6C84" w:rsidRDefault="003438A2" w:rsidP="00F77E28">
      <w:pPr>
        <w:pBdr>
          <w:top w:val="single" w:sz="4" w:space="1" w:color="auto"/>
          <w:left w:val="single" w:sz="4" w:space="4" w:color="auto"/>
          <w:bottom w:val="single" w:sz="4" w:space="1" w:color="auto"/>
          <w:right w:val="single" w:sz="4" w:space="4" w:color="auto"/>
        </w:pBdr>
        <w:spacing w:after="160" w:line="259" w:lineRule="auto"/>
        <w:contextualSpacing/>
        <w:rPr>
          <w:rFonts w:asciiTheme="majorHAnsi" w:hAnsiTheme="majorHAnsi"/>
        </w:rPr>
      </w:pPr>
      <w:r w:rsidRPr="00743CC9">
        <w:rPr>
          <w:rFonts w:asciiTheme="majorHAnsi" w:hAnsiTheme="majorHAnsi"/>
          <w:b/>
          <w:bCs/>
          <w:color w:val="000000" w:themeColor="text1"/>
        </w:rPr>
        <w:t xml:space="preserve">Comment 4: </w:t>
      </w:r>
      <w:r w:rsidRPr="00743CC9">
        <w:rPr>
          <w:rFonts w:asciiTheme="majorHAnsi" w:hAnsiTheme="majorHAnsi"/>
          <w:b/>
          <w:bCs/>
        </w:rPr>
        <w:t xml:space="preserve">The </w:t>
      </w:r>
      <w:bookmarkStart w:id="560" w:name="_Hlk110179504"/>
      <w:r w:rsidRPr="00743CC9">
        <w:rPr>
          <w:rFonts w:asciiTheme="majorHAnsi" w:hAnsiTheme="majorHAnsi"/>
          <w:b/>
          <w:bCs/>
        </w:rPr>
        <w:t>risk associated with the potential presence of fire blight (</w:t>
      </w:r>
      <w:r w:rsidRPr="00743CC9">
        <w:rPr>
          <w:rFonts w:asciiTheme="majorHAnsi" w:hAnsiTheme="majorHAnsi"/>
          <w:b/>
          <w:bCs/>
          <w:i/>
          <w:iCs/>
        </w:rPr>
        <w:t>E</w:t>
      </w:r>
      <w:r>
        <w:rPr>
          <w:rFonts w:asciiTheme="majorHAnsi" w:hAnsiTheme="majorHAnsi"/>
          <w:b/>
          <w:bCs/>
          <w:i/>
          <w:iCs/>
        </w:rPr>
        <w:t>rwinia</w:t>
      </w:r>
      <w:r w:rsidRPr="00743CC9">
        <w:rPr>
          <w:rFonts w:asciiTheme="majorHAnsi" w:hAnsiTheme="majorHAnsi"/>
          <w:b/>
          <w:bCs/>
          <w:i/>
          <w:iCs/>
        </w:rPr>
        <w:t> amylovora</w:t>
      </w:r>
      <w:r w:rsidRPr="00743CC9">
        <w:rPr>
          <w:rFonts w:asciiTheme="majorHAnsi" w:hAnsiTheme="majorHAnsi" w:cs="Roboto Light"/>
          <w:b/>
          <w:bCs/>
          <w:color w:val="000000"/>
          <w:lang w:eastAsia="en-AU"/>
        </w:rPr>
        <w:t xml:space="preserve">) </w:t>
      </w:r>
      <w:r w:rsidRPr="00743CC9">
        <w:rPr>
          <w:rFonts w:asciiTheme="majorHAnsi" w:hAnsiTheme="majorHAnsi"/>
          <w:b/>
          <w:bCs/>
        </w:rPr>
        <w:t>in the calyx, epiphytically on the fruit, and asymptomatically within the fruit</w:t>
      </w:r>
      <w:bookmarkEnd w:id="560"/>
      <w:r w:rsidRPr="00743CC9">
        <w:rPr>
          <w:rFonts w:asciiTheme="majorHAnsi" w:hAnsiTheme="majorHAnsi"/>
          <w:b/>
          <w:bCs/>
        </w:rPr>
        <w:t>; and potentially being vectored by endemic insects such as Mediterranean fruit fly (</w:t>
      </w:r>
      <w:r w:rsidRPr="00743CC9">
        <w:rPr>
          <w:rFonts w:asciiTheme="majorHAnsi" w:hAnsiTheme="majorHAnsi"/>
          <w:b/>
          <w:bCs/>
          <w:i/>
          <w:iCs/>
        </w:rPr>
        <w:t>Ceratitis capitata</w:t>
      </w:r>
      <w:r w:rsidRPr="00743CC9">
        <w:rPr>
          <w:rFonts w:asciiTheme="majorHAnsi" w:hAnsiTheme="majorHAnsi"/>
          <w:b/>
          <w:bCs/>
        </w:rPr>
        <w:t>) is underestimated and needs to be reviewed.</w:t>
      </w:r>
    </w:p>
    <w:p w14:paraId="3A1A5EE2" w14:textId="77777777" w:rsidR="003438A2" w:rsidRPr="006F6C84" w:rsidRDefault="003438A2" w:rsidP="00F77E28">
      <w:pPr>
        <w:spacing w:after="160" w:line="259" w:lineRule="auto"/>
        <w:ind w:left="426"/>
        <w:contextualSpacing/>
        <w:rPr>
          <w:rFonts w:asciiTheme="majorHAnsi" w:hAnsiTheme="majorHAnsi"/>
        </w:rPr>
      </w:pPr>
    </w:p>
    <w:p w14:paraId="20B6DE9E" w14:textId="77777777" w:rsidR="003438A2" w:rsidRPr="001C685A" w:rsidRDefault="003438A2" w:rsidP="00F77E28">
      <w:pPr>
        <w:autoSpaceDE w:val="0"/>
        <w:autoSpaceDN w:val="0"/>
        <w:adjustRightInd w:val="0"/>
      </w:pPr>
      <w:r w:rsidRPr="001C685A">
        <w:rPr>
          <w:rFonts w:cs="Roboto Light"/>
          <w:color w:val="000000"/>
          <w:lang w:eastAsia="en-AU"/>
        </w:rPr>
        <w:t xml:space="preserve">The department acknowledges that fire blight is one of the Australian apple industry’s high priority pests and it is also a national plant priority pest for Australia. The department has reviewed all relevant literature </w:t>
      </w:r>
      <w:r w:rsidRPr="001C685A">
        <w:t xml:space="preserve">relating to presence of fire blight in the PNW-USA and the presence of fire blight in the calyx, epiphytically on the fruit and asymptomatically within the fruit, </w:t>
      </w:r>
      <w:r w:rsidRPr="001C685A">
        <w:rPr>
          <w:rFonts w:cs="Roboto Light"/>
          <w:color w:val="000000"/>
          <w:lang w:eastAsia="en-AU"/>
        </w:rPr>
        <w:t xml:space="preserve">and revised the risk assessment to ensure that it is rigorous and clearly supported by </w:t>
      </w:r>
      <w:r w:rsidRPr="001C685A">
        <w:rPr>
          <w:rFonts w:cs="Roboto Light"/>
          <w:color w:val="000000"/>
          <w:lang w:eastAsia="en-AU"/>
        </w:rPr>
        <w:lastRenderedPageBreak/>
        <w:t>scientific evidence</w:t>
      </w:r>
      <w:r w:rsidRPr="001C685A">
        <w:rPr>
          <w:i/>
          <w:iCs/>
        </w:rPr>
        <w:t>.</w:t>
      </w:r>
      <w:r w:rsidRPr="001C685A">
        <w:t xml:space="preserve"> </w:t>
      </w:r>
      <w:bookmarkStart w:id="561" w:name="_Hlk110256722"/>
      <w:r w:rsidRPr="001C685A">
        <w:t xml:space="preserve">The risk assessment determined that </w:t>
      </w:r>
      <w:r w:rsidRPr="001C685A">
        <w:rPr>
          <w:i/>
          <w:iCs/>
        </w:rPr>
        <w:t>E. amylovora</w:t>
      </w:r>
      <w:r w:rsidRPr="001C685A">
        <w:t xml:space="preserve"> can be present in host plants in all production areas of the PNW-USA and that all apple varieties can be infected. </w:t>
      </w:r>
      <w:r w:rsidRPr="001C685A">
        <w:rPr>
          <w:rFonts w:cs="Calibri Light"/>
        </w:rPr>
        <w:t xml:space="preserve">However, the number of fruit containing inoculum and the level of inoculum per fruit </w:t>
      </w:r>
      <w:r w:rsidRPr="001C685A">
        <w:t xml:space="preserve">are likely to be low. </w:t>
      </w:r>
      <w:bookmarkEnd w:id="561"/>
      <w:r w:rsidRPr="001C685A">
        <w:t xml:space="preserve">As a result, the risk rating for likelihood of importation was determined as Moderate, which aligns with the rating determined in the New Zealand apple policy. </w:t>
      </w:r>
    </w:p>
    <w:p w14:paraId="22871710" w14:textId="77777777" w:rsidR="003438A2" w:rsidRPr="001C685A" w:rsidRDefault="003438A2" w:rsidP="00F77E28">
      <w:r w:rsidRPr="001C685A">
        <w:t xml:space="preserve">A question was asked about the risk of insects such as fruit flies potentially vectoring and distributing </w:t>
      </w:r>
      <w:r w:rsidRPr="001C685A">
        <w:rPr>
          <w:i/>
          <w:iCs/>
        </w:rPr>
        <w:t xml:space="preserve">E. amylovora </w:t>
      </w:r>
      <w:r w:rsidRPr="001C685A">
        <w:t>present on an infected fruit</w:t>
      </w:r>
      <w:r w:rsidRPr="001C685A">
        <w:rPr>
          <w:i/>
          <w:iCs/>
        </w:rPr>
        <w:t xml:space="preserve"> </w:t>
      </w:r>
      <w:r w:rsidRPr="001C685A">
        <w:t>to new hosts</w:t>
      </w:r>
      <w:r w:rsidRPr="001C685A">
        <w:rPr>
          <w:i/>
          <w:iCs/>
        </w:rPr>
        <w:t xml:space="preserve">. </w:t>
      </w:r>
      <w:r w:rsidRPr="001C685A">
        <w:t xml:space="preserve">The department notes that, under laboratory conditions, freshly cultured </w:t>
      </w:r>
      <w:r w:rsidRPr="001C685A">
        <w:rPr>
          <w:i/>
          <w:iCs/>
        </w:rPr>
        <w:t>E. amylovora</w:t>
      </w:r>
      <w:r w:rsidRPr="001C685A">
        <w:t xml:space="preserve"> from artificially inoculated wounded apples can be transferred by Mediterranean fruit fly (Medfly) to detached pear shoots, pear seedlings and wounded apple fruits </w:t>
      </w:r>
      <w:r w:rsidRPr="001C685A">
        <w:rPr>
          <w:rFonts w:cstheme="minorHAnsi"/>
          <w:noProof/>
        </w:rPr>
        <w:t>(Ordax et al. 2015)</w:t>
      </w:r>
      <w:r w:rsidRPr="001C685A">
        <w:rPr>
          <w:rFonts w:cstheme="minorHAnsi"/>
        </w:rPr>
        <w:t xml:space="preserve">. </w:t>
      </w:r>
      <w:r w:rsidRPr="001C685A">
        <w:t xml:space="preserve">However, transmission of </w:t>
      </w:r>
      <w:r w:rsidRPr="001C685A">
        <w:rPr>
          <w:i/>
        </w:rPr>
        <w:t>E. amylovora</w:t>
      </w:r>
      <w:r w:rsidRPr="001C685A">
        <w:t xml:space="preserve"> by Medfly under natural conditions would be very unlikely to occur. </w:t>
      </w:r>
      <w:bookmarkStart w:id="562" w:name="_Hlk110106262"/>
      <w:r w:rsidRPr="001C685A">
        <w:t xml:space="preserve">Firstly, any bacteria are likely to be within the calyx and present in low numbers. To spread the bacterium, fruit flies would need to enter the calyx of infected apple fruit waste, acquire an infection level of inoculum on their legs, mouthparts or body, and transfer the inoculum to a susceptible host and result in infection. </w:t>
      </w:r>
    </w:p>
    <w:bookmarkEnd w:id="562"/>
    <w:p w14:paraId="338C751D" w14:textId="4B0E428A" w:rsidR="003438A2" w:rsidRPr="001C685A" w:rsidRDefault="003438A2" w:rsidP="00F77E28">
      <w:pPr>
        <w:rPr>
          <w:color w:val="FF0000"/>
        </w:rPr>
      </w:pPr>
      <w:r w:rsidRPr="001C685A">
        <w:t xml:space="preserve">The experiment of </w:t>
      </w:r>
      <w:r w:rsidRPr="001C685A">
        <w:rPr>
          <w:rFonts w:cstheme="minorHAnsi"/>
          <w:noProof/>
        </w:rPr>
        <w:t>Ordax et al. (2015)</w:t>
      </w:r>
      <w:r w:rsidRPr="001C685A">
        <w:t xml:space="preserve"> is more closely aligned to the vector transfer of </w:t>
      </w:r>
      <w:r w:rsidRPr="001C685A">
        <w:rPr>
          <w:i/>
          <w:iCs/>
        </w:rPr>
        <w:t>E. amylovora</w:t>
      </w:r>
      <w:r w:rsidRPr="001C685A">
        <w:t xml:space="preserve"> from oozing cankers on plant material, a method of dispersal that is already well known in the epidemiology of fire blight. As outlined in Section </w:t>
      </w:r>
      <w:r w:rsidRPr="001C685A">
        <w:fldChar w:fldCharType="begin" w:fldLock="1"/>
      </w:r>
      <w:r w:rsidRPr="001C685A">
        <w:instrText xml:space="preserve"> REF _Ref108445345 \n \h </w:instrText>
      </w:r>
      <w:r w:rsidR="001C685A">
        <w:instrText xml:space="preserve"> \* MERGEFORMAT </w:instrText>
      </w:r>
      <w:r w:rsidRPr="001C685A">
        <w:fldChar w:fldCharType="separate"/>
      </w:r>
      <w:r w:rsidRPr="001C685A">
        <w:t>4.15</w:t>
      </w:r>
      <w:r w:rsidRPr="001C685A">
        <w:fldChar w:fldCharType="end"/>
      </w:r>
      <w:r w:rsidRPr="001C685A">
        <w:t xml:space="preserve">, bees are the main agents responsible for spreading inoculum at the time of flowering. </w:t>
      </w:r>
    </w:p>
    <w:p w14:paraId="2E75AB22" w14:textId="77777777" w:rsidR="003438A2" w:rsidRPr="006F6C84" w:rsidRDefault="003438A2" w:rsidP="00F77E28">
      <w:pPr>
        <w:spacing w:after="160" w:line="259" w:lineRule="auto"/>
        <w:ind w:left="426"/>
        <w:contextualSpacing/>
        <w:rPr>
          <w:rFonts w:asciiTheme="majorHAnsi" w:hAnsiTheme="majorHAnsi"/>
        </w:rPr>
      </w:pPr>
    </w:p>
    <w:p w14:paraId="733309C5" w14:textId="77777777" w:rsidR="003438A2" w:rsidRPr="0035350D" w:rsidRDefault="003438A2" w:rsidP="00F77E28">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inorHAnsi"/>
          <w:b/>
          <w:bCs/>
        </w:rPr>
      </w:pPr>
      <w:r w:rsidRPr="00743CC9">
        <w:rPr>
          <w:rFonts w:asciiTheme="majorHAnsi" w:hAnsiTheme="majorHAnsi" w:cstheme="minorHAnsi"/>
          <w:b/>
          <w:bCs/>
        </w:rPr>
        <w:t>Comment 5: Impacts of climate change on pest risk profiles have not been assessed.</w:t>
      </w:r>
    </w:p>
    <w:p w14:paraId="080AC348" w14:textId="77777777" w:rsidR="003438A2" w:rsidRDefault="003438A2" w:rsidP="00F77E28">
      <w:pPr>
        <w:spacing w:after="120" w:line="360" w:lineRule="auto"/>
        <w:rPr>
          <w:rFonts w:asciiTheme="majorHAnsi" w:hAnsiTheme="majorHAnsi" w:cstheme="minorHAnsi"/>
          <w:lang w:val="en-US"/>
        </w:rPr>
      </w:pPr>
    </w:p>
    <w:p w14:paraId="1FF2463F" w14:textId="77777777" w:rsidR="003438A2" w:rsidRDefault="003438A2" w:rsidP="00F77E28">
      <w:pPr>
        <w:rPr>
          <w:lang w:val="en-US"/>
        </w:rPr>
      </w:pPr>
      <w:r>
        <w:rPr>
          <w:lang w:val="en-US"/>
        </w:rPr>
        <w:t>T</w:t>
      </w:r>
      <w:r w:rsidRPr="00005581">
        <w:rPr>
          <w:lang w:val="en-US"/>
        </w:rPr>
        <w:t xml:space="preserve">he potential impacts of climate change are complex to address as there is not sufficient evidence to determine whether the prevalence of </w:t>
      </w:r>
      <w:r>
        <w:rPr>
          <w:lang w:val="en-US"/>
        </w:rPr>
        <w:t>specific pests</w:t>
      </w:r>
      <w:r w:rsidRPr="00005581">
        <w:rPr>
          <w:lang w:val="en-US"/>
        </w:rPr>
        <w:t xml:space="preserve"> has been impacted by climate change or may be in the future. </w:t>
      </w:r>
      <w:r>
        <w:rPr>
          <w:lang w:val="en-US"/>
        </w:rPr>
        <w:t xml:space="preserve">Under climate change, temperatures in the PNW-USA are projected to increase although the magnitude of increases is less certain </w:t>
      </w:r>
      <w:r w:rsidRPr="00615569">
        <w:rPr>
          <w:rFonts w:cstheme="minorHAnsi"/>
          <w:noProof/>
        </w:rPr>
        <w:t>(Dalton, Mote &amp; Snover 2013)</w:t>
      </w:r>
      <w:r>
        <w:rPr>
          <w:rFonts w:cstheme="minorHAnsi"/>
        </w:rPr>
        <w:t xml:space="preserve">. </w:t>
      </w:r>
      <w:r>
        <w:rPr>
          <w:lang w:val="en-US"/>
        </w:rPr>
        <w:t>The effect of climate change on rainfall in the PNW-USA is also less certain in terms of changes in annual rainfall and timing and pattern of rainfall events. Climate variability and extreme weather conditions are also projected to increase due to climate change. Further, changes in temperature and rainfall are not likely to be consistent across a large geographical area such as the PNW-USA.</w:t>
      </w:r>
    </w:p>
    <w:p w14:paraId="2C7DB55B" w14:textId="77777777" w:rsidR="003438A2" w:rsidRDefault="003438A2" w:rsidP="00F77E28">
      <w:pPr>
        <w:rPr>
          <w:lang w:val="en-US"/>
        </w:rPr>
      </w:pPr>
      <w:r>
        <w:rPr>
          <w:lang w:val="en-US"/>
        </w:rPr>
        <w:t xml:space="preserve">As outlined in Section </w:t>
      </w:r>
      <w:r>
        <w:rPr>
          <w:lang w:val="en-US"/>
        </w:rPr>
        <w:fldChar w:fldCharType="begin" w:fldLock="1"/>
      </w:r>
      <w:r>
        <w:rPr>
          <w:lang w:val="en-US"/>
        </w:rPr>
        <w:instrText xml:space="preserve"> REF _Ref46060065 \n \h </w:instrText>
      </w:r>
      <w:r>
        <w:rPr>
          <w:lang w:val="en-US"/>
        </w:rPr>
      </w:r>
      <w:r>
        <w:rPr>
          <w:lang w:val="en-US"/>
        </w:rPr>
        <w:fldChar w:fldCharType="separate"/>
      </w:r>
      <w:r>
        <w:rPr>
          <w:lang w:val="en-US"/>
        </w:rPr>
        <w:t>3.4.3</w:t>
      </w:r>
      <w:r>
        <w:rPr>
          <w:lang w:val="en-US"/>
        </w:rPr>
        <w:fldChar w:fldCharType="end"/>
      </w:r>
      <w:r>
        <w:rPr>
          <w:lang w:val="en-US"/>
        </w:rPr>
        <w:t xml:space="preserve">, PNW-USA apple growers monitor and control pests and diseases to reduce their incidence and damage caused to fruit. For several pests and diseases assessed in the report, monitoring and/or management practices are recommended as part of the risk management measures or mandatory commercial production practices. Monitoring is a key means by </w:t>
      </w:r>
      <w:r w:rsidRPr="00B1736B">
        <w:rPr>
          <w:lang w:val="en-US"/>
        </w:rPr>
        <w:t>which</w:t>
      </w:r>
      <w:r>
        <w:rPr>
          <w:lang w:val="en-US"/>
        </w:rPr>
        <w:t xml:space="preserve"> shifts in the abundance and/or distribution of pests and diseases will be detected in the PNW-USA, whether the cause may be climate change or other factors. </w:t>
      </w:r>
    </w:p>
    <w:p w14:paraId="6DA32F0F" w14:textId="77777777" w:rsidR="003438A2" w:rsidRDefault="003438A2" w:rsidP="00ED5003">
      <w:pPr>
        <w:rPr>
          <w:rFonts w:asciiTheme="majorHAnsi" w:hAnsiTheme="majorHAnsi"/>
          <w:b/>
          <w:bCs/>
          <w:color w:val="000000" w:themeColor="text1"/>
        </w:rPr>
      </w:pPr>
      <w:r w:rsidRPr="00005581">
        <w:rPr>
          <w:lang w:val="en-US"/>
        </w:rPr>
        <w:t xml:space="preserve">Section </w:t>
      </w:r>
      <w:r>
        <w:rPr>
          <w:lang w:val="en-US"/>
        </w:rPr>
        <w:fldChar w:fldCharType="begin" w:fldLock="1"/>
      </w:r>
      <w:r>
        <w:rPr>
          <w:lang w:val="en-US"/>
        </w:rPr>
        <w:instrText xml:space="preserve"> REF _Ref108442685 \n \h </w:instrText>
      </w:r>
      <w:r>
        <w:rPr>
          <w:lang w:val="en-US"/>
        </w:rPr>
      </w:r>
      <w:r>
        <w:rPr>
          <w:lang w:val="en-US"/>
        </w:rPr>
        <w:fldChar w:fldCharType="separate"/>
      </w:r>
      <w:r>
        <w:rPr>
          <w:lang w:val="en-US"/>
        </w:rPr>
        <w:t>5.4.2</w:t>
      </w:r>
      <w:r>
        <w:rPr>
          <w:lang w:val="en-US"/>
        </w:rPr>
        <w:fldChar w:fldCharType="end"/>
      </w:r>
      <w:r w:rsidRPr="00005581">
        <w:rPr>
          <w:lang w:val="en-US"/>
        </w:rPr>
        <w:t xml:space="preserve"> states that the department reserves the right to review the import policy should there be a reason to believe there has been a change in the pest or phytosanitary status in the PNW-USA.</w:t>
      </w:r>
      <w:r>
        <w:rPr>
          <w:lang w:val="en-US"/>
        </w:rPr>
        <w:t xml:space="preserve"> </w:t>
      </w:r>
      <w:r w:rsidRPr="002C553C">
        <w:t xml:space="preserve">USDA-APHIS must inform the </w:t>
      </w:r>
      <w:r>
        <w:t>d</w:t>
      </w:r>
      <w:r w:rsidRPr="002C553C">
        <w:t xml:space="preserve">epartment immediately </w:t>
      </w:r>
      <w:r>
        <w:t>on changes in pest status</w:t>
      </w:r>
      <w:r w:rsidRPr="004B51BE">
        <w:t xml:space="preserve"> </w:t>
      </w:r>
      <w:r w:rsidRPr="00743CC9">
        <w:t>in the PNW-USA</w:t>
      </w:r>
      <w:r>
        <w:t>, including detection of any</w:t>
      </w:r>
      <w:r w:rsidRPr="002C553C">
        <w:t xml:space="preserve"> new pests of apples</w:t>
      </w:r>
      <w:r>
        <w:t>,</w:t>
      </w:r>
      <w:r w:rsidRPr="002C553C">
        <w:t xml:space="preserve"> </w:t>
      </w:r>
      <w:r w:rsidRPr="00743CC9">
        <w:t>that might be of potential biosecurity concern to Australia.</w:t>
      </w:r>
    </w:p>
    <w:p w14:paraId="28514BD6" w14:textId="77777777" w:rsidR="003438A2" w:rsidRPr="00743CC9" w:rsidRDefault="003438A2" w:rsidP="00F77E28">
      <w:pPr>
        <w:pStyle w:val="ListParagraph"/>
        <w:pBdr>
          <w:top w:val="single" w:sz="4" w:space="1" w:color="auto"/>
          <w:left w:val="single" w:sz="4" w:space="4" w:color="auto"/>
          <w:bottom w:val="single" w:sz="4" w:space="1" w:color="auto"/>
          <w:right w:val="single" w:sz="4" w:space="4" w:color="auto"/>
        </w:pBdr>
        <w:spacing w:before="240" w:after="240" w:line="259" w:lineRule="auto"/>
        <w:ind w:left="0"/>
        <w:contextualSpacing/>
        <w:rPr>
          <w:rFonts w:asciiTheme="majorHAnsi" w:hAnsiTheme="majorHAnsi"/>
          <w:color w:val="000000" w:themeColor="text1"/>
        </w:rPr>
      </w:pPr>
      <w:r w:rsidRPr="00743CC9">
        <w:rPr>
          <w:rFonts w:asciiTheme="majorHAnsi" w:hAnsiTheme="majorHAnsi"/>
          <w:b/>
          <w:bCs/>
          <w:color w:val="000000" w:themeColor="text1"/>
        </w:rPr>
        <w:lastRenderedPageBreak/>
        <w:t xml:space="preserve">Comment 6: There is lack of supporting data for risk management measures and a presumption that management measures for </w:t>
      </w:r>
      <w:r w:rsidRPr="007603E6">
        <w:rPr>
          <w:rFonts w:asciiTheme="majorHAnsi" w:hAnsiTheme="majorHAnsi"/>
          <w:b/>
          <w:bCs/>
          <w:i/>
          <w:iCs/>
          <w:color w:val="000000" w:themeColor="text1"/>
        </w:rPr>
        <w:t>D</w:t>
      </w:r>
      <w:r>
        <w:rPr>
          <w:rFonts w:asciiTheme="majorHAnsi" w:hAnsiTheme="majorHAnsi"/>
          <w:b/>
          <w:bCs/>
          <w:i/>
          <w:iCs/>
          <w:color w:val="000000" w:themeColor="text1"/>
        </w:rPr>
        <w:t>asineura</w:t>
      </w:r>
      <w:r w:rsidRPr="007603E6">
        <w:rPr>
          <w:rFonts w:asciiTheme="majorHAnsi" w:hAnsiTheme="majorHAnsi"/>
          <w:b/>
          <w:bCs/>
          <w:i/>
          <w:iCs/>
          <w:color w:val="000000" w:themeColor="text1"/>
        </w:rPr>
        <w:t xml:space="preserve"> mali</w:t>
      </w:r>
      <w:r w:rsidRPr="00775EA2">
        <w:rPr>
          <w:rFonts w:asciiTheme="majorHAnsi" w:hAnsiTheme="majorHAnsi"/>
          <w:b/>
          <w:bCs/>
          <w:color w:val="000000" w:themeColor="text1"/>
        </w:rPr>
        <w:t xml:space="preserve">, </w:t>
      </w:r>
      <w:r w:rsidRPr="007603E6">
        <w:rPr>
          <w:rFonts w:asciiTheme="majorHAnsi" w:hAnsiTheme="majorHAnsi"/>
          <w:b/>
          <w:bCs/>
          <w:i/>
          <w:iCs/>
          <w:color w:val="000000" w:themeColor="text1"/>
        </w:rPr>
        <w:t>E. amylovora</w:t>
      </w:r>
      <w:r w:rsidRPr="00775EA2">
        <w:rPr>
          <w:rFonts w:asciiTheme="majorHAnsi" w:hAnsiTheme="majorHAnsi"/>
          <w:b/>
          <w:bCs/>
          <w:color w:val="000000" w:themeColor="text1"/>
        </w:rPr>
        <w:t xml:space="preserve"> and </w:t>
      </w:r>
      <w:r w:rsidRPr="007603E6">
        <w:rPr>
          <w:rFonts w:asciiTheme="majorHAnsi" w:hAnsiTheme="majorHAnsi"/>
          <w:b/>
          <w:bCs/>
          <w:i/>
          <w:iCs/>
          <w:color w:val="000000" w:themeColor="text1"/>
        </w:rPr>
        <w:t>N</w:t>
      </w:r>
      <w:r>
        <w:rPr>
          <w:rFonts w:asciiTheme="majorHAnsi" w:hAnsiTheme="majorHAnsi"/>
          <w:b/>
          <w:bCs/>
          <w:i/>
          <w:iCs/>
          <w:color w:val="000000" w:themeColor="text1"/>
        </w:rPr>
        <w:t>eonectria</w:t>
      </w:r>
      <w:r w:rsidRPr="007603E6">
        <w:rPr>
          <w:rFonts w:asciiTheme="majorHAnsi" w:hAnsiTheme="majorHAnsi"/>
          <w:b/>
          <w:bCs/>
          <w:i/>
          <w:iCs/>
          <w:color w:val="000000" w:themeColor="text1"/>
        </w:rPr>
        <w:t xml:space="preserve"> ditissima</w:t>
      </w:r>
      <w:r w:rsidRPr="00775EA2">
        <w:rPr>
          <w:rFonts w:asciiTheme="majorHAnsi" w:hAnsiTheme="majorHAnsi"/>
          <w:b/>
          <w:bCs/>
          <w:color w:val="000000" w:themeColor="text1"/>
        </w:rPr>
        <w:t xml:space="preserve"> </w:t>
      </w:r>
      <w:r>
        <w:rPr>
          <w:rFonts w:asciiTheme="majorHAnsi" w:hAnsiTheme="majorHAnsi"/>
          <w:b/>
          <w:bCs/>
          <w:color w:val="000000" w:themeColor="text1"/>
        </w:rPr>
        <w:t xml:space="preserve">on </w:t>
      </w:r>
      <w:r w:rsidRPr="00743CC9">
        <w:rPr>
          <w:rFonts w:asciiTheme="majorHAnsi" w:hAnsiTheme="majorHAnsi"/>
          <w:b/>
          <w:bCs/>
          <w:color w:val="000000" w:themeColor="text1"/>
        </w:rPr>
        <w:t xml:space="preserve">PNW-USA apples will be equally effective as equivalent measures applied to the New Zealand apples pathway. Import </w:t>
      </w:r>
      <w:r w:rsidRPr="00743CC9">
        <w:rPr>
          <w:rFonts w:asciiTheme="majorHAnsi" w:hAnsiTheme="majorHAnsi"/>
          <w:b/>
          <w:bCs/>
        </w:rPr>
        <w:t>requirements for PNW-USA apples appear to be less than for N</w:t>
      </w:r>
      <w:r>
        <w:rPr>
          <w:rFonts w:asciiTheme="majorHAnsi" w:hAnsiTheme="majorHAnsi"/>
          <w:b/>
          <w:bCs/>
        </w:rPr>
        <w:t xml:space="preserve">ew </w:t>
      </w:r>
      <w:r w:rsidRPr="00743CC9">
        <w:rPr>
          <w:rFonts w:asciiTheme="majorHAnsi" w:hAnsiTheme="majorHAnsi"/>
          <w:b/>
          <w:bCs/>
        </w:rPr>
        <w:t>Z</w:t>
      </w:r>
      <w:r>
        <w:rPr>
          <w:rFonts w:asciiTheme="majorHAnsi" w:hAnsiTheme="majorHAnsi"/>
          <w:b/>
          <w:bCs/>
        </w:rPr>
        <w:t>ealand</w:t>
      </w:r>
      <w:r w:rsidRPr="00743CC9">
        <w:rPr>
          <w:rFonts w:asciiTheme="majorHAnsi" w:hAnsiTheme="majorHAnsi"/>
          <w:b/>
          <w:bCs/>
        </w:rPr>
        <w:t xml:space="preserve"> apples and are inconsistent with those imposed by other trading partners. </w:t>
      </w:r>
    </w:p>
    <w:p w14:paraId="51D70E1C" w14:textId="77777777" w:rsidR="003438A2" w:rsidRPr="00743CC9" w:rsidRDefault="003438A2" w:rsidP="00F77E28">
      <w:pPr>
        <w:tabs>
          <w:tab w:val="left" w:pos="8080"/>
        </w:tabs>
        <w:spacing w:after="160" w:line="259" w:lineRule="auto"/>
        <w:ind w:left="426"/>
        <w:contextualSpacing/>
        <w:rPr>
          <w:rFonts w:asciiTheme="majorHAnsi" w:hAnsiTheme="majorHAnsi"/>
        </w:rPr>
      </w:pPr>
    </w:p>
    <w:p w14:paraId="424518F2" w14:textId="77777777" w:rsidR="003438A2" w:rsidRPr="00362245" w:rsidRDefault="003438A2" w:rsidP="00F77E28">
      <w:pPr>
        <w:rPr>
          <w:noProof/>
        </w:rPr>
      </w:pPr>
      <w:r w:rsidRPr="00362245">
        <w:rPr>
          <w:noProof/>
        </w:rPr>
        <w:t xml:space="preserve">When industry commercial production practices are taken into consideration, the UREs for </w:t>
      </w:r>
      <w:r w:rsidRPr="00362245">
        <w:rPr>
          <w:i/>
          <w:iCs/>
          <w:noProof/>
        </w:rPr>
        <w:t>D. mali</w:t>
      </w:r>
      <w:r w:rsidRPr="00362245">
        <w:rPr>
          <w:noProof/>
        </w:rPr>
        <w:t>,</w:t>
      </w:r>
      <w:r w:rsidRPr="00362245">
        <w:t xml:space="preserve"> </w:t>
      </w:r>
      <w:r w:rsidRPr="00362245">
        <w:rPr>
          <w:i/>
          <w:iCs/>
          <w:noProof/>
        </w:rPr>
        <w:t>E. amylovora</w:t>
      </w:r>
      <w:r w:rsidRPr="00362245">
        <w:rPr>
          <w:noProof/>
        </w:rPr>
        <w:t xml:space="preserve"> and </w:t>
      </w:r>
      <w:r w:rsidRPr="00362245">
        <w:rPr>
          <w:i/>
          <w:iCs/>
          <w:noProof/>
        </w:rPr>
        <w:t>N. ditissima</w:t>
      </w:r>
      <w:r w:rsidRPr="00362245">
        <w:rPr>
          <w:noProof/>
        </w:rPr>
        <w:t xml:space="preserve"> on apples from the PNW-USA achieve the ALOP for Australia. Therefore, no additional risk management measures are required for these 3 pests on the apples from PNW-USA pathway. However, existing commercial production practices will be mandatory for management of these pests, as these practices were considered in assessing the UREs of these pests as achieving the ALOP for Australia. </w:t>
      </w:r>
    </w:p>
    <w:p w14:paraId="6FDACE68" w14:textId="77777777" w:rsidR="003438A2" w:rsidRPr="00362245" w:rsidRDefault="003438A2" w:rsidP="00F77E28">
      <w:pPr>
        <w:rPr>
          <w:noProof/>
        </w:rPr>
      </w:pPr>
      <w:bookmarkStart w:id="563" w:name="_Hlk110178680"/>
      <w:r w:rsidRPr="00362245">
        <w:rPr>
          <w:iCs/>
          <w:noProof/>
        </w:rPr>
        <w:t>The existing commercial production practices in place to manage these 3 pests on PNW-USA apples are comparable to those of the integrated pest management program for New Zealand apples. For example, the practices in both New Zealand and PNW-USA for the 3 pests include i</w:t>
      </w:r>
      <w:r w:rsidRPr="00362245">
        <w:rPr>
          <w:iCs/>
        </w:rPr>
        <w:t xml:space="preserve">n-field </w:t>
      </w:r>
      <w:r w:rsidRPr="00362245">
        <w:rPr>
          <w:iCs/>
          <w:szCs w:val="18"/>
        </w:rPr>
        <w:t xml:space="preserve">monitoring and </w:t>
      </w:r>
      <w:r w:rsidRPr="00362245">
        <w:rPr>
          <w:iCs/>
        </w:rPr>
        <w:t>controls, packing house procedures (sorting, grading and packing house sanitation), and pre-export visual inspection and, if found, remedial action. Additionally, for fire blight, temperature risk modelling for disease event prediction</w:t>
      </w:r>
      <w:r w:rsidRPr="00362245">
        <w:t xml:space="preserve"> </w:t>
      </w:r>
      <w:r w:rsidRPr="00362245">
        <w:rPr>
          <w:iCs/>
        </w:rPr>
        <w:t xml:space="preserve">as well as maturity testing to ensure only mature fruit are harvested are used in both New Zealand and PNW-USA. </w:t>
      </w:r>
      <w:r w:rsidRPr="00362245">
        <w:rPr>
          <w:noProof/>
        </w:rPr>
        <w:t>Further, these 3 pests were considered in the New Zealand apple WTO dispute where it was determined that existing commercial orchard and packing house practices, combined with pre-export phytosanitary inspection and certification, manage the risk of these pests on New Zealand apples to achieve the ALOP for Australia. Therefore, any additional risk management measures imposed on either New Zealand apples or PNW-USA apples would be considered</w:t>
      </w:r>
      <w:r w:rsidRPr="00362245">
        <w:t xml:space="preserve"> </w:t>
      </w:r>
      <w:r w:rsidRPr="00362245">
        <w:rPr>
          <w:noProof/>
        </w:rPr>
        <w:t>more trade-restrictive than required. This is not consistent with either the WTO-SPS Agreement</w:t>
      </w:r>
      <w:bookmarkEnd w:id="563"/>
      <w:r w:rsidRPr="00362245">
        <w:rPr>
          <w:noProof/>
        </w:rPr>
        <w:t xml:space="preserve"> or the </w:t>
      </w:r>
      <w:r w:rsidRPr="00362245">
        <w:rPr>
          <w:i/>
          <w:iCs/>
          <w:noProof/>
        </w:rPr>
        <w:t>Biosecurity Act 2015</w:t>
      </w:r>
      <w:r w:rsidRPr="00362245">
        <w:rPr>
          <w:noProof/>
        </w:rPr>
        <w:t xml:space="preserve">. </w:t>
      </w:r>
    </w:p>
    <w:p w14:paraId="382D6B76" w14:textId="77777777" w:rsidR="003438A2" w:rsidRPr="00362245" w:rsidRDefault="003438A2" w:rsidP="00F77E28">
      <w:r w:rsidRPr="00362245">
        <w:rPr>
          <w:rFonts w:cs="Roboto Light"/>
          <w:color w:val="000000"/>
          <w:lang w:eastAsia="en-AU"/>
        </w:rPr>
        <w:t>The department notes that China’s import requirements for US apples (</w:t>
      </w:r>
      <w:hyperlink r:id="rId103" w:history="1">
        <w:r w:rsidRPr="00362245">
          <w:rPr>
            <w:rStyle w:val="Hyperlink"/>
            <w:rFonts w:cs="Roboto Light"/>
            <w:lang w:eastAsia="en-AU"/>
          </w:rPr>
          <w:t>https://www.aqsiq.net/us-apples.htm</w:t>
        </w:r>
      </w:hyperlink>
      <w:r w:rsidRPr="00362245">
        <w:rPr>
          <w:rFonts w:cs="Roboto Light"/>
          <w:color w:val="000000"/>
          <w:lang w:eastAsia="en-AU"/>
        </w:rPr>
        <w:t xml:space="preserve">) list similar orchard and packing house management requirements, including disease forecasting and monitoring, chemical and biological control, and fruit washing. However, there are no specific requirements listed in relation to fruit maturity testing, which may indicate that China has less stringent import requirements for US apples with respect to risk management of fire blight. </w:t>
      </w:r>
      <w:r w:rsidRPr="00362245">
        <w:t xml:space="preserve">The department also notes that Japan’s import requirements for apples from both the USA and New Zealand only require mature symptomless fruit. </w:t>
      </w:r>
    </w:p>
    <w:p w14:paraId="41805520" w14:textId="77777777" w:rsidR="003438A2" w:rsidRPr="00743CC9" w:rsidRDefault="003438A2" w:rsidP="00F77E28">
      <w:pPr>
        <w:pBdr>
          <w:top w:val="single" w:sz="4" w:space="1" w:color="auto"/>
          <w:left w:val="single" w:sz="4" w:space="4" w:color="auto"/>
          <w:bottom w:val="single" w:sz="4" w:space="1" w:color="auto"/>
          <w:right w:val="single" w:sz="4" w:space="4" w:color="auto"/>
        </w:pBdr>
        <w:spacing w:before="240" w:after="240" w:line="259" w:lineRule="auto"/>
        <w:contextualSpacing/>
        <w:rPr>
          <w:rFonts w:asciiTheme="majorHAnsi" w:hAnsiTheme="majorHAnsi"/>
          <w:color w:val="000000" w:themeColor="text1"/>
        </w:rPr>
      </w:pPr>
      <w:r w:rsidRPr="00743CC9">
        <w:rPr>
          <w:rFonts w:asciiTheme="majorHAnsi" w:hAnsiTheme="majorHAnsi"/>
          <w:b/>
          <w:bCs/>
          <w:color w:val="000000" w:themeColor="text1"/>
        </w:rPr>
        <w:t>Comment 7:</w:t>
      </w:r>
      <w:r w:rsidRPr="00743CC9">
        <w:rPr>
          <w:rFonts w:asciiTheme="majorHAnsi" w:hAnsiTheme="majorHAnsi"/>
          <w:color w:val="000000" w:themeColor="text1"/>
        </w:rPr>
        <w:t xml:space="preserve"> </w:t>
      </w:r>
      <w:r w:rsidRPr="00743CC9">
        <w:rPr>
          <w:rFonts w:asciiTheme="majorHAnsi" w:hAnsiTheme="majorHAnsi"/>
          <w:b/>
          <w:bCs/>
          <w:color w:val="000000" w:themeColor="text1"/>
        </w:rPr>
        <w:t>Clarity is needed as to what constitutes a systems approach, and how it will be underpinned with rigorous scientific data showing efficacy.</w:t>
      </w:r>
    </w:p>
    <w:p w14:paraId="734E7C7F" w14:textId="77777777" w:rsidR="003438A2" w:rsidRPr="00743CC9" w:rsidRDefault="003438A2" w:rsidP="00F77E28">
      <w:pPr>
        <w:autoSpaceDE w:val="0"/>
        <w:autoSpaceDN w:val="0"/>
        <w:adjustRightInd w:val="0"/>
        <w:rPr>
          <w:rFonts w:asciiTheme="majorHAnsi" w:hAnsiTheme="majorHAnsi"/>
        </w:rPr>
      </w:pPr>
    </w:p>
    <w:p w14:paraId="250B061B" w14:textId="77777777" w:rsidR="003438A2" w:rsidRPr="009E5F9E" w:rsidRDefault="003438A2" w:rsidP="00F77E28">
      <w:pPr>
        <w:rPr>
          <w:noProof/>
        </w:rPr>
      </w:pPr>
      <w:r w:rsidRPr="009E5F9E">
        <w:rPr>
          <w:noProof/>
        </w:rPr>
        <w:t xml:space="preserve">The systems approach for post-harvest fungal rots comprises orchard monitoring, pre- and post-harvest fungal control, and sourcing only of mature fresh symptomless fruit, coupled with pre-export inspection of fruit after cold storage. Any consignments detected with any of these post-harvest fungi must be withdrawn from export to Australia. This is consistent with the ISPM 14 definition of a systems approach, that is, a pest risk management option that integrates different measures, at least two of which act independently, with a cumulative effect. The framework of </w:t>
      </w:r>
      <w:bookmarkStart w:id="564" w:name="_Hlk111567205"/>
      <w:r w:rsidRPr="009E5F9E">
        <w:rPr>
          <w:rFonts w:cstheme="minorHAnsi"/>
          <w:noProof/>
        </w:rPr>
        <w:lastRenderedPageBreak/>
        <w:t>van Klinken et al. (2020)</w:t>
      </w:r>
      <w:r w:rsidRPr="009E5F9E">
        <w:rPr>
          <w:rFonts w:cstheme="minorHAnsi"/>
        </w:rPr>
        <w:t xml:space="preserve"> </w:t>
      </w:r>
      <w:bookmarkEnd w:id="564"/>
      <w:r w:rsidRPr="009E5F9E">
        <w:rPr>
          <w:noProof/>
        </w:rPr>
        <w:t xml:space="preserve">for assessing systems approaches notes that definitive quantitative evidence supporting the efficacy of measures in a systems approach is rarely available, and that addressing this gap is a priority. The department agrees with this assessment, and is working with researchers to develop guidance on how to demonstrate and assess efficacy of systems approaches overall, and on the basis of their consitiuent measures individually. </w:t>
      </w:r>
    </w:p>
    <w:p w14:paraId="32F5F7ED" w14:textId="77777777" w:rsidR="003438A2" w:rsidRPr="009E5F9E" w:rsidRDefault="003438A2" w:rsidP="00F77E28">
      <w:pPr>
        <w:spacing w:after="0"/>
        <w:rPr>
          <w:noProof/>
        </w:rPr>
      </w:pPr>
      <w:r w:rsidRPr="009E5F9E">
        <w:rPr>
          <w:noProof/>
        </w:rPr>
        <w:t xml:space="preserve">The systems approach recommended in the report is developed and evaluated in a qualitative manner using expert judgement on the effects of individual components in reducing the risk. This approach is consistent with ISPM14, which states: </w:t>
      </w:r>
    </w:p>
    <w:p w14:paraId="213508D4" w14:textId="77777777" w:rsidR="003438A2" w:rsidRPr="009E5F9E" w:rsidRDefault="003438A2" w:rsidP="00F77E28">
      <w:pPr>
        <w:ind w:left="284"/>
        <w:rPr>
          <w:noProof/>
        </w:rPr>
      </w:pPr>
      <w:r w:rsidRPr="009E5F9E">
        <w:rPr>
          <w:noProof/>
        </w:rPr>
        <w:t>‘systems approaches may be developed or evaluated in either a quantitative or qualitative manner or a combination of both. Where suitable data are not available to support a quantitative assessment, a qualitative approach based on expert judgement should be considered more appropriate’.</w:t>
      </w:r>
    </w:p>
    <w:p w14:paraId="0AA07CAB" w14:textId="77777777" w:rsidR="003438A2" w:rsidRPr="009E5F9E" w:rsidRDefault="003438A2" w:rsidP="00F77E28">
      <w:pPr>
        <w:spacing w:after="0"/>
        <w:rPr>
          <w:noProof/>
        </w:rPr>
      </w:pPr>
      <w:r w:rsidRPr="009E5F9E">
        <w:rPr>
          <w:noProof/>
        </w:rPr>
        <w:t xml:space="preserve">In addition, </w:t>
      </w:r>
      <w:bookmarkStart w:id="565" w:name="_Hlk97733450"/>
      <w:r w:rsidRPr="009E5F9E">
        <w:rPr>
          <w:noProof/>
        </w:rPr>
        <w:t xml:space="preserve">prior to trade commencement, the USDA-APHIS must be able to demonstrate to the department that processes and procedures are in place to implement the agreed risk management measures, including the systems approach. If and when trade commences, the efficacy of the systems approach will be monitored and, if necessary, amended as appropriate. </w:t>
      </w:r>
      <w:bookmarkEnd w:id="565"/>
    </w:p>
    <w:p w14:paraId="49DB62D2" w14:textId="77777777" w:rsidR="003438A2" w:rsidRDefault="003438A2" w:rsidP="00F77E28">
      <w:pPr>
        <w:autoSpaceDE w:val="0"/>
        <w:autoSpaceDN w:val="0"/>
        <w:adjustRightInd w:val="0"/>
        <w:rPr>
          <w:rFonts w:asciiTheme="majorHAnsi" w:hAnsiTheme="majorHAnsi"/>
        </w:rPr>
      </w:pPr>
    </w:p>
    <w:p w14:paraId="006ADCB2" w14:textId="77777777" w:rsidR="003438A2" w:rsidRPr="006F6C84" w:rsidRDefault="003438A2" w:rsidP="00F77E28">
      <w:pPr>
        <w:pBdr>
          <w:top w:val="single" w:sz="4" w:space="1" w:color="auto"/>
          <w:left w:val="single" w:sz="4" w:space="4" w:color="auto"/>
          <w:bottom w:val="single" w:sz="4" w:space="1" w:color="auto"/>
          <w:right w:val="single" w:sz="4" w:space="4" w:color="auto"/>
        </w:pBdr>
        <w:spacing w:before="240" w:after="240" w:line="259" w:lineRule="auto"/>
        <w:contextualSpacing/>
        <w:rPr>
          <w:rFonts w:asciiTheme="majorHAnsi" w:hAnsiTheme="majorHAnsi"/>
          <w:color w:val="000000" w:themeColor="text1"/>
        </w:rPr>
      </w:pPr>
      <w:r w:rsidRPr="00282290">
        <w:rPr>
          <w:rFonts w:asciiTheme="majorHAnsi" w:hAnsiTheme="majorHAnsi"/>
          <w:b/>
          <w:bCs/>
          <w:color w:val="000000" w:themeColor="text1"/>
        </w:rPr>
        <w:t>Comment 8: Mitigation measures for codling moth and fruit moths are inconsistent with those that exist for domestic interstate fruit movements into Western Australia.</w:t>
      </w:r>
    </w:p>
    <w:p w14:paraId="1EA15A4E" w14:textId="77777777" w:rsidR="003438A2" w:rsidRDefault="003438A2" w:rsidP="00F77E28">
      <w:pPr>
        <w:autoSpaceDE w:val="0"/>
        <w:autoSpaceDN w:val="0"/>
        <w:adjustRightInd w:val="0"/>
        <w:rPr>
          <w:rFonts w:asciiTheme="majorHAnsi" w:hAnsiTheme="majorHAnsi"/>
        </w:rPr>
      </w:pPr>
    </w:p>
    <w:p w14:paraId="2F121A4F" w14:textId="77777777" w:rsidR="003438A2" w:rsidRPr="0069630F" w:rsidRDefault="003438A2" w:rsidP="00FA3478">
      <w:pPr>
        <w:autoSpaceDE w:val="0"/>
        <w:autoSpaceDN w:val="0"/>
        <w:adjustRightInd w:val="0"/>
      </w:pPr>
      <w:r w:rsidRPr="0069630F">
        <w:t>Specific risk management measures recommended in the report for codling moth (</w:t>
      </w:r>
      <w:r w:rsidRPr="0069630F">
        <w:rPr>
          <w:i/>
          <w:iCs/>
        </w:rPr>
        <w:t>Cydia pomonella</w:t>
      </w:r>
      <w:r w:rsidRPr="0069630F">
        <w:t xml:space="preserve">) on the PNW-USA apple pathway include: pest free areas, pest free places of production or pest free production sites; a systems approach approved by the department; or an appropriate pre-export phytosanitary treatment (such as methyl bromide fumigation) approved by the department. These measures are comparable with existing measures for codling moth on the New Zealand apple and the China apple import pathways, which have resulted in no detections of codling moth on any apple imports since trade commenced for both pathways. </w:t>
      </w:r>
    </w:p>
    <w:p w14:paraId="648821F9" w14:textId="77777777" w:rsidR="003438A2" w:rsidRPr="0069630F" w:rsidRDefault="003438A2" w:rsidP="00FA3478">
      <w:pPr>
        <w:autoSpaceDE w:val="0"/>
        <w:autoSpaceDN w:val="0"/>
        <w:adjustRightInd w:val="0"/>
      </w:pPr>
      <w:r w:rsidRPr="0069630F">
        <w:t>There are no risk management measures recommended for fruit moths (</w:t>
      </w:r>
      <w:r w:rsidRPr="0069630F">
        <w:rPr>
          <w:i/>
          <w:iCs/>
        </w:rPr>
        <w:t>Grapholita</w:t>
      </w:r>
      <w:r w:rsidRPr="0069630F">
        <w:t xml:space="preserve"> spp.) as the unrestricted risk estimate of Very Low for these pests achieves the ALOP for Australia. This outcome is consistent with the unrestricted risk estimate of Very Low for Oriental fruit moth (</w:t>
      </w:r>
      <w:r w:rsidRPr="0069630F">
        <w:rPr>
          <w:i/>
          <w:iCs/>
        </w:rPr>
        <w:t>Grapholita molesta</w:t>
      </w:r>
      <w:r w:rsidRPr="0069630F">
        <w:t>) on the New Zealand and China apple pathways.</w:t>
      </w:r>
    </w:p>
    <w:p w14:paraId="558C4AC6" w14:textId="77777777" w:rsidR="003438A2" w:rsidRPr="0069630F" w:rsidRDefault="003438A2" w:rsidP="00F77E28">
      <w:pPr>
        <w:autoSpaceDE w:val="0"/>
        <w:autoSpaceDN w:val="0"/>
        <w:adjustRightInd w:val="0"/>
      </w:pPr>
      <w:r w:rsidRPr="0069630F">
        <w:t xml:space="preserve">As stated in the report, the Australian Government is responsible for regulating the movement of goods such as plants and plant products into and out of Australia. However, the state and territory governments are responsible for plant health controls within their individual jurisdictions. After imported plant and plant products have been cleared by Australian Government biosecurity officers, they may be subject to interstate movement regulations/arrangements. </w:t>
      </w:r>
    </w:p>
    <w:p w14:paraId="021D7316" w14:textId="77777777" w:rsidR="003438A2" w:rsidRPr="00C10B83" w:rsidRDefault="003438A2" w:rsidP="00F77E28">
      <w:pPr>
        <w:autoSpaceDE w:val="0"/>
        <w:autoSpaceDN w:val="0"/>
        <w:adjustRightInd w:val="0"/>
      </w:pPr>
      <w:r w:rsidRPr="0069630F">
        <w:t xml:space="preserve">The state of Western Australia is free from codling moth and as a result interstate consignments of fresh apple fruit and other recognised fruit hosts of the pest must be fumigated with methyl bromide prior to being permitted entry into the state. Western Australia permits apple imports from both New Zealand and China, subject to a range of conditions. To address the risk of codling moth, apples from New Zealand must be fumigated with methyl bromide before they are </w:t>
      </w:r>
      <w:r w:rsidRPr="00C10B83">
        <w:lastRenderedPageBreak/>
        <w:t xml:space="preserve">allowed entry into Western Australia. Apples from approved provinces of China do not require fumigation prior to entry into Western Australia provided they remain in their original packaging, are accompanied by a phytosanitary certificate, and no pests are detected at the on-arrival inspection in Western Australia. The systems approach for codling moth and other pests carried out in Chinese apple orchards, comprising individual bagging of fruit combined with pest monitoring, trapping and management, is recognised as an effective mitigation measure for codling moth by Western Australia. </w:t>
      </w:r>
    </w:p>
    <w:p w14:paraId="3ED4CEB6" w14:textId="77777777" w:rsidR="003438A2" w:rsidRPr="00C10B83" w:rsidRDefault="003438A2" w:rsidP="00F77E28">
      <w:pPr>
        <w:autoSpaceDE w:val="0"/>
        <w:autoSpaceDN w:val="0"/>
        <w:adjustRightInd w:val="0"/>
      </w:pPr>
      <w:r w:rsidRPr="00C10B83">
        <w:t xml:space="preserve">Western Australia is also free from Oriental fruit moth, but there are no mitigation measures in place for this pest on fresh apple fruit from other states into Western Australia. However, interstate consignments of fresh apricot, nectarine, peach and plum fruit, which are major hosts for Oriental fruit moth, require a mitigation measure such as methyl bromide fumigation or irradiation for this pest before they are permitted entry into Western Australia. Western Australia’s import requirements for apples and other commodities can be found at </w:t>
      </w:r>
      <w:hyperlink r:id="rId104" w:history="1">
        <w:r w:rsidRPr="00C10B83">
          <w:rPr>
            <w:rStyle w:val="Hyperlink"/>
          </w:rPr>
          <w:t>https://www.agric.wa.gov.au/iaquarantine/</w:t>
        </w:r>
      </w:hyperlink>
      <w:r w:rsidRPr="00C10B83">
        <w:t>.</w:t>
      </w:r>
    </w:p>
    <w:p w14:paraId="050AED0C" w14:textId="77777777" w:rsidR="003438A2" w:rsidRPr="001C3B05" w:rsidRDefault="003438A2" w:rsidP="00F77E28">
      <w:pPr>
        <w:autoSpaceDE w:val="0"/>
        <w:autoSpaceDN w:val="0"/>
        <w:adjustRightInd w:val="0"/>
        <w:rPr>
          <w:rFonts w:asciiTheme="majorHAnsi" w:hAnsiTheme="majorHAnsi"/>
        </w:rPr>
      </w:pPr>
    </w:p>
    <w:p w14:paraId="0F349012" w14:textId="77777777" w:rsidR="003438A2" w:rsidRPr="006F6C84" w:rsidRDefault="003438A2" w:rsidP="00F77E28">
      <w:pPr>
        <w:pBdr>
          <w:top w:val="single" w:sz="4" w:space="1" w:color="auto"/>
          <w:left w:val="single" w:sz="4" w:space="4" w:color="auto"/>
          <w:bottom w:val="single" w:sz="4" w:space="1" w:color="auto"/>
          <w:right w:val="single" w:sz="4" w:space="4" w:color="auto"/>
        </w:pBdr>
        <w:spacing w:before="240" w:after="240" w:line="259" w:lineRule="auto"/>
        <w:contextualSpacing/>
        <w:rPr>
          <w:rFonts w:asciiTheme="majorHAnsi" w:hAnsiTheme="majorHAnsi"/>
          <w:color w:val="000000" w:themeColor="text1"/>
        </w:rPr>
      </w:pPr>
      <w:r w:rsidRPr="001C3B05">
        <w:rPr>
          <w:rFonts w:asciiTheme="majorHAnsi" w:hAnsiTheme="majorHAnsi"/>
          <w:b/>
          <w:bCs/>
          <w:color w:val="000000" w:themeColor="text1"/>
        </w:rPr>
        <w:t>Comment 9: It is not clear how inspections will be carried out and how non-compliance will be managed.</w:t>
      </w:r>
    </w:p>
    <w:p w14:paraId="6E87CA8B" w14:textId="77777777" w:rsidR="003438A2" w:rsidRPr="005A4E08" w:rsidRDefault="003438A2" w:rsidP="00F77E28">
      <w:pPr>
        <w:autoSpaceDE w:val="0"/>
        <w:autoSpaceDN w:val="0"/>
        <w:adjustRightInd w:val="0"/>
        <w:rPr>
          <w:rFonts w:asciiTheme="majorHAnsi" w:hAnsiTheme="majorHAnsi"/>
        </w:rPr>
      </w:pPr>
    </w:p>
    <w:p w14:paraId="6A7225B0" w14:textId="77777777" w:rsidR="003438A2" w:rsidRPr="0054161D" w:rsidRDefault="003438A2" w:rsidP="00F77E28">
      <w:r w:rsidRPr="006F6C84">
        <w:rPr>
          <w:noProof/>
        </w:rPr>
        <w:t xml:space="preserve">Section </w:t>
      </w:r>
      <w:r>
        <w:rPr>
          <w:noProof/>
        </w:rPr>
        <w:fldChar w:fldCharType="begin" w:fldLock="1"/>
      </w:r>
      <w:r>
        <w:rPr>
          <w:noProof/>
        </w:rPr>
        <w:instrText xml:space="preserve"> REF _Ref108442720 \n \h </w:instrText>
      </w:r>
      <w:r>
        <w:rPr>
          <w:noProof/>
        </w:rPr>
      </w:r>
      <w:r>
        <w:rPr>
          <w:noProof/>
        </w:rPr>
        <w:fldChar w:fldCharType="separate"/>
      </w:r>
      <w:r>
        <w:rPr>
          <w:noProof/>
        </w:rPr>
        <w:t>5.2.6</w:t>
      </w:r>
      <w:r>
        <w:rPr>
          <w:noProof/>
        </w:rPr>
        <w:fldChar w:fldCharType="end"/>
      </w:r>
      <w:r w:rsidRPr="006F6C84">
        <w:rPr>
          <w:noProof/>
        </w:rPr>
        <w:t xml:space="preserve"> </w:t>
      </w:r>
      <w:r>
        <w:rPr>
          <w:noProof/>
        </w:rPr>
        <w:t xml:space="preserve">of the report </w:t>
      </w:r>
      <w:r w:rsidRPr="006F6C84">
        <w:rPr>
          <w:noProof/>
        </w:rPr>
        <w:t>outlines details of the pre-export phytosanitary inspection and certification carried out by USDA-APHIS. All apple consignments for export to Australia must be inspected, using random samples of 600 fruit per consignment. Any consignment showing signs of infestation or infection will require further examination, and remedial action (removing from export or applying an approved treatment) must be undertaken if a pest is found. Additional information has been added to this section to enhance clarity of the requirements</w:t>
      </w:r>
      <w:r>
        <w:rPr>
          <w:noProof/>
        </w:rPr>
        <w:t>;</w:t>
      </w:r>
      <w:r w:rsidRPr="006F6C84">
        <w:rPr>
          <w:noProof/>
        </w:rPr>
        <w:t xml:space="preserve"> for example, to </w:t>
      </w:r>
      <w:r w:rsidRPr="0054161D">
        <w:rPr>
          <w:noProof/>
        </w:rPr>
        <w:t xml:space="preserve">specify that sampling and inspection methods should provide a 95% level of confidence that infestation of or above 0.5% will be detected. Interception of </w:t>
      </w:r>
      <w:r w:rsidRPr="0054161D">
        <w:t xml:space="preserve">any quarantine pest or regulated article, including trash, must be addressed by remedial action, as appropriate. </w:t>
      </w:r>
    </w:p>
    <w:p w14:paraId="381CC00F" w14:textId="77777777" w:rsidR="003438A2" w:rsidRPr="00CF2459" w:rsidRDefault="003438A2" w:rsidP="00F77E28">
      <w:r w:rsidRPr="00CF2459">
        <w:rPr>
          <w:noProof/>
        </w:rPr>
        <w:t xml:space="preserve">In addition, an on-arrival phytosanitary inspection by the department will be conducted to verify that all consignments of PNW-USA apples comply with Australian import requirements, that consignments are as described on the phytosanitary certificate, and that quarantine integrity has been maintained (Section </w:t>
      </w:r>
      <w:r w:rsidRPr="00CF2459">
        <w:rPr>
          <w:noProof/>
        </w:rPr>
        <w:fldChar w:fldCharType="begin" w:fldLock="1"/>
      </w:r>
      <w:r w:rsidRPr="00CF2459">
        <w:rPr>
          <w:noProof/>
        </w:rPr>
        <w:instrText xml:space="preserve"> REF _Ref108442734 \n \h  \* MERGEFORMAT </w:instrText>
      </w:r>
      <w:r w:rsidRPr="00CF2459">
        <w:rPr>
          <w:noProof/>
        </w:rPr>
      </w:r>
      <w:r w:rsidRPr="00CF2459">
        <w:rPr>
          <w:noProof/>
        </w:rPr>
        <w:fldChar w:fldCharType="separate"/>
      </w:r>
      <w:r w:rsidRPr="00CF2459">
        <w:rPr>
          <w:noProof/>
        </w:rPr>
        <w:t>5.2.7</w:t>
      </w:r>
      <w:r w:rsidRPr="00CF2459">
        <w:rPr>
          <w:noProof/>
        </w:rPr>
        <w:fldChar w:fldCharType="end"/>
      </w:r>
      <w:r w:rsidRPr="00CF2459">
        <w:rPr>
          <w:noProof/>
        </w:rPr>
        <w:t xml:space="preserve">). Section </w:t>
      </w:r>
      <w:r w:rsidRPr="00CF2459">
        <w:rPr>
          <w:noProof/>
        </w:rPr>
        <w:fldChar w:fldCharType="begin" w:fldLock="1"/>
      </w:r>
      <w:r w:rsidRPr="00CF2459">
        <w:rPr>
          <w:noProof/>
        </w:rPr>
        <w:instrText xml:space="preserve"> REF _Ref108442747 \n \h  \* MERGEFORMAT </w:instrText>
      </w:r>
      <w:r w:rsidRPr="00CF2459">
        <w:rPr>
          <w:noProof/>
        </w:rPr>
      </w:r>
      <w:r w:rsidRPr="00CF2459">
        <w:rPr>
          <w:noProof/>
        </w:rPr>
        <w:fldChar w:fldCharType="separate"/>
      </w:r>
      <w:r w:rsidRPr="00CF2459">
        <w:rPr>
          <w:noProof/>
        </w:rPr>
        <w:t>5.2.8</w:t>
      </w:r>
      <w:r w:rsidRPr="00CF2459">
        <w:rPr>
          <w:noProof/>
        </w:rPr>
        <w:fldChar w:fldCharType="end"/>
      </w:r>
      <w:r w:rsidRPr="00CF2459">
        <w:rPr>
          <w:noProof/>
        </w:rPr>
        <w:t xml:space="preserve"> outlines remedial actions for non-compliance, which can include remedial treatment, export or destruction of non-compliant consignments, or suspension of imports should repeated non-compliance occur.</w:t>
      </w:r>
      <w:r w:rsidRPr="00CF2459">
        <w:t xml:space="preserve"> The department reserves the right to suspend imports, either across the entire import pathway or a specific subset of the import pathway that causes non-compliance, such as specific export orchards, packing houses and/or treatment facilities. The USDA-APHIS must conduct an investigation and implement corrective actions. Imports will be allowed to recommence only when the department is satisfied that appropriate corrective action has been undertaken and may involve the department conducting an audit and/or site visit, where required. </w:t>
      </w:r>
    </w:p>
    <w:p w14:paraId="4200C13D" w14:textId="77777777" w:rsidR="003438A2" w:rsidRDefault="003438A2">
      <w:pPr>
        <w:spacing w:after="0" w:line="240" w:lineRule="auto"/>
        <w:rPr>
          <w:rFonts w:asciiTheme="majorHAnsi" w:hAnsiTheme="majorHAnsi"/>
          <w:noProof/>
        </w:rPr>
      </w:pPr>
      <w:r>
        <w:rPr>
          <w:rFonts w:asciiTheme="majorHAnsi" w:hAnsiTheme="majorHAnsi"/>
          <w:noProof/>
        </w:rPr>
        <w:br w:type="page"/>
      </w:r>
    </w:p>
    <w:p w14:paraId="32020712" w14:textId="77777777" w:rsidR="003438A2" w:rsidRPr="006F6C84" w:rsidRDefault="003438A2" w:rsidP="00F77E28">
      <w:pPr>
        <w:pBdr>
          <w:top w:val="single" w:sz="4" w:space="1" w:color="auto"/>
          <w:left w:val="single" w:sz="4" w:space="4" w:color="auto"/>
          <w:bottom w:val="single" w:sz="4" w:space="1" w:color="auto"/>
          <w:right w:val="single" w:sz="4" w:space="4" w:color="auto"/>
        </w:pBdr>
        <w:spacing w:before="240" w:after="240" w:line="259" w:lineRule="auto"/>
        <w:contextualSpacing/>
        <w:rPr>
          <w:rFonts w:asciiTheme="majorHAnsi" w:hAnsiTheme="majorHAnsi"/>
        </w:rPr>
      </w:pPr>
      <w:r w:rsidRPr="001C3B05">
        <w:rPr>
          <w:rFonts w:asciiTheme="majorHAnsi" w:hAnsiTheme="majorHAnsi"/>
          <w:b/>
          <w:bCs/>
          <w:color w:val="000000" w:themeColor="text1"/>
        </w:rPr>
        <w:lastRenderedPageBreak/>
        <w:t xml:space="preserve">Comment 10: </w:t>
      </w:r>
      <w:r w:rsidRPr="001C3B05">
        <w:rPr>
          <w:rFonts w:asciiTheme="majorHAnsi" w:hAnsiTheme="majorHAnsi" w:cs="Roboto Light"/>
          <w:b/>
          <w:bCs/>
          <w:color w:val="000000"/>
        </w:rPr>
        <w:t>Concerns how the risk of asymptomatic infected fruit will be managed at the border.</w:t>
      </w:r>
      <w:r w:rsidRPr="006F6C84">
        <w:rPr>
          <w:rFonts w:asciiTheme="majorHAnsi" w:hAnsiTheme="majorHAnsi" w:cs="Roboto Light"/>
          <w:color w:val="000000"/>
        </w:rPr>
        <w:t xml:space="preserve"> </w:t>
      </w:r>
    </w:p>
    <w:p w14:paraId="12D60313" w14:textId="77777777" w:rsidR="003438A2" w:rsidRPr="006F6C84" w:rsidRDefault="003438A2" w:rsidP="00F77E28">
      <w:pPr>
        <w:rPr>
          <w:rFonts w:asciiTheme="majorHAnsi" w:hAnsiTheme="majorHAnsi"/>
          <w:color w:val="FF0000"/>
        </w:rPr>
      </w:pPr>
    </w:p>
    <w:p w14:paraId="3740B8F5" w14:textId="77777777" w:rsidR="003438A2" w:rsidRPr="00CF2459" w:rsidRDefault="003438A2" w:rsidP="00F77E28">
      <w:pPr>
        <w:autoSpaceDE w:val="0"/>
        <w:autoSpaceDN w:val="0"/>
        <w:adjustRightInd w:val="0"/>
      </w:pPr>
      <w:r w:rsidRPr="00CF2459">
        <w:t xml:space="preserve">The report recognises asymptomatic infection by </w:t>
      </w:r>
      <w:r w:rsidRPr="00CF2459">
        <w:rPr>
          <w:rFonts w:cs="Roboto Light"/>
          <w:color w:val="000000"/>
          <w:lang w:eastAsia="en-AU"/>
        </w:rPr>
        <w:t xml:space="preserve">some pathogens </w:t>
      </w:r>
      <w:r w:rsidRPr="00CF2459">
        <w:t xml:space="preserve">can occur, that asymptomatic fruit could escape detection in the PNW-USA and be packed for export, and that fruit may remain asymptomatic on arrival in Australia. This risk is greatest if apples are exported soon after harvest. This risk would be reduced by periods of cold storage (including during transport which is likely to be via sea freight, taking around 5 weeks), when visible symptoms can develop on infected fruit, such that fruit with symptoms can be detected during packing, pre-export inspection and/or on-arrival inspection processes. It is important to note that pre-export inspection post-cold storage is one of the components of a systems approach for post-harvest pathogens that require risk management measures. Harvested apples in the PNW-USA are usually cold stored prior to export, however the period of cold storage varies from 1 day to more than 11 months. The required minimum period of cold storage will be specified in the operational work plan to be developed by USDA-APHIS. </w:t>
      </w:r>
    </w:p>
    <w:p w14:paraId="49046CAA" w14:textId="77777777" w:rsidR="003438A2" w:rsidRPr="006F6C84" w:rsidRDefault="003438A2" w:rsidP="00F77E28">
      <w:pPr>
        <w:autoSpaceDE w:val="0"/>
        <w:autoSpaceDN w:val="0"/>
        <w:adjustRightInd w:val="0"/>
        <w:rPr>
          <w:rFonts w:asciiTheme="majorHAnsi" w:hAnsiTheme="majorHAnsi"/>
        </w:rPr>
      </w:pPr>
    </w:p>
    <w:p w14:paraId="49C9918B" w14:textId="77777777" w:rsidR="003438A2" w:rsidRPr="001C3B05" w:rsidRDefault="003438A2" w:rsidP="00F77E28">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inorHAnsi"/>
        </w:rPr>
      </w:pPr>
      <w:r w:rsidRPr="001C3B05">
        <w:rPr>
          <w:rFonts w:asciiTheme="majorHAnsi" w:hAnsiTheme="majorHAnsi" w:cstheme="minorHAnsi"/>
          <w:b/>
          <w:bCs/>
        </w:rPr>
        <w:t>Comment 11: Clarify why a number of pests that are absent from Australia were deemed to not warrant further risk analysis.</w:t>
      </w:r>
    </w:p>
    <w:p w14:paraId="54E16EE4" w14:textId="77777777" w:rsidR="003438A2" w:rsidRPr="001C3B05" w:rsidRDefault="003438A2" w:rsidP="00F77E28">
      <w:pPr>
        <w:spacing w:after="0" w:line="240" w:lineRule="auto"/>
        <w:rPr>
          <w:rFonts w:asciiTheme="majorHAnsi" w:hAnsiTheme="majorHAnsi" w:cstheme="minorHAnsi"/>
        </w:rPr>
      </w:pPr>
    </w:p>
    <w:p w14:paraId="67680228" w14:textId="77777777" w:rsidR="003438A2" w:rsidRPr="00CF2459" w:rsidRDefault="003438A2" w:rsidP="00F77E28">
      <w:pPr>
        <w:autoSpaceDE w:val="0"/>
        <w:autoSpaceDN w:val="0"/>
        <w:adjustRightInd w:val="0"/>
        <w:rPr>
          <w:rFonts w:cstheme="minorHAnsi"/>
          <w:b/>
          <w:bCs/>
        </w:rPr>
      </w:pPr>
      <w:r w:rsidRPr="00CF2459">
        <w:rPr>
          <w:rFonts w:cstheme="minorHAnsi"/>
        </w:rPr>
        <w:t xml:space="preserve">The risk analysis has been conducted in accordance with Australia’s method for pest risk analysis (Chapter 2), which is consistent with </w:t>
      </w:r>
      <w:r w:rsidRPr="00CF2459">
        <w:rPr>
          <w:color w:val="000000" w:themeColor="text1"/>
        </w:rPr>
        <w:t xml:space="preserve">ISPM 2: </w:t>
      </w:r>
      <w:r w:rsidRPr="00CF2459">
        <w:rPr>
          <w:i/>
          <w:iCs/>
          <w:color w:val="000000" w:themeColor="text1"/>
        </w:rPr>
        <w:t>Framework for pest risk analysis</w:t>
      </w:r>
      <w:r w:rsidRPr="00CF2459">
        <w:rPr>
          <w:color w:val="000000" w:themeColor="text1"/>
        </w:rPr>
        <w:t xml:space="preserve"> and </w:t>
      </w:r>
      <w:r w:rsidRPr="00CF2459">
        <w:rPr>
          <w:rFonts w:cstheme="minorHAnsi"/>
        </w:rPr>
        <w:t>ISPM 11:</w:t>
      </w:r>
      <w:r w:rsidRPr="00CF2459">
        <w:rPr>
          <w:rFonts w:cstheme="minorHAnsi"/>
          <w:i/>
          <w:iCs/>
        </w:rPr>
        <w:t xml:space="preserve"> Pest risk analysis for quarantine pests</w:t>
      </w:r>
      <w:r w:rsidRPr="00CF2459">
        <w:rPr>
          <w:rFonts w:cstheme="minorHAnsi"/>
        </w:rPr>
        <w:t xml:space="preserve">. A key step in pest risk analysis is pest categorisation, which can be found at Appendix A in the report. </w:t>
      </w:r>
    </w:p>
    <w:p w14:paraId="1C27B6DD" w14:textId="77777777" w:rsidR="003438A2" w:rsidRDefault="003438A2" w:rsidP="00F77E28">
      <w:pPr>
        <w:autoSpaceDE w:val="0"/>
        <w:autoSpaceDN w:val="0"/>
        <w:adjustRightInd w:val="0"/>
        <w:rPr>
          <w:rFonts w:asciiTheme="majorHAnsi" w:hAnsiTheme="majorHAnsi" w:cstheme="minorHAnsi"/>
        </w:rPr>
      </w:pPr>
      <w:r>
        <w:t>ISPM 11 states that ‘</w:t>
      </w:r>
      <w:r>
        <w:rPr>
          <w:i/>
          <w:iCs/>
        </w:rPr>
        <w:t>The opportunity to eliminate an organism or organisms from consideration before in-depth examination is undertaken is a valuable characteristic of the categorisation process. An advantage of pest categorisation is that it can be done with relatively little information; however, information should be sufficient to adequately carry out the categorisation</w:t>
      </w:r>
      <w:r>
        <w:t>’. In line with ISPM 11, the department utilises the pest categorisation step to screen out some pests from further consideration where appropriate for the PNW-USA apple pathway. For each pest that is not present in Australia, or is present but under official control, the department assesses its potential to enter Australia on the PNW-USA apple pathway and, if having potential to enter, its potential to establish and spread in Australia. For a pest to cause economic consequences, the pest will need to enter, establish and spread in the PRA area. Therefore, pests that do not have potential to enter on the PNW-USA apple pathway or have potential to enter but do not have potential to establish and spread in Australia, are not considered further. The potential for economic consequences is then assessed for pests that have potential to enter, establish and spread in Australia. Further pest risk assessments are then undertaken for pests that have potential to cause economic consequences, i.e., pests that meet the criteria for a quarantine pest.</w:t>
      </w:r>
    </w:p>
    <w:p w14:paraId="3A9EF934" w14:textId="7DB97C9E" w:rsidR="003438A2" w:rsidRPr="00CF2459" w:rsidRDefault="003438A2" w:rsidP="00F77E28">
      <w:pPr>
        <w:autoSpaceDE w:val="0"/>
        <w:autoSpaceDN w:val="0"/>
        <w:adjustRightInd w:val="0"/>
      </w:pPr>
      <w:r w:rsidRPr="00CF2459">
        <w:rPr>
          <w:rFonts w:cstheme="minorHAnsi"/>
        </w:rPr>
        <w:t xml:space="preserve">It is important to note that a number of the pests assessed only at the pest categorisation stage remain quarantine pests for Australia. Remedial action will be undertaken if these quarantine pests are detected on arrival. </w:t>
      </w:r>
      <w:r w:rsidRPr="00CF2459">
        <w:rPr>
          <w:rFonts w:cstheme="minorHAnsi"/>
          <w:lang w:eastAsia="en-AU"/>
        </w:rPr>
        <w:t>As outlined in</w:t>
      </w:r>
      <w:r w:rsidRPr="00CF2459">
        <w:t xml:space="preserve"> Section </w:t>
      </w:r>
      <w:r w:rsidRPr="00CF2459">
        <w:fldChar w:fldCharType="begin" w:fldLock="1"/>
      </w:r>
      <w:r w:rsidRPr="00CF2459">
        <w:instrText xml:space="preserve"> REF _Ref108442780 \n \h </w:instrText>
      </w:r>
      <w:r w:rsidR="00CF2459">
        <w:instrText xml:space="preserve"> \* MERGEFORMAT </w:instrText>
      </w:r>
      <w:r w:rsidRPr="00CF2459">
        <w:fldChar w:fldCharType="separate"/>
      </w:r>
      <w:r w:rsidRPr="00CF2459">
        <w:t>5.3</w:t>
      </w:r>
      <w:r w:rsidRPr="00CF2459">
        <w:fldChar w:fldCharType="end"/>
      </w:r>
      <w:r w:rsidRPr="00CF2459">
        <w:t>, if a pest species categorised as not likely to be on the import pathway is detected at on-arrival inspection, it will require re-assessment and appropriate management.</w:t>
      </w:r>
    </w:p>
    <w:p w14:paraId="7FCB0D37" w14:textId="77777777" w:rsidR="003438A2" w:rsidRPr="006F6C84" w:rsidRDefault="003438A2" w:rsidP="00F77E28">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stheme="minorHAnsi"/>
        </w:rPr>
      </w:pPr>
      <w:r w:rsidRPr="001C3B05">
        <w:rPr>
          <w:rFonts w:asciiTheme="majorHAnsi" w:hAnsiTheme="majorHAnsi" w:cstheme="minorHAnsi"/>
          <w:b/>
          <w:bCs/>
        </w:rPr>
        <w:lastRenderedPageBreak/>
        <w:t xml:space="preserve">Comment 12: </w:t>
      </w:r>
      <w:r w:rsidRPr="001C3B05">
        <w:rPr>
          <w:rFonts w:asciiTheme="majorHAnsi" w:hAnsiTheme="majorHAnsi" w:cstheme="minorHAnsi"/>
          <w:b/>
          <w:bCs/>
          <w:color w:val="000000"/>
          <w:lang w:eastAsia="en-AU"/>
        </w:rPr>
        <w:t xml:space="preserve">Clarify how the risk of Brown Marmorated Stink Bug </w:t>
      </w:r>
      <w:r w:rsidRPr="001C3B05">
        <w:rPr>
          <w:rFonts w:asciiTheme="majorHAnsi" w:hAnsiTheme="majorHAnsi" w:cstheme="minorHAnsi"/>
          <w:b/>
          <w:bCs/>
        </w:rPr>
        <w:t>will be addressed.</w:t>
      </w:r>
      <w:r w:rsidRPr="006F6C84">
        <w:rPr>
          <w:rFonts w:asciiTheme="majorHAnsi" w:hAnsiTheme="majorHAnsi" w:cstheme="minorHAnsi"/>
        </w:rPr>
        <w:t xml:space="preserve"> </w:t>
      </w:r>
    </w:p>
    <w:p w14:paraId="2BC6E234" w14:textId="77777777" w:rsidR="003438A2" w:rsidRPr="006F6C84" w:rsidRDefault="003438A2" w:rsidP="00F77E28">
      <w:pPr>
        <w:spacing w:after="0" w:line="240" w:lineRule="auto"/>
        <w:rPr>
          <w:rFonts w:asciiTheme="majorHAnsi" w:hAnsiTheme="majorHAnsi" w:cstheme="minorHAnsi"/>
          <w:color w:val="000000"/>
          <w:lang w:eastAsia="en-AU"/>
        </w:rPr>
      </w:pPr>
    </w:p>
    <w:p w14:paraId="07E0BC09" w14:textId="77777777" w:rsidR="003438A2" w:rsidRDefault="003438A2" w:rsidP="00F77E28">
      <w:pPr>
        <w:rPr>
          <w:lang w:eastAsia="en-AU"/>
        </w:rPr>
      </w:pPr>
      <w:r w:rsidRPr="006F6C84">
        <w:rPr>
          <w:lang w:eastAsia="en-AU"/>
        </w:rPr>
        <w:t>Brown Marmorated Stink Bug (BM</w:t>
      </w:r>
      <w:r>
        <w:rPr>
          <w:lang w:eastAsia="en-AU"/>
        </w:rPr>
        <w:t>S</w:t>
      </w:r>
      <w:r w:rsidRPr="006F6C84">
        <w:rPr>
          <w:lang w:eastAsia="en-AU"/>
        </w:rPr>
        <w:t xml:space="preserve">B) </w:t>
      </w:r>
      <w:r w:rsidRPr="00093D61">
        <w:rPr>
          <w:lang w:eastAsia="en-AU"/>
        </w:rPr>
        <w:t xml:space="preserve">is an </w:t>
      </w:r>
      <w:r>
        <w:rPr>
          <w:lang w:eastAsia="en-AU"/>
        </w:rPr>
        <w:t>important</w:t>
      </w:r>
      <w:r w:rsidRPr="00093D61">
        <w:rPr>
          <w:lang w:eastAsia="en-AU"/>
        </w:rPr>
        <w:t xml:space="preserve"> quarantine pest for Australia</w:t>
      </w:r>
      <w:r>
        <w:rPr>
          <w:lang w:eastAsia="en-AU"/>
        </w:rPr>
        <w:t xml:space="preserve"> that hitchhikes on a range of imported goods. Brown marmorated stink bug </w:t>
      </w:r>
      <w:r w:rsidRPr="006F6C84">
        <w:t>was considered in the pest categorisation (Appendix A)</w:t>
      </w:r>
      <w:r>
        <w:t xml:space="preserve"> where it was determined that, while BMSB occurs in the PNW-USA and feeds on apple fruit, the pest does not have potential to be on the pathway because eggs are laid on the undersides of leaves and adults and nymphs would not remain on harvested fruit. Although the result of the pest categorisation means that BMSB was not assessed further, the report does provide further information at </w:t>
      </w:r>
      <w:r>
        <w:rPr>
          <w:lang w:eastAsia="en-AU"/>
        </w:rPr>
        <w:t>S</w:t>
      </w:r>
      <w:r w:rsidRPr="006F6C84">
        <w:rPr>
          <w:lang w:eastAsia="en-AU"/>
        </w:rPr>
        <w:t xml:space="preserve">ection </w:t>
      </w:r>
      <w:r>
        <w:rPr>
          <w:lang w:eastAsia="en-AU"/>
        </w:rPr>
        <w:fldChar w:fldCharType="begin" w:fldLock="1"/>
      </w:r>
      <w:r>
        <w:rPr>
          <w:lang w:eastAsia="en-AU"/>
        </w:rPr>
        <w:instrText xml:space="preserve"> REF _Ref108442811 \n \h </w:instrText>
      </w:r>
      <w:r>
        <w:rPr>
          <w:lang w:eastAsia="en-AU"/>
        </w:rPr>
      </w:r>
      <w:r>
        <w:rPr>
          <w:lang w:eastAsia="en-AU"/>
        </w:rPr>
        <w:fldChar w:fldCharType="separate"/>
      </w:r>
      <w:r>
        <w:rPr>
          <w:lang w:eastAsia="en-AU"/>
        </w:rPr>
        <w:t>1.2.4</w:t>
      </w:r>
      <w:r>
        <w:rPr>
          <w:lang w:eastAsia="en-AU"/>
        </w:rPr>
        <w:fldChar w:fldCharType="end"/>
      </w:r>
      <w:r w:rsidRPr="006F6C84">
        <w:rPr>
          <w:lang w:eastAsia="en-AU"/>
        </w:rPr>
        <w:t xml:space="preserve"> </w:t>
      </w:r>
      <w:r>
        <w:rPr>
          <w:lang w:eastAsia="en-AU"/>
        </w:rPr>
        <w:t xml:space="preserve">on how risks of </w:t>
      </w:r>
      <w:r w:rsidRPr="006F6C84">
        <w:rPr>
          <w:lang w:eastAsia="en-AU"/>
        </w:rPr>
        <w:t>contaminating pests</w:t>
      </w:r>
      <w:r>
        <w:rPr>
          <w:lang w:eastAsia="en-AU"/>
        </w:rPr>
        <w:t xml:space="preserve"> such as hitchhikers will be addressed</w:t>
      </w:r>
      <w:r w:rsidRPr="006F6C84">
        <w:rPr>
          <w:lang w:eastAsia="en-AU"/>
        </w:rPr>
        <w:t>.</w:t>
      </w:r>
      <w:r>
        <w:rPr>
          <w:lang w:eastAsia="en-AU"/>
        </w:rPr>
        <w:t xml:space="preserve"> </w:t>
      </w:r>
    </w:p>
    <w:p w14:paraId="539A6243" w14:textId="77777777" w:rsidR="003438A2" w:rsidRPr="00D62892" w:rsidRDefault="003438A2" w:rsidP="00F77E28">
      <w:pPr>
        <w:rPr>
          <w:rFonts w:cs="Roboto Light"/>
          <w:lang w:eastAsia="en-AU"/>
        </w:rPr>
      </w:pPr>
      <w:r>
        <w:rPr>
          <w:lang w:eastAsia="en-AU"/>
        </w:rPr>
        <w:t>S</w:t>
      </w:r>
      <w:r w:rsidRPr="006F6C84">
        <w:rPr>
          <w:lang w:eastAsia="en-AU"/>
        </w:rPr>
        <w:t xml:space="preserve">ection </w:t>
      </w:r>
      <w:r>
        <w:rPr>
          <w:lang w:eastAsia="en-AU"/>
        </w:rPr>
        <w:fldChar w:fldCharType="begin" w:fldLock="1"/>
      </w:r>
      <w:r>
        <w:rPr>
          <w:lang w:eastAsia="en-AU"/>
        </w:rPr>
        <w:instrText xml:space="preserve"> REF _Ref108442842 \n \h </w:instrText>
      </w:r>
      <w:r>
        <w:rPr>
          <w:lang w:eastAsia="en-AU"/>
        </w:rPr>
      </w:r>
      <w:r>
        <w:rPr>
          <w:lang w:eastAsia="en-AU"/>
        </w:rPr>
        <w:fldChar w:fldCharType="separate"/>
      </w:r>
      <w:r>
        <w:rPr>
          <w:lang w:eastAsia="en-AU"/>
        </w:rPr>
        <w:t>5.2</w:t>
      </w:r>
      <w:r>
        <w:rPr>
          <w:lang w:eastAsia="en-AU"/>
        </w:rPr>
        <w:fldChar w:fldCharType="end"/>
      </w:r>
      <w:r w:rsidRPr="006F6C84">
        <w:rPr>
          <w:i/>
          <w:iCs/>
          <w:lang w:eastAsia="en-AU"/>
        </w:rPr>
        <w:t xml:space="preserve"> </w:t>
      </w:r>
      <w:r w:rsidRPr="006F6C84">
        <w:rPr>
          <w:lang w:eastAsia="en-AU"/>
        </w:rPr>
        <w:t>provide</w:t>
      </w:r>
      <w:r>
        <w:rPr>
          <w:lang w:eastAsia="en-AU"/>
        </w:rPr>
        <w:t>s</w:t>
      </w:r>
      <w:r w:rsidRPr="006F6C84">
        <w:rPr>
          <w:lang w:eastAsia="en-AU"/>
        </w:rPr>
        <w:t xml:space="preserve"> details on how fruit destined for Australia will be packaged and segregated and the conditions for storage and transport</w:t>
      </w:r>
      <w:r>
        <w:rPr>
          <w:lang w:eastAsia="en-AU"/>
        </w:rPr>
        <w:t xml:space="preserve"> to </w:t>
      </w:r>
      <w:r w:rsidRPr="001C3B05">
        <w:rPr>
          <w:lang w:eastAsia="en-AU"/>
        </w:rPr>
        <w:t xml:space="preserve">ensure quarantine integrity is maintained. </w:t>
      </w:r>
      <w:r>
        <w:rPr>
          <w:rFonts w:cs="Roboto Light"/>
          <w:lang w:eastAsia="en-AU"/>
        </w:rPr>
        <w:t xml:space="preserve">Consignments will be packed such that they are insect-proof and secure, using one of the options outlined in Section </w:t>
      </w:r>
      <w:r>
        <w:rPr>
          <w:rFonts w:cs="Roboto Light"/>
          <w:lang w:eastAsia="en-AU"/>
        </w:rPr>
        <w:fldChar w:fldCharType="begin" w:fldLock="1"/>
      </w:r>
      <w:r>
        <w:rPr>
          <w:rFonts w:cs="Roboto Light"/>
          <w:lang w:eastAsia="en-AU"/>
        </w:rPr>
        <w:instrText xml:space="preserve"> REF _Ref108442856 \n \h </w:instrText>
      </w:r>
      <w:r>
        <w:rPr>
          <w:rFonts w:cs="Roboto Light"/>
          <w:lang w:eastAsia="en-AU"/>
        </w:rPr>
      </w:r>
      <w:r>
        <w:rPr>
          <w:rFonts w:cs="Roboto Light"/>
          <w:lang w:eastAsia="en-AU"/>
        </w:rPr>
        <w:fldChar w:fldCharType="separate"/>
      </w:r>
      <w:r>
        <w:rPr>
          <w:rFonts w:cs="Roboto Light"/>
          <w:lang w:eastAsia="en-AU"/>
        </w:rPr>
        <w:t>5.2.3</w:t>
      </w:r>
      <w:r>
        <w:rPr>
          <w:rFonts w:cs="Roboto Light"/>
          <w:lang w:eastAsia="en-AU"/>
        </w:rPr>
        <w:fldChar w:fldCharType="end"/>
      </w:r>
      <w:r>
        <w:rPr>
          <w:rFonts w:cs="Roboto Light"/>
          <w:lang w:eastAsia="en-AU"/>
        </w:rPr>
        <w:t>. Consignments</w:t>
      </w:r>
      <w:r w:rsidRPr="00362424">
        <w:rPr>
          <w:rFonts w:cs="Roboto Light"/>
          <w:lang w:eastAsia="en-AU"/>
        </w:rPr>
        <w:t xml:space="preserve"> will be segregated at all times and during storage and transport to maintain the quarantine integrity of the </w:t>
      </w:r>
      <w:r>
        <w:rPr>
          <w:rFonts w:cs="Roboto Light"/>
          <w:lang w:eastAsia="en-AU"/>
        </w:rPr>
        <w:t>consignment</w:t>
      </w:r>
      <w:r w:rsidRPr="00362424">
        <w:rPr>
          <w:rFonts w:cs="Roboto Light"/>
          <w:lang w:eastAsia="en-AU"/>
        </w:rPr>
        <w:t>.</w:t>
      </w:r>
      <w:r>
        <w:rPr>
          <w:rFonts w:cs="Roboto Light"/>
          <w:lang w:eastAsia="en-AU"/>
        </w:rPr>
        <w:t xml:space="preserve"> </w:t>
      </w:r>
    </w:p>
    <w:p w14:paraId="64B878A2" w14:textId="77777777" w:rsidR="003438A2" w:rsidRPr="00D62892" w:rsidRDefault="003438A2" w:rsidP="00F77E28">
      <w:pPr>
        <w:rPr>
          <w:rFonts w:cs="Roboto Light"/>
          <w:lang w:eastAsia="en-AU"/>
        </w:rPr>
      </w:pPr>
      <w:r>
        <w:rPr>
          <w:lang w:val="en"/>
        </w:rPr>
        <w:t>Hitchhiker pests such as BMSB can arrive in Australia on cargo and containers and may be more common at particular times of the year. While the on-arrival phytosanitary inspection by the department will focus on apples, it will also verify that pallets and containers carrying</w:t>
      </w:r>
      <w:r w:rsidRPr="009164D7">
        <w:t xml:space="preserve"> </w:t>
      </w:r>
      <w:r>
        <w:t xml:space="preserve">produce, </w:t>
      </w:r>
      <w:r w:rsidRPr="006935AD">
        <w:t>including packaging materials such as trays and cartons</w:t>
      </w:r>
      <w:r>
        <w:t>,</w:t>
      </w:r>
      <w:r>
        <w:rPr>
          <w:lang w:val="en"/>
        </w:rPr>
        <w:t xml:space="preserve"> are free of BMSB and other pests.</w:t>
      </w:r>
    </w:p>
    <w:p w14:paraId="13F8C5F5" w14:textId="77777777" w:rsidR="003438A2" w:rsidRPr="00D62892" w:rsidRDefault="003438A2" w:rsidP="00F77E28">
      <w:r>
        <w:t xml:space="preserve">Further </w:t>
      </w:r>
      <w:r w:rsidRPr="00D62892">
        <w:t xml:space="preserve">information </w:t>
      </w:r>
      <w:r>
        <w:t xml:space="preserve">on </w:t>
      </w:r>
      <w:r w:rsidRPr="00D62892">
        <w:t>BMSB</w:t>
      </w:r>
      <w:r>
        <w:t xml:space="preserve"> can be found</w:t>
      </w:r>
      <w:r w:rsidRPr="00D62892">
        <w:t xml:space="preserve"> at </w:t>
      </w:r>
      <w:hyperlink r:id="rId105" w:history="1">
        <w:r w:rsidRPr="00D62892">
          <w:rPr>
            <w:rStyle w:val="Hyperlink"/>
            <w:rFonts w:cstheme="minorHAnsi"/>
          </w:rPr>
          <w:t>https://www.agriculture.gov.au/import/arrival/pests/brown-marmorated-stink-bugs-factsheet</w:t>
        </w:r>
      </w:hyperlink>
    </w:p>
    <w:p w14:paraId="49CEF915" w14:textId="77777777" w:rsidR="003438A2" w:rsidRPr="001C3B05" w:rsidRDefault="003438A2" w:rsidP="00F77E28">
      <w:pPr>
        <w:autoSpaceDE w:val="0"/>
        <w:autoSpaceDN w:val="0"/>
        <w:adjustRightInd w:val="0"/>
        <w:rPr>
          <w:rFonts w:cs="Roboto Light"/>
          <w:color w:val="000000"/>
          <w:lang w:eastAsia="en-AU"/>
        </w:rPr>
      </w:pPr>
    </w:p>
    <w:p w14:paraId="2436737F" w14:textId="77777777" w:rsidR="003438A2" w:rsidRPr="006F6C84" w:rsidRDefault="003438A2" w:rsidP="00F77E28">
      <w:pPr>
        <w:pBdr>
          <w:top w:val="single" w:sz="4" w:space="0" w:color="auto"/>
          <w:left w:val="single" w:sz="4" w:space="4" w:color="auto"/>
          <w:bottom w:val="single" w:sz="4" w:space="1" w:color="auto"/>
          <w:right w:val="single" w:sz="4" w:space="4" w:color="auto"/>
        </w:pBdr>
        <w:spacing w:before="240" w:after="240" w:line="259" w:lineRule="auto"/>
        <w:contextualSpacing/>
        <w:rPr>
          <w:rFonts w:asciiTheme="majorHAnsi" w:hAnsiTheme="majorHAnsi"/>
          <w:color w:val="000000" w:themeColor="text1"/>
        </w:rPr>
      </w:pPr>
      <w:r w:rsidRPr="001C3B05">
        <w:rPr>
          <w:rFonts w:asciiTheme="majorHAnsi" w:hAnsiTheme="majorHAnsi"/>
          <w:b/>
          <w:bCs/>
          <w:color w:val="000000" w:themeColor="text1"/>
        </w:rPr>
        <w:t>Comment 13:</w:t>
      </w:r>
      <w:r w:rsidRPr="001C3B05">
        <w:rPr>
          <w:rFonts w:asciiTheme="majorHAnsi" w:hAnsiTheme="majorHAnsi"/>
          <w:color w:val="000000" w:themeColor="text1"/>
        </w:rPr>
        <w:t xml:space="preserve"> </w:t>
      </w:r>
      <w:r w:rsidRPr="001C3B05">
        <w:rPr>
          <w:rFonts w:asciiTheme="majorHAnsi" w:hAnsiTheme="majorHAnsi"/>
          <w:b/>
          <w:bCs/>
          <w:color w:val="000000" w:themeColor="text1"/>
        </w:rPr>
        <w:t>Concerns that higher maximum residue limits (MRLs) for some chemicals in the USA will lead to food safety issues on imported apples or compromise efficacy of existing pest and disease controls.</w:t>
      </w:r>
      <w:r w:rsidRPr="006F6C84">
        <w:rPr>
          <w:rFonts w:asciiTheme="majorHAnsi" w:hAnsiTheme="majorHAnsi"/>
          <w:color w:val="000000" w:themeColor="text1"/>
        </w:rPr>
        <w:t xml:space="preserve"> </w:t>
      </w:r>
    </w:p>
    <w:p w14:paraId="57F992F2" w14:textId="77777777" w:rsidR="003438A2" w:rsidRPr="006F6C84" w:rsidRDefault="003438A2" w:rsidP="00F77E28">
      <w:pPr>
        <w:spacing w:before="240" w:after="240" w:line="259" w:lineRule="auto"/>
        <w:contextualSpacing/>
        <w:rPr>
          <w:rFonts w:asciiTheme="majorHAnsi" w:hAnsiTheme="majorHAnsi"/>
          <w:color w:val="000000" w:themeColor="text1"/>
        </w:rPr>
      </w:pPr>
    </w:p>
    <w:p w14:paraId="1C873684" w14:textId="18CC3CD8" w:rsidR="003438A2" w:rsidRPr="00FC4F50" w:rsidRDefault="003438A2" w:rsidP="00F77E28">
      <w:r w:rsidRPr="00FC4F50">
        <w:rPr>
          <w:noProof/>
        </w:rPr>
        <w:t xml:space="preserve">The MRLs for some agrochemicals that may be used in PNW-USA apple orchards are higher than in Australia. Despite the higher MRLs in the USA, any imports of PNW-USA apples will need to meet Australia’s stricter MRL requirements for these agrochemicals. All food sold in Australia must meet Australian food standards, which includes the Australia New Zealand Food Standards Code. This risk analysis focuses on biosecurity risk associated with apples commercially produced in the PNW-USA for export. The assessment of risk associated with MRLs is outside the scope of this risk analysis. However, Section </w:t>
      </w:r>
      <w:r w:rsidRPr="00FC4F50">
        <w:rPr>
          <w:noProof/>
        </w:rPr>
        <w:fldChar w:fldCharType="begin" w:fldLock="1"/>
      </w:r>
      <w:r w:rsidRPr="00FC4F50">
        <w:rPr>
          <w:noProof/>
        </w:rPr>
        <w:instrText xml:space="preserve"> REF _Ref108442879 \n \h </w:instrText>
      </w:r>
      <w:r w:rsidR="00FC4F50">
        <w:rPr>
          <w:noProof/>
        </w:rPr>
        <w:instrText xml:space="preserve"> \* MERGEFORMAT </w:instrText>
      </w:r>
      <w:r w:rsidRPr="00FC4F50">
        <w:rPr>
          <w:noProof/>
        </w:rPr>
      </w:r>
      <w:r w:rsidRPr="00FC4F50">
        <w:rPr>
          <w:noProof/>
        </w:rPr>
        <w:fldChar w:fldCharType="separate"/>
      </w:r>
      <w:r w:rsidRPr="00FC4F50">
        <w:rPr>
          <w:noProof/>
        </w:rPr>
        <w:t>5.5</w:t>
      </w:r>
      <w:r w:rsidRPr="00FC4F50">
        <w:rPr>
          <w:noProof/>
        </w:rPr>
        <w:fldChar w:fldCharType="end"/>
      </w:r>
      <w:r w:rsidRPr="00FC4F50">
        <w:rPr>
          <w:noProof/>
        </w:rPr>
        <w:t xml:space="preserve"> of the report states that the PNW-USA apples for export to Australia must meet Australia’s food laws. For example, Section </w:t>
      </w:r>
      <w:r w:rsidRPr="00FC4F50">
        <w:rPr>
          <w:noProof/>
        </w:rPr>
        <w:fldChar w:fldCharType="begin" w:fldLock="1"/>
      </w:r>
      <w:r w:rsidRPr="00FC4F50">
        <w:rPr>
          <w:noProof/>
        </w:rPr>
        <w:instrText xml:space="preserve"> REF _Ref108442886 \n \h </w:instrText>
      </w:r>
      <w:r w:rsidR="00FC4F50">
        <w:rPr>
          <w:noProof/>
        </w:rPr>
        <w:instrText xml:space="preserve"> \* MERGEFORMAT </w:instrText>
      </w:r>
      <w:r w:rsidRPr="00FC4F50">
        <w:rPr>
          <w:noProof/>
        </w:rPr>
      </w:r>
      <w:r w:rsidRPr="00FC4F50">
        <w:rPr>
          <w:noProof/>
        </w:rPr>
        <w:fldChar w:fldCharType="separate"/>
      </w:r>
      <w:r w:rsidRPr="00FC4F50">
        <w:rPr>
          <w:noProof/>
        </w:rPr>
        <w:t>5.5</w:t>
      </w:r>
      <w:r w:rsidRPr="00FC4F50">
        <w:rPr>
          <w:noProof/>
        </w:rPr>
        <w:fldChar w:fldCharType="end"/>
      </w:r>
      <w:r w:rsidRPr="00FC4F50">
        <w:rPr>
          <w:noProof/>
        </w:rPr>
        <w:t xml:space="preserve"> states, i</w:t>
      </w:r>
      <w:r w:rsidRPr="00FC4F50">
        <w:t xml:space="preserve">n addition to meeting Australia's biosecurity laws, imported food for human consumption must comply with the requirements of the </w:t>
      </w:r>
      <w:r w:rsidRPr="00FC4F50">
        <w:rPr>
          <w:rStyle w:val="Emphasis"/>
        </w:rPr>
        <w:t>Imported Food Control Act 1992</w:t>
      </w:r>
      <w:r w:rsidRPr="00FC4F50">
        <w:t>, as well as Australian state and territory food laws. Among other things, these laws require all food, including imported food, to meet the standards set out in the Australia New Zealand Food Standards Code (the Code)’.</w:t>
      </w:r>
    </w:p>
    <w:p w14:paraId="0A432F50" w14:textId="77777777" w:rsidR="003438A2" w:rsidRPr="00FC4F50" w:rsidRDefault="003438A2" w:rsidP="00F77E28">
      <w:pPr>
        <w:rPr>
          <w:noProof/>
        </w:rPr>
      </w:pPr>
      <w:r w:rsidRPr="00FC4F50">
        <w:rPr>
          <w:noProof/>
        </w:rPr>
        <w:t xml:space="preserve">The department checks imported food at the border for safety and compliance with Australia’s food standards, through the risk-based inspection program, the Imported Food Inspection Scheme. Post-border checks are made by state and territory food safety regulatory agencies. </w:t>
      </w:r>
    </w:p>
    <w:p w14:paraId="4E7ABCDE" w14:textId="77777777" w:rsidR="003438A2" w:rsidRPr="008A361B" w:rsidRDefault="003438A2" w:rsidP="00F77E28">
      <w:pPr>
        <w:rPr>
          <w:noProof/>
        </w:rPr>
      </w:pPr>
      <w:r w:rsidRPr="008A361B">
        <w:rPr>
          <w:noProof/>
        </w:rPr>
        <w:lastRenderedPageBreak/>
        <w:t xml:space="preserve">The MRL merely denotes the maximum allowable concentration of a chemical on fruit. This does not mean that existing pest management practices in the PNW-USA result in chemical residue levels on fruit close to or in excess of the MRL. The MRL differences for some agrochemicals also do not mean that existing commercial production practices in the PNW-USA would need to change or become less effective to meet Australia’s stricter MRL requirements. </w:t>
      </w:r>
    </w:p>
    <w:p w14:paraId="55AC8250" w14:textId="77777777" w:rsidR="003438A2" w:rsidRPr="006F6C84" w:rsidRDefault="003438A2" w:rsidP="00F77E28">
      <w:pPr>
        <w:spacing w:before="240" w:after="240" w:line="259" w:lineRule="auto"/>
        <w:contextualSpacing/>
        <w:rPr>
          <w:rFonts w:asciiTheme="majorHAnsi" w:hAnsiTheme="majorHAnsi"/>
          <w:color w:val="000000" w:themeColor="text1"/>
        </w:rPr>
      </w:pPr>
    </w:p>
    <w:p w14:paraId="561025F5" w14:textId="77777777" w:rsidR="003438A2" w:rsidRPr="00F60460" w:rsidRDefault="003438A2" w:rsidP="00F77E28">
      <w:pPr>
        <w:pBdr>
          <w:top w:val="single" w:sz="4" w:space="1" w:color="auto"/>
          <w:left w:val="single" w:sz="4" w:space="4" w:color="auto"/>
          <w:bottom w:val="single" w:sz="4" w:space="1" w:color="auto"/>
          <w:right w:val="single" w:sz="4" w:space="4" w:color="auto"/>
        </w:pBdr>
        <w:spacing w:before="240" w:after="240" w:line="259" w:lineRule="auto"/>
        <w:contextualSpacing/>
        <w:rPr>
          <w:rFonts w:asciiTheme="majorHAnsi" w:hAnsiTheme="majorHAnsi"/>
          <w:b/>
          <w:bCs/>
          <w:color w:val="000000" w:themeColor="text1"/>
        </w:rPr>
      </w:pPr>
      <w:r w:rsidRPr="003D472A">
        <w:rPr>
          <w:rFonts w:asciiTheme="majorHAnsi" w:hAnsiTheme="majorHAnsi"/>
          <w:b/>
          <w:bCs/>
          <w:color w:val="000000" w:themeColor="text1"/>
        </w:rPr>
        <w:t>Comment 14:</w:t>
      </w:r>
      <w:r w:rsidRPr="003D472A">
        <w:rPr>
          <w:rFonts w:asciiTheme="majorHAnsi" w:hAnsiTheme="majorHAnsi"/>
          <w:color w:val="000000" w:themeColor="text1"/>
        </w:rPr>
        <w:t xml:space="preserve"> </w:t>
      </w:r>
      <w:r w:rsidRPr="003D472A">
        <w:rPr>
          <w:rFonts w:asciiTheme="majorHAnsi" w:hAnsiTheme="majorHAnsi"/>
          <w:b/>
          <w:bCs/>
          <w:color w:val="000000" w:themeColor="text1"/>
        </w:rPr>
        <w:t>Concerns with antibiotic use to manage fire blight and potential antimicrobial resistance (AMR) effects</w:t>
      </w:r>
    </w:p>
    <w:p w14:paraId="448CFB40" w14:textId="77777777" w:rsidR="003438A2" w:rsidRPr="006F6C84" w:rsidRDefault="003438A2" w:rsidP="00F77E28">
      <w:pPr>
        <w:rPr>
          <w:rFonts w:asciiTheme="majorHAnsi" w:hAnsiTheme="majorHAnsi" w:cstheme="minorHAnsi"/>
          <w:lang w:val="en-US"/>
        </w:rPr>
      </w:pPr>
    </w:p>
    <w:p w14:paraId="6F8F9885" w14:textId="77777777" w:rsidR="003438A2" w:rsidRPr="008A361B" w:rsidRDefault="003438A2" w:rsidP="006442DD">
      <w:pPr>
        <w:rPr>
          <w:noProof/>
        </w:rPr>
      </w:pPr>
      <w:r w:rsidRPr="008A361B">
        <w:rPr>
          <w:noProof/>
        </w:rPr>
        <w:t xml:space="preserve">Although antibiotics such as streptomycin or kasugamycin are one of the key management tools to manage fire blight in the PNW-USA, this use is estimated at around 0.1% of total antibiotic use in US agriculture (Stockwell &amp; Duffy 2012). The report clearly states that resistance can occur and antimicrobial resistance (AMR) management strategies, including the judicious use of antibiotics and alternatives such as biological control agents, are important in managing AMR risks. </w:t>
      </w:r>
    </w:p>
    <w:p w14:paraId="72DB1116" w14:textId="77777777" w:rsidR="003438A2" w:rsidRPr="008A361B" w:rsidRDefault="003438A2" w:rsidP="0038092A">
      <w:pPr>
        <w:rPr>
          <w:noProof/>
        </w:rPr>
      </w:pPr>
      <w:r w:rsidRPr="008A361B">
        <w:rPr>
          <w:noProof/>
        </w:rPr>
        <w:t>The risk assessment carried out by Food Standards Australia New Zealand (FSANZ 2011)</w:t>
      </w:r>
      <w:r w:rsidRPr="008A361B">
        <w:t xml:space="preserve"> </w:t>
      </w:r>
      <w:r w:rsidRPr="008A361B">
        <w:rPr>
          <w:noProof/>
        </w:rPr>
        <w:t xml:space="preserve">on the use of antibiotics in New Zealand apples concluded there was negligible food safety concern of antibiotic-treated apples to Australian consumers. This view was confirmed by internationally recognised experts in the field of AMR, who peer-reviewed the FSANZ assessment. AMR is considered a serious issue by Australian government agencies, and accepted management strategies require appropriate and responsible use of all antimicrobials, including antibiotics. </w:t>
      </w:r>
      <w:bookmarkEnd w:id="554"/>
    </w:p>
    <w:p w14:paraId="592B730D" w14:textId="77777777" w:rsidR="003438A2" w:rsidRDefault="003438A2" w:rsidP="0038092A">
      <w:pPr>
        <w:rPr>
          <w:rFonts w:asciiTheme="majorHAnsi" w:hAnsiTheme="majorHAnsi"/>
          <w:noProof/>
        </w:rPr>
      </w:pPr>
    </w:p>
    <w:p w14:paraId="72E98F83" w14:textId="77777777" w:rsidR="003438A2" w:rsidRDefault="003438A2" w:rsidP="0038092A">
      <w:pPr>
        <w:rPr>
          <w:rFonts w:asciiTheme="majorHAnsi" w:hAnsiTheme="majorHAnsi"/>
          <w:noProof/>
        </w:rPr>
      </w:pPr>
    </w:p>
    <w:p w14:paraId="053393F9" w14:textId="77777777" w:rsidR="003438A2" w:rsidRDefault="003438A2" w:rsidP="0038092A">
      <w:pPr>
        <w:rPr>
          <w:rFonts w:asciiTheme="majorHAnsi" w:hAnsiTheme="majorHAnsi"/>
          <w:noProof/>
        </w:rPr>
      </w:pPr>
    </w:p>
    <w:p w14:paraId="26C062D8" w14:textId="77777777" w:rsidR="003438A2" w:rsidRDefault="003438A2" w:rsidP="0038092A">
      <w:pPr>
        <w:pStyle w:val="Heading2"/>
        <w:numPr>
          <w:ilvl w:val="0"/>
          <w:numId w:val="0"/>
        </w:numPr>
        <w:tabs>
          <w:tab w:val="left" w:pos="3744"/>
        </w:tabs>
        <w:sectPr w:rsidR="003438A2" w:rsidSect="0038092A">
          <w:headerReference w:type="even" r:id="rId106"/>
          <w:headerReference w:type="default" r:id="rId107"/>
          <w:headerReference w:type="first" r:id="rId108"/>
          <w:type w:val="continuous"/>
          <w:pgSz w:w="11906" w:h="16838"/>
          <w:pgMar w:top="1418" w:right="1418" w:bottom="1418" w:left="1418" w:header="567" w:footer="283" w:gutter="0"/>
          <w:cols w:space="708"/>
          <w:docGrid w:linePitch="360"/>
        </w:sectPr>
      </w:pPr>
    </w:p>
    <w:p w14:paraId="3D9CB277" w14:textId="77777777" w:rsidR="003438A2" w:rsidRDefault="003438A2" w:rsidP="0038092A">
      <w:pPr>
        <w:pStyle w:val="Heading2"/>
        <w:numPr>
          <w:ilvl w:val="0"/>
          <w:numId w:val="0"/>
        </w:numPr>
        <w:tabs>
          <w:tab w:val="left" w:pos="3744"/>
        </w:tabs>
      </w:pPr>
      <w:bookmarkStart w:id="566" w:name="_Toc112769038"/>
      <w:r>
        <w:lastRenderedPageBreak/>
        <w:t>Glossary</w:t>
      </w:r>
      <w:bookmarkEnd w:id="555"/>
      <w:bookmarkEnd w:id="566"/>
      <w:r>
        <w:tab/>
      </w:r>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3438A2" w:rsidRPr="00A11F8D" w14:paraId="1FF6E8F8" w14:textId="77777777" w:rsidTr="0018617D">
        <w:trPr>
          <w:cantSplit/>
          <w:tblHeader/>
        </w:trPr>
        <w:tc>
          <w:tcPr>
            <w:tcW w:w="1509" w:type="pct"/>
          </w:tcPr>
          <w:p w14:paraId="3F774956" w14:textId="77777777" w:rsidR="003438A2" w:rsidRPr="00A11F8D" w:rsidRDefault="003438A2" w:rsidP="0018617D">
            <w:pPr>
              <w:pStyle w:val="TableHeading"/>
            </w:pPr>
            <w:r w:rsidRPr="00A11F8D">
              <w:t>Term or abbreviation</w:t>
            </w:r>
          </w:p>
        </w:tc>
        <w:tc>
          <w:tcPr>
            <w:tcW w:w="3491" w:type="pct"/>
          </w:tcPr>
          <w:p w14:paraId="5E45345E" w14:textId="77777777" w:rsidR="003438A2" w:rsidRPr="00A11F8D" w:rsidRDefault="003438A2" w:rsidP="0018617D">
            <w:pPr>
              <w:pStyle w:val="TableHeading"/>
            </w:pPr>
            <w:r w:rsidRPr="00A11F8D">
              <w:t>Definition</w:t>
            </w:r>
          </w:p>
        </w:tc>
      </w:tr>
      <w:tr w:rsidR="003438A2" w:rsidRPr="00A11F8D" w14:paraId="7C9BC050" w14:textId="77777777" w:rsidTr="0018617D">
        <w:tc>
          <w:tcPr>
            <w:tcW w:w="1509" w:type="pct"/>
          </w:tcPr>
          <w:p w14:paraId="5E543E5F" w14:textId="77777777" w:rsidR="003438A2" w:rsidRPr="00A11F8D" w:rsidRDefault="003438A2" w:rsidP="0018617D">
            <w:pPr>
              <w:pStyle w:val="TableText"/>
            </w:pPr>
            <w:r>
              <w:t>Anamorph</w:t>
            </w:r>
          </w:p>
        </w:tc>
        <w:tc>
          <w:tcPr>
            <w:tcW w:w="3491" w:type="pct"/>
          </w:tcPr>
          <w:p w14:paraId="60E998E7" w14:textId="77777777" w:rsidR="003438A2" w:rsidRPr="00A11F8D" w:rsidRDefault="003438A2" w:rsidP="0018617D">
            <w:pPr>
              <w:pStyle w:val="TableText"/>
            </w:pPr>
            <w:r>
              <w:rPr>
                <w:lang w:val="en"/>
              </w:rPr>
              <w:t>A</w:t>
            </w:r>
            <w:r w:rsidRPr="00E85BB1">
              <w:rPr>
                <w:lang w:val="en"/>
              </w:rPr>
              <w:t>n asexual reproductive</w:t>
            </w:r>
            <w:r>
              <w:rPr>
                <w:lang w:val="en"/>
              </w:rPr>
              <w:t xml:space="preserve"> and often mold-like</w:t>
            </w:r>
            <w:r w:rsidRPr="00E85BB1">
              <w:rPr>
                <w:lang w:val="en"/>
              </w:rPr>
              <w:t xml:space="preserve"> stage </w:t>
            </w:r>
            <w:r>
              <w:rPr>
                <w:lang w:val="en"/>
              </w:rPr>
              <w:t>of a fungus.</w:t>
            </w:r>
          </w:p>
        </w:tc>
      </w:tr>
      <w:tr w:rsidR="003438A2" w:rsidRPr="00A11F8D" w14:paraId="34515726" w14:textId="77777777" w:rsidTr="0018617D">
        <w:tc>
          <w:tcPr>
            <w:tcW w:w="1509" w:type="pct"/>
          </w:tcPr>
          <w:p w14:paraId="7E2DBA90" w14:textId="77777777" w:rsidR="003438A2" w:rsidRPr="00A11F8D" w:rsidRDefault="003438A2" w:rsidP="0018617D">
            <w:pPr>
              <w:pStyle w:val="TableText"/>
            </w:pPr>
            <w:r w:rsidRPr="00A11F8D">
              <w:t>Appropriate level of protection (ALOP)</w:t>
            </w:r>
          </w:p>
        </w:tc>
        <w:tc>
          <w:tcPr>
            <w:tcW w:w="3491" w:type="pct"/>
          </w:tcPr>
          <w:p w14:paraId="3B5B301B" w14:textId="77777777" w:rsidR="003438A2" w:rsidRPr="00A11F8D" w:rsidRDefault="003438A2" w:rsidP="0018617D">
            <w:pPr>
              <w:pStyle w:val="TableText"/>
            </w:pPr>
            <w:r w:rsidRPr="00A11F8D">
              <w:t xml:space="preserve">The level of protection deemed appropriate by the Member establishing a sanitary or phytosanitary measure to protect human, animal or plant life or health within its territory </w:t>
            </w:r>
            <w:r>
              <w:rPr>
                <w:noProof/>
              </w:rPr>
              <w:t>(WTO 1995)</w:t>
            </w:r>
            <w:r w:rsidRPr="00A11F8D">
              <w:t>.</w:t>
            </w:r>
          </w:p>
        </w:tc>
      </w:tr>
      <w:tr w:rsidR="003438A2" w:rsidRPr="00A11F8D" w14:paraId="0875DBE7" w14:textId="77777777" w:rsidTr="0018617D">
        <w:tc>
          <w:tcPr>
            <w:tcW w:w="1509" w:type="pct"/>
          </w:tcPr>
          <w:p w14:paraId="2F891064" w14:textId="77777777" w:rsidR="003438A2" w:rsidRPr="00A11F8D" w:rsidRDefault="003438A2" w:rsidP="0018617D">
            <w:pPr>
              <w:pStyle w:val="TableText"/>
            </w:pPr>
            <w:r>
              <w:t>Appropriate level of protection (ALOP) for Australia</w:t>
            </w:r>
          </w:p>
        </w:tc>
        <w:tc>
          <w:tcPr>
            <w:tcW w:w="3491" w:type="pct"/>
          </w:tcPr>
          <w:p w14:paraId="3846A006" w14:textId="77777777" w:rsidR="003438A2" w:rsidRPr="00A11F8D" w:rsidRDefault="003438A2" w:rsidP="0018617D">
            <w:pPr>
              <w:pStyle w:val="TableText"/>
            </w:pPr>
            <w:r>
              <w:t xml:space="preserve">The </w:t>
            </w:r>
            <w:r w:rsidRPr="00153630">
              <w:rPr>
                <w:i/>
              </w:rPr>
              <w:t>Biosecurity Act 2015</w:t>
            </w:r>
            <w:r>
              <w:t xml:space="preserve"> defines the appropriate level of protection (or ALOP) for Australia as a high level of sanitary and phytosanitary protection aimed at reducing biosecurity risks to very low, but not to zero.</w:t>
            </w:r>
          </w:p>
        </w:tc>
      </w:tr>
      <w:tr w:rsidR="003438A2" w:rsidRPr="00A11F8D" w14:paraId="4238488C" w14:textId="77777777" w:rsidTr="0018617D">
        <w:tc>
          <w:tcPr>
            <w:tcW w:w="1509" w:type="pct"/>
          </w:tcPr>
          <w:p w14:paraId="2C81D89A" w14:textId="77777777" w:rsidR="003438A2" w:rsidRPr="00A11F8D" w:rsidRDefault="003438A2" w:rsidP="0018617D">
            <w:pPr>
              <w:pStyle w:val="TableText"/>
            </w:pPr>
            <w:r w:rsidRPr="00A11F8D">
              <w:t>Area</w:t>
            </w:r>
          </w:p>
        </w:tc>
        <w:tc>
          <w:tcPr>
            <w:tcW w:w="3491" w:type="pct"/>
          </w:tcPr>
          <w:p w14:paraId="0C5F61D1" w14:textId="77777777" w:rsidR="003438A2" w:rsidRPr="00A11F8D" w:rsidRDefault="003438A2" w:rsidP="0018617D">
            <w:pPr>
              <w:pStyle w:val="TableText"/>
            </w:pPr>
            <w:r w:rsidRPr="00A11F8D">
              <w:t xml:space="preserve">An officially defined country, part of a country or all or parts of several countries </w:t>
            </w:r>
            <w:r>
              <w:rPr>
                <w:noProof/>
              </w:rPr>
              <w:t>(FAO 2021c)</w:t>
            </w:r>
            <w:r w:rsidRPr="00A11F8D">
              <w:t>.</w:t>
            </w:r>
          </w:p>
        </w:tc>
      </w:tr>
      <w:tr w:rsidR="003438A2" w:rsidRPr="00A11F8D" w14:paraId="327DB03D" w14:textId="77777777" w:rsidTr="0018617D">
        <w:tc>
          <w:tcPr>
            <w:tcW w:w="1509" w:type="pct"/>
          </w:tcPr>
          <w:p w14:paraId="0443F07D" w14:textId="77777777" w:rsidR="003438A2" w:rsidRPr="00A11F8D" w:rsidRDefault="003438A2" w:rsidP="0018617D">
            <w:pPr>
              <w:pStyle w:val="TableText"/>
            </w:pPr>
            <w:r w:rsidRPr="00A11F8D">
              <w:t>Area of low pest prevalence</w:t>
            </w:r>
          </w:p>
        </w:tc>
        <w:tc>
          <w:tcPr>
            <w:tcW w:w="3491" w:type="pct"/>
          </w:tcPr>
          <w:p w14:paraId="3D6DA5C8" w14:textId="77777777" w:rsidR="003438A2" w:rsidRPr="00A11F8D" w:rsidRDefault="003438A2" w:rsidP="0018617D">
            <w:pPr>
              <w:pStyle w:val="TableText"/>
            </w:pPr>
            <w:r w:rsidRPr="00A11F8D">
              <w:t xml:space="preserve">An area, whether all of a country, part of a country, or all parts of several countries, as identified by the competent authorities, in which a specific pest occurs at low levels and which is subject to effective surveillance, control or eradication measures </w:t>
            </w:r>
            <w:r>
              <w:rPr>
                <w:noProof/>
              </w:rPr>
              <w:t>(FAO 2021c)</w:t>
            </w:r>
            <w:r w:rsidRPr="00A11F8D">
              <w:t>.</w:t>
            </w:r>
          </w:p>
        </w:tc>
      </w:tr>
      <w:tr w:rsidR="003438A2" w:rsidRPr="00A11F8D" w14:paraId="596DC0F8" w14:textId="77777777" w:rsidTr="0018617D">
        <w:tc>
          <w:tcPr>
            <w:tcW w:w="1509" w:type="pct"/>
          </w:tcPr>
          <w:p w14:paraId="1ADEF20C" w14:textId="77777777" w:rsidR="003438A2" w:rsidRPr="00A11F8D" w:rsidRDefault="003438A2" w:rsidP="0018617D">
            <w:pPr>
              <w:pStyle w:val="TableText"/>
            </w:pPr>
            <w:r w:rsidRPr="00A11F8D">
              <w:t>Arthropod</w:t>
            </w:r>
          </w:p>
        </w:tc>
        <w:tc>
          <w:tcPr>
            <w:tcW w:w="3491" w:type="pct"/>
          </w:tcPr>
          <w:p w14:paraId="75F880AF" w14:textId="77777777" w:rsidR="003438A2" w:rsidRPr="00A11F8D" w:rsidRDefault="003438A2" w:rsidP="0018617D">
            <w:pPr>
              <w:pStyle w:val="TableText"/>
            </w:pPr>
            <w:r w:rsidRPr="00A11F8D">
              <w:t>The largest phylum of animals, including the insects, arachnids and crustaceans.</w:t>
            </w:r>
          </w:p>
        </w:tc>
      </w:tr>
      <w:tr w:rsidR="003438A2" w:rsidRPr="00E64C37" w14:paraId="6C5ED1D7" w14:textId="77777777" w:rsidTr="00EF7312">
        <w:tc>
          <w:tcPr>
            <w:tcW w:w="1509" w:type="pct"/>
          </w:tcPr>
          <w:p w14:paraId="6290CC9F" w14:textId="77777777" w:rsidR="003438A2" w:rsidRPr="00E64C37" w:rsidRDefault="003438A2" w:rsidP="00EF7312">
            <w:pPr>
              <w:pStyle w:val="TableText"/>
            </w:pPr>
            <w:r>
              <w:t>A</w:t>
            </w:r>
            <w:r w:rsidRPr="00436F32">
              <w:t>scigerous</w:t>
            </w:r>
            <w:r w:rsidRPr="00E64C37">
              <w:t xml:space="preserve"> </w:t>
            </w:r>
          </w:p>
        </w:tc>
        <w:tc>
          <w:tcPr>
            <w:tcW w:w="3491" w:type="pct"/>
          </w:tcPr>
          <w:p w14:paraId="6806EA7E" w14:textId="77777777" w:rsidR="003438A2" w:rsidRPr="00E64C37" w:rsidRDefault="003438A2" w:rsidP="00EF7312">
            <w:pPr>
              <w:pStyle w:val="TableText"/>
            </w:pPr>
            <w:r>
              <w:rPr>
                <w:rStyle w:val="e24kjd"/>
              </w:rPr>
              <w:t>Stage producing ascocarps containing a</w:t>
            </w:r>
            <w:r w:rsidRPr="00E64C37">
              <w:rPr>
                <w:rStyle w:val="e24kjd"/>
              </w:rPr>
              <w:t xml:space="preserve">scus (plural: asci) </w:t>
            </w:r>
            <w:r>
              <w:rPr>
                <w:rStyle w:val="e24kjd"/>
              </w:rPr>
              <w:t>a</w:t>
            </w:r>
            <w:r w:rsidRPr="00E64C37">
              <w:rPr>
                <w:rStyle w:val="e24kjd"/>
              </w:rPr>
              <w:t xml:space="preserve">s the sexual spore-bearing </w:t>
            </w:r>
            <w:r>
              <w:rPr>
                <w:rStyle w:val="e24kjd"/>
              </w:rPr>
              <w:t>structures</w:t>
            </w:r>
            <w:r w:rsidRPr="00E64C37">
              <w:rPr>
                <w:rStyle w:val="e24kjd"/>
              </w:rPr>
              <w:t xml:space="preserve"> produced in ascomycete fungi. Each ascus usually contains eight ascospores (or octad), produced by meiosis followed, in most species, by a mitotic cell division.</w:t>
            </w:r>
          </w:p>
        </w:tc>
      </w:tr>
      <w:tr w:rsidR="003438A2" w:rsidRPr="00314930" w14:paraId="170D2E6B" w14:textId="77777777" w:rsidTr="00FB6A24">
        <w:tc>
          <w:tcPr>
            <w:tcW w:w="1509" w:type="pct"/>
          </w:tcPr>
          <w:p w14:paraId="0CA51ECB" w14:textId="77777777" w:rsidR="003438A2" w:rsidRPr="00314930" w:rsidRDefault="003438A2" w:rsidP="00FB6A24">
            <w:pPr>
              <w:pStyle w:val="TableText"/>
            </w:pPr>
            <w:r w:rsidRPr="00314930">
              <w:t>Ascocarp</w:t>
            </w:r>
          </w:p>
        </w:tc>
        <w:tc>
          <w:tcPr>
            <w:tcW w:w="3491" w:type="pct"/>
          </w:tcPr>
          <w:p w14:paraId="359B04A0" w14:textId="77777777" w:rsidR="003438A2" w:rsidRPr="00314930" w:rsidRDefault="003438A2" w:rsidP="00FB6A24">
            <w:pPr>
              <w:pStyle w:val="TableText"/>
            </w:pPr>
            <w:r w:rsidRPr="00314930">
              <w:rPr>
                <w:rStyle w:val="e24kjd"/>
              </w:rPr>
              <w:t xml:space="preserve">Also known as an ascoma (plural: ascomata), is the fruiting body (sporocarp) of an </w:t>
            </w:r>
            <w:r>
              <w:rPr>
                <w:rStyle w:val="e24kjd"/>
              </w:rPr>
              <w:t>A</w:t>
            </w:r>
            <w:r w:rsidRPr="00314930">
              <w:rPr>
                <w:rStyle w:val="e24kjd"/>
              </w:rPr>
              <w:t>scomycetes fungus. It consists of very tightly interwoven hyphae and may contain millions of asci, each of which typically contains four to eight ascospores.</w:t>
            </w:r>
          </w:p>
        </w:tc>
      </w:tr>
      <w:tr w:rsidR="003438A2" w:rsidRPr="00A11F8D" w14:paraId="2996C648" w14:textId="77777777" w:rsidTr="0018617D">
        <w:tc>
          <w:tcPr>
            <w:tcW w:w="1509" w:type="pct"/>
          </w:tcPr>
          <w:p w14:paraId="6FBA6C80" w14:textId="77777777" w:rsidR="003438A2" w:rsidRPr="00A11F8D" w:rsidRDefault="003438A2" w:rsidP="0018617D">
            <w:pPr>
              <w:pStyle w:val="TableText"/>
            </w:pPr>
            <w:r>
              <w:t>A</w:t>
            </w:r>
            <w:r w:rsidRPr="005D29E2">
              <w:t>scospores</w:t>
            </w:r>
          </w:p>
        </w:tc>
        <w:tc>
          <w:tcPr>
            <w:tcW w:w="3491" w:type="pct"/>
          </w:tcPr>
          <w:p w14:paraId="5DE15C17" w14:textId="77777777" w:rsidR="003438A2" w:rsidRPr="00A11F8D" w:rsidRDefault="003438A2" w:rsidP="0018617D">
            <w:pPr>
              <w:pStyle w:val="TableText"/>
            </w:pPr>
            <w:r>
              <w:t>A type of sexually produced fungal spore unique to the ascomycetes</w:t>
            </w:r>
          </w:p>
        </w:tc>
      </w:tr>
      <w:tr w:rsidR="003438A2" w:rsidRPr="00A11F8D" w14:paraId="7B46CAB2" w14:textId="77777777" w:rsidTr="0018617D">
        <w:tc>
          <w:tcPr>
            <w:tcW w:w="1509" w:type="pct"/>
          </w:tcPr>
          <w:p w14:paraId="18418F86" w14:textId="77777777" w:rsidR="003438A2" w:rsidRPr="00A11F8D" w:rsidRDefault="003438A2" w:rsidP="0018617D">
            <w:pPr>
              <w:pStyle w:val="TableText"/>
            </w:pPr>
            <w:r w:rsidRPr="00A11F8D">
              <w:t>Asexual reproduction</w:t>
            </w:r>
          </w:p>
        </w:tc>
        <w:tc>
          <w:tcPr>
            <w:tcW w:w="3491" w:type="pct"/>
          </w:tcPr>
          <w:p w14:paraId="262BD994" w14:textId="77777777" w:rsidR="003438A2" w:rsidRPr="00A11F8D" w:rsidRDefault="003438A2" w:rsidP="0018617D">
            <w:pPr>
              <w:pStyle w:val="TableText"/>
            </w:pPr>
            <w:r w:rsidRPr="00A11F8D">
              <w:t>The development of new individual from a single cell or group of cells in the absence of meiosis.</w:t>
            </w:r>
          </w:p>
        </w:tc>
      </w:tr>
      <w:tr w:rsidR="003438A2" w:rsidRPr="00A11F8D" w14:paraId="1E6DA20A" w14:textId="77777777" w:rsidTr="0018617D">
        <w:tc>
          <w:tcPr>
            <w:tcW w:w="1509" w:type="pct"/>
          </w:tcPr>
          <w:p w14:paraId="65DAF6E3" w14:textId="77777777" w:rsidR="003438A2" w:rsidRPr="00A11F8D" w:rsidRDefault="003438A2" w:rsidP="0018617D">
            <w:pPr>
              <w:pStyle w:val="TableText"/>
            </w:pPr>
            <w:r>
              <w:rPr>
                <w:color w:val="000000" w:themeColor="text1"/>
              </w:rPr>
              <w:t>Australian territory</w:t>
            </w:r>
          </w:p>
        </w:tc>
        <w:tc>
          <w:tcPr>
            <w:tcW w:w="3491" w:type="pct"/>
          </w:tcPr>
          <w:p w14:paraId="1C3E55C8" w14:textId="77777777" w:rsidR="003438A2" w:rsidRPr="00A11F8D" w:rsidRDefault="003438A2" w:rsidP="0018617D">
            <w:pPr>
              <w:pStyle w:val="TableText"/>
            </w:pPr>
            <w:r>
              <w:rPr>
                <w:color w:val="000000" w:themeColor="text1"/>
              </w:rPr>
              <w:t xml:space="preserve">Australian territory as referenced in the </w:t>
            </w:r>
            <w:r w:rsidRPr="00153630">
              <w:rPr>
                <w:i/>
                <w:color w:val="000000" w:themeColor="text1"/>
              </w:rPr>
              <w:t>Biosecurity Act 2015</w:t>
            </w:r>
            <w:r>
              <w:rPr>
                <w:color w:val="000000" w:themeColor="text1"/>
              </w:rPr>
              <w:t xml:space="preserve"> refers to Australia, Christmas Island and Cocos (Keeling) Islands.</w:t>
            </w:r>
          </w:p>
        </w:tc>
      </w:tr>
      <w:tr w:rsidR="003438A2" w:rsidRPr="00A11F8D" w14:paraId="07C4F5D7" w14:textId="77777777" w:rsidTr="0018617D">
        <w:tc>
          <w:tcPr>
            <w:tcW w:w="1509" w:type="pct"/>
          </w:tcPr>
          <w:p w14:paraId="6EEE1EF0" w14:textId="77777777" w:rsidR="003438A2" w:rsidRPr="00A11F8D" w:rsidRDefault="003438A2" w:rsidP="0018617D">
            <w:pPr>
              <w:pStyle w:val="TableText"/>
            </w:pPr>
            <w:r w:rsidRPr="00A11F8D">
              <w:t>Biosecurity</w:t>
            </w:r>
          </w:p>
        </w:tc>
        <w:tc>
          <w:tcPr>
            <w:tcW w:w="3491" w:type="pct"/>
          </w:tcPr>
          <w:p w14:paraId="4025DE11" w14:textId="77777777" w:rsidR="003438A2" w:rsidRPr="00A11F8D" w:rsidRDefault="003438A2" w:rsidP="0018617D">
            <w:pPr>
              <w:pStyle w:val="TableText"/>
            </w:pPr>
            <w:r w:rsidRPr="00A11F8D">
              <w:t>The prevention of the entry, establishment or spread of unwanted pests and infectious disease agents to protect human, animal or plant health or life, and the environment.</w:t>
            </w:r>
          </w:p>
        </w:tc>
      </w:tr>
      <w:tr w:rsidR="003438A2" w:rsidRPr="00A11F8D" w14:paraId="3578DBA9" w14:textId="77777777" w:rsidTr="0018617D">
        <w:tc>
          <w:tcPr>
            <w:tcW w:w="1509" w:type="pct"/>
          </w:tcPr>
          <w:p w14:paraId="2A17ED68" w14:textId="77777777" w:rsidR="003438A2" w:rsidRDefault="003438A2" w:rsidP="0018617D">
            <w:pPr>
              <w:pStyle w:val="TableText"/>
            </w:pPr>
            <w:r>
              <w:t>Biosecurity measures</w:t>
            </w:r>
          </w:p>
        </w:tc>
        <w:tc>
          <w:tcPr>
            <w:tcW w:w="3491" w:type="pct"/>
          </w:tcPr>
          <w:p w14:paraId="72FB8060" w14:textId="77777777" w:rsidR="003438A2" w:rsidRDefault="003438A2" w:rsidP="0018617D">
            <w:pPr>
              <w:pStyle w:val="TableText"/>
            </w:pPr>
            <w:r>
              <w:t xml:space="preserve">The </w:t>
            </w:r>
            <w:r w:rsidRPr="00153630">
              <w:rPr>
                <w:i/>
              </w:rPr>
              <w:t>Biosec</w:t>
            </w:r>
            <w:r>
              <w:rPr>
                <w:i/>
              </w:rPr>
              <w:t>u</w:t>
            </w:r>
            <w:r w:rsidRPr="00153630">
              <w:rPr>
                <w:i/>
              </w:rPr>
              <w:t>rity Act 2015</w:t>
            </w:r>
            <w:r>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 </w:t>
            </w:r>
          </w:p>
        </w:tc>
      </w:tr>
      <w:tr w:rsidR="003438A2" w:rsidRPr="00A11F8D" w14:paraId="25EA4712" w14:textId="77777777" w:rsidTr="0018617D">
        <w:tc>
          <w:tcPr>
            <w:tcW w:w="1509" w:type="pct"/>
          </w:tcPr>
          <w:p w14:paraId="788FB4BD" w14:textId="77777777" w:rsidR="003438A2" w:rsidRDefault="003438A2" w:rsidP="0018617D">
            <w:pPr>
              <w:pStyle w:val="TableText"/>
            </w:pPr>
            <w:r>
              <w:t>Biosecurity import risk analysis (BIRA)</w:t>
            </w:r>
          </w:p>
        </w:tc>
        <w:tc>
          <w:tcPr>
            <w:tcW w:w="3491" w:type="pct"/>
          </w:tcPr>
          <w:p w14:paraId="3C15A867" w14:textId="77777777" w:rsidR="003438A2" w:rsidRDefault="003438A2" w:rsidP="0018617D">
            <w:pPr>
              <w:pStyle w:val="TableText"/>
            </w:pPr>
            <w:r>
              <w:t xml:space="preserve">The </w:t>
            </w:r>
            <w:r w:rsidRPr="00A45052">
              <w:rPr>
                <w:i/>
              </w:rPr>
              <w:t>Biosecurity Act 2015</w:t>
            </w:r>
            <w:r>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3438A2" w:rsidRPr="00A11F8D" w14:paraId="7417C64F" w14:textId="77777777" w:rsidTr="0018617D">
        <w:tc>
          <w:tcPr>
            <w:tcW w:w="1509" w:type="pct"/>
          </w:tcPr>
          <w:p w14:paraId="27B5343D" w14:textId="77777777" w:rsidR="003438A2" w:rsidRPr="00A11F8D" w:rsidRDefault="003438A2" w:rsidP="0018617D">
            <w:pPr>
              <w:pStyle w:val="TableText"/>
            </w:pPr>
            <w:r>
              <w:t>Biosecurity risk</w:t>
            </w:r>
          </w:p>
        </w:tc>
        <w:tc>
          <w:tcPr>
            <w:tcW w:w="3491" w:type="pct"/>
          </w:tcPr>
          <w:p w14:paraId="6DA1D290" w14:textId="77777777" w:rsidR="003438A2" w:rsidRPr="00A11F8D" w:rsidRDefault="003438A2" w:rsidP="0018617D">
            <w:pPr>
              <w:pStyle w:val="TableText"/>
            </w:pPr>
            <w:r>
              <w:t xml:space="preserve">The </w:t>
            </w:r>
            <w:r w:rsidRPr="00153630">
              <w:rPr>
                <w:i/>
              </w:rPr>
              <w:t>Biosec</w:t>
            </w:r>
            <w:r>
              <w:rPr>
                <w:i/>
              </w:rPr>
              <w:t>u</w:t>
            </w:r>
            <w:r w:rsidRPr="00153630">
              <w:rPr>
                <w:i/>
              </w:rPr>
              <w:t>rity Act 2015</w:t>
            </w:r>
            <w:r>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 </w:t>
            </w:r>
          </w:p>
        </w:tc>
      </w:tr>
      <w:tr w:rsidR="003438A2" w:rsidRPr="00A11F8D" w14:paraId="2E01628F" w14:textId="77777777" w:rsidTr="0018617D">
        <w:tc>
          <w:tcPr>
            <w:tcW w:w="1509" w:type="pct"/>
          </w:tcPr>
          <w:p w14:paraId="4F1FC966" w14:textId="77777777" w:rsidR="003438A2" w:rsidRPr="00A11F8D" w:rsidRDefault="003438A2" w:rsidP="0018617D">
            <w:pPr>
              <w:pStyle w:val="TableText"/>
            </w:pPr>
            <w:r w:rsidRPr="00A11F8D">
              <w:t>Calyx</w:t>
            </w:r>
          </w:p>
        </w:tc>
        <w:tc>
          <w:tcPr>
            <w:tcW w:w="3491" w:type="pct"/>
          </w:tcPr>
          <w:p w14:paraId="117E1BE9" w14:textId="77777777" w:rsidR="003438A2" w:rsidRPr="00A11F8D" w:rsidRDefault="003438A2" w:rsidP="0018617D">
            <w:pPr>
              <w:pStyle w:val="TableText"/>
            </w:pPr>
            <w:r w:rsidRPr="00A11F8D">
              <w:t>A collective term referring to all of the sepals in a flower.</w:t>
            </w:r>
          </w:p>
        </w:tc>
      </w:tr>
      <w:tr w:rsidR="003438A2" w:rsidRPr="00A11F8D" w14:paraId="6CF9689D" w14:textId="77777777" w:rsidTr="0018617D">
        <w:tc>
          <w:tcPr>
            <w:tcW w:w="1509" w:type="pct"/>
          </w:tcPr>
          <w:p w14:paraId="062EC22C" w14:textId="77777777" w:rsidR="003438A2" w:rsidRPr="00A11F8D" w:rsidRDefault="003438A2" w:rsidP="0018617D">
            <w:pPr>
              <w:pStyle w:val="TableText"/>
            </w:pPr>
            <w:r w:rsidRPr="00A11F8D">
              <w:t>Consignment</w:t>
            </w:r>
          </w:p>
        </w:tc>
        <w:tc>
          <w:tcPr>
            <w:tcW w:w="3491" w:type="pct"/>
          </w:tcPr>
          <w:p w14:paraId="4ADBCAA1" w14:textId="77777777" w:rsidR="003438A2" w:rsidRPr="00A11F8D" w:rsidRDefault="003438A2" w:rsidP="0018617D">
            <w:pPr>
              <w:pStyle w:val="TableText"/>
            </w:pPr>
            <w:r w:rsidRPr="00A11F8D">
              <w:t xml:space="preserve">A quantity of plants, plant products or other articles being moved from one country to another and covered, when required, by a single phytosanitary certificate (a consignment may be composed of one or more commodities or lots) </w:t>
            </w:r>
            <w:r>
              <w:rPr>
                <w:noProof/>
              </w:rPr>
              <w:t>(FAO 2021c)</w:t>
            </w:r>
            <w:r w:rsidRPr="00A11F8D">
              <w:t>.</w:t>
            </w:r>
          </w:p>
        </w:tc>
      </w:tr>
      <w:tr w:rsidR="003438A2" w:rsidRPr="00A11F8D" w14:paraId="6D52CA3C" w14:textId="77777777" w:rsidTr="0018617D">
        <w:tc>
          <w:tcPr>
            <w:tcW w:w="1509" w:type="pct"/>
          </w:tcPr>
          <w:p w14:paraId="372F3EFB" w14:textId="77777777" w:rsidR="003438A2" w:rsidRPr="00A11F8D" w:rsidRDefault="003438A2" w:rsidP="0018617D">
            <w:pPr>
              <w:pStyle w:val="TableText"/>
            </w:pPr>
            <w:r w:rsidRPr="00A11F8D">
              <w:lastRenderedPageBreak/>
              <w:t>Control (of a pest)</w:t>
            </w:r>
          </w:p>
        </w:tc>
        <w:tc>
          <w:tcPr>
            <w:tcW w:w="3491" w:type="pct"/>
          </w:tcPr>
          <w:p w14:paraId="2A8FE50C" w14:textId="77777777" w:rsidR="003438A2" w:rsidRPr="00A11F8D" w:rsidRDefault="003438A2" w:rsidP="0018617D">
            <w:pPr>
              <w:pStyle w:val="TableText"/>
            </w:pPr>
            <w:r w:rsidRPr="00A11F8D">
              <w:t xml:space="preserve">Suppression, containment or eradication of a pest population </w:t>
            </w:r>
            <w:r>
              <w:rPr>
                <w:noProof/>
              </w:rPr>
              <w:t>(FAO 2015)</w:t>
            </w:r>
            <w:r w:rsidRPr="00A11F8D">
              <w:t>.</w:t>
            </w:r>
          </w:p>
        </w:tc>
      </w:tr>
      <w:tr w:rsidR="003438A2" w:rsidRPr="00A11F8D" w14:paraId="3964F464" w14:textId="77777777" w:rsidTr="0018617D">
        <w:tc>
          <w:tcPr>
            <w:tcW w:w="1509" w:type="pct"/>
          </w:tcPr>
          <w:p w14:paraId="1C254793" w14:textId="77777777" w:rsidR="003438A2" w:rsidRPr="00A11F8D" w:rsidRDefault="003438A2" w:rsidP="0018617D">
            <w:pPr>
              <w:pStyle w:val="TableText"/>
            </w:pPr>
            <w:r>
              <w:t>C</w:t>
            </w:r>
            <w:r w:rsidRPr="00A12104">
              <w:t>onidia</w:t>
            </w:r>
          </w:p>
        </w:tc>
        <w:tc>
          <w:tcPr>
            <w:tcW w:w="3491" w:type="pct"/>
          </w:tcPr>
          <w:p w14:paraId="5D379BE8" w14:textId="77777777" w:rsidR="003438A2" w:rsidRPr="00A11F8D" w:rsidRDefault="003438A2" w:rsidP="0018617D">
            <w:pPr>
              <w:pStyle w:val="TableText"/>
            </w:pPr>
            <w:r>
              <w:t>An asexually produced fungal spore.</w:t>
            </w:r>
          </w:p>
        </w:tc>
      </w:tr>
      <w:tr w:rsidR="003438A2" w:rsidRPr="00A11F8D" w14:paraId="72DD7905" w14:textId="77777777" w:rsidTr="0018617D">
        <w:tc>
          <w:tcPr>
            <w:tcW w:w="1509" w:type="pct"/>
          </w:tcPr>
          <w:p w14:paraId="71006363" w14:textId="77777777" w:rsidR="003438A2" w:rsidRPr="00A11F8D" w:rsidRDefault="003438A2" w:rsidP="0018617D">
            <w:pPr>
              <w:pStyle w:val="TableText"/>
            </w:pPr>
            <w:r w:rsidRPr="00A11F8D">
              <w:t>Diapause</w:t>
            </w:r>
          </w:p>
        </w:tc>
        <w:tc>
          <w:tcPr>
            <w:tcW w:w="3491" w:type="pct"/>
          </w:tcPr>
          <w:p w14:paraId="36F1BC9C" w14:textId="77777777" w:rsidR="003438A2" w:rsidRPr="00A11F8D" w:rsidRDefault="003438A2" w:rsidP="0018617D">
            <w:pPr>
              <w:pStyle w:val="TableText"/>
            </w:pPr>
            <w:r w:rsidRPr="00A11F8D">
              <w:t>Period of suspended development/growth occurring in some insects, in which metabolism is decreased.</w:t>
            </w:r>
          </w:p>
        </w:tc>
      </w:tr>
      <w:tr w:rsidR="003438A2" w:rsidRPr="00A11F8D" w14:paraId="55ED8F67" w14:textId="77777777" w:rsidTr="0018617D">
        <w:tc>
          <w:tcPr>
            <w:tcW w:w="1509" w:type="pct"/>
          </w:tcPr>
          <w:p w14:paraId="3578B88B" w14:textId="77777777" w:rsidR="003438A2" w:rsidRPr="00A11F8D" w:rsidRDefault="003438A2" w:rsidP="0018617D">
            <w:pPr>
              <w:pStyle w:val="TableText"/>
            </w:pPr>
            <w:r w:rsidRPr="00A11F8D">
              <w:t>Endemic</w:t>
            </w:r>
          </w:p>
        </w:tc>
        <w:tc>
          <w:tcPr>
            <w:tcW w:w="3491" w:type="pct"/>
          </w:tcPr>
          <w:p w14:paraId="734C6C8F" w14:textId="77777777" w:rsidR="003438A2" w:rsidRPr="00A11F8D" w:rsidRDefault="003438A2" w:rsidP="0018617D">
            <w:pPr>
              <w:pStyle w:val="TableText"/>
            </w:pPr>
            <w:r w:rsidRPr="00A11F8D">
              <w:t>Belonging to, native to, or prevalent in a particular geography, area or environment.</w:t>
            </w:r>
          </w:p>
        </w:tc>
      </w:tr>
      <w:tr w:rsidR="003438A2" w:rsidRPr="00A11F8D" w14:paraId="060601C2" w14:textId="77777777" w:rsidTr="0018617D">
        <w:tc>
          <w:tcPr>
            <w:tcW w:w="1509" w:type="pct"/>
          </w:tcPr>
          <w:p w14:paraId="15A33A29" w14:textId="77777777" w:rsidR="003438A2" w:rsidRPr="00A11F8D" w:rsidRDefault="003438A2" w:rsidP="0018617D">
            <w:pPr>
              <w:pStyle w:val="TableText"/>
            </w:pPr>
            <w:r w:rsidRPr="00A11F8D">
              <w:t>Entry (of a pest)</w:t>
            </w:r>
          </w:p>
        </w:tc>
        <w:tc>
          <w:tcPr>
            <w:tcW w:w="3491" w:type="pct"/>
          </w:tcPr>
          <w:p w14:paraId="31FB0545" w14:textId="77777777" w:rsidR="003438A2" w:rsidRPr="00A11F8D" w:rsidRDefault="003438A2" w:rsidP="0018617D">
            <w:pPr>
              <w:pStyle w:val="TableText"/>
            </w:pPr>
            <w:r w:rsidRPr="00A11F8D">
              <w:t xml:space="preserve">Movement of a pest into an area where it is not yet present, or present but not widely distributed and being officially controlled </w:t>
            </w:r>
            <w:r>
              <w:rPr>
                <w:noProof/>
              </w:rPr>
              <w:t>(FAO 2021c)</w:t>
            </w:r>
            <w:r w:rsidRPr="00A11F8D">
              <w:t>.</w:t>
            </w:r>
          </w:p>
        </w:tc>
      </w:tr>
      <w:tr w:rsidR="003438A2" w:rsidRPr="00A11F8D" w14:paraId="1167E4BB" w14:textId="77777777" w:rsidTr="0018617D">
        <w:tc>
          <w:tcPr>
            <w:tcW w:w="1509" w:type="pct"/>
          </w:tcPr>
          <w:p w14:paraId="2F7E3337" w14:textId="77777777" w:rsidR="003438A2" w:rsidRPr="00A11F8D" w:rsidRDefault="003438A2" w:rsidP="0018617D">
            <w:pPr>
              <w:pStyle w:val="TableText"/>
            </w:pPr>
            <w:r w:rsidRPr="00A11F8D">
              <w:t>Establishment (of a pest)</w:t>
            </w:r>
          </w:p>
        </w:tc>
        <w:tc>
          <w:tcPr>
            <w:tcW w:w="3491" w:type="pct"/>
          </w:tcPr>
          <w:p w14:paraId="177F8040" w14:textId="77777777" w:rsidR="003438A2" w:rsidRPr="00A11F8D" w:rsidRDefault="003438A2" w:rsidP="0018617D">
            <w:pPr>
              <w:pStyle w:val="TableText"/>
            </w:pPr>
            <w:r w:rsidRPr="00A11F8D">
              <w:t xml:space="preserve">Perpetuation, for the foreseeable future, of a pest within an area after entry </w:t>
            </w:r>
            <w:r>
              <w:rPr>
                <w:noProof/>
              </w:rPr>
              <w:t>(FAO 2021c)</w:t>
            </w:r>
            <w:r w:rsidRPr="00A11F8D">
              <w:t>.</w:t>
            </w:r>
          </w:p>
        </w:tc>
      </w:tr>
      <w:tr w:rsidR="003438A2" w:rsidRPr="00A11F8D" w14:paraId="0B543799" w14:textId="77777777" w:rsidTr="0018617D">
        <w:tc>
          <w:tcPr>
            <w:tcW w:w="1509" w:type="pct"/>
          </w:tcPr>
          <w:p w14:paraId="59BE865D" w14:textId="77777777" w:rsidR="003438A2" w:rsidRPr="00A11F8D" w:rsidRDefault="003438A2" w:rsidP="0018617D">
            <w:pPr>
              <w:pStyle w:val="TableText"/>
            </w:pPr>
            <w:r w:rsidRPr="00A11F8D">
              <w:t>Fresh</w:t>
            </w:r>
          </w:p>
        </w:tc>
        <w:tc>
          <w:tcPr>
            <w:tcW w:w="3491" w:type="pct"/>
          </w:tcPr>
          <w:p w14:paraId="7D3592F8" w14:textId="77777777" w:rsidR="003438A2" w:rsidRPr="00A11F8D" w:rsidRDefault="003438A2" w:rsidP="0018617D">
            <w:pPr>
              <w:pStyle w:val="TableText"/>
            </w:pPr>
            <w:r w:rsidRPr="00A11F8D">
              <w:t xml:space="preserve">Living; not dried, deep-frozen or otherwise conserved </w:t>
            </w:r>
            <w:r>
              <w:rPr>
                <w:noProof/>
              </w:rPr>
              <w:t>(FAO 2021c)</w:t>
            </w:r>
            <w:r w:rsidRPr="00A11F8D">
              <w:t>.</w:t>
            </w:r>
          </w:p>
        </w:tc>
      </w:tr>
      <w:tr w:rsidR="003438A2" w:rsidRPr="00A11F8D" w14:paraId="01B5D3E7" w14:textId="77777777" w:rsidTr="0018617D">
        <w:tc>
          <w:tcPr>
            <w:tcW w:w="1509" w:type="pct"/>
          </w:tcPr>
          <w:p w14:paraId="38E593AB" w14:textId="77777777" w:rsidR="003438A2" w:rsidRPr="00A11F8D" w:rsidRDefault="003438A2" w:rsidP="0018617D">
            <w:pPr>
              <w:pStyle w:val="TableText"/>
            </w:pPr>
            <w:r w:rsidRPr="00A11F8D">
              <w:t>Fumigation</w:t>
            </w:r>
          </w:p>
        </w:tc>
        <w:tc>
          <w:tcPr>
            <w:tcW w:w="3491" w:type="pct"/>
          </w:tcPr>
          <w:p w14:paraId="5A5ECB9B" w14:textId="77777777" w:rsidR="003438A2" w:rsidRPr="00A11F8D" w:rsidRDefault="003438A2" w:rsidP="0018617D">
            <w:pPr>
              <w:pStyle w:val="TableText"/>
            </w:pPr>
            <w:r w:rsidRPr="00A11F8D">
              <w:t>A method of pest control that completely fills an area with gaseous pesticides to suffocate or poison the pests within.</w:t>
            </w:r>
          </w:p>
        </w:tc>
      </w:tr>
      <w:tr w:rsidR="003438A2" w:rsidRPr="00A11F8D" w14:paraId="5CFD445F" w14:textId="77777777" w:rsidTr="0018617D">
        <w:tc>
          <w:tcPr>
            <w:tcW w:w="1509" w:type="pct"/>
          </w:tcPr>
          <w:p w14:paraId="378EE92F" w14:textId="77777777" w:rsidR="003438A2" w:rsidRPr="00A11F8D" w:rsidRDefault="003438A2" w:rsidP="0018617D">
            <w:pPr>
              <w:pStyle w:val="TableText"/>
            </w:pPr>
            <w:r w:rsidRPr="00A11F8D">
              <w:t>Genus</w:t>
            </w:r>
          </w:p>
        </w:tc>
        <w:tc>
          <w:tcPr>
            <w:tcW w:w="3491" w:type="pct"/>
          </w:tcPr>
          <w:p w14:paraId="0094869F" w14:textId="77777777" w:rsidR="003438A2" w:rsidRPr="00A11F8D" w:rsidRDefault="003438A2" w:rsidP="0018617D">
            <w:pPr>
              <w:pStyle w:val="TableText"/>
            </w:pPr>
            <w:r w:rsidRPr="00A11F8D">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3438A2" w:rsidRPr="00A11F8D" w14:paraId="51ED02F6" w14:textId="77777777" w:rsidTr="0018617D">
        <w:tc>
          <w:tcPr>
            <w:tcW w:w="1509" w:type="pct"/>
          </w:tcPr>
          <w:p w14:paraId="7B34DCB5" w14:textId="77777777" w:rsidR="003438A2" w:rsidRPr="00A11F8D" w:rsidRDefault="003438A2" w:rsidP="0018617D">
            <w:pPr>
              <w:pStyle w:val="TableText"/>
            </w:pPr>
            <w:r>
              <w:t>Goods</w:t>
            </w:r>
          </w:p>
        </w:tc>
        <w:tc>
          <w:tcPr>
            <w:tcW w:w="3491" w:type="pct"/>
          </w:tcPr>
          <w:p w14:paraId="3603FC26" w14:textId="77777777" w:rsidR="003438A2" w:rsidRPr="00A11F8D" w:rsidRDefault="003438A2" w:rsidP="0018617D">
            <w:pPr>
              <w:pStyle w:val="TableText"/>
            </w:pPr>
            <w:r>
              <w:t xml:space="preserve">The </w:t>
            </w:r>
            <w:r w:rsidRPr="00CC1408">
              <w:rPr>
                <w:i/>
              </w:rPr>
              <w:t>Biosecurity Act 2015</w:t>
            </w:r>
            <w:r>
              <w:t xml:space="preserve"> defines goods as an animal, a plant (whether moveable or not), a sample or specimen of a disease agent, a pest, mail or any other article, substance or thing (including, but not limited to, any kind of moveable property).</w:t>
            </w:r>
          </w:p>
        </w:tc>
      </w:tr>
      <w:tr w:rsidR="003438A2" w:rsidRPr="00A11F8D" w14:paraId="550021DC" w14:textId="77777777" w:rsidTr="0018617D">
        <w:tc>
          <w:tcPr>
            <w:tcW w:w="1509" w:type="pct"/>
          </w:tcPr>
          <w:p w14:paraId="0C978A50" w14:textId="77777777" w:rsidR="003438A2" w:rsidRPr="00A11F8D" w:rsidRDefault="003438A2" w:rsidP="0018617D">
            <w:pPr>
              <w:pStyle w:val="TableText"/>
            </w:pPr>
            <w:r w:rsidRPr="00A11F8D">
              <w:t>Host</w:t>
            </w:r>
          </w:p>
        </w:tc>
        <w:tc>
          <w:tcPr>
            <w:tcW w:w="3491" w:type="pct"/>
          </w:tcPr>
          <w:p w14:paraId="2CA1C49A" w14:textId="77777777" w:rsidR="003438A2" w:rsidRPr="00A11F8D" w:rsidRDefault="003438A2" w:rsidP="0018617D">
            <w:pPr>
              <w:pStyle w:val="TableText"/>
            </w:pPr>
            <w:r w:rsidRPr="00A11F8D">
              <w:t>An organism that harbours a parasite, mutual partner, or commensal partner, typically providing nourishment and shelter.</w:t>
            </w:r>
          </w:p>
        </w:tc>
      </w:tr>
      <w:tr w:rsidR="003438A2" w:rsidRPr="00A11F8D" w14:paraId="618A3CBA" w14:textId="77777777" w:rsidTr="0018617D">
        <w:tc>
          <w:tcPr>
            <w:tcW w:w="1509" w:type="pct"/>
          </w:tcPr>
          <w:p w14:paraId="011FCD91" w14:textId="77777777" w:rsidR="003438A2" w:rsidRPr="00A11F8D" w:rsidRDefault="003438A2" w:rsidP="0018617D">
            <w:pPr>
              <w:pStyle w:val="TableText"/>
            </w:pPr>
            <w:r w:rsidRPr="00A11F8D">
              <w:t>Host range</w:t>
            </w:r>
          </w:p>
        </w:tc>
        <w:tc>
          <w:tcPr>
            <w:tcW w:w="3491" w:type="pct"/>
          </w:tcPr>
          <w:p w14:paraId="3C1DE295" w14:textId="77777777" w:rsidR="003438A2" w:rsidRPr="00A11F8D" w:rsidRDefault="003438A2" w:rsidP="0018617D">
            <w:pPr>
              <w:pStyle w:val="TableText"/>
            </w:pPr>
            <w:r w:rsidRPr="00A11F8D">
              <w:t xml:space="preserve">Species capable, under natural conditions, of sustaining a specific pest or other organism </w:t>
            </w:r>
            <w:r>
              <w:rPr>
                <w:noProof/>
              </w:rPr>
              <w:t>(FAO 2021c)</w:t>
            </w:r>
            <w:r w:rsidRPr="00A11F8D">
              <w:t>.</w:t>
            </w:r>
          </w:p>
        </w:tc>
      </w:tr>
      <w:tr w:rsidR="003438A2" w:rsidRPr="00A11F8D" w14:paraId="30E0AE4D" w14:textId="77777777" w:rsidTr="0018617D">
        <w:tc>
          <w:tcPr>
            <w:tcW w:w="1509" w:type="pct"/>
          </w:tcPr>
          <w:p w14:paraId="0F48A5A2" w14:textId="77777777" w:rsidR="003438A2" w:rsidRPr="00A11F8D" w:rsidRDefault="003438A2" w:rsidP="0018617D">
            <w:pPr>
              <w:pStyle w:val="TableText"/>
            </w:pPr>
            <w:r w:rsidRPr="00A11F8D">
              <w:t>Import permit</w:t>
            </w:r>
          </w:p>
        </w:tc>
        <w:tc>
          <w:tcPr>
            <w:tcW w:w="3491" w:type="pct"/>
          </w:tcPr>
          <w:p w14:paraId="7106E734" w14:textId="77777777" w:rsidR="003438A2" w:rsidRPr="00A11F8D" w:rsidRDefault="003438A2" w:rsidP="0018617D">
            <w:pPr>
              <w:pStyle w:val="TableText"/>
            </w:pPr>
            <w:r w:rsidRPr="00A11F8D">
              <w:t xml:space="preserve">Official document authorising importation of a commodity in accordance with specified phytosanitary import requirements </w:t>
            </w:r>
            <w:r>
              <w:rPr>
                <w:noProof/>
              </w:rPr>
              <w:t>(FAO 2021c)</w:t>
            </w:r>
            <w:r w:rsidRPr="00A11F8D">
              <w:t>.</w:t>
            </w:r>
          </w:p>
        </w:tc>
      </w:tr>
      <w:tr w:rsidR="003438A2" w:rsidRPr="00A11F8D" w14:paraId="25E15EE0" w14:textId="77777777" w:rsidTr="0018617D">
        <w:tc>
          <w:tcPr>
            <w:tcW w:w="1509" w:type="pct"/>
          </w:tcPr>
          <w:p w14:paraId="368B95EB" w14:textId="77777777" w:rsidR="003438A2" w:rsidRPr="00A11F8D" w:rsidRDefault="003438A2" w:rsidP="0018617D">
            <w:pPr>
              <w:pStyle w:val="TableText"/>
            </w:pPr>
            <w:r w:rsidRPr="00A11F8D">
              <w:t>Infection</w:t>
            </w:r>
          </w:p>
        </w:tc>
        <w:tc>
          <w:tcPr>
            <w:tcW w:w="3491" w:type="pct"/>
          </w:tcPr>
          <w:p w14:paraId="240318F6" w14:textId="77777777" w:rsidR="003438A2" w:rsidRPr="00A11F8D" w:rsidRDefault="003438A2" w:rsidP="0018617D">
            <w:pPr>
              <w:pStyle w:val="TableText"/>
            </w:pPr>
            <w:r w:rsidRPr="00A11F8D">
              <w:t>The internal ‘endophytic’ colonisation of a plant, or plant organ, and is generally associated with the development of disease symptoms as the integrity of cells and/or biological processes are disrupted.</w:t>
            </w:r>
          </w:p>
        </w:tc>
      </w:tr>
      <w:tr w:rsidR="003438A2" w:rsidRPr="00A11F8D" w14:paraId="08288370" w14:textId="77777777" w:rsidTr="0018617D">
        <w:tc>
          <w:tcPr>
            <w:tcW w:w="1509" w:type="pct"/>
          </w:tcPr>
          <w:p w14:paraId="5201721E" w14:textId="77777777" w:rsidR="003438A2" w:rsidRPr="00A11F8D" w:rsidRDefault="003438A2" w:rsidP="0018617D">
            <w:pPr>
              <w:pStyle w:val="TableText"/>
            </w:pPr>
            <w:r w:rsidRPr="00A11F8D">
              <w:t>Infestation (of a commodity)</w:t>
            </w:r>
          </w:p>
        </w:tc>
        <w:tc>
          <w:tcPr>
            <w:tcW w:w="3491" w:type="pct"/>
          </w:tcPr>
          <w:p w14:paraId="1C83D253" w14:textId="77777777" w:rsidR="003438A2" w:rsidRPr="00A11F8D" w:rsidRDefault="003438A2" w:rsidP="0018617D">
            <w:pPr>
              <w:pStyle w:val="TableText"/>
            </w:pPr>
            <w:r w:rsidRPr="00A11F8D">
              <w:t xml:space="preserve">Presence in a commodity of a living pest of the plant or plant product concerned. Infestation includes infection </w:t>
            </w:r>
            <w:r>
              <w:rPr>
                <w:noProof/>
              </w:rPr>
              <w:t>(FAO 2021c)</w:t>
            </w:r>
            <w:r w:rsidRPr="00A11F8D">
              <w:t>.</w:t>
            </w:r>
          </w:p>
        </w:tc>
      </w:tr>
      <w:tr w:rsidR="003438A2" w:rsidRPr="00A11F8D" w14:paraId="3C0F52C0" w14:textId="77777777" w:rsidTr="0018617D">
        <w:tc>
          <w:tcPr>
            <w:tcW w:w="1509" w:type="pct"/>
          </w:tcPr>
          <w:p w14:paraId="15470587" w14:textId="77777777" w:rsidR="003438A2" w:rsidRPr="00A11F8D" w:rsidRDefault="003438A2" w:rsidP="0018617D">
            <w:pPr>
              <w:pStyle w:val="TableText"/>
            </w:pPr>
            <w:r w:rsidRPr="00A11F8D">
              <w:t>Inspection</w:t>
            </w:r>
          </w:p>
        </w:tc>
        <w:tc>
          <w:tcPr>
            <w:tcW w:w="3491" w:type="pct"/>
          </w:tcPr>
          <w:p w14:paraId="60ABDB77" w14:textId="77777777" w:rsidR="003438A2" w:rsidRPr="00A11F8D" w:rsidRDefault="003438A2" w:rsidP="0018617D">
            <w:pPr>
              <w:pStyle w:val="TableText"/>
            </w:pPr>
            <w:r w:rsidRPr="00A11F8D">
              <w:t xml:space="preserve">Official visual examination of plants, plant products or other regulated articles to determine if pests are present or to determine compliance with phytosanitary regulations </w:t>
            </w:r>
            <w:r>
              <w:rPr>
                <w:noProof/>
              </w:rPr>
              <w:t>(FAO 2021c)</w:t>
            </w:r>
            <w:r w:rsidRPr="00A11F8D">
              <w:t>.</w:t>
            </w:r>
          </w:p>
        </w:tc>
      </w:tr>
      <w:tr w:rsidR="003438A2" w:rsidRPr="00A11F8D" w14:paraId="7A13F9E9" w14:textId="77777777" w:rsidTr="0018617D">
        <w:tc>
          <w:tcPr>
            <w:tcW w:w="1509" w:type="pct"/>
          </w:tcPr>
          <w:p w14:paraId="32E66685" w14:textId="77777777" w:rsidR="003438A2" w:rsidRPr="00A11F8D" w:rsidRDefault="003438A2" w:rsidP="0018617D">
            <w:pPr>
              <w:pStyle w:val="TableText"/>
            </w:pPr>
            <w:r w:rsidRPr="00A11F8D">
              <w:t>Intended use</w:t>
            </w:r>
          </w:p>
        </w:tc>
        <w:tc>
          <w:tcPr>
            <w:tcW w:w="3491" w:type="pct"/>
          </w:tcPr>
          <w:p w14:paraId="4BF7BCD4" w14:textId="77777777" w:rsidR="003438A2" w:rsidRPr="00A11F8D" w:rsidRDefault="003438A2" w:rsidP="0018617D">
            <w:pPr>
              <w:pStyle w:val="TableText"/>
            </w:pPr>
            <w:r w:rsidRPr="00A11F8D">
              <w:t xml:space="preserve">Declared purpose for which plants, plant products, or other regulated articles are imported, produced or used </w:t>
            </w:r>
            <w:r>
              <w:rPr>
                <w:noProof/>
              </w:rPr>
              <w:t>(FAO 2021c)</w:t>
            </w:r>
            <w:r w:rsidRPr="00A11F8D">
              <w:t>.</w:t>
            </w:r>
          </w:p>
        </w:tc>
      </w:tr>
      <w:tr w:rsidR="003438A2" w:rsidRPr="00A11F8D" w14:paraId="357AC295" w14:textId="77777777" w:rsidTr="0018617D">
        <w:tc>
          <w:tcPr>
            <w:tcW w:w="1509" w:type="pct"/>
          </w:tcPr>
          <w:p w14:paraId="6B676B3C" w14:textId="77777777" w:rsidR="003438A2" w:rsidRPr="00A11F8D" w:rsidRDefault="003438A2" w:rsidP="0018617D">
            <w:pPr>
              <w:pStyle w:val="TableText"/>
            </w:pPr>
            <w:r w:rsidRPr="00A11F8D">
              <w:t>Interception (of a pest)</w:t>
            </w:r>
          </w:p>
        </w:tc>
        <w:tc>
          <w:tcPr>
            <w:tcW w:w="3491" w:type="pct"/>
          </w:tcPr>
          <w:p w14:paraId="7989C5EB" w14:textId="77777777" w:rsidR="003438A2" w:rsidRPr="00A11F8D" w:rsidRDefault="003438A2" w:rsidP="0018617D">
            <w:pPr>
              <w:pStyle w:val="TableText"/>
            </w:pPr>
            <w:r w:rsidRPr="00A11F8D">
              <w:t xml:space="preserve">The detection of a pest during inspection or testing of an imported consignment </w:t>
            </w:r>
            <w:r>
              <w:rPr>
                <w:noProof/>
              </w:rPr>
              <w:t>(FAO 2021c)</w:t>
            </w:r>
            <w:r w:rsidRPr="00A11F8D">
              <w:t>.</w:t>
            </w:r>
          </w:p>
        </w:tc>
      </w:tr>
      <w:tr w:rsidR="003438A2" w:rsidRPr="00A11F8D" w14:paraId="69DC5823" w14:textId="77777777" w:rsidTr="0018617D">
        <w:tc>
          <w:tcPr>
            <w:tcW w:w="1509" w:type="pct"/>
          </w:tcPr>
          <w:p w14:paraId="41878B7F" w14:textId="77777777" w:rsidR="003438A2" w:rsidRPr="00A11F8D" w:rsidRDefault="003438A2" w:rsidP="0018617D">
            <w:pPr>
              <w:pStyle w:val="TableText"/>
            </w:pPr>
            <w:r>
              <w:t>International Plant Protection Convention (IPPC)</w:t>
            </w:r>
          </w:p>
        </w:tc>
        <w:tc>
          <w:tcPr>
            <w:tcW w:w="3491" w:type="pct"/>
          </w:tcPr>
          <w:p w14:paraId="07FF57EA" w14:textId="77777777" w:rsidR="003438A2" w:rsidRPr="00A11F8D" w:rsidRDefault="003438A2" w:rsidP="0018617D">
            <w:pPr>
              <w:pStyle w:val="TableText"/>
            </w:pPr>
            <w:r w:rsidRPr="00FD1510">
              <w:rPr>
                <w:lang w:val="en"/>
              </w:rPr>
              <w:t xml:space="preserve">The IPPC </w:t>
            </w:r>
            <w:r>
              <w:rPr>
                <w:lang w:val="en"/>
              </w:rPr>
              <w:t xml:space="preserve">is an international plant health agreement, established in 1952, that aims to protect cultivated and wild plants by preventing the introduction and spread of pests. The IPPC </w:t>
            </w:r>
            <w:r w:rsidRPr="00FD1510">
              <w:rPr>
                <w:lang w:val="en"/>
              </w:rPr>
              <w:t>provides an international framework for plant protection that includes developing International Standards for Phytosanitary Measures (ISPMs) for safeguarding plant resources.</w:t>
            </w:r>
          </w:p>
        </w:tc>
      </w:tr>
      <w:tr w:rsidR="003438A2" w:rsidRPr="00A11F8D" w14:paraId="52114526" w14:textId="77777777" w:rsidTr="0018617D">
        <w:tc>
          <w:tcPr>
            <w:tcW w:w="1509" w:type="pct"/>
          </w:tcPr>
          <w:p w14:paraId="452E3665" w14:textId="77777777" w:rsidR="003438A2" w:rsidRPr="00A11F8D" w:rsidRDefault="003438A2" w:rsidP="0018617D">
            <w:pPr>
              <w:pStyle w:val="TableText"/>
            </w:pPr>
            <w:r w:rsidRPr="00A11F8D">
              <w:t>International Standard for Phytosanitary Measures (ISPM)</w:t>
            </w:r>
          </w:p>
        </w:tc>
        <w:tc>
          <w:tcPr>
            <w:tcW w:w="3491" w:type="pct"/>
          </w:tcPr>
          <w:p w14:paraId="18E987F3" w14:textId="77777777" w:rsidR="003438A2" w:rsidRPr="00A11F8D" w:rsidRDefault="003438A2" w:rsidP="0018617D">
            <w:pPr>
              <w:pStyle w:val="TableText"/>
            </w:pPr>
            <w:r w:rsidRPr="00A11F8D">
              <w:t>An international standard adopted by the Conference of the Food and Agriculture Organization, the Interim Commission on Phytosanitary Measures or the Commission on Phytosanitary Mea</w:t>
            </w:r>
            <w:r>
              <w:t>sures, established under the IPP</w:t>
            </w:r>
            <w:r w:rsidRPr="00A11F8D">
              <w:t xml:space="preserve">C </w:t>
            </w:r>
            <w:r>
              <w:rPr>
                <w:noProof/>
              </w:rPr>
              <w:t>(FAO 2021c)</w:t>
            </w:r>
            <w:r w:rsidRPr="00A11F8D">
              <w:t>.</w:t>
            </w:r>
          </w:p>
        </w:tc>
      </w:tr>
      <w:tr w:rsidR="003438A2" w:rsidRPr="00A11F8D" w14:paraId="5D678C37" w14:textId="77777777" w:rsidTr="0018617D">
        <w:tc>
          <w:tcPr>
            <w:tcW w:w="1509" w:type="pct"/>
          </w:tcPr>
          <w:p w14:paraId="7B96B4C4" w14:textId="77777777" w:rsidR="003438A2" w:rsidRPr="00A11F8D" w:rsidRDefault="003438A2" w:rsidP="0018617D">
            <w:pPr>
              <w:pStyle w:val="TableText"/>
            </w:pPr>
            <w:r w:rsidRPr="00A11F8D">
              <w:t>Introduction (of a pest)</w:t>
            </w:r>
          </w:p>
        </w:tc>
        <w:tc>
          <w:tcPr>
            <w:tcW w:w="3491" w:type="pct"/>
          </w:tcPr>
          <w:p w14:paraId="5FA1CDF8" w14:textId="77777777" w:rsidR="003438A2" w:rsidRPr="00A11F8D" w:rsidRDefault="003438A2" w:rsidP="0018617D">
            <w:pPr>
              <w:pStyle w:val="TableText"/>
            </w:pPr>
            <w:r w:rsidRPr="00A11F8D">
              <w:t xml:space="preserve">The entry of a pest resulting in its establishment </w:t>
            </w:r>
            <w:r>
              <w:rPr>
                <w:noProof/>
              </w:rPr>
              <w:t>(FAO 2021c)</w:t>
            </w:r>
            <w:r w:rsidRPr="00A11F8D">
              <w:t>.</w:t>
            </w:r>
          </w:p>
        </w:tc>
      </w:tr>
      <w:tr w:rsidR="003438A2" w:rsidRPr="00A11F8D" w14:paraId="509A4DA2" w14:textId="77777777" w:rsidTr="0018617D">
        <w:tc>
          <w:tcPr>
            <w:tcW w:w="1509" w:type="pct"/>
          </w:tcPr>
          <w:p w14:paraId="687B141D" w14:textId="77777777" w:rsidR="003438A2" w:rsidRPr="00A11F8D" w:rsidRDefault="003438A2" w:rsidP="0018617D">
            <w:pPr>
              <w:pStyle w:val="TableText"/>
            </w:pPr>
            <w:r w:rsidRPr="00A11F8D">
              <w:t>Larva</w:t>
            </w:r>
          </w:p>
        </w:tc>
        <w:tc>
          <w:tcPr>
            <w:tcW w:w="3491" w:type="pct"/>
          </w:tcPr>
          <w:p w14:paraId="54BF7938" w14:textId="77777777" w:rsidR="003438A2" w:rsidRPr="00A11F8D" w:rsidRDefault="003438A2" w:rsidP="0018617D">
            <w:pPr>
              <w:pStyle w:val="TableText"/>
            </w:pPr>
            <w:r w:rsidRPr="00A11F8D">
              <w:t xml:space="preserve">A juvenile form of animal </w:t>
            </w:r>
            <w:r>
              <w:t xml:space="preserve">(plural: larvae) </w:t>
            </w:r>
            <w:r w:rsidRPr="00A11F8D">
              <w:t>with indirect development, undergoing metamorphosis (for example, insects or amphibians).</w:t>
            </w:r>
          </w:p>
        </w:tc>
      </w:tr>
      <w:tr w:rsidR="003438A2" w:rsidRPr="00A11F8D" w14:paraId="51248B18" w14:textId="77777777" w:rsidTr="0018617D">
        <w:tc>
          <w:tcPr>
            <w:tcW w:w="1509" w:type="pct"/>
          </w:tcPr>
          <w:p w14:paraId="4AA11618" w14:textId="77777777" w:rsidR="003438A2" w:rsidRPr="00A11F8D" w:rsidRDefault="003438A2" w:rsidP="0018617D">
            <w:pPr>
              <w:pStyle w:val="TableText"/>
            </w:pPr>
            <w:r>
              <w:lastRenderedPageBreak/>
              <w:t>Lenticel</w:t>
            </w:r>
          </w:p>
        </w:tc>
        <w:tc>
          <w:tcPr>
            <w:tcW w:w="3491" w:type="pct"/>
          </w:tcPr>
          <w:p w14:paraId="20D9732F" w14:textId="77777777" w:rsidR="003438A2" w:rsidRPr="00A11F8D" w:rsidRDefault="003438A2" w:rsidP="0018617D">
            <w:pPr>
              <w:pStyle w:val="TableText"/>
            </w:pPr>
            <w:r>
              <w:t>A small porous spot on the epiderm of the apple</w:t>
            </w:r>
          </w:p>
        </w:tc>
      </w:tr>
      <w:tr w:rsidR="003438A2" w:rsidRPr="00A11F8D" w14:paraId="17802E5D" w14:textId="77777777" w:rsidTr="0018617D">
        <w:tc>
          <w:tcPr>
            <w:tcW w:w="1509" w:type="pct"/>
          </w:tcPr>
          <w:p w14:paraId="01F8FA54" w14:textId="77777777" w:rsidR="003438A2" w:rsidRPr="00A11F8D" w:rsidRDefault="003438A2" w:rsidP="0018617D">
            <w:pPr>
              <w:pStyle w:val="TableText"/>
            </w:pPr>
            <w:r w:rsidRPr="00A11F8D">
              <w:t>Lot</w:t>
            </w:r>
          </w:p>
        </w:tc>
        <w:tc>
          <w:tcPr>
            <w:tcW w:w="3491" w:type="pct"/>
          </w:tcPr>
          <w:p w14:paraId="47A81D7D" w14:textId="77777777" w:rsidR="003438A2" w:rsidRPr="00A11F8D" w:rsidRDefault="003438A2" w:rsidP="0018617D">
            <w:pPr>
              <w:pStyle w:val="TableText"/>
            </w:pPr>
            <w:r w:rsidRPr="00A11F8D">
              <w:t xml:space="preserve">A number of units of a single commodity, identifiable by its homogeneity of composition, origin et cetera, forming part of a consignment </w:t>
            </w:r>
            <w:r>
              <w:rPr>
                <w:noProof/>
              </w:rPr>
              <w:t>(FAO 2015)</w:t>
            </w:r>
            <w:r w:rsidRPr="00A11F8D">
              <w:t>. Within this report a ‘lot’ refers to a quantity of fruit of a single variety, harvested from a single production site during a single pick and packed at one time.</w:t>
            </w:r>
          </w:p>
        </w:tc>
      </w:tr>
      <w:tr w:rsidR="003438A2" w:rsidRPr="00A11F8D" w14:paraId="55982AE1" w14:textId="77777777" w:rsidTr="0018617D">
        <w:tc>
          <w:tcPr>
            <w:tcW w:w="1509" w:type="pct"/>
          </w:tcPr>
          <w:p w14:paraId="2B7F6A1F" w14:textId="77777777" w:rsidR="003438A2" w:rsidRPr="00A11F8D" w:rsidRDefault="003438A2" w:rsidP="0018617D">
            <w:pPr>
              <w:pStyle w:val="TableText"/>
            </w:pPr>
            <w:r w:rsidRPr="00A11F8D">
              <w:t>Mature fruit</w:t>
            </w:r>
          </w:p>
        </w:tc>
        <w:tc>
          <w:tcPr>
            <w:tcW w:w="3491" w:type="pct"/>
          </w:tcPr>
          <w:p w14:paraId="5216F3EA" w14:textId="77777777" w:rsidR="003438A2" w:rsidRPr="00A11F8D" w:rsidRDefault="003438A2" w:rsidP="0018617D">
            <w:pPr>
              <w:pStyle w:val="TableText"/>
            </w:pPr>
            <w:r w:rsidRPr="00A11F8D">
              <w:t>Commercial maturity is the start of the ripening process. The ripening process will then continue and provide a product that is consumer-acceptable. Maturity ass</w:t>
            </w:r>
            <w:r>
              <w:t xml:space="preserve">essments include colour, </w:t>
            </w:r>
            <w:r w:rsidRPr="004764EF">
              <w:t>starch pattern index</w:t>
            </w:r>
            <w:r w:rsidRPr="00A11F8D">
              <w:t>, soluble solids content, flesh firmness, acidity, and ethylene production rate.</w:t>
            </w:r>
          </w:p>
        </w:tc>
      </w:tr>
      <w:tr w:rsidR="003438A2" w:rsidRPr="00A11F8D" w14:paraId="783999FA" w14:textId="77777777" w:rsidTr="0018617D">
        <w:tc>
          <w:tcPr>
            <w:tcW w:w="1509" w:type="pct"/>
          </w:tcPr>
          <w:p w14:paraId="49B1CF88" w14:textId="77777777" w:rsidR="003438A2" w:rsidRPr="00A11F8D" w:rsidRDefault="003438A2" w:rsidP="0018617D">
            <w:pPr>
              <w:pStyle w:val="TableText"/>
            </w:pPr>
            <w:r w:rsidRPr="00A11F8D">
              <w:t>National Plant Protection Organization (NPPO)</w:t>
            </w:r>
          </w:p>
        </w:tc>
        <w:tc>
          <w:tcPr>
            <w:tcW w:w="3491" w:type="pct"/>
          </w:tcPr>
          <w:p w14:paraId="45736D6C" w14:textId="77777777" w:rsidR="003438A2" w:rsidRPr="00A11F8D" w:rsidRDefault="003438A2" w:rsidP="0018617D">
            <w:pPr>
              <w:pStyle w:val="TableText"/>
            </w:pPr>
            <w:r w:rsidRPr="00A11F8D">
              <w:t xml:space="preserve">Official service established by a government to discharge the functions specified by the IPPC </w:t>
            </w:r>
            <w:r>
              <w:rPr>
                <w:noProof/>
              </w:rPr>
              <w:t>(FAO 2021c)</w:t>
            </w:r>
            <w:r w:rsidRPr="00A11F8D">
              <w:t>.</w:t>
            </w:r>
          </w:p>
        </w:tc>
      </w:tr>
      <w:tr w:rsidR="003438A2" w:rsidRPr="00A11F8D" w14:paraId="4B6927D0" w14:textId="77777777" w:rsidTr="0018617D">
        <w:tc>
          <w:tcPr>
            <w:tcW w:w="1509" w:type="pct"/>
          </w:tcPr>
          <w:p w14:paraId="54D5128A" w14:textId="77777777" w:rsidR="003438A2" w:rsidRPr="00A11F8D" w:rsidRDefault="003438A2" w:rsidP="0018617D">
            <w:pPr>
              <w:pStyle w:val="TableText"/>
            </w:pPr>
            <w:r>
              <w:t>Non-regulated risk analysis</w:t>
            </w:r>
          </w:p>
        </w:tc>
        <w:tc>
          <w:tcPr>
            <w:tcW w:w="3491" w:type="pct"/>
          </w:tcPr>
          <w:p w14:paraId="0D3528C1" w14:textId="77777777" w:rsidR="003438A2" w:rsidRPr="00A11F8D" w:rsidRDefault="003438A2" w:rsidP="0018617D">
            <w:pPr>
              <w:pStyle w:val="TableText"/>
            </w:pPr>
            <w:r>
              <w:t>Refers to the process for conducting a risk analysis that is not regulated under legislation (Biosecurity import risk analysis guidelines 2016).</w:t>
            </w:r>
          </w:p>
        </w:tc>
      </w:tr>
      <w:tr w:rsidR="003438A2" w:rsidRPr="00A11F8D" w14:paraId="3582EA29" w14:textId="77777777" w:rsidTr="0018617D">
        <w:tc>
          <w:tcPr>
            <w:tcW w:w="1509" w:type="pct"/>
          </w:tcPr>
          <w:p w14:paraId="1C293D24" w14:textId="77777777" w:rsidR="003438A2" w:rsidRPr="00A11F8D" w:rsidRDefault="003438A2" w:rsidP="0018617D">
            <w:pPr>
              <w:pStyle w:val="TableText"/>
            </w:pPr>
            <w:r w:rsidRPr="00A11F8D">
              <w:t>Nymph</w:t>
            </w:r>
          </w:p>
        </w:tc>
        <w:tc>
          <w:tcPr>
            <w:tcW w:w="3491" w:type="pct"/>
          </w:tcPr>
          <w:p w14:paraId="751B5B1A" w14:textId="77777777" w:rsidR="003438A2" w:rsidRPr="00A11F8D" w:rsidRDefault="003438A2" w:rsidP="0018617D">
            <w:pPr>
              <w:pStyle w:val="TableText"/>
            </w:pPr>
            <w:r w:rsidRPr="00A11F8D">
              <w:t>The immature form of some insect species that undergoes incomplete m</w:t>
            </w:r>
            <w:r>
              <w:t>etamorphosis.</w:t>
            </w:r>
            <w:r w:rsidRPr="00A11F8D">
              <w:t xml:space="preserve"> It is not to be confused with larva, as its overall form is already that of the adult.</w:t>
            </w:r>
          </w:p>
        </w:tc>
      </w:tr>
      <w:tr w:rsidR="003438A2" w:rsidRPr="00A11F8D" w14:paraId="3E3A407F" w14:textId="77777777" w:rsidTr="0018617D">
        <w:tc>
          <w:tcPr>
            <w:tcW w:w="1509" w:type="pct"/>
          </w:tcPr>
          <w:p w14:paraId="7A5DE827" w14:textId="77777777" w:rsidR="003438A2" w:rsidRPr="00A11F8D" w:rsidRDefault="003438A2" w:rsidP="0018617D">
            <w:pPr>
              <w:pStyle w:val="TableText"/>
            </w:pPr>
            <w:r w:rsidRPr="00A11F8D">
              <w:t>Official control</w:t>
            </w:r>
          </w:p>
        </w:tc>
        <w:tc>
          <w:tcPr>
            <w:tcW w:w="3491" w:type="pct"/>
          </w:tcPr>
          <w:p w14:paraId="7FA02862" w14:textId="77777777" w:rsidR="003438A2" w:rsidRPr="00A11F8D" w:rsidRDefault="003438A2" w:rsidP="0018617D">
            <w:pPr>
              <w:pStyle w:val="TableText"/>
            </w:pPr>
            <w:r w:rsidRPr="00A11F8D">
              <w:t xml:space="preserve">The active enforcement of mandatory phytosanitary regulations and the application of mandatory phytosanitary procedures with the objective of eradication or containment of quarantine pests or for the management of regulated non-quarantine pests </w:t>
            </w:r>
            <w:r>
              <w:rPr>
                <w:noProof/>
              </w:rPr>
              <w:t>(FAO 2015)</w:t>
            </w:r>
            <w:r w:rsidRPr="00A11F8D">
              <w:t>.</w:t>
            </w:r>
          </w:p>
        </w:tc>
      </w:tr>
      <w:tr w:rsidR="003438A2" w:rsidRPr="00A11F8D" w14:paraId="1C8E040A" w14:textId="77777777" w:rsidTr="0018617D">
        <w:tc>
          <w:tcPr>
            <w:tcW w:w="1509" w:type="pct"/>
          </w:tcPr>
          <w:p w14:paraId="5BC91C94" w14:textId="77777777" w:rsidR="003438A2" w:rsidRPr="00A11F8D" w:rsidRDefault="003438A2" w:rsidP="0018617D">
            <w:pPr>
              <w:pStyle w:val="TableText"/>
            </w:pPr>
            <w:r w:rsidRPr="00A11F8D">
              <w:t>Orchard</w:t>
            </w:r>
          </w:p>
        </w:tc>
        <w:tc>
          <w:tcPr>
            <w:tcW w:w="3491" w:type="pct"/>
          </w:tcPr>
          <w:p w14:paraId="4D5A4ECE" w14:textId="77777777" w:rsidR="003438A2" w:rsidRPr="00A11F8D" w:rsidRDefault="003438A2" w:rsidP="0018617D">
            <w:pPr>
              <w:pStyle w:val="TableText"/>
            </w:pPr>
            <w:r w:rsidRPr="00A11F8D">
              <w:t xml:space="preserve">A </w:t>
            </w:r>
            <w:r w:rsidRPr="00E85BB1">
              <w:t>contiguous area of apple trees operated as a single entity. Within this report a single orchard is covered under one registration and is issued a unique identifying number.</w:t>
            </w:r>
          </w:p>
        </w:tc>
      </w:tr>
      <w:tr w:rsidR="003438A2" w:rsidRPr="00A11F8D" w14:paraId="40AD3030" w14:textId="77777777" w:rsidTr="0018617D">
        <w:tc>
          <w:tcPr>
            <w:tcW w:w="1509" w:type="pct"/>
          </w:tcPr>
          <w:p w14:paraId="0F3DA6E3" w14:textId="77777777" w:rsidR="003438A2" w:rsidRPr="00A11F8D" w:rsidRDefault="003438A2" w:rsidP="0018617D">
            <w:pPr>
              <w:pStyle w:val="TableText"/>
            </w:pPr>
            <w:r>
              <w:t>Pacific Northwest (PNW)</w:t>
            </w:r>
          </w:p>
        </w:tc>
        <w:tc>
          <w:tcPr>
            <w:tcW w:w="3491" w:type="pct"/>
          </w:tcPr>
          <w:p w14:paraId="4B380F3B" w14:textId="77777777" w:rsidR="003438A2" w:rsidRPr="00A11F8D" w:rsidRDefault="003438A2" w:rsidP="0018617D">
            <w:pPr>
              <w:pStyle w:val="TableText"/>
            </w:pPr>
            <w:r>
              <w:t>The Pacific Northwest States of the United States (Idaho, Oregon and Washington)</w:t>
            </w:r>
          </w:p>
        </w:tc>
      </w:tr>
      <w:tr w:rsidR="003438A2" w:rsidRPr="00A11F8D" w14:paraId="17FD7136" w14:textId="77777777" w:rsidTr="0018617D">
        <w:tc>
          <w:tcPr>
            <w:tcW w:w="1509" w:type="pct"/>
          </w:tcPr>
          <w:p w14:paraId="4F1E6E8A" w14:textId="77777777" w:rsidR="003438A2" w:rsidRPr="00A11F8D" w:rsidRDefault="003438A2" w:rsidP="0018617D">
            <w:pPr>
              <w:pStyle w:val="TableText"/>
            </w:pPr>
            <w:r w:rsidRPr="00A11F8D">
              <w:t>Pathogen</w:t>
            </w:r>
          </w:p>
        </w:tc>
        <w:tc>
          <w:tcPr>
            <w:tcW w:w="3491" w:type="pct"/>
          </w:tcPr>
          <w:p w14:paraId="5D837A73" w14:textId="77777777" w:rsidR="003438A2" w:rsidRPr="00A11F8D" w:rsidRDefault="003438A2" w:rsidP="0018617D">
            <w:pPr>
              <w:pStyle w:val="TableText"/>
            </w:pPr>
            <w:r w:rsidRPr="00A11F8D">
              <w:t>A biological agent that can cause disease to its host.</w:t>
            </w:r>
          </w:p>
        </w:tc>
      </w:tr>
      <w:tr w:rsidR="003438A2" w:rsidRPr="00A11F8D" w14:paraId="3C75CBB7" w14:textId="77777777" w:rsidTr="0018617D">
        <w:tc>
          <w:tcPr>
            <w:tcW w:w="1509" w:type="pct"/>
          </w:tcPr>
          <w:p w14:paraId="70ECD984" w14:textId="77777777" w:rsidR="003438A2" w:rsidRPr="00A11F8D" w:rsidRDefault="003438A2" w:rsidP="0018617D">
            <w:pPr>
              <w:pStyle w:val="TableText"/>
            </w:pPr>
            <w:r w:rsidRPr="00A11F8D">
              <w:t>Pathway</w:t>
            </w:r>
          </w:p>
        </w:tc>
        <w:tc>
          <w:tcPr>
            <w:tcW w:w="3491" w:type="pct"/>
          </w:tcPr>
          <w:p w14:paraId="49617FEF" w14:textId="77777777" w:rsidR="003438A2" w:rsidRPr="00A11F8D" w:rsidRDefault="003438A2" w:rsidP="0018617D">
            <w:pPr>
              <w:pStyle w:val="TableText"/>
            </w:pPr>
            <w:r w:rsidRPr="00A11F8D">
              <w:t xml:space="preserve">Any means that allows the entry or spread of a pest </w:t>
            </w:r>
            <w:r>
              <w:rPr>
                <w:noProof/>
              </w:rPr>
              <w:t>(FAO 2021c)</w:t>
            </w:r>
            <w:r w:rsidRPr="00A11F8D">
              <w:t>.</w:t>
            </w:r>
          </w:p>
        </w:tc>
      </w:tr>
      <w:tr w:rsidR="003438A2" w:rsidRPr="00A11F8D" w14:paraId="3284EAA6" w14:textId="77777777" w:rsidTr="0018617D">
        <w:tc>
          <w:tcPr>
            <w:tcW w:w="1509" w:type="pct"/>
          </w:tcPr>
          <w:p w14:paraId="0E1507CC" w14:textId="77777777" w:rsidR="003438A2" w:rsidRPr="00A11F8D" w:rsidRDefault="003438A2" w:rsidP="0018617D">
            <w:pPr>
              <w:pStyle w:val="TableText"/>
            </w:pPr>
            <w:r>
              <w:t>Pedicel</w:t>
            </w:r>
          </w:p>
        </w:tc>
        <w:tc>
          <w:tcPr>
            <w:tcW w:w="3491" w:type="pct"/>
          </w:tcPr>
          <w:p w14:paraId="57D8C831" w14:textId="77777777" w:rsidR="003438A2" w:rsidRPr="00A11F8D" w:rsidRDefault="003438A2" w:rsidP="0018617D">
            <w:pPr>
              <w:pStyle w:val="TableText"/>
            </w:pPr>
            <w:r>
              <w:t>The stem of the apple</w:t>
            </w:r>
          </w:p>
        </w:tc>
      </w:tr>
      <w:tr w:rsidR="003438A2" w:rsidRPr="00660B66" w14:paraId="1BA4B9D5" w14:textId="77777777" w:rsidTr="0018617D">
        <w:tc>
          <w:tcPr>
            <w:tcW w:w="1509" w:type="pct"/>
          </w:tcPr>
          <w:p w14:paraId="302ABCE5" w14:textId="77777777" w:rsidR="003438A2" w:rsidRPr="00660B66" w:rsidRDefault="003438A2" w:rsidP="00660B66">
            <w:pPr>
              <w:pStyle w:val="TableText"/>
            </w:pPr>
            <w:r w:rsidRPr="00660B66">
              <w:t>Perithecium</w:t>
            </w:r>
          </w:p>
        </w:tc>
        <w:tc>
          <w:tcPr>
            <w:tcW w:w="3491" w:type="pct"/>
          </w:tcPr>
          <w:p w14:paraId="729D67D1" w14:textId="77777777" w:rsidR="003438A2" w:rsidRPr="00660B66" w:rsidRDefault="003438A2" w:rsidP="00660B66">
            <w:pPr>
              <w:pStyle w:val="TableText"/>
            </w:pPr>
            <w:r w:rsidRPr="00660B66">
              <w:rPr>
                <w:rStyle w:val="e24kjd"/>
              </w:rPr>
              <w:t>A spherical, cylindrical, or flask-shaped hollow fruiting body in various ascomycetous fungi that contains the asci, usually opens by a terminal pore; plural: perithecia.</w:t>
            </w:r>
          </w:p>
        </w:tc>
      </w:tr>
      <w:tr w:rsidR="003438A2" w:rsidRPr="00A11F8D" w14:paraId="5F825636" w14:textId="77777777" w:rsidTr="0018617D">
        <w:tc>
          <w:tcPr>
            <w:tcW w:w="1509" w:type="pct"/>
          </w:tcPr>
          <w:p w14:paraId="1979F26E" w14:textId="77777777" w:rsidR="003438A2" w:rsidRPr="00A11F8D" w:rsidRDefault="003438A2" w:rsidP="0018617D">
            <w:pPr>
              <w:pStyle w:val="TableText"/>
            </w:pPr>
            <w:r w:rsidRPr="00A11F8D">
              <w:t>Pest</w:t>
            </w:r>
          </w:p>
        </w:tc>
        <w:tc>
          <w:tcPr>
            <w:tcW w:w="3491" w:type="pct"/>
          </w:tcPr>
          <w:p w14:paraId="76561576" w14:textId="77777777" w:rsidR="003438A2" w:rsidRPr="00A11F8D" w:rsidRDefault="003438A2" w:rsidP="0018617D">
            <w:pPr>
              <w:pStyle w:val="TableText"/>
            </w:pPr>
            <w:r w:rsidRPr="00A11F8D">
              <w:t xml:space="preserve">Any species, strain or biotype of plant, animal, or pathogenic agent injurious to plants or plant products </w:t>
            </w:r>
            <w:r>
              <w:rPr>
                <w:noProof/>
              </w:rPr>
              <w:t>(FAO 2021c)</w:t>
            </w:r>
            <w:r w:rsidRPr="00A11F8D">
              <w:t>.</w:t>
            </w:r>
          </w:p>
        </w:tc>
      </w:tr>
      <w:tr w:rsidR="003438A2" w:rsidRPr="00A11F8D" w14:paraId="55D4F678" w14:textId="77777777" w:rsidTr="0018617D">
        <w:tc>
          <w:tcPr>
            <w:tcW w:w="1509" w:type="pct"/>
          </w:tcPr>
          <w:p w14:paraId="263249AF" w14:textId="77777777" w:rsidR="003438A2" w:rsidRPr="00A11F8D" w:rsidRDefault="003438A2" w:rsidP="0018617D">
            <w:pPr>
              <w:pStyle w:val="TableText"/>
            </w:pPr>
            <w:r w:rsidRPr="00A11F8D">
              <w:t>Pest categorisation</w:t>
            </w:r>
            <w:r>
              <w:t xml:space="preserve"> </w:t>
            </w:r>
          </w:p>
        </w:tc>
        <w:tc>
          <w:tcPr>
            <w:tcW w:w="3491" w:type="pct"/>
          </w:tcPr>
          <w:p w14:paraId="72417FE9" w14:textId="77777777" w:rsidR="003438A2" w:rsidRPr="00A11F8D" w:rsidRDefault="003438A2" w:rsidP="0018617D">
            <w:pPr>
              <w:pStyle w:val="TableText"/>
            </w:pPr>
            <w:r w:rsidRPr="00A11F8D">
              <w:t xml:space="preserve">The process for determining whether a pest has or has not the characteristics of a quarantine pest or those of a regulated non-quarantine pest </w:t>
            </w:r>
            <w:r>
              <w:rPr>
                <w:noProof/>
              </w:rPr>
              <w:t>(FAO 2021c)</w:t>
            </w:r>
          </w:p>
        </w:tc>
      </w:tr>
      <w:tr w:rsidR="003438A2" w:rsidRPr="00A11F8D" w14:paraId="7547B377" w14:textId="77777777" w:rsidTr="0018617D">
        <w:tc>
          <w:tcPr>
            <w:tcW w:w="1509" w:type="pct"/>
          </w:tcPr>
          <w:p w14:paraId="660037ED" w14:textId="77777777" w:rsidR="003438A2" w:rsidRPr="00A11F8D" w:rsidRDefault="003438A2" w:rsidP="0018617D">
            <w:pPr>
              <w:pStyle w:val="TableText"/>
            </w:pPr>
            <w:r w:rsidRPr="00A11F8D">
              <w:t>Pest free area (PFA)</w:t>
            </w:r>
          </w:p>
        </w:tc>
        <w:tc>
          <w:tcPr>
            <w:tcW w:w="3491" w:type="pct"/>
          </w:tcPr>
          <w:p w14:paraId="316E733D" w14:textId="77777777" w:rsidR="003438A2" w:rsidRPr="00A11F8D" w:rsidRDefault="003438A2" w:rsidP="0018617D">
            <w:pPr>
              <w:pStyle w:val="TableText"/>
            </w:pPr>
            <w:r w:rsidRPr="00A11F8D">
              <w:t xml:space="preserve">An area in which a specific pest does not occur as demonstrated by scientific evidence and in which, where appropriate, this condition is being officially maintained </w:t>
            </w:r>
            <w:r>
              <w:rPr>
                <w:noProof/>
              </w:rPr>
              <w:t>(FAO 2021c)</w:t>
            </w:r>
            <w:r w:rsidRPr="00A11F8D">
              <w:t>.</w:t>
            </w:r>
          </w:p>
        </w:tc>
      </w:tr>
      <w:tr w:rsidR="003438A2" w:rsidRPr="00A11F8D" w14:paraId="0DBAC528" w14:textId="77777777" w:rsidTr="0018617D">
        <w:tc>
          <w:tcPr>
            <w:tcW w:w="1509" w:type="pct"/>
          </w:tcPr>
          <w:p w14:paraId="5ABCC0EF" w14:textId="77777777" w:rsidR="003438A2" w:rsidRPr="00A11F8D" w:rsidRDefault="003438A2" w:rsidP="0018617D">
            <w:pPr>
              <w:pStyle w:val="TableText"/>
            </w:pPr>
            <w:r w:rsidRPr="00A11F8D">
              <w:t>Pest free place of production</w:t>
            </w:r>
          </w:p>
        </w:tc>
        <w:tc>
          <w:tcPr>
            <w:tcW w:w="3491" w:type="pct"/>
          </w:tcPr>
          <w:p w14:paraId="16426F76" w14:textId="77777777" w:rsidR="003438A2" w:rsidRPr="00A11F8D" w:rsidRDefault="003438A2" w:rsidP="0018617D">
            <w:pPr>
              <w:pStyle w:val="TableText"/>
            </w:pPr>
            <w:r w:rsidRPr="00A11F8D">
              <w:t xml:space="preserve">Place of production in which a specific pest does not occur as demonstrated by scientific evidence and in which, where appropriate, this condition is being officially maintained for a defined period </w:t>
            </w:r>
            <w:r>
              <w:rPr>
                <w:noProof/>
              </w:rPr>
              <w:t>(FAO 2021c)</w:t>
            </w:r>
            <w:r w:rsidRPr="00A11F8D">
              <w:t>.</w:t>
            </w:r>
          </w:p>
        </w:tc>
      </w:tr>
      <w:tr w:rsidR="003438A2" w:rsidRPr="00A11F8D" w14:paraId="47EDA11A" w14:textId="77777777" w:rsidTr="0018617D">
        <w:tc>
          <w:tcPr>
            <w:tcW w:w="1509" w:type="pct"/>
          </w:tcPr>
          <w:p w14:paraId="512A475A" w14:textId="77777777" w:rsidR="003438A2" w:rsidRPr="00A11F8D" w:rsidRDefault="003438A2" w:rsidP="0018617D">
            <w:pPr>
              <w:pStyle w:val="TableText"/>
            </w:pPr>
            <w:r w:rsidRPr="00A11F8D">
              <w:t>Pest free production site</w:t>
            </w:r>
          </w:p>
        </w:tc>
        <w:tc>
          <w:tcPr>
            <w:tcW w:w="3491" w:type="pct"/>
          </w:tcPr>
          <w:p w14:paraId="5E002DE5" w14:textId="77777777" w:rsidR="003438A2" w:rsidRPr="00A11F8D" w:rsidRDefault="003438A2" w:rsidP="0018617D">
            <w:pPr>
              <w:pStyle w:val="TableText"/>
            </w:pPr>
            <w:r w:rsidRPr="00A11F8D">
              <w:t xml:space="preserve">A defined portion of a place of production in which a specific pest does not occur as demonstrated by scientific evidence and in which, where appropriate, this condition is being officially maintained for a defined period and that is managed as a separate unit in the same way as a pest free place of production </w:t>
            </w:r>
            <w:r>
              <w:rPr>
                <w:noProof/>
              </w:rPr>
              <w:t>(FAO 2021c)</w:t>
            </w:r>
            <w:r w:rsidRPr="00A11F8D">
              <w:t>.</w:t>
            </w:r>
          </w:p>
        </w:tc>
      </w:tr>
      <w:tr w:rsidR="003438A2" w:rsidRPr="00A11F8D" w14:paraId="7F389E6E" w14:textId="77777777" w:rsidTr="0018617D">
        <w:tc>
          <w:tcPr>
            <w:tcW w:w="1509" w:type="pct"/>
          </w:tcPr>
          <w:p w14:paraId="024A4667" w14:textId="77777777" w:rsidR="003438A2" w:rsidRPr="00A11F8D" w:rsidRDefault="003438A2" w:rsidP="0018617D">
            <w:pPr>
              <w:pStyle w:val="TableText"/>
            </w:pPr>
            <w:r w:rsidRPr="00A11F8D">
              <w:t>Pest risk analysis (PRA)</w:t>
            </w:r>
          </w:p>
        </w:tc>
        <w:tc>
          <w:tcPr>
            <w:tcW w:w="3491" w:type="pct"/>
          </w:tcPr>
          <w:p w14:paraId="767B9CBB" w14:textId="77777777" w:rsidR="003438A2" w:rsidRPr="00A11F8D" w:rsidRDefault="003438A2" w:rsidP="0018617D">
            <w:pPr>
              <w:pStyle w:val="TableText"/>
            </w:pPr>
            <w:r w:rsidRPr="00A11F8D">
              <w:t xml:space="preserve">The process of evaluating biological or other scientific and economic evidence to determine whether an organism is a pest, whether it should be regulated, and the strength of any phytosanitary measures to be taken against it </w:t>
            </w:r>
            <w:r>
              <w:rPr>
                <w:noProof/>
              </w:rPr>
              <w:t>(FAO 2021c)</w:t>
            </w:r>
            <w:r>
              <w:t>.</w:t>
            </w:r>
          </w:p>
        </w:tc>
      </w:tr>
      <w:tr w:rsidR="003438A2" w:rsidRPr="00A11F8D" w14:paraId="5DA0EF26" w14:textId="77777777" w:rsidTr="0018617D">
        <w:tc>
          <w:tcPr>
            <w:tcW w:w="1509" w:type="pct"/>
          </w:tcPr>
          <w:p w14:paraId="3A22D37A" w14:textId="77777777" w:rsidR="003438A2" w:rsidRPr="00A11F8D" w:rsidRDefault="003438A2" w:rsidP="0018617D">
            <w:pPr>
              <w:pStyle w:val="TableText"/>
            </w:pPr>
            <w:r w:rsidRPr="00A11F8D">
              <w:t>Pest risk assessment (for quarantine pests)</w:t>
            </w:r>
          </w:p>
        </w:tc>
        <w:tc>
          <w:tcPr>
            <w:tcW w:w="3491" w:type="pct"/>
          </w:tcPr>
          <w:p w14:paraId="6517D05A" w14:textId="77777777" w:rsidR="003438A2" w:rsidRPr="00A11F8D" w:rsidRDefault="003438A2" w:rsidP="0018617D">
            <w:pPr>
              <w:pStyle w:val="TableText"/>
            </w:pPr>
            <w:r w:rsidRPr="00A11F8D">
              <w:t xml:space="preserve">Evaluation of the probability of the introduction and spread of a pest and of the magnitude of the associated potential economic consequences </w:t>
            </w:r>
            <w:r>
              <w:rPr>
                <w:noProof/>
              </w:rPr>
              <w:t>(FAO 2021c)</w:t>
            </w:r>
            <w:r w:rsidRPr="00A11F8D">
              <w:t>.</w:t>
            </w:r>
          </w:p>
        </w:tc>
      </w:tr>
      <w:tr w:rsidR="003438A2" w:rsidRPr="00A11F8D" w14:paraId="489FCB99" w14:textId="77777777" w:rsidTr="0018617D">
        <w:tc>
          <w:tcPr>
            <w:tcW w:w="1509" w:type="pct"/>
          </w:tcPr>
          <w:p w14:paraId="02037893" w14:textId="77777777" w:rsidR="003438A2" w:rsidRPr="00A11F8D" w:rsidRDefault="003438A2" w:rsidP="0018617D">
            <w:pPr>
              <w:pStyle w:val="TableText"/>
            </w:pPr>
            <w:r w:rsidRPr="00A11F8D">
              <w:t>Pest risk assessment (for regulated non-quarantine pests)</w:t>
            </w:r>
          </w:p>
        </w:tc>
        <w:tc>
          <w:tcPr>
            <w:tcW w:w="3491" w:type="pct"/>
          </w:tcPr>
          <w:p w14:paraId="5A3544DD" w14:textId="77777777" w:rsidR="003438A2" w:rsidRPr="00A11F8D" w:rsidRDefault="003438A2" w:rsidP="0018617D">
            <w:pPr>
              <w:pStyle w:val="TableText"/>
            </w:pPr>
            <w:r w:rsidRPr="00A11F8D">
              <w:t>Evaluation of the probability that a pest in pla</w:t>
            </w:r>
            <w:r>
              <w:t>nts for planting affects the intend</w:t>
            </w:r>
            <w:r w:rsidRPr="00A11F8D">
              <w:t>ed use of those plants with an economically unacceptable impact.</w:t>
            </w:r>
          </w:p>
        </w:tc>
      </w:tr>
      <w:tr w:rsidR="003438A2" w:rsidRPr="00A11F8D" w14:paraId="05C929D3" w14:textId="77777777" w:rsidTr="0018617D">
        <w:tc>
          <w:tcPr>
            <w:tcW w:w="1509" w:type="pct"/>
          </w:tcPr>
          <w:p w14:paraId="355279FC" w14:textId="77777777" w:rsidR="003438A2" w:rsidRPr="00A11F8D" w:rsidRDefault="003438A2" w:rsidP="0018617D">
            <w:pPr>
              <w:pStyle w:val="TableText"/>
            </w:pPr>
            <w:r w:rsidRPr="00A11F8D">
              <w:t>Pest risk management (for quarantine pests)</w:t>
            </w:r>
          </w:p>
        </w:tc>
        <w:tc>
          <w:tcPr>
            <w:tcW w:w="3491" w:type="pct"/>
          </w:tcPr>
          <w:p w14:paraId="381E8460" w14:textId="77777777" w:rsidR="003438A2" w:rsidRPr="00A11F8D" w:rsidRDefault="003438A2" w:rsidP="0018617D">
            <w:pPr>
              <w:pStyle w:val="TableText"/>
            </w:pPr>
            <w:r w:rsidRPr="00A11F8D">
              <w:t xml:space="preserve">Evaluation and selection of options to reduce the risk of introduction and spread of a pest </w:t>
            </w:r>
            <w:r>
              <w:rPr>
                <w:noProof/>
              </w:rPr>
              <w:t>(FAO 2021c)</w:t>
            </w:r>
            <w:r w:rsidRPr="00A11F8D">
              <w:t>.</w:t>
            </w:r>
          </w:p>
        </w:tc>
      </w:tr>
      <w:tr w:rsidR="003438A2" w:rsidRPr="00A11F8D" w14:paraId="2C925485" w14:textId="77777777" w:rsidTr="0018617D">
        <w:tc>
          <w:tcPr>
            <w:tcW w:w="1509" w:type="pct"/>
          </w:tcPr>
          <w:p w14:paraId="11563A0E" w14:textId="77777777" w:rsidR="003438A2" w:rsidRPr="00A11F8D" w:rsidRDefault="003438A2" w:rsidP="0018617D">
            <w:pPr>
              <w:pStyle w:val="TableText"/>
            </w:pPr>
            <w:r w:rsidRPr="00A11F8D">
              <w:t>Pest risk management (for regulated non-quarantine pests)</w:t>
            </w:r>
          </w:p>
        </w:tc>
        <w:tc>
          <w:tcPr>
            <w:tcW w:w="3491" w:type="pct"/>
          </w:tcPr>
          <w:p w14:paraId="33FDD99E" w14:textId="77777777" w:rsidR="003438A2" w:rsidRPr="00A11F8D" w:rsidRDefault="003438A2" w:rsidP="0018617D">
            <w:pPr>
              <w:pStyle w:val="TableText"/>
            </w:pPr>
            <w:r w:rsidRPr="00A11F8D">
              <w:t xml:space="preserve">Evaluation and selection of options to reduce the risk that a pest in plants for planting causes an economically unacceptable impact on the intended use of those plants </w:t>
            </w:r>
            <w:r>
              <w:rPr>
                <w:noProof/>
              </w:rPr>
              <w:t>(FAO 2021c)</w:t>
            </w:r>
            <w:r w:rsidRPr="00A11F8D">
              <w:t>.</w:t>
            </w:r>
          </w:p>
        </w:tc>
      </w:tr>
      <w:tr w:rsidR="003438A2" w:rsidRPr="00A11F8D" w14:paraId="1BAB6BE9" w14:textId="77777777" w:rsidTr="0018617D">
        <w:tc>
          <w:tcPr>
            <w:tcW w:w="1509" w:type="pct"/>
          </w:tcPr>
          <w:p w14:paraId="04C14F28" w14:textId="77777777" w:rsidR="003438A2" w:rsidRPr="00A11F8D" w:rsidRDefault="003438A2" w:rsidP="0018617D">
            <w:pPr>
              <w:pStyle w:val="TableText"/>
            </w:pPr>
            <w:r w:rsidRPr="00A11F8D">
              <w:t>Pest status (in an area)</w:t>
            </w:r>
          </w:p>
        </w:tc>
        <w:tc>
          <w:tcPr>
            <w:tcW w:w="3491" w:type="pct"/>
          </w:tcPr>
          <w:p w14:paraId="07066709" w14:textId="77777777" w:rsidR="003438A2" w:rsidRPr="00A11F8D" w:rsidRDefault="003438A2" w:rsidP="0018617D">
            <w:pPr>
              <w:pStyle w:val="TableText"/>
            </w:pPr>
            <w:r w:rsidRPr="00A11F8D">
              <w:t xml:space="preserve">Presence or absence, at the present time, of a pest in an area, including where appropriate its distribution, as officially determined using expert judgement on the basis of current and historical pest records and other information </w:t>
            </w:r>
            <w:r>
              <w:rPr>
                <w:noProof/>
              </w:rPr>
              <w:t>(FAO 2021c)</w:t>
            </w:r>
            <w:r w:rsidRPr="00A11F8D">
              <w:t>.</w:t>
            </w:r>
          </w:p>
        </w:tc>
      </w:tr>
      <w:tr w:rsidR="003438A2" w:rsidRPr="00A11F8D" w14:paraId="73674A4A" w14:textId="77777777" w:rsidTr="0018617D">
        <w:tc>
          <w:tcPr>
            <w:tcW w:w="1509" w:type="pct"/>
          </w:tcPr>
          <w:p w14:paraId="1A57807F" w14:textId="77777777" w:rsidR="003438A2" w:rsidRPr="00A11F8D" w:rsidRDefault="003438A2" w:rsidP="0018617D">
            <w:pPr>
              <w:pStyle w:val="TableText"/>
            </w:pPr>
            <w:r w:rsidRPr="00A11F8D">
              <w:t>Phytosanitary certificate</w:t>
            </w:r>
          </w:p>
        </w:tc>
        <w:tc>
          <w:tcPr>
            <w:tcW w:w="3491" w:type="pct"/>
          </w:tcPr>
          <w:p w14:paraId="29E93A1E" w14:textId="77777777" w:rsidR="003438A2" w:rsidRPr="00A11F8D" w:rsidRDefault="003438A2" w:rsidP="0018617D">
            <w:pPr>
              <w:pStyle w:val="TableText"/>
            </w:pPr>
            <w:r w:rsidRPr="00A11F8D">
              <w:t xml:space="preserve">An official paper document or its official electronic equivalent, consistent with the model of certificates of the IPPC, attesting that a consignment meets phytosanitary import requirements </w:t>
            </w:r>
            <w:r>
              <w:rPr>
                <w:noProof/>
              </w:rPr>
              <w:t>(FAO 2021c)</w:t>
            </w:r>
            <w:r w:rsidRPr="00A11F8D">
              <w:t>.</w:t>
            </w:r>
          </w:p>
        </w:tc>
      </w:tr>
      <w:tr w:rsidR="003438A2" w:rsidRPr="00A11F8D" w14:paraId="244C315E" w14:textId="77777777" w:rsidTr="0018617D">
        <w:tc>
          <w:tcPr>
            <w:tcW w:w="1509" w:type="pct"/>
          </w:tcPr>
          <w:p w14:paraId="5C99FE54" w14:textId="77777777" w:rsidR="003438A2" w:rsidRPr="00A11F8D" w:rsidRDefault="003438A2" w:rsidP="0018617D">
            <w:pPr>
              <w:pStyle w:val="TableText"/>
            </w:pPr>
            <w:r w:rsidRPr="00A11F8D">
              <w:t>Phytosanitary certification</w:t>
            </w:r>
          </w:p>
        </w:tc>
        <w:tc>
          <w:tcPr>
            <w:tcW w:w="3491" w:type="pct"/>
          </w:tcPr>
          <w:p w14:paraId="1ABEC9B0" w14:textId="77777777" w:rsidR="003438A2" w:rsidRPr="00A11F8D" w:rsidRDefault="003438A2" w:rsidP="0018617D">
            <w:pPr>
              <w:pStyle w:val="TableText"/>
            </w:pPr>
            <w:r w:rsidRPr="00A11F8D">
              <w:t xml:space="preserve">Use of phytosanitary procedures leading to the issue of a phytosanitary certificate </w:t>
            </w:r>
            <w:r>
              <w:rPr>
                <w:noProof/>
              </w:rPr>
              <w:t>(FAO 2021c)</w:t>
            </w:r>
            <w:r w:rsidRPr="00A11F8D">
              <w:t>.</w:t>
            </w:r>
          </w:p>
        </w:tc>
      </w:tr>
      <w:tr w:rsidR="003438A2" w:rsidRPr="00A11F8D" w14:paraId="605ED931" w14:textId="77777777" w:rsidTr="0018617D">
        <w:tc>
          <w:tcPr>
            <w:tcW w:w="1509" w:type="pct"/>
          </w:tcPr>
          <w:p w14:paraId="1A0EA11E" w14:textId="77777777" w:rsidR="003438A2" w:rsidRPr="00A11F8D" w:rsidRDefault="003438A2" w:rsidP="0018617D">
            <w:pPr>
              <w:pStyle w:val="TableText"/>
            </w:pPr>
            <w:r w:rsidRPr="00A11F8D">
              <w:t>Phytosanitary measure</w:t>
            </w:r>
          </w:p>
        </w:tc>
        <w:tc>
          <w:tcPr>
            <w:tcW w:w="3491" w:type="pct"/>
          </w:tcPr>
          <w:p w14:paraId="3E47B7B1" w14:textId="77777777" w:rsidR="003438A2" w:rsidRPr="00A11F8D" w:rsidRDefault="003438A2" w:rsidP="0018617D">
            <w:pPr>
              <w:pStyle w:val="TableText"/>
            </w:pPr>
            <w:r>
              <w:t xml:space="preserve">Phytosanitary relates to the health of plants. </w:t>
            </w:r>
            <w:r w:rsidRPr="00A11F8D">
              <w:t xml:space="preserve">Any legislation, regulation or official procedure having the purpose to prevent the introduction and/or spread of quarantine pests, or to limit the economic impact of regulated non-quarantine pests </w:t>
            </w:r>
            <w:r>
              <w:rPr>
                <w:noProof/>
              </w:rPr>
              <w:t>(FAO 2021c)</w:t>
            </w:r>
            <w:r w:rsidRPr="00A11F8D">
              <w:t>.</w:t>
            </w:r>
            <w:r>
              <w:t xml:space="preserve"> In this risk analysis the term ‘phytosanitary measure’ and ‘risk management measure’ may be used interchangeably. </w:t>
            </w:r>
          </w:p>
        </w:tc>
      </w:tr>
      <w:tr w:rsidR="003438A2" w:rsidRPr="00A11F8D" w14:paraId="4C277E08" w14:textId="77777777" w:rsidTr="0018617D">
        <w:tc>
          <w:tcPr>
            <w:tcW w:w="1509" w:type="pct"/>
          </w:tcPr>
          <w:p w14:paraId="31BF091D" w14:textId="77777777" w:rsidR="003438A2" w:rsidRPr="00A11F8D" w:rsidRDefault="003438A2" w:rsidP="0018617D">
            <w:pPr>
              <w:pStyle w:val="TableText"/>
            </w:pPr>
            <w:r w:rsidRPr="00A11F8D">
              <w:t>Phytosanitary procedure</w:t>
            </w:r>
          </w:p>
        </w:tc>
        <w:tc>
          <w:tcPr>
            <w:tcW w:w="3491" w:type="pct"/>
          </w:tcPr>
          <w:p w14:paraId="08CD6EFC" w14:textId="77777777" w:rsidR="003438A2" w:rsidRPr="00A11F8D" w:rsidRDefault="003438A2" w:rsidP="0018617D">
            <w:pPr>
              <w:pStyle w:val="TableText"/>
            </w:pPr>
            <w:r w:rsidRPr="00A11F8D">
              <w:t xml:space="preserve">Any official method for implementing phytosanitary measures including the performance of inspections, tests, surveillance or treatments in connection with regulated pests </w:t>
            </w:r>
            <w:r>
              <w:rPr>
                <w:noProof/>
              </w:rPr>
              <w:t>(FAO 2021c)</w:t>
            </w:r>
            <w:r w:rsidRPr="00A11F8D">
              <w:t>.</w:t>
            </w:r>
          </w:p>
        </w:tc>
      </w:tr>
      <w:tr w:rsidR="003438A2" w:rsidRPr="00A11F8D" w14:paraId="30BC2ABF" w14:textId="77777777" w:rsidTr="0018617D">
        <w:tc>
          <w:tcPr>
            <w:tcW w:w="1509" w:type="pct"/>
          </w:tcPr>
          <w:p w14:paraId="221AD37F" w14:textId="77777777" w:rsidR="003438A2" w:rsidRPr="00A11F8D" w:rsidRDefault="003438A2" w:rsidP="0018617D">
            <w:pPr>
              <w:pStyle w:val="TableText"/>
            </w:pPr>
            <w:r w:rsidRPr="00A11F8D">
              <w:t>Phytosanitary regulation</w:t>
            </w:r>
          </w:p>
        </w:tc>
        <w:tc>
          <w:tcPr>
            <w:tcW w:w="3491" w:type="pct"/>
          </w:tcPr>
          <w:p w14:paraId="7A3079C3" w14:textId="77777777" w:rsidR="003438A2" w:rsidRPr="00A11F8D" w:rsidRDefault="003438A2" w:rsidP="0018617D">
            <w:pPr>
              <w:pStyle w:val="TableText"/>
            </w:pPr>
            <w:r w:rsidRPr="00A11F8D">
              <w:t xml:space="preserve">Official rule to prevent the introduction and/or spread of quarantine pests, or to limit the economic impact of regulated non-quarantine pests, including establishment of procedures for phytosanitary certification </w:t>
            </w:r>
            <w:r>
              <w:rPr>
                <w:noProof/>
              </w:rPr>
              <w:t>(FAO 2021c)</w:t>
            </w:r>
            <w:r w:rsidRPr="00A11F8D">
              <w:t>.</w:t>
            </w:r>
          </w:p>
        </w:tc>
      </w:tr>
      <w:tr w:rsidR="003438A2" w:rsidRPr="00A11F8D" w14:paraId="220C5AC9" w14:textId="77777777" w:rsidTr="0018617D">
        <w:tc>
          <w:tcPr>
            <w:tcW w:w="1509" w:type="pct"/>
          </w:tcPr>
          <w:p w14:paraId="3DC0B36F" w14:textId="77777777" w:rsidR="003438A2" w:rsidRPr="00A11F8D" w:rsidRDefault="003438A2" w:rsidP="0018617D">
            <w:pPr>
              <w:pStyle w:val="TableText"/>
            </w:pPr>
            <w:r>
              <w:t>Pleomorphic</w:t>
            </w:r>
          </w:p>
        </w:tc>
        <w:tc>
          <w:tcPr>
            <w:tcW w:w="3491" w:type="pct"/>
          </w:tcPr>
          <w:p w14:paraId="24B07F32" w14:textId="77777777" w:rsidR="003438A2" w:rsidRPr="00A11F8D" w:rsidRDefault="003438A2" w:rsidP="0018617D">
            <w:pPr>
              <w:pStyle w:val="TableText"/>
            </w:pPr>
            <w:r>
              <w:t>More than one form of the fungi (usually referring to the asexual and sexual forms of fungi).</w:t>
            </w:r>
          </w:p>
        </w:tc>
      </w:tr>
      <w:tr w:rsidR="003438A2" w:rsidRPr="00A11F8D" w14:paraId="2428B36F" w14:textId="77777777" w:rsidTr="0018617D">
        <w:tc>
          <w:tcPr>
            <w:tcW w:w="1509" w:type="pct"/>
          </w:tcPr>
          <w:p w14:paraId="4F039EA5" w14:textId="77777777" w:rsidR="003438A2" w:rsidRPr="00A11F8D" w:rsidRDefault="003438A2" w:rsidP="0018617D">
            <w:pPr>
              <w:pStyle w:val="TableText"/>
            </w:pPr>
            <w:r w:rsidRPr="00A11F8D">
              <w:t>Polyphagous</w:t>
            </w:r>
          </w:p>
        </w:tc>
        <w:tc>
          <w:tcPr>
            <w:tcW w:w="3491" w:type="pct"/>
          </w:tcPr>
          <w:p w14:paraId="58EA00AC" w14:textId="77777777" w:rsidR="003438A2" w:rsidRPr="00A11F8D" w:rsidRDefault="003438A2" w:rsidP="0018617D">
            <w:pPr>
              <w:pStyle w:val="TableText"/>
            </w:pPr>
            <w:r w:rsidRPr="00A11F8D">
              <w:t>Feeding on a relatively large number of hosts from different plant family and/or genera.</w:t>
            </w:r>
          </w:p>
        </w:tc>
      </w:tr>
      <w:tr w:rsidR="003438A2" w:rsidRPr="00A11F8D" w14:paraId="19A618EE" w14:textId="77777777" w:rsidTr="0018617D">
        <w:tc>
          <w:tcPr>
            <w:tcW w:w="1509" w:type="pct"/>
          </w:tcPr>
          <w:p w14:paraId="487860D9" w14:textId="77777777" w:rsidR="003438A2" w:rsidRPr="00A11F8D" w:rsidRDefault="003438A2" w:rsidP="0018617D">
            <w:pPr>
              <w:pStyle w:val="TableText"/>
            </w:pPr>
            <w:r w:rsidRPr="00A11F8D">
              <w:t>PRA area</w:t>
            </w:r>
          </w:p>
        </w:tc>
        <w:tc>
          <w:tcPr>
            <w:tcW w:w="3491" w:type="pct"/>
          </w:tcPr>
          <w:p w14:paraId="4D282F29" w14:textId="77777777" w:rsidR="003438A2" w:rsidRPr="00A11F8D" w:rsidRDefault="003438A2" w:rsidP="0018617D">
            <w:pPr>
              <w:pStyle w:val="TableText"/>
            </w:pPr>
            <w:r w:rsidRPr="00A11F8D">
              <w:t xml:space="preserve">Area in relation to which a pest risk analysis is conducted </w:t>
            </w:r>
            <w:r>
              <w:rPr>
                <w:noProof/>
              </w:rPr>
              <w:t>(FAO 2021c)</w:t>
            </w:r>
            <w:r w:rsidRPr="00A11F8D">
              <w:t>.</w:t>
            </w:r>
          </w:p>
        </w:tc>
      </w:tr>
      <w:tr w:rsidR="003438A2" w:rsidRPr="00A11F8D" w14:paraId="3ED887BD" w14:textId="77777777" w:rsidTr="0018617D">
        <w:tc>
          <w:tcPr>
            <w:tcW w:w="1509" w:type="pct"/>
          </w:tcPr>
          <w:p w14:paraId="14171E8E" w14:textId="77777777" w:rsidR="003438A2" w:rsidRPr="00A11F8D" w:rsidRDefault="003438A2" w:rsidP="0018617D">
            <w:pPr>
              <w:pStyle w:val="TableText"/>
            </w:pPr>
            <w:r w:rsidRPr="00A11F8D">
              <w:t>Practically free</w:t>
            </w:r>
          </w:p>
        </w:tc>
        <w:tc>
          <w:tcPr>
            <w:tcW w:w="3491" w:type="pct"/>
          </w:tcPr>
          <w:p w14:paraId="55FBFAFC" w14:textId="77777777" w:rsidR="003438A2" w:rsidRPr="00A11F8D" w:rsidRDefault="003438A2" w:rsidP="0018617D">
            <w:pPr>
              <w:pStyle w:val="TableText"/>
            </w:pPr>
            <w:r w:rsidRPr="00A11F8D">
              <w:t xml:space="preserve">Of a consignment, field or place of production, without pests (or a specific pests) in numbers or quantities in excess of those that can be expected to result from, and be consistent with good cultural and handling practices employed in the production and marketing of the commodity </w:t>
            </w:r>
            <w:r>
              <w:rPr>
                <w:noProof/>
              </w:rPr>
              <w:t>(FAO 2021c)</w:t>
            </w:r>
            <w:r w:rsidRPr="00A11F8D">
              <w:t>.</w:t>
            </w:r>
          </w:p>
        </w:tc>
      </w:tr>
      <w:tr w:rsidR="003438A2" w:rsidRPr="00A11F8D" w14:paraId="49E7926F" w14:textId="77777777" w:rsidTr="0018617D">
        <w:tc>
          <w:tcPr>
            <w:tcW w:w="1509" w:type="pct"/>
          </w:tcPr>
          <w:p w14:paraId="13DC309C" w14:textId="77777777" w:rsidR="003438A2" w:rsidRPr="00A11F8D" w:rsidRDefault="003438A2" w:rsidP="0018617D">
            <w:pPr>
              <w:pStyle w:val="TableText"/>
            </w:pPr>
            <w:r w:rsidRPr="00A11F8D">
              <w:t>Production site</w:t>
            </w:r>
          </w:p>
        </w:tc>
        <w:tc>
          <w:tcPr>
            <w:tcW w:w="3491" w:type="pct"/>
          </w:tcPr>
          <w:p w14:paraId="01418713" w14:textId="77777777" w:rsidR="003438A2" w:rsidRPr="00A11F8D" w:rsidRDefault="003438A2" w:rsidP="0018617D">
            <w:pPr>
              <w:pStyle w:val="TableText"/>
            </w:pPr>
            <w:r w:rsidRPr="00A11F8D">
              <w:t xml:space="preserve">In this report, a production site is </w:t>
            </w:r>
            <w:r w:rsidRPr="00E85BB1">
              <w:t xml:space="preserve">a continuous planting of apple trees treated as a single unit for pest management purposes. If an orchard is subdivided into one or more units for pest management purposes, then each unit is a </w:t>
            </w:r>
            <w:r w:rsidRPr="00A11F8D">
              <w:t xml:space="preserve">production site. If the </w:t>
            </w:r>
            <w:r>
              <w:t>orchard</w:t>
            </w:r>
            <w:r w:rsidRPr="000F5AE9">
              <w:t xml:space="preserve"> </w:t>
            </w:r>
            <w:r w:rsidRPr="00A11F8D">
              <w:t>is not subdivided, then the orchard is also the production site.</w:t>
            </w:r>
          </w:p>
        </w:tc>
      </w:tr>
      <w:tr w:rsidR="003438A2" w:rsidRPr="00A11F8D" w14:paraId="2EF51754" w14:textId="77777777" w:rsidTr="0018617D">
        <w:tc>
          <w:tcPr>
            <w:tcW w:w="1509" w:type="pct"/>
          </w:tcPr>
          <w:p w14:paraId="53E97E72" w14:textId="77777777" w:rsidR="003438A2" w:rsidRPr="00A11F8D" w:rsidRDefault="003438A2" w:rsidP="0018617D">
            <w:pPr>
              <w:pStyle w:val="TableText"/>
            </w:pPr>
            <w:r w:rsidRPr="00A11F8D">
              <w:t>Pupa</w:t>
            </w:r>
          </w:p>
        </w:tc>
        <w:tc>
          <w:tcPr>
            <w:tcW w:w="3491" w:type="pct"/>
          </w:tcPr>
          <w:p w14:paraId="3FA4C3B7" w14:textId="77777777" w:rsidR="003438A2" w:rsidRPr="00A11F8D" w:rsidRDefault="003438A2" w:rsidP="00EA1650">
            <w:pPr>
              <w:pStyle w:val="TableText"/>
            </w:pPr>
            <w:r w:rsidRPr="00A11F8D">
              <w:t>An inactive life stage that only occurs in insects that undergo complete metamorphosis, for example butterflies and moths (Lepidoptera), beetles (Coleoptera) and bees, wasps and ants (Hymenoptera).</w:t>
            </w:r>
          </w:p>
        </w:tc>
      </w:tr>
      <w:tr w:rsidR="003438A2" w:rsidRPr="00F239A8" w14:paraId="3A9BCDFB" w14:textId="77777777" w:rsidTr="0018617D">
        <w:tc>
          <w:tcPr>
            <w:tcW w:w="1509" w:type="pct"/>
          </w:tcPr>
          <w:p w14:paraId="0B8CAECF" w14:textId="77777777" w:rsidR="003438A2" w:rsidRPr="00F239A8" w:rsidRDefault="003438A2" w:rsidP="00F239A8">
            <w:pPr>
              <w:pStyle w:val="TableText"/>
            </w:pPr>
            <w:r w:rsidRPr="00F239A8">
              <w:t>Pycnidia</w:t>
            </w:r>
          </w:p>
        </w:tc>
        <w:tc>
          <w:tcPr>
            <w:tcW w:w="3491" w:type="pct"/>
          </w:tcPr>
          <w:p w14:paraId="2F1B0501" w14:textId="77777777" w:rsidR="003438A2" w:rsidRPr="00F239A8" w:rsidRDefault="003438A2" w:rsidP="00F239A8">
            <w:pPr>
              <w:pStyle w:val="TableText"/>
            </w:pPr>
            <w:r>
              <w:t>F</w:t>
            </w:r>
            <w:r w:rsidRPr="00F239A8">
              <w:t>lask-shaped asexual reproductive structure, or fruiting body</w:t>
            </w:r>
            <w:r>
              <w:t xml:space="preserve"> of Ascomycetes </w:t>
            </w:r>
            <w:hyperlink r:id="rId109" w:history="1">
              <w:r w:rsidRPr="00F239A8">
                <w:rPr>
                  <w:rStyle w:val="Hyperlink"/>
                </w:rPr>
                <w:t>fungi</w:t>
              </w:r>
            </w:hyperlink>
            <w:r w:rsidRPr="00F239A8">
              <w:t xml:space="preserve"> </w:t>
            </w:r>
            <w:r>
              <w:t xml:space="preserve">and in </w:t>
            </w:r>
            <w:r w:rsidRPr="00F239A8">
              <w:t xml:space="preserve">rust fungi. It bears </w:t>
            </w:r>
            <w:hyperlink r:id="rId110" w:history="1">
              <w:r w:rsidRPr="00F239A8">
                <w:rPr>
                  <w:rStyle w:val="Hyperlink"/>
                </w:rPr>
                <w:t>spores</w:t>
              </w:r>
            </w:hyperlink>
            <w:r w:rsidRPr="00F239A8">
              <w:t xml:space="preserve"> (conidia) variously known as pycnidiospores, oidia, or spermatia. The spores are liberated through an opening (ostiole) in the pycnidium.</w:t>
            </w:r>
          </w:p>
        </w:tc>
      </w:tr>
      <w:tr w:rsidR="003438A2" w:rsidRPr="00EA1650" w14:paraId="06B378E7" w14:textId="77777777" w:rsidTr="0018617D">
        <w:tc>
          <w:tcPr>
            <w:tcW w:w="1509" w:type="pct"/>
          </w:tcPr>
          <w:p w14:paraId="0639EF21" w14:textId="77777777" w:rsidR="003438A2" w:rsidRPr="00EA1650" w:rsidRDefault="003438A2" w:rsidP="00EA1650">
            <w:pPr>
              <w:pStyle w:val="TableText"/>
            </w:pPr>
            <w:r w:rsidRPr="00EA1650">
              <w:t>Pycnosclerotia</w:t>
            </w:r>
          </w:p>
        </w:tc>
        <w:tc>
          <w:tcPr>
            <w:tcW w:w="3491" w:type="pct"/>
          </w:tcPr>
          <w:p w14:paraId="77976966" w14:textId="77777777" w:rsidR="003438A2" w:rsidRPr="00EA1650" w:rsidRDefault="003438A2" w:rsidP="00EA1650">
            <w:pPr>
              <w:pStyle w:val="TableText"/>
            </w:pPr>
            <w:r>
              <w:t xml:space="preserve">These </w:t>
            </w:r>
            <w:r w:rsidRPr="00C939C3">
              <w:t xml:space="preserve">are overwintering pycnidia containing pseudoparenchyma of large cells surrounded by a thick wall. They are globose or subglobose, 115-274 x 107-238μm; ostiole 23-59μm thick. </w:t>
            </w:r>
          </w:p>
        </w:tc>
      </w:tr>
      <w:tr w:rsidR="003438A2" w:rsidRPr="00A11F8D" w14:paraId="60D2D992" w14:textId="77777777" w:rsidTr="0018617D">
        <w:tc>
          <w:tcPr>
            <w:tcW w:w="1509" w:type="pct"/>
          </w:tcPr>
          <w:p w14:paraId="2E31D95C" w14:textId="77777777" w:rsidR="003438A2" w:rsidRPr="00A11F8D" w:rsidRDefault="003438A2" w:rsidP="0018617D">
            <w:pPr>
              <w:pStyle w:val="TableText"/>
            </w:pPr>
            <w:r w:rsidRPr="00A11F8D">
              <w:t>Quarantine</w:t>
            </w:r>
          </w:p>
        </w:tc>
        <w:tc>
          <w:tcPr>
            <w:tcW w:w="3491" w:type="pct"/>
          </w:tcPr>
          <w:p w14:paraId="496C750A" w14:textId="77777777" w:rsidR="003438A2" w:rsidRPr="00A11F8D" w:rsidRDefault="003438A2" w:rsidP="0018617D">
            <w:pPr>
              <w:pStyle w:val="TableText"/>
            </w:pPr>
            <w:r w:rsidRPr="00A11F8D">
              <w:t xml:space="preserve">Official confinement of regulated articles for observation and research or for further inspection, testing or treatment </w:t>
            </w:r>
            <w:r>
              <w:rPr>
                <w:noProof/>
              </w:rPr>
              <w:t>(FAO 2021c)</w:t>
            </w:r>
            <w:r w:rsidRPr="00A11F8D">
              <w:t>.</w:t>
            </w:r>
          </w:p>
        </w:tc>
      </w:tr>
      <w:tr w:rsidR="003438A2" w:rsidRPr="00A11F8D" w14:paraId="0B214589" w14:textId="77777777" w:rsidTr="0018617D">
        <w:tc>
          <w:tcPr>
            <w:tcW w:w="1509" w:type="pct"/>
          </w:tcPr>
          <w:p w14:paraId="13F1A72F" w14:textId="77777777" w:rsidR="003438A2" w:rsidRPr="00A11F8D" w:rsidRDefault="003438A2" w:rsidP="0018617D">
            <w:pPr>
              <w:pStyle w:val="TableText"/>
            </w:pPr>
            <w:r w:rsidRPr="00A11F8D">
              <w:t>Quarantine pest</w:t>
            </w:r>
          </w:p>
        </w:tc>
        <w:tc>
          <w:tcPr>
            <w:tcW w:w="3491" w:type="pct"/>
          </w:tcPr>
          <w:p w14:paraId="38A77431" w14:textId="77777777" w:rsidR="003438A2" w:rsidRPr="00A11F8D" w:rsidRDefault="003438A2" w:rsidP="0018617D">
            <w:pPr>
              <w:pStyle w:val="TableText"/>
            </w:pPr>
            <w:r w:rsidRPr="00A11F8D">
              <w:t xml:space="preserve">A pest of potential economic importance to the area endangered thereby and not yet present there, or present but not widely distributed and being officially controlled </w:t>
            </w:r>
            <w:r>
              <w:rPr>
                <w:noProof/>
              </w:rPr>
              <w:t>(FAO 2021c)</w:t>
            </w:r>
            <w:r w:rsidRPr="00A11F8D">
              <w:t>.</w:t>
            </w:r>
          </w:p>
        </w:tc>
      </w:tr>
      <w:tr w:rsidR="003438A2" w:rsidRPr="00A11F8D" w14:paraId="19D0AC36" w14:textId="77777777" w:rsidTr="0018617D">
        <w:tc>
          <w:tcPr>
            <w:tcW w:w="1509" w:type="pct"/>
          </w:tcPr>
          <w:p w14:paraId="1675420F" w14:textId="77777777" w:rsidR="003438A2" w:rsidRPr="00A11F8D" w:rsidRDefault="003438A2" w:rsidP="0018617D">
            <w:pPr>
              <w:pStyle w:val="TableText"/>
            </w:pPr>
            <w:r w:rsidRPr="00A11F8D">
              <w:t>Regulated article</w:t>
            </w:r>
          </w:p>
        </w:tc>
        <w:tc>
          <w:tcPr>
            <w:tcW w:w="3491" w:type="pct"/>
          </w:tcPr>
          <w:p w14:paraId="2B73F026" w14:textId="77777777" w:rsidR="003438A2" w:rsidRPr="00A11F8D" w:rsidRDefault="003438A2" w:rsidP="0018617D">
            <w:pPr>
              <w:pStyle w:val="TableText"/>
            </w:pPr>
            <w:r w:rsidRPr="00A11F8D">
              <w:t xml:space="preserve">Any plant, plant product, storage place, packaging, conveyance, container, soil and any other organism, object or material capable of harbouring or spreading pests, deemed to require phytosanitary measures, particularly where international transportation is involved </w:t>
            </w:r>
            <w:r>
              <w:rPr>
                <w:noProof/>
              </w:rPr>
              <w:t>(FAO 2021c)</w:t>
            </w:r>
            <w:r w:rsidRPr="00A11F8D">
              <w:t>.</w:t>
            </w:r>
          </w:p>
        </w:tc>
      </w:tr>
      <w:tr w:rsidR="003438A2" w:rsidRPr="00A11F8D" w14:paraId="27704421" w14:textId="77777777" w:rsidTr="0018617D">
        <w:tc>
          <w:tcPr>
            <w:tcW w:w="1509" w:type="pct"/>
          </w:tcPr>
          <w:p w14:paraId="756B5540" w14:textId="77777777" w:rsidR="003438A2" w:rsidRPr="00A11F8D" w:rsidRDefault="003438A2" w:rsidP="0018617D">
            <w:pPr>
              <w:pStyle w:val="TableText"/>
            </w:pPr>
            <w:r w:rsidRPr="00A11F8D">
              <w:t>Regulated non-quarantine pest</w:t>
            </w:r>
          </w:p>
        </w:tc>
        <w:tc>
          <w:tcPr>
            <w:tcW w:w="3491" w:type="pct"/>
          </w:tcPr>
          <w:p w14:paraId="31B27CF3" w14:textId="77777777" w:rsidR="003438A2" w:rsidRPr="00A11F8D" w:rsidRDefault="003438A2" w:rsidP="0018617D">
            <w:pPr>
              <w:pStyle w:val="TableText"/>
            </w:pPr>
            <w:r w:rsidRPr="00A11F8D">
              <w:t xml:space="preserve">A non-quarantine pest whose presence in plants for planting affects the intended use of those plants with an economically unacceptable impact and which is therefore regulated within the territory of the importing contracting party </w:t>
            </w:r>
            <w:r>
              <w:rPr>
                <w:noProof/>
              </w:rPr>
              <w:t>(FAO 2021c)</w:t>
            </w:r>
            <w:r w:rsidRPr="00A11F8D">
              <w:t>.</w:t>
            </w:r>
          </w:p>
        </w:tc>
      </w:tr>
      <w:tr w:rsidR="003438A2" w:rsidRPr="00A11F8D" w14:paraId="3AFE1BBE" w14:textId="77777777" w:rsidTr="0018617D">
        <w:tc>
          <w:tcPr>
            <w:tcW w:w="1509" w:type="pct"/>
          </w:tcPr>
          <w:p w14:paraId="18F27544" w14:textId="77777777" w:rsidR="003438A2" w:rsidRPr="00A11F8D" w:rsidRDefault="003438A2" w:rsidP="0018617D">
            <w:pPr>
              <w:pStyle w:val="TableText"/>
            </w:pPr>
            <w:r w:rsidRPr="00A11F8D">
              <w:t>Regulated pest</w:t>
            </w:r>
          </w:p>
        </w:tc>
        <w:tc>
          <w:tcPr>
            <w:tcW w:w="3491" w:type="pct"/>
          </w:tcPr>
          <w:p w14:paraId="28896BED" w14:textId="77777777" w:rsidR="003438A2" w:rsidRPr="00A11F8D" w:rsidRDefault="003438A2" w:rsidP="0018617D">
            <w:pPr>
              <w:pStyle w:val="TableText"/>
            </w:pPr>
            <w:r w:rsidRPr="00A11F8D">
              <w:t xml:space="preserve">A quarantine pest or a regulated non-quarantine pest </w:t>
            </w:r>
            <w:r>
              <w:rPr>
                <w:noProof/>
              </w:rPr>
              <w:t>(FAO 2021c)</w:t>
            </w:r>
            <w:r w:rsidRPr="00A11F8D">
              <w:t>.</w:t>
            </w:r>
          </w:p>
        </w:tc>
      </w:tr>
      <w:tr w:rsidR="003438A2" w:rsidRPr="00A11F8D" w14:paraId="61812276" w14:textId="77777777" w:rsidTr="0018617D">
        <w:tc>
          <w:tcPr>
            <w:tcW w:w="1509" w:type="pct"/>
          </w:tcPr>
          <w:p w14:paraId="417B2E27" w14:textId="77777777" w:rsidR="003438A2" w:rsidRPr="00A11F8D" w:rsidRDefault="003438A2" w:rsidP="0018617D">
            <w:pPr>
              <w:pStyle w:val="TableText"/>
            </w:pPr>
            <w:r w:rsidRPr="00A11F8D">
              <w:t>Restricted risk</w:t>
            </w:r>
          </w:p>
        </w:tc>
        <w:tc>
          <w:tcPr>
            <w:tcW w:w="3491" w:type="pct"/>
          </w:tcPr>
          <w:p w14:paraId="2DA657C0" w14:textId="77777777" w:rsidR="003438A2" w:rsidRPr="00A11F8D" w:rsidRDefault="003438A2" w:rsidP="0018617D">
            <w:pPr>
              <w:pStyle w:val="TableText"/>
            </w:pPr>
            <w:r>
              <w:t>Restricted risk is the r</w:t>
            </w:r>
            <w:r w:rsidRPr="00A11F8D">
              <w:t>isk estimate w</w:t>
            </w:r>
            <w:r>
              <w:t>hen risk management measures are applied</w:t>
            </w:r>
            <w:r w:rsidRPr="00A11F8D">
              <w:t>.</w:t>
            </w:r>
          </w:p>
        </w:tc>
      </w:tr>
      <w:tr w:rsidR="003438A2" w:rsidRPr="00A11F8D" w14:paraId="6BF17742" w14:textId="77777777" w:rsidTr="0018617D">
        <w:tc>
          <w:tcPr>
            <w:tcW w:w="1509" w:type="pct"/>
          </w:tcPr>
          <w:p w14:paraId="3213EE2C" w14:textId="77777777" w:rsidR="003438A2" w:rsidRPr="00A11F8D" w:rsidRDefault="003438A2" w:rsidP="0018617D">
            <w:pPr>
              <w:pStyle w:val="TableText"/>
            </w:pPr>
            <w:r>
              <w:t>Risk analysis</w:t>
            </w:r>
          </w:p>
        </w:tc>
        <w:tc>
          <w:tcPr>
            <w:tcW w:w="3491" w:type="pct"/>
          </w:tcPr>
          <w:p w14:paraId="41A4D7A4" w14:textId="77777777" w:rsidR="003438A2" w:rsidRPr="00A11F8D" w:rsidRDefault="003438A2" w:rsidP="0018617D">
            <w:pPr>
              <w:pStyle w:val="TableText"/>
            </w:pPr>
            <w:r>
              <w:t xml:space="preserve">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 </w:t>
            </w:r>
          </w:p>
        </w:tc>
      </w:tr>
      <w:tr w:rsidR="003438A2" w:rsidRPr="00A11F8D" w14:paraId="25689F21" w14:textId="77777777" w:rsidTr="0018617D">
        <w:tc>
          <w:tcPr>
            <w:tcW w:w="1509" w:type="pct"/>
          </w:tcPr>
          <w:p w14:paraId="29790029" w14:textId="77777777" w:rsidR="003438A2" w:rsidRDefault="003438A2" w:rsidP="0018617D">
            <w:pPr>
              <w:pStyle w:val="TableText"/>
            </w:pPr>
            <w:r>
              <w:t>Risk management measure</w:t>
            </w:r>
          </w:p>
        </w:tc>
        <w:tc>
          <w:tcPr>
            <w:tcW w:w="3491" w:type="pct"/>
          </w:tcPr>
          <w:p w14:paraId="2207EF00" w14:textId="77777777" w:rsidR="003438A2" w:rsidRDefault="003438A2" w:rsidP="0018617D">
            <w:pPr>
              <w:pStyle w:val="TableText"/>
            </w:pPr>
            <w:r>
              <w:t>Are conditions that must be met to manage the level of biosecurity risk associated with the goods or the class of goods, to a level that achieves the ALOP for Australia. In this risk analysis, the term ‘risk management measure’ and ‘phytosanitary measure’ may be used interchangeably.</w:t>
            </w:r>
          </w:p>
        </w:tc>
      </w:tr>
      <w:tr w:rsidR="003438A2" w:rsidRPr="00A11F8D" w14:paraId="05E83EB2" w14:textId="77777777" w:rsidTr="0018617D">
        <w:tc>
          <w:tcPr>
            <w:tcW w:w="1509" w:type="pct"/>
          </w:tcPr>
          <w:p w14:paraId="39AD7D72" w14:textId="77777777" w:rsidR="003438A2" w:rsidRPr="00A11F8D" w:rsidRDefault="003438A2" w:rsidP="0018617D">
            <w:pPr>
              <w:pStyle w:val="TableText"/>
            </w:pPr>
            <w:r w:rsidRPr="00A11F8D">
              <w:t>Saprophyte</w:t>
            </w:r>
          </w:p>
        </w:tc>
        <w:tc>
          <w:tcPr>
            <w:tcW w:w="3491" w:type="pct"/>
          </w:tcPr>
          <w:p w14:paraId="4FB24AB1" w14:textId="77777777" w:rsidR="003438A2" w:rsidRPr="00A11F8D" w:rsidRDefault="003438A2" w:rsidP="0018617D">
            <w:pPr>
              <w:pStyle w:val="TableText"/>
            </w:pPr>
            <w:r w:rsidRPr="00A11F8D">
              <w:t>An organism deriving its nourishment from dead organic matter.</w:t>
            </w:r>
          </w:p>
        </w:tc>
      </w:tr>
      <w:tr w:rsidR="003438A2" w:rsidRPr="00A11F8D" w14:paraId="03583CFB" w14:textId="77777777" w:rsidTr="0018617D">
        <w:tc>
          <w:tcPr>
            <w:tcW w:w="1509" w:type="pct"/>
          </w:tcPr>
          <w:p w14:paraId="39B9F6B3" w14:textId="77777777" w:rsidR="003438A2" w:rsidRPr="00A11F8D" w:rsidRDefault="003438A2" w:rsidP="0018617D">
            <w:pPr>
              <w:pStyle w:val="TableText"/>
            </w:pPr>
            <w:r w:rsidRPr="00A11F8D">
              <w:t>Spread (of a pest)</w:t>
            </w:r>
          </w:p>
        </w:tc>
        <w:tc>
          <w:tcPr>
            <w:tcW w:w="3491" w:type="pct"/>
          </w:tcPr>
          <w:p w14:paraId="2E3A082C" w14:textId="77777777" w:rsidR="003438A2" w:rsidRPr="00A11F8D" w:rsidRDefault="003438A2" w:rsidP="0018617D">
            <w:pPr>
              <w:pStyle w:val="TableText"/>
            </w:pPr>
            <w:r w:rsidRPr="00A11F8D">
              <w:t xml:space="preserve">Expansion of the geographical distribution of a pest within an area </w:t>
            </w:r>
            <w:r>
              <w:rPr>
                <w:noProof/>
              </w:rPr>
              <w:t>(FAO 2021c)</w:t>
            </w:r>
            <w:r w:rsidRPr="00A11F8D">
              <w:t>.</w:t>
            </w:r>
          </w:p>
        </w:tc>
      </w:tr>
      <w:tr w:rsidR="003438A2" w:rsidRPr="00A11F8D" w14:paraId="643836A7" w14:textId="77777777" w:rsidTr="0018617D">
        <w:tc>
          <w:tcPr>
            <w:tcW w:w="1509" w:type="pct"/>
          </w:tcPr>
          <w:p w14:paraId="6B28171D" w14:textId="77777777" w:rsidR="003438A2" w:rsidRPr="00A11F8D" w:rsidRDefault="003438A2" w:rsidP="0018617D">
            <w:pPr>
              <w:pStyle w:val="TableText"/>
            </w:pPr>
            <w:r w:rsidRPr="00A11F8D">
              <w:t>SPS Agreement</w:t>
            </w:r>
          </w:p>
        </w:tc>
        <w:tc>
          <w:tcPr>
            <w:tcW w:w="3491" w:type="pct"/>
          </w:tcPr>
          <w:p w14:paraId="7C0B9AA2" w14:textId="77777777" w:rsidR="003438A2" w:rsidRPr="00A11F8D" w:rsidRDefault="003438A2" w:rsidP="0018617D">
            <w:pPr>
              <w:pStyle w:val="TableText"/>
            </w:pPr>
            <w:r w:rsidRPr="00A11F8D">
              <w:t>WTO Agreement on the Application of Sanitary and Phytosanitary Measures.</w:t>
            </w:r>
          </w:p>
        </w:tc>
      </w:tr>
      <w:tr w:rsidR="003438A2" w:rsidRPr="00A11F8D" w14:paraId="6B1FAC46" w14:textId="77777777" w:rsidTr="0018617D">
        <w:tc>
          <w:tcPr>
            <w:tcW w:w="1509" w:type="pct"/>
          </w:tcPr>
          <w:p w14:paraId="5B95A3F8" w14:textId="77777777" w:rsidR="003438A2" w:rsidRPr="00A11F8D" w:rsidRDefault="003438A2" w:rsidP="0018617D">
            <w:pPr>
              <w:pStyle w:val="TableText"/>
            </w:pPr>
            <w:r w:rsidRPr="00A11F8D">
              <w:t>Stakeholders</w:t>
            </w:r>
          </w:p>
        </w:tc>
        <w:tc>
          <w:tcPr>
            <w:tcW w:w="3491" w:type="pct"/>
          </w:tcPr>
          <w:p w14:paraId="16C0523D" w14:textId="77777777" w:rsidR="003438A2" w:rsidRPr="00A11F8D" w:rsidRDefault="003438A2" w:rsidP="0018617D">
            <w:pPr>
              <w:pStyle w:val="TableText"/>
            </w:pPr>
            <w:r w:rsidRPr="00A11F8D">
              <w:t>Government agencies, individuals, community or industry groups or organizations, whether in Australia or overseas, including the proponent/applicant for a specific proposal, who have an interest in the policy issues.</w:t>
            </w:r>
          </w:p>
        </w:tc>
      </w:tr>
      <w:tr w:rsidR="003438A2" w:rsidRPr="00545FC4" w14:paraId="55C03893" w14:textId="77777777" w:rsidTr="0018617D">
        <w:tc>
          <w:tcPr>
            <w:tcW w:w="1509" w:type="pct"/>
          </w:tcPr>
          <w:p w14:paraId="3920E986" w14:textId="77777777" w:rsidR="003438A2" w:rsidRPr="00545FC4" w:rsidRDefault="003438A2" w:rsidP="00545FC4">
            <w:pPr>
              <w:pStyle w:val="TableText"/>
            </w:pPr>
            <w:r w:rsidRPr="00545FC4">
              <w:t>Stroma</w:t>
            </w:r>
          </w:p>
        </w:tc>
        <w:tc>
          <w:tcPr>
            <w:tcW w:w="3491" w:type="pct"/>
          </w:tcPr>
          <w:p w14:paraId="3EAB8954" w14:textId="77777777" w:rsidR="003438A2" w:rsidRPr="00545FC4" w:rsidRDefault="003438A2" w:rsidP="00545FC4">
            <w:pPr>
              <w:pStyle w:val="TableText"/>
            </w:pPr>
            <w:r w:rsidRPr="00545FC4">
              <w:t xml:space="preserve">A </w:t>
            </w:r>
            <w:r w:rsidRPr="00545FC4">
              <w:rPr>
                <w:rStyle w:val="e24kjd"/>
              </w:rPr>
              <w:t>tissue mass of pseudoparenchyma in or on which the reproductive structures (perithecia) are formed in some sac fungi. More generally, a mass or matrix of vegetative hyphae, with or without tissue of the host or substrate, in which spores are produced.</w:t>
            </w:r>
          </w:p>
        </w:tc>
      </w:tr>
      <w:tr w:rsidR="003438A2" w:rsidRPr="00A11F8D" w14:paraId="786FD718" w14:textId="77777777" w:rsidTr="0018617D">
        <w:tc>
          <w:tcPr>
            <w:tcW w:w="1509" w:type="pct"/>
          </w:tcPr>
          <w:p w14:paraId="4A47502B" w14:textId="77777777" w:rsidR="003438A2" w:rsidRPr="00A11F8D" w:rsidRDefault="003438A2" w:rsidP="0018617D">
            <w:pPr>
              <w:pStyle w:val="TableText"/>
            </w:pPr>
            <w:r w:rsidRPr="00A11F8D">
              <w:t>Surveillance</w:t>
            </w:r>
          </w:p>
        </w:tc>
        <w:tc>
          <w:tcPr>
            <w:tcW w:w="3491" w:type="pct"/>
          </w:tcPr>
          <w:p w14:paraId="2CDB69A0" w14:textId="77777777" w:rsidR="003438A2" w:rsidRPr="00A11F8D" w:rsidRDefault="003438A2" w:rsidP="0018617D">
            <w:pPr>
              <w:pStyle w:val="TableText"/>
            </w:pPr>
            <w:r w:rsidRPr="00A11F8D">
              <w:t xml:space="preserve">An official process which collects and records data on pest occurrence or absence by surveying, monitoring or other procedures </w:t>
            </w:r>
            <w:r>
              <w:rPr>
                <w:noProof/>
              </w:rPr>
              <w:t>(FAO 2021c)</w:t>
            </w:r>
            <w:r w:rsidRPr="00A11F8D">
              <w:t>.</w:t>
            </w:r>
          </w:p>
        </w:tc>
      </w:tr>
      <w:tr w:rsidR="003438A2" w:rsidRPr="00A11F8D" w14:paraId="1FBB3498" w14:textId="77777777" w:rsidTr="0018617D">
        <w:tc>
          <w:tcPr>
            <w:tcW w:w="1509" w:type="pct"/>
          </w:tcPr>
          <w:p w14:paraId="759BA7DB" w14:textId="77777777" w:rsidR="003438A2" w:rsidRPr="00A11F8D" w:rsidRDefault="003438A2" w:rsidP="0018617D">
            <w:pPr>
              <w:pStyle w:val="TableText"/>
            </w:pPr>
            <w:r w:rsidRPr="00A11F8D">
              <w:t>Systems approach(es)</w:t>
            </w:r>
          </w:p>
        </w:tc>
        <w:tc>
          <w:tcPr>
            <w:tcW w:w="3491" w:type="pct"/>
          </w:tcPr>
          <w:p w14:paraId="6F836B60" w14:textId="77777777" w:rsidR="003438A2" w:rsidRPr="00A11F8D" w:rsidRDefault="003438A2" w:rsidP="0018617D">
            <w:pPr>
              <w:pStyle w:val="TableText"/>
            </w:pPr>
            <w:r w:rsidRPr="00A11F8D">
              <w:t>The integration of different risk management measures, at least two of which act independently, and which cumulatively achieve the appropriate level of protection against regulated pests.</w:t>
            </w:r>
          </w:p>
        </w:tc>
      </w:tr>
      <w:tr w:rsidR="003438A2" w:rsidRPr="00A11F8D" w14:paraId="438F2B89" w14:textId="77777777" w:rsidTr="0018617D">
        <w:tc>
          <w:tcPr>
            <w:tcW w:w="1509" w:type="pct"/>
          </w:tcPr>
          <w:p w14:paraId="6BDD624A" w14:textId="77777777" w:rsidR="003438A2" w:rsidRPr="00A11F8D" w:rsidRDefault="003438A2" w:rsidP="0018617D">
            <w:pPr>
              <w:pStyle w:val="TableText"/>
            </w:pPr>
            <w:r w:rsidRPr="00E85BB1">
              <w:t>Teleomorph</w:t>
            </w:r>
          </w:p>
        </w:tc>
        <w:tc>
          <w:tcPr>
            <w:tcW w:w="3491" w:type="pct"/>
          </w:tcPr>
          <w:p w14:paraId="27109E21" w14:textId="77777777" w:rsidR="003438A2" w:rsidRPr="00A11F8D" w:rsidRDefault="003438A2" w:rsidP="0018617D">
            <w:pPr>
              <w:pStyle w:val="TableText"/>
            </w:pPr>
            <w:r>
              <w:rPr>
                <w:lang w:val="en"/>
              </w:rPr>
              <w:t>T</w:t>
            </w:r>
            <w:r w:rsidRPr="00E85BB1">
              <w:rPr>
                <w:lang w:val="en"/>
              </w:rPr>
              <w:t xml:space="preserve">he sexual reproductive stage </w:t>
            </w:r>
            <w:r>
              <w:rPr>
                <w:lang w:val="en"/>
              </w:rPr>
              <w:t>of a fungus,</w:t>
            </w:r>
            <w:r w:rsidRPr="00E85BB1">
              <w:rPr>
                <w:lang w:val="en"/>
              </w:rPr>
              <w:t xml:space="preserve"> typically </w:t>
            </w:r>
            <w:r>
              <w:rPr>
                <w:lang w:val="en"/>
              </w:rPr>
              <w:t>a fruiting body.</w:t>
            </w:r>
          </w:p>
        </w:tc>
      </w:tr>
      <w:tr w:rsidR="003438A2" w:rsidRPr="00A11F8D" w14:paraId="3D019DC8" w14:textId="77777777" w:rsidTr="0018617D">
        <w:tc>
          <w:tcPr>
            <w:tcW w:w="1509" w:type="pct"/>
          </w:tcPr>
          <w:p w14:paraId="6685EE8C" w14:textId="77777777" w:rsidR="003438A2" w:rsidRPr="00A11F8D" w:rsidRDefault="003438A2" w:rsidP="0018617D">
            <w:pPr>
              <w:pStyle w:val="TableText"/>
            </w:pPr>
            <w:r w:rsidRPr="00A11F8D">
              <w:t>Trash</w:t>
            </w:r>
          </w:p>
        </w:tc>
        <w:tc>
          <w:tcPr>
            <w:tcW w:w="3491" w:type="pct"/>
          </w:tcPr>
          <w:p w14:paraId="3B1D7183" w14:textId="77777777" w:rsidR="003438A2" w:rsidRDefault="003438A2" w:rsidP="0018617D">
            <w:pPr>
              <w:pStyle w:val="TableText"/>
            </w:pPr>
            <w:r w:rsidRPr="00A11F8D">
              <w:t xml:space="preserve">Soil, splinters, twigs, leaves and other plant material, other than fruit </w:t>
            </w:r>
            <w:r>
              <w:t>as defined in the scope of this risk analysis</w:t>
            </w:r>
            <w:r w:rsidRPr="00A11F8D">
              <w:t>.</w:t>
            </w:r>
          </w:p>
          <w:p w14:paraId="739883B5" w14:textId="77777777" w:rsidR="003438A2" w:rsidRPr="00A11F8D" w:rsidRDefault="003438A2" w:rsidP="0018617D">
            <w:pPr>
              <w:pStyle w:val="TableText"/>
            </w:pPr>
            <w:r>
              <w:t>For example, stem and leaf material, seeds, soil, animal matter/parts or other extraneous material</w:t>
            </w:r>
          </w:p>
        </w:tc>
      </w:tr>
      <w:tr w:rsidR="003438A2" w:rsidRPr="00A11F8D" w14:paraId="40315C26" w14:textId="77777777" w:rsidTr="0018617D">
        <w:tc>
          <w:tcPr>
            <w:tcW w:w="1509" w:type="pct"/>
          </w:tcPr>
          <w:p w14:paraId="020ED235" w14:textId="77777777" w:rsidR="003438A2" w:rsidRPr="00A11F8D" w:rsidRDefault="003438A2" w:rsidP="0018617D">
            <w:pPr>
              <w:pStyle w:val="TableText"/>
            </w:pPr>
            <w:r w:rsidRPr="00A11F8D">
              <w:t>Treatment</w:t>
            </w:r>
          </w:p>
        </w:tc>
        <w:tc>
          <w:tcPr>
            <w:tcW w:w="3491" w:type="pct"/>
          </w:tcPr>
          <w:p w14:paraId="0DA2F8D9" w14:textId="77777777" w:rsidR="003438A2" w:rsidRPr="00A11F8D" w:rsidRDefault="003438A2" w:rsidP="0018617D">
            <w:pPr>
              <w:pStyle w:val="TableText"/>
            </w:pPr>
            <w:r w:rsidRPr="00A11F8D">
              <w:t xml:space="preserve">Official procedure for the killing, inactivation or removal of pests, or for rendering pests infertile or for devitalisation </w:t>
            </w:r>
            <w:r>
              <w:rPr>
                <w:noProof/>
              </w:rPr>
              <w:t>(FAO 2021c)</w:t>
            </w:r>
            <w:r w:rsidRPr="00A11F8D">
              <w:t>.</w:t>
            </w:r>
          </w:p>
        </w:tc>
      </w:tr>
      <w:tr w:rsidR="003438A2" w:rsidRPr="00A11F8D" w14:paraId="4A89019D" w14:textId="77777777" w:rsidTr="0018617D">
        <w:tc>
          <w:tcPr>
            <w:tcW w:w="1509" w:type="pct"/>
          </w:tcPr>
          <w:p w14:paraId="40A8FAF1" w14:textId="77777777" w:rsidR="003438A2" w:rsidRPr="00A11F8D" w:rsidRDefault="003438A2" w:rsidP="0018617D">
            <w:pPr>
              <w:pStyle w:val="TableText"/>
            </w:pPr>
            <w:r w:rsidRPr="00A11F8D">
              <w:t>Unrestricted risk</w:t>
            </w:r>
          </w:p>
        </w:tc>
        <w:tc>
          <w:tcPr>
            <w:tcW w:w="3491" w:type="pct"/>
          </w:tcPr>
          <w:p w14:paraId="2DAFC0ED" w14:textId="77777777" w:rsidR="003438A2" w:rsidRPr="00A11F8D" w:rsidRDefault="003438A2" w:rsidP="0018617D">
            <w:pPr>
              <w:pStyle w:val="TableText"/>
            </w:pPr>
            <w:r w:rsidRPr="00A11F8D">
              <w:t xml:space="preserve">Unrestricted risk estimates apply in the absence of risk </w:t>
            </w:r>
            <w:r>
              <w:t>management</w:t>
            </w:r>
            <w:r w:rsidRPr="00A11F8D">
              <w:t xml:space="preserve"> measures.</w:t>
            </w:r>
          </w:p>
        </w:tc>
      </w:tr>
      <w:tr w:rsidR="003438A2" w:rsidRPr="00A11F8D" w14:paraId="785FE4A4" w14:textId="77777777" w:rsidTr="0018617D">
        <w:tc>
          <w:tcPr>
            <w:tcW w:w="1509" w:type="pct"/>
          </w:tcPr>
          <w:p w14:paraId="050FC2C0" w14:textId="77777777" w:rsidR="003438A2" w:rsidRPr="00A11F8D" w:rsidRDefault="003438A2" w:rsidP="0018617D">
            <w:pPr>
              <w:pStyle w:val="TableText"/>
            </w:pPr>
            <w:r w:rsidRPr="00A11F8D">
              <w:t>Vector</w:t>
            </w:r>
          </w:p>
        </w:tc>
        <w:tc>
          <w:tcPr>
            <w:tcW w:w="3491" w:type="pct"/>
          </w:tcPr>
          <w:p w14:paraId="48AEE3A4" w14:textId="77777777" w:rsidR="003438A2" w:rsidRPr="00A11F8D" w:rsidRDefault="003438A2" w:rsidP="0018617D">
            <w:pPr>
              <w:pStyle w:val="TableText"/>
            </w:pPr>
            <w:r w:rsidRPr="00A11F8D">
              <w:t>An organism that does not cause disease itself, but which causes infection by conveying pathogens from one host to another.</w:t>
            </w:r>
          </w:p>
        </w:tc>
      </w:tr>
      <w:bookmarkEnd w:id="538"/>
      <w:tr w:rsidR="003438A2" w:rsidRPr="00E400E4" w14:paraId="6C991A2B" w14:textId="77777777" w:rsidTr="00043C03">
        <w:trPr>
          <w:cantSplit/>
        </w:trPr>
        <w:tc>
          <w:tcPr>
            <w:tcW w:w="1509" w:type="pct"/>
          </w:tcPr>
          <w:p w14:paraId="11D34E28" w14:textId="77777777" w:rsidR="003438A2" w:rsidRPr="00E400E4" w:rsidRDefault="003438A2" w:rsidP="00043C03">
            <w:pPr>
              <w:pStyle w:val="TableText"/>
            </w:pPr>
            <w:r w:rsidRPr="00E400E4">
              <w:t>Viable</w:t>
            </w:r>
          </w:p>
        </w:tc>
        <w:tc>
          <w:tcPr>
            <w:tcW w:w="3491" w:type="pct"/>
          </w:tcPr>
          <w:p w14:paraId="726A21A1" w14:textId="77777777" w:rsidR="003438A2" w:rsidRPr="00E400E4" w:rsidRDefault="003438A2" w:rsidP="00043C03">
            <w:pPr>
              <w:pStyle w:val="TableText"/>
            </w:pPr>
            <w:r w:rsidRPr="00E400E4">
              <w:t>Alive, able to germinate or capable of growth.</w:t>
            </w:r>
          </w:p>
        </w:tc>
      </w:tr>
    </w:tbl>
    <w:p w14:paraId="488DC70D" w14:textId="77777777" w:rsidR="003438A2" w:rsidRPr="00E400E4" w:rsidRDefault="003438A2" w:rsidP="00901EF2"/>
    <w:p w14:paraId="021A1910" w14:textId="77777777" w:rsidR="003438A2" w:rsidRPr="00E400E4" w:rsidRDefault="003438A2" w:rsidP="00901EF2">
      <w:pPr>
        <w:sectPr w:rsidR="003438A2" w:rsidRPr="00E400E4">
          <w:headerReference w:type="even" r:id="rId111"/>
          <w:headerReference w:type="default" r:id="rId112"/>
          <w:headerReference w:type="first" r:id="rId113"/>
          <w:pgSz w:w="11906" w:h="16838"/>
          <w:pgMar w:top="1418" w:right="1418" w:bottom="1418" w:left="1418" w:header="567" w:footer="283" w:gutter="0"/>
          <w:cols w:space="708"/>
          <w:docGrid w:linePitch="360"/>
        </w:sectPr>
      </w:pPr>
    </w:p>
    <w:p w14:paraId="3E403E66" w14:textId="77777777" w:rsidR="003438A2" w:rsidRDefault="003438A2" w:rsidP="00D40E57">
      <w:pPr>
        <w:pStyle w:val="Heading2"/>
        <w:numPr>
          <w:ilvl w:val="0"/>
          <w:numId w:val="0"/>
        </w:numPr>
      </w:pPr>
      <w:bookmarkStart w:id="567" w:name="_Toc20392261"/>
      <w:bookmarkStart w:id="568" w:name="_Toc110187349"/>
      <w:bookmarkStart w:id="569" w:name="_Toc112769039"/>
      <w:r w:rsidRPr="00E400E4">
        <w:t>References</w:t>
      </w:r>
      <w:bookmarkEnd w:id="567"/>
      <w:bookmarkEnd w:id="568"/>
      <w:bookmarkEnd w:id="569"/>
    </w:p>
    <w:p w14:paraId="41A6A2C1" w14:textId="6EB1623C" w:rsidR="003438A2" w:rsidRPr="00112D14" w:rsidRDefault="003438A2" w:rsidP="00112D14">
      <w:pPr>
        <w:pStyle w:val="EndNoteBibliography"/>
        <w:spacing w:after="0"/>
      </w:pPr>
      <w:bookmarkStart w:id="570" w:name="_ENREF_1"/>
      <w:r w:rsidRPr="00112D14">
        <w:t xml:space="preserve">ABC 2008, </w:t>
      </w:r>
      <w:r w:rsidRPr="00112D14">
        <w:rPr>
          <w:i/>
        </w:rPr>
        <w:t>Plant profile: Juniperus</w:t>
      </w:r>
      <w:r w:rsidRPr="00112D14">
        <w:t>, Australian Broadcasting Commission Gardening Australia</w:t>
      </w:r>
      <w:bookmarkEnd w:id="570"/>
      <w:r w:rsidR="00D52D3A">
        <w:t>.</w:t>
      </w:r>
    </w:p>
    <w:p w14:paraId="30BE8C79" w14:textId="77777777" w:rsidR="003438A2" w:rsidRPr="00112D14" w:rsidRDefault="003438A2" w:rsidP="00112D14">
      <w:pPr>
        <w:pStyle w:val="EndNoteBibliography"/>
        <w:spacing w:after="0"/>
      </w:pPr>
      <w:bookmarkStart w:id="571" w:name="_ENREF_2"/>
      <w:r w:rsidRPr="00112D14">
        <w:t xml:space="preserve">Abdelgayed, A, Negm, M, Eraky, S, Helal, T &amp; Moussa, F 2017, ‘Phytophagous and predatory mites inhabiting citrus trees in Assiut Governorate, Upper Egypt’, </w:t>
      </w:r>
      <w:r w:rsidRPr="00112D14">
        <w:rPr>
          <w:i/>
        </w:rPr>
        <w:t>Assiut Journal of Agricultural Sciences</w:t>
      </w:r>
      <w:r w:rsidRPr="00112D14">
        <w:t>, vol. 48, no. 1-1, pp. 173-81.</w:t>
      </w:r>
      <w:bookmarkEnd w:id="571"/>
    </w:p>
    <w:p w14:paraId="191FC6F1" w14:textId="77777777" w:rsidR="003438A2" w:rsidRPr="00112D14" w:rsidRDefault="003438A2" w:rsidP="00112D14">
      <w:pPr>
        <w:pStyle w:val="EndNoteBibliography"/>
        <w:spacing w:after="0"/>
      </w:pPr>
      <w:bookmarkStart w:id="572" w:name="_ENREF_3"/>
      <w:r w:rsidRPr="00112D14">
        <w:t>Acimovic, S, Santander, RD, Meredith, CL &amp; Khodadadi, F 2019, ‘Post-infection applications of prohexadione-calcium can reduce/prevent shoot blight initiation of fire blight cankers on perennial apple wood’, paper presented at 2nd International Symposium on Fireblight of Rosaceous Plants, Traverse City, Michigan, USA, 17-21 June.</w:t>
      </w:r>
      <w:bookmarkEnd w:id="572"/>
    </w:p>
    <w:p w14:paraId="731FBBE0" w14:textId="77777777" w:rsidR="003438A2" w:rsidRPr="00112D14" w:rsidRDefault="003438A2" w:rsidP="00112D14">
      <w:pPr>
        <w:pStyle w:val="EndNoteBibliography"/>
        <w:spacing w:after="0"/>
      </w:pPr>
      <w:bookmarkStart w:id="573" w:name="_ENREF_4"/>
      <w:r w:rsidRPr="00112D14">
        <w:t xml:space="preserve">Adams, C, Bush, MR &amp; Stoven, H 2021, </w:t>
      </w:r>
      <w:r w:rsidRPr="00112D14">
        <w:rPr>
          <w:i/>
        </w:rPr>
        <w:t>Apricot-oriental fruit moth: Grapholita molesta</w:t>
      </w:r>
      <w:r w:rsidRPr="00112D14">
        <w:t>, PNW Pest Management Handbooks, Oregon State University, Corvallis, Oregon, USA.</w:t>
      </w:r>
      <w:bookmarkEnd w:id="573"/>
    </w:p>
    <w:p w14:paraId="237786A6" w14:textId="77777777" w:rsidR="003438A2" w:rsidRPr="00112D14" w:rsidRDefault="003438A2" w:rsidP="00112D14">
      <w:pPr>
        <w:pStyle w:val="EndNoteBibliography"/>
        <w:spacing w:after="0"/>
      </w:pPr>
      <w:bookmarkStart w:id="574" w:name="_ENREF_5"/>
      <w:r w:rsidRPr="00112D14">
        <w:t xml:space="preserve">Adams, MJ, King, AQ &amp; Carstens, EB 2013, ‘Ratification vote on taxonomic proposals to the International Committee on Taxonomy of Viruses (2013)’, </w:t>
      </w:r>
      <w:r w:rsidRPr="00112D14">
        <w:rPr>
          <w:i/>
        </w:rPr>
        <w:t>Archives of Virology</w:t>
      </w:r>
      <w:r w:rsidRPr="00112D14">
        <w:t>, vol. 158, no. 9, pp. 2023-30.</w:t>
      </w:r>
      <w:bookmarkEnd w:id="574"/>
    </w:p>
    <w:p w14:paraId="3B7554F6" w14:textId="77777777" w:rsidR="003438A2" w:rsidRPr="00112D14" w:rsidRDefault="003438A2" w:rsidP="00112D14">
      <w:pPr>
        <w:pStyle w:val="EndNoteBibliography"/>
        <w:spacing w:after="0"/>
      </w:pPr>
      <w:bookmarkStart w:id="575" w:name="_ENREF_6"/>
      <w:r w:rsidRPr="00112D14">
        <w:t xml:space="preserve">Adams, RE &amp; Tamburo, SE 1957, ‘The West Virginia spot-rot complex of apple in 1956’, </w:t>
      </w:r>
      <w:r w:rsidRPr="00112D14">
        <w:rPr>
          <w:i/>
        </w:rPr>
        <w:t>Plant Disease Reporter</w:t>
      </w:r>
      <w:r w:rsidRPr="00112D14">
        <w:t>, vol. 41, no. 9, pp. 760-5.</w:t>
      </w:r>
      <w:bookmarkEnd w:id="575"/>
    </w:p>
    <w:p w14:paraId="1F494639" w14:textId="77777777" w:rsidR="003438A2" w:rsidRPr="00112D14" w:rsidRDefault="003438A2" w:rsidP="00112D14">
      <w:pPr>
        <w:pStyle w:val="EndNoteBibliography"/>
        <w:spacing w:after="0"/>
      </w:pPr>
      <w:bookmarkStart w:id="576" w:name="_ENREF_7"/>
      <w:r w:rsidRPr="00112D14">
        <w:t xml:space="preserve">Agarwala, RK &amp; Sharma, VC 1968, ‘Storage rot diseases of apple’, </w:t>
      </w:r>
      <w:r w:rsidRPr="00112D14">
        <w:rPr>
          <w:i/>
        </w:rPr>
        <w:t>Indian Phytopathology</w:t>
      </w:r>
      <w:r w:rsidRPr="00112D14">
        <w:t>, vol. 21, no. 3, pp. 294-8.</w:t>
      </w:r>
      <w:bookmarkEnd w:id="576"/>
    </w:p>
    <w:p w14:paraId="5917BEEA" w14:textId="782FAC1D" w:rsidR="003438A2" w:rsidRPr="00112D14" w:rsidRDefault="003438A2" w:rsidP="00112D14">
      <w:pPr>
        <w:pStyle w:val="EndNoteBibliography"/>
        <w:spacing w:after="0"/>
      </w:pPr>
      <w:bookmarkStart w:id="577" w:name="_ENREF_8"/>
      <w:r w:rsidRPr="00112D14">
        <w:t xml:space="preserve">AgFirst 2022, ‘Land use fact sheet apples and pears’, </w:t>
      </w:r>
      <w:r w:rsidRPr="00112D14">
        <w:rPr>
          <w:i/>
        </w:rPr>
        <w:t>Te Puni Kokiri, New Zealand</w:t>
      </w:r>
      <w:r w:rsidRPr="00112D14">
        <w:t>, New Zealand</w:t>
      </w:r>
      <w:r w:rsidR="00946D6B">
        <w:t>.</w:t>
      </w:r>
      <w:r w:rsidRPr="00112D14">
        <w:t xml:space="preserve"> </w:t>
      </w:r>
      <w:bookmarkEnd w:id="577"/>
    </w:p>
    <w:p w14:paraId="7F03F869" w14:textId="77777777" w:rsidR="003438A2" w:rsidRPr="00112D14" w:rsidRDefault="003438A2" w:rsidP="00112D14">
      <w:pPr>
        <w:pStyle w:val="EndNoteBibliography"/>
        <w:spacing w:after="0"/>
      </w:pPr>
      <w:bookmarkStart w:id="578" w:name="_ENREF_9"/>
      <w:r w:rsidRPr="00112D14">
        <w:t xml:space="preserve">Agnello, AM, Spangler, SM, Minson, ES, Harris, T &amp; Kain, DP 2002, ‘Effect of high-carbon dioxide atmospheres on infestations of apple maggot (Diptera: Tephritidae) in apples’, </w:t>
      </w:r>
      <w:r w:rsidRPr="00112D14">
        <w:rPr>
          <w:i/>
        </w:rPr>
        <w:t>Journal of Economic Entomology</w:t>
      </w:r>
      <w:r w:rsidRPr="00112D14">
        <w:t>, vol. 95, no. 2, pp. 520-6.</w:t>
      </w:r>
      <w:bookmarkEnd w:id="578"/>
    </w:p>
    <w:p w14:paraId="565DD971" w14:textId="77777777" w:rsidR="003438A2" w:rsidRPr="00112D14" w:rsidRDefault="003438A2" w:rsidP="00112D14">
      <w:pPr>
        <w:pStyle w:val="EndNoteBibliography"/>
        <w:spacing w:after="0"/>
      </w:pPr>
      <w:bookmarkStart w:id="579" w:name="_ENREF_10"/>
      <w:r w:rsidRPr="00112D14">
        <w:t xml:space="preserve">AgriFutures Australia 2017, </w:t>
      </w:r>
      <w:r w:rsidRPr="00112D14">
        <w:rPr>
          <w:i/>
        </w:rPr>
        <w:t>Apples</w:t>
      </w:r>
      <w:r w:rsidRPr="00112D14">
        <w:t>, Agrifutures Australia, Western Australia.</w:t>
      </w:r>
      <w:bookmarkEnd w:id="579"/>
    </w:p>
    <w:p w14:paraId="696BA348" w14:textId="77777777" w:rsidR="003438A2" w:rsidRPr="00112D14" w:rsidRDefault="003438A2" w:rsidP="00112D14">
      <w:pPr>
        <w:pStyle w:val="EndNoteBibliography"/>
        <w:spacing w:after="0"/>
      </w:pPr>
      <w:bookmarkStart w:id="580" w:name="_ENREF_11"/>
      <w:r w:rsidRPr="00112D14">
        <w:t>Agrios, GN 1989, ‘</w:t>
      </w:r>
      <w:r w:rsidRPr="00112D14">
        <w:rPr>
          <w:i/>
        </w:rPr>
        <w:t>Apple scar skin</w:t>
      </w:r>
      <w:r w:rsidRPr="00112D14">
        <w:t xml:space="preserve">’, in </w:t>
      </w:r>
      <w:r w:rsidRPr="00112D14">
        <w:rPr>
          <w:i/>
        </w:rPr>
        <w:t>Virus and viruslike diseases of pome fruits and simulating noninfectious disorders</w:t>
      </w:r>
      <w:r w:rsidRPr="00112D14">
        <w:t>, Fridlund, PR (ed), Washington State University, Pullman.</w:t>
      </w:r>
      <w:bookmarkEnd w:id="580"/>
    </w:p>
    <w:p w14:paraId="6163FC30" w14:textId="77777777" w:rsidR="003438A2" w:rsidRPr="00112D14" w:rsidRDefault="003438A2" w:rsidP="00112D14">
      <w:pPr>
        <w:pStyle w:val="EndNoteBibliography"/>
        <w:spacing w:after="0"/>
      </w:pPr>
      <w:bookmarkStart w:id="581" w:name="_ENREF_12"/>
      <w:r w:rsidRPr="00112D14">
        <w:t xml:space="preserve">-- -- 2008, ‘Transmission of plant diseases by insects’, in </w:t>
      </w:r>
      <w:r w:rsidRPr="00112D14">
        <w:rPr>
          <w:i/>
        </w:rPr>
        <w:t>Encyclopedia of entomology</w:t>
      </w:r>
      <w:r w:rsidRPr="00112D14">
        <w:t>, Springer, Netherlands.</w:t>
      </w:r>
      <w:bookmarkEnd w:id="581"/>
    </w:p>
    <w:p w14:paraId="53CEA104" w14:textId="77777777" w:rsidR="003438A2" w:rsidRPr="00112D14" w:rsidRDefault="003438A2" w:rsidP="00112D14">
      <w:pPr>
        <w:pStyle w:val="EndNoteBibliography"/>
        <w:spacing w:after="0"/>
      </w:pPr>
      <w:bookmarkStart w:id="582" w:name="_ENREF_13"/>
      <w:r w:rsidRPr="00112D14">
        <w:t xml:space="preserve">Aguilar, C 2017, ‘Understanding the fungal biology and fungicide control of </w:t>
      </w:r>
      <w:r w:rsidRPr="00112D14">
        <w:rPr>
          <w:i/>
        </w:rPr>
        <w:t>Neofabraea</w:t>
      </w:r>
      <w:r w:rsidRPr="00112D14">
        <w:t xml:space="preserve"> species causing bull's-eye rot of apples grown in the US Pacific Northwest’, Doctor of Philosophy Dissertation, Washington State University.</w:t>
      </w:r>
      <w:bookmarkEnd w:id="582"/>
    </w:p>
    <w:p w14:paraId="3903FFA7" w14:textId="77777777" w:rsidR="003438A2" w:rsidRPr="00112D14" w:rsidRDefault="003438A2" w:rsidP="00112D14">
      <w:pPr>
        <w:pStyle w:val="EndNoteBibliography"/>
        <w:spacing w:after="0"/>
      </w:pPr>
      <w:bookmarkStart w:id="583" w:name="_ENREF_14"/>
      <w:r w:rsidRPr="00112D14">
        <w:t xml:space="preserve">Aguilar, CG, Mazzola, M &amp; Xiao, CL 2018, ‘Control of bull’s-eye rot of apple caused by </w:t>
      </w:r>
      <w:r w:rsidRPr="00112D14">
        <w:rPr>
          <w:i/>
        </w:rPr>
        <w:t>Neofabraea perennans</w:t>
      </w:r>
      <w:r w:rsidRPr="00112D14">
        <w:t xml:space="preserve"> and</w:t>
      </w:r>
      <w:r w:rsidRPr="00112D14">
        <w:rPr>
          <w:i/>
        </w:rPr>
        <w:t xml:space="preserve"> Neofabraea kienholzii </w:t>
      </w:r>
      <w:r w:rsidRPr="00112D14">
        <w:t xml:space="preserve">using pre- and postharvest fungicides’, </w:t>
      </w:r>
      <w:r w:rsidRPr="00112D14">
        <w:rPr>
          <w:i/>
        </w:rPr>
        <w:t>Plant Disease</w:t>
      </w:r>
      <w:r w:rsidRPr="00112D14">
        <w:t>, vol. 102, pp. 905-10.</w:t>
      </w:r>
      <w:bookmarkEnd w:id="583"/>
    </w:p>
    <w:p w14:paraId="69738467" w14:textId="31718237" w:rsidR="003438A2" w:rsidRPr="00112D14" w:rsidRDefault="003438A2" w:rsidP="00112D14">
      <w:pPr>
        <w:pStyle w:val="EndNoteBibliography"/>
        <w:spacing w:after="0"/>
      </w:pPr>
      <w:bookmarkStart w:id="584" w:name="_ENREF_15"/>
      <w:r w:rsidRPr="00112D14">
        <w:t>ALA 2018, ‘Atlas of Living Australia’, available at</w:t>
      </w:r>
      <w:r w:rsidR="003148D4">
        <w:t>,</w:t>
      </w:r>
      <w:r w:rsidRPr="00112D14">
        <w:t xml:space="preserve"> </w:t>
      </w:r>
      <w:hyperlink r:id="rId114" w:history="1">
        <w:r w:rsidR="00363EF7" w:rsidRPr="009E4A79">
          <w:rPr>
            <w:rStyle w:val="Hyperlink"/>
          </w:rPr>
          <w:t>www.ala.org.au</w:t>
        </w:r>
      </w:hyperlink>
      <w:r w:rsidRPr="00112D14">
        <w:t>, accessed 2018.</w:t>
      </w:r>
      <w:bookmarkEnd w:id="584"/>
    </w:p>
    <w:p w14:paraId="0FAB625A" w14:textId="7CB87F07" w:rsidR="003438A2" w:rsidRPr="00112D14" w:rsidRDefault="003438A2" w:rsidP="00112D14">
      <w:pPr>
        <w:pStyle w:val="EndNoteBibliography"/>
        <w:spacing w:after="0"/>
      </w:pPr>
      <w:bookmarkStart w:id="585" w:name="_ENREF_16"/>
      <w:r w:rsidRPr="00112D14">
        <w:t xml:space="preserve">-- -- 2020, ‘Atlas of Living Australia (ALA)’, ALA, Canberra, Australia, available at </w:t>
      </w:r>
      <w:hyperlink r:id="rId115" w:history="1">
        <w:r w:rsidR="00363EF7" w:rsidRPr="009E4A79">
          <w:rPr>
            <w:rStyle w:val="Hyperlink"/>
          </w:rPr>
          <w:t>www.ala.org.au</w:t>
        </w:r>
      </w:hyperlink>
      <w:r w:rsidRPr="00112D14">
        <w:t>, accessed 2020.</w:t>
      </w:r>
      <w:bookmarkEnd w:id="585"/>
    </w:p>
    <w:p w14:paraId="3CE8BEA2" w14:textId="6A9D3E1C" w:rsidR="003438A2" w:rsidRPr="00112D14" w:rsidRDefault="003438A2" w:rsidP="00112D14">
      <w:pPr>
        <w:pStyle w:val="EndNoteBibliography"/>
        <w:spacing w:after="0"/>
      </w:pPr>
      <w:bookmarkStart w:id="586" w:name="_ENREF_17"/>
      <w:r w:rsidRPr="00112D14">
        <w:t>-- -- 2021, ‘Atlas of Living Australia (ALA)’, Commonwealth Scientific and Industrial Research Organisation (CSIRO), Canberra, Australia, available at</w:t>
      </w:r>
      <w:r w:rsidR="003148D4">
        <w:t>,</w:t>
      </w:r>
      <w:r w:rsidRPr="00112D14">
        <w:t xml:space="preserve"> </w:t>
      </w:r>
      <w:hyperlink r:id="rId116" w:history="1">
        <w:r w:rsidR="00363EF7" w:rsidRPr="009E4A79">
          <w:rPr>
            <w:rStyle w:val="Hyperlink"/>
          </w:rPr>
          <w:t>www.ala.org.au</w:t>
        </w:r>
      </w:hyperlink>
      <w:r w:rsidRPr="00112D14">
        <w:t>, accessed 2021.</w:t>
      </w:r>
      <w:bookmarkEnd w:id="586"/>
    </w:p>
    <w:p w14:paraId="47E61F92" w14:textId="77777777" w:rsidR="003438A2" w:rsidRPr="00112D14" w:rsidRDefault="003438A2" w:rsidP="00112D14">
      <w:pPr>
        <w:pStyle w:val="EndNoteBibliography"/>
        <w:spacing w:after="0"/>
      </w:pPr>
      <w:bookmarkStart w:id="587" w:name="_ENREF_18"/>
      <w:r w:rsidRPr="00112D14">
        <w:t xml:space="preserve">Aldwinckle, HS 1990a, ‘Cedar apple rust’, in </w:t>
      </w:r>
      <w:r w:rsidRPr="00112D14">
        <w:rPr>
          <w:i/>
        </w:rPr>
        <w:t>Compendium of apple and pear diseases</w:t>
      </w:r>
      <w:r w:rsidRPr="00112D14">
        <w:t>, Jones, AL &amp; Aldwinckle, HS (eds), The American Phytopathological Society Press, St. Paul, Minnesota.</w:t>
      </w:r>
      <w:bookmarkEnd w:id="587"/>
    </w:p>
    <w:p w14:paraId="62561242" w14:textId="77777777" w:rsidR="003438A2" w:rsidRPr="00112D14" w:rsidRDefault="003438A2" w:rsidP="00112D14">
      <w:pPr>
        <w:pStyle w:val="EndNoteBibliography"/>
        <w:spacing w:after="0"/>
      </w:pPr>
      <w:bookmarkStart w:id="588" w:name="_ENREF_19"/>
      <w:r w:rsidRPr="00112D14">
        <w:t xml:space="preserve">-- -- 1990b, ‘Pacific coast pear rust’, in </w:t>
      </w:r>
      <w:r w:rsidRPr="00112D14">
        <w:rPr>
          <w:i/>
        </w:rPr>
        <w:t>Compendium of apple and pear diseases</w:t>
      </w:r>
      <w:r w:rsidRPr="00112D14">
        <w:t>, Jones, AL &amp; Aldwinckle, HS (eds), The American Phytopathological Society Press, St. Paul, Minnesota.</w:t>
      </w:r>
      <w:bookmarkEnd w:id="588"/>
    </w:p>
    <w:p w14:paraId="1B074F3C" w14:textId="77777777" w:rsidR="003438A2" w:rsidRPr="00112D14" w:rsidRDefault="003438A2" w:rsidP="00112D14">
      <w:pPr>
        <w:pStyle w:val="EndNoteBibliography"/>
        <w:spacing w:after="0"/>
      </w:pPr>
      <w:bookmarkStart w:id="589" w:name="_ENREF_20"/>
      <w:r w:rsidRPr="00112D14">
        <w:t xml:space="preserve">-- -- 1990c, ‘Quince rust’, in </w:t>
      </w:r>
      <w:r w:rsidRPr="00112D14">
        <w:rPr>
          <w:i/>
        </w:rPr>
        <w:t>Compendium of apple and pear diseases</w:t>
      </w:r>
      <w:r w:rsidRPr="00112D14">
        <w:t>, Jones, AL &amp; Aldwinckle, HS (eds), The American Phytopathological Society Press, St. Paul, Minnesota.</w:t>
      </w:r>
      <w:bookmarkEnd w:id="589"/>
    </w:p>
    <w:p w14:paraId="027781CC" w14:textId="77777777" w:rsidR="003438A2" w:rsidRPr="00112D14" w:rsidRDefault="003438A2" w:rsidP="00112D14">
      <w:pPr>
        <w:pStyle w:val="EndNoteBibliography"/>
        <w:spacing w:after="0"/>
      </w:pPr>
      <w:bookmarkStart w:id="590" w:name="_ENREF_21"/>
      <w:r w:rsidRPr="00112D14">
        <w:t xml:space="preserve">Alford, DV 2007, </w:t>
      </w:r>
      <w:r w:rsidRPr="00112D14">
        <w:rPr>
          <w:i/>
        </w:rPr>
        <w:t>Pests of fruit crops: a colour handbook</w:t>
      </w:r>
      <w:r w:rsidRPr="00112D14">
        <w:t>, Manson Publishing, London, UK.</w:t>
      </w:r>
      <w:bookmarkEnd w:id="590"/>
    </w:p>
    <w:p w14:paraId="3DBB3026" w14:textId="77777777" w:rsidR="003438A2" w:rsidRPr="00112D14" w:rsidRDefault="003438A2" w:rsidP="00112D14">
      <w:pPr>
        <w:pStyle w:val="EndNoteBibliography"/>
        <w:spacing w:after="0"/>
      </w:pPr>
      <w:bookmarkStart w:id="591" w:name="_ENREF_22"/>
      <w:r w:rsidRPr="00112D14">
        <w:t xml:space="preserve">Ali, EM, Pandit, LK, Mulvaney, KA &amp; Amiri, A 2018, ‘Sensitivity of </w:t>
      </w:r>
      <w:r w:rsidRPr="00112D14">
        <w:rPr>
          <w:i/>
        </w:rPr>
        <w:t>Phacidiopycnis</w:t>
      </w:r>
      <w:r w:rsidRPr="00112D14">
        <w:t xml:space="preserve"> spp. isolates from pome fruit to six pre-and postharvest fungicides’, </w:t>
      </w:r>
      <w:r w:rsidRPr="00112D14">
        <w:rPr>
          <w:i/>
        </w:rPr>
        <w:t>Plant Disease</w:t>
      </w:r>
      <w:r w:rsidRPr="00112D14">
        <w:t>, vol. 102, no. 3, pp. 533-9.</w:t>
      </w:r>
      <w:bookmarkEnd w:id="591"/>
    </w:p>
    <w:p w14:paraId="5132EEC2" w14:textId="71284988" w:rsidR="003438A2" w:rsidRPr="00112D14" w:rsidRDefault="003438A2" w:rsidP="00112D14">
      <w:pPr>
        <w:pStyle w:val="EndNoteBibliography"/>
        <w:spacing w:after="0"/>
      </w:pPr>
      <w:bookmarkStart w:id="592" w:name="_ENREF_23"/>
      <w:r w:rsidRPr="00112D14">
        <w:t xml:space="preserve">Allen, KC, Luttrell, RG, Sappington, TW, Hesler, LS &amp; Papiernik, SK 2018, ‘Frequency and abundance of selected early-season insect pests of cotton’, </w:t>
      </w:r>
      <w:r w:rsidRPr="00112D14">
        <w:rPr>
          <w:i/>
        </w:rPr>
        <w:t>Journal of Integrated Pest Management</w:t>
      </w:r>
      <w:r w:rsidRPr="00112D14">
        <w:t>, vol. 9, no. 1, DOI 10.1093/jipm/pmy010.</w:t>
      </w:r>
      <w:bookmarkEnd w:id="592"/>
    </w:p>
    <w:p w14:paraId="29FE67DD" w14:textId="77777777" w:rsidR="003438A2" w:rsidRPr="00112D14" w:rsidRDefault="003438A2" w:rsidP="00112D14">
      <w:pPr>
        <w:pStyle w:val="EndNoteBibliography"/>
        <w:spacing w:after="0"/>
      </w:pPr>
      <w:bookmarkStart w:id="593" w:name="_ENREF_24"/>
      <w:r w:rsidRPr="00112D14">
        <w:t xml:space="preserve">Allison, DG 1998, ‘Exoploysaccharide production in bacterial biofilms’, </w:t>
      </w:r>
      <w:r w:rsidRPr="00112D14">
        <w:rPr>
          <w:i/>
        </w:rPr>
        <w:t>Biofilm</w:t>
      </w:r>
      <w:r w:rsidRPr="00112D14">
        <w:t>, vol. 3, no. 2, pp. 1-19.</w:t>
      </w:r>
      <w:bookmarkEnd w:id="593"/>
    </w:p>
    <w:p w14:paraId="1FE34588" w14:textId="77777777" w:rsidR="003438A2" w:rsidRPr="00112D14" w:rsidRDefault="003438A2" w:rsidP="00112D14">
      <w:pPr>
        <w:pStyle w:val="EndNoteBibliography"/>
        <w:spacing w:after="0"/>
      </w:pPr>
      <w:bookmarkStart w:id="594" w:name="_ENREF_25"/>
      <w:r w:rsidRPr="00112D14">
        <w:t xml:space="preserve">Allison, PA, Meekings, JS, Tomkins, AR &amp; Wilson, DJ 1995, </w:t>
      </w:r>
      <w:r w:rsidRPr="00112D14">
        <w:rPr>
          <w:i/>
        </w:rPr>
        <w:t>Effects of leaf damage by apple leafcurling midge (Dasyneura mali) on photosynthesis of apple leaves</w:t>
      </w:r>
      <w:r w:rsidRPr="00112D14">
        <w:t>, HortResearch, Hamilton.</w:t>
      </w:r>
      <w:bookmarkEnd w:id="594"/>
    </w:p>
    <w:p w14:paraId="6CEF2761" w14:textId="77777777" w:rsidR="003438A2" w:rsidRPr="00112D14" w:rsidRDefault="003438A2" w:rsidP="00112D14">
      <w:pPr>
        <w:pStyle w:val="EndNoteBibliography"/>
        <w:spacing w:after="0"/>
      </w:pPr>
      <w:bookmarkStart w:id="595" w:name="_ENREF_26"/>
      <w:r w:rsidRPr="00112D14">
        <w:t>Almaguer-Vargas, G &amp; Ayala-Garay, AV 2014, ‘Adopción de innovaciones en limon ‘Persa’ (Citrus latifolia Tan.) en Tlapacoyan, Veracruz. Uso de Bitácora’ (Adoption of innovations in 'Persian' lemon (</w:t>
      </w:r>
      <w:r w:rsidRPr="00112D14">
        <w:rPr>
          <w:i/>
        </w:rPr>
        <w:t>Citrus latifolia</w:t>
      </w:r>
      <w:r w:rsidRPr="00112D14">
        <w:t xml:space="preserve"> Tan.) in Tlapacoyan, Veracruz. Use of logbook), </w:t>
      </w:r>
      <w:r w:rsidRPr="00112D14">
        <w:rPr>
          <w:i/>
        </w:rPr>
        <w:t>Revista Chapingio Serie Horticultura</w:t>
      </w:r>
      <w:r w:rsidRPr="00112D14">
        <w:t xml:space="preserve">, vol. 20, no. 1, pp. 89-100. </w:t>
      </w:r>
      <w:bookmarkEnd w:id="595"/>
    </w:p>
    <w:p w14:paraId="2DC69E30" w14:textId="0C190B84" w:rsidR="003438A2" w:rsidRPr="00112D14" w:rsidRDefault="003438A2" w:rsidP="00112D14">
      <w:pPr>
        <w:pStyle w:val="EndNoteBibliography"/>
        <w:spacing w:after="0"/>
      </w:pPr>
      <w:bookmarkStart w:id="596" w:name="_ENREF_27"/>
      <w:r w:rsidRPr="00112D14">
        <w:t xml:space="preserve">Amiri, A 2020, ‘Update on the Newly Reported Apple Yellow Rot Caused by Lambertella’, </w:t>
      </w:r>
      <w:r w:rsidRPr="00112D14">
        <w:rPr>
          <w:i/>
        </w:rPr>
        <w:t>Washington State University Tree Fruit</w:t>
      </w:r>
      <w:r w:rsidRPr="00112D14">
        <w:t>, Washington State University, USA, available at</w:t>
      </w:r>
      <w:r w:rsidR="003148D4">
        <w:t>,</w:t>
      </w:r>
      <w:r w:rsidRPr="00112D14">
        <w:t xml:space="preserve"> </w:t>
      </w:r>
      <w:hyperlink r:id="rId117" w:history="1">
        <w:r w:rsidR="00363EF7" w:rsidRPr="009E4A79">
          <w:rPr>
            <w:rStyle w:val="Hyperlink"/>
          </w:rPr>
          <w:t>http://treefruit.wsu.edu/article/update-on-the-newly-reported-apple-yellow-rot-caused-by-lambertella/</w:t>
        </w:r>
      </w:hyperlink>
      <w:r w:rsidRPr="00112D14">
        <w:t>.</w:t>
      </w:r>
      <w:bookmarkEnd w:id="596"/>
    </w:p>
    <w:p w14:paraId="37AF6B48" w14:textId="2D64B8FA" w:rsidR="003438A2" w:rsidRPr="00112D14" w:rsidRDefault="003438A2" w:rsidP="00112D14">
      <w:pPr>
        <w:pStyle w:val="EndNoteBibliography"/>
        <w:spacing w:after="0"/>
      </w:pPr>
      <w:bookmarkStart w:id="597" w:name="_ENREF_28"/>
      <w:r w:rsidRPr="00112D14">
        <w:t xml:space="preserve">-- -- 2021, ‘The importance of room and bin sanitation to reduce postharvest decay’, </w:t>
      </w:r>
      <w:r w:rsidRPr="00112D14">
        <w:rPr>
          <w:i/>
        </w:rPr>
        <w:t>WSU Tree Fruit</w:t>
      </w:r>
      <w:r w:rsidRPr="00112D14">
        <w:t>, Washington State University, Washington State, USA, available at</w:t>
      </w:r>
      <w:r w:rsidR="003148D4">
        <w:t>,</w:t>
      </w:r>
      <w:r w:rsidRPr="00112D14">
        <w:t xml:space="preserve"> </w:t>
      </w:r>
      <w:hyperlink r:id="rId118" w:history="1">
        <w:r w:rsidR="00363EF7" w:rsidRPr="009E4A79">
          <w:rPr>
            <w:rStyle w:val="Hyperlink"/>
          </w:rPr>
          <w:t>http://treefruit.wsu.edu/article/the-importance-of-room-and-bin-sanitation-to-reduce-postharvest-decay/</w:t>
        </w:r>
      </w:hyperlink>
      <w:r w:rsidRPr="00112D14">
        <w:t>.</w:t>
      </w:r>
      <w:bookmarkEnd w:id="597"/>
    </w:p>
    <w:p w14:paraId="5FB38CCF" w14:textId="37DB7F60" w:rsidR="003438A2" w:rsidRPr="00112D14" w:rsidRDefault="003438A2" w:rsidP="00112D14">
      <w:pPr>
        <w:pStyle w:val="EndNoteBibliography"/>
        <w:spacing w:after="0"/>
      </w:pPr>
      <w:bookmarkStart w:id="598" w:name="_ENREF_29"/>
      <w:r w:rsidRPr="00112D14">
        <w:t xml:space="preserve">Amiri, A &amp; Ali, EM 2016, </w:t>
      </w:r>
      <w:r w:rsidRPr="00112D14">
        <w:rPr>
          <w:i/>
        </w:rPr>
        <w:t>Prevalence of storage decays of apple: lessons from the 2016 statewide survey</w:t>
      </w:r>
      <w:r w:rsidRPr="00112D14">
        <w:t>, WSU Tree Fruit, Washington State University, WA USA, available at</w:t>
      </w:r>
      <w:r w:rsidR="003148D4">
        <w:t>,</w:t>
      </w:r>
      <w:r w:rsidRPr="00112D14">
        <w:t xml:space="preserve"> </w:t>
      </w:r>
      <w:hyperlink r:id="rId119" w:history="1">
        <w:r w:rsidR="00363EF7" w:rsidRPr="009E4A79">
          <w:rPr>
            <w:rStyle w:val="Hyperlink"/>
          </w:rPr>
          <w:t>http://treefruit.wsu.edu/article/prevalence-of-storage-decays-of-apple-lessons-from-the-2016-statewide-survey/?print-view=true</w:t>
        </w:r>
      </w:hyperlink>
      <w:r w:rsidRPr="00112D14">
        <w:t>.</w:t>
      </w:r>
      <w:bookmarkEnd w:id="598"/>
    </w:p>
    <w:p w14:paraId="062DD15F" w14:textId="77777777" w:rsidR="003438A2" w:rsidRPr="00112D14" w:rsidRDefault="003438A2" w:rsidP="00112D14">
      <w:pPr>
        <w:pStyle w:val="EndNoteBibliography"/>
        <w:spacing w:after="0"/>
      </w:pPr>
      <w:bookmarkStart w:id="599" w:name="_ENREF_30"/>
      <w:r w:rsidRPr="00112D14">
        <w:t xml:space="preserve">-- -- 2018, ‘Prevalence and management of two emerging postharvest diseases of apple in Washington state’, </w:t>
      </w:r>
      <w:r w:rsidRPr="00112D14">
        <w:rPr>
          <w:i/>
        </w:rPr>
        <w:t>Proceedings of the 11th International IOBC-WPRS Workshop on Pome Fruit Diseases, Jūrmala, Latvia, 26-30 June 2017</w:t>
      </w:r>
      <w:r w:rsidRPr="00112D14">
        <w:t>, International Organization for Biological and Integrated Control of Noxious Animals and Plants, West Palearctic Regional Section, pp. 59-64.</w:t>
      </w:r>
      <w:bookmarkEnd w:id="599"/>
    </w:p>
    <w:p w14:paraId="26C5D9C4" w14:textId="77777777" w:rsidR="003438A2" w:rsidRPr="00112D14" w:rsidRDefault="003438A2" w:rsidP="00112D14">
      <w:pPr>
        <w:pStyle w:val="EndNoteBibliography"/>
        <w:spacing w:after="0"/>
      </w:pPr>
      <w:bookmarkStart w:id="600" w:name="_ENREF_31"/>
      <w:r w:rsidRPr="00112D14">
        <w:t xml:space="preserve">Amponsah, N, Walter, M, Beresford, R &amp; Scheper, R 2015, ‘Seasonal wound presence and susceptibility to </w:t>
      </w:r>
      <w:r w:rsidRPr="00112D14">
        <w:rPr>
          <w:i/>
        </w:rPr>
        <w:t>Neonectria ditissima</w:t>
      </w:r>
      <w:r w:rsidRPr="00112D14">
        <w:t xml:space="preserve"> infection in New Zealand apple trees’, </w:t>
      </w:r>
      <w:r w:rsidRPr="00112D14">
        <w:rPr>
          <w:i/>
        </w:rPr>
        <w:t>New Zealand Plant Protection</w:t>
      </w:r>
      <w:r w:rsidRPr="00112D14">
        <w:t>, vol. 68, pp. 250-6.</w:t>
      </w:r>
      <w:bookmarkEnd w:id="600"/>
    </w:p>
    <w:p w14:paraId="0F400D25" w14:textId="77777777" w:rsidR="003438A2" w:rsidRPr="00112D14" w:rsidRDefault="003438A2" w:rsidP="00112D14">
      <w:pPr>
        <w:pStyle w:val="EndNoteBibliography"/>
        <w:spacing w:after="0"/>
      </w:pPr>
      <w:bookmarkStart w:id="601" w:name="_ENREF_32"/>
      <w:r w:rsidRPr="00112D14">
        <w:t>Amponsah, NT, Walter, M, Scheper, RWA &amp; Beresford, RM 2017, ‘</w:t>
      </w:r>
      <w:r w:rsidRPr="00112D14">
        <w:rPr>
          <w:i/>
        </w:rPr>
        <w:t>Neonectria ditissima</w:t>
      </w:r>
      <w:r w:rsidRPr="00112D14">
        <w:t xml:space="preserve"> spore release and availability in New Zealand apple orchards’, </w:t>
      </w:r>
      <w:r w:rsidRPr="00112D14">
        <w:rPr>
          <w:i/>
        </w:rPr>
        <w:t>Apple Pathology</w:t>
      </w:r>
      <w:r w:rsidRPr="00112D14">
        <w:t>, vol. 70, pp. 78-86.</w:t>
      </w:r>
      <w:bookmarkEnd w:id="601"/>
    </w:p>
    <w:p w14:paraId="27450F39" w14:textId="77777777" w:rsidR="003438A2" w:rsidRPr="00112D14" w:rsidRDefault="003438A2" w:rsidP="00112D14">
      <w:pPr>
        <w:pStyle w:val="EndNoteBibliography"/>
        <w:spacing w:after="0"/>
      </w:pPr>
      <w:bookmarkStart w:id="602" w:name="_ENREF_33"/>
      <w:r w:rsidRPr="00112D14">
        <w:t xml:space="preserve">Anderson, RS 1987, ‘Systematics, phylogeny and biogeography of new world weevils traditionally of the tribe Cleonini (Coleoptera: Curculionidae; Cleoninae)’, </w:t>
      </w:r>
      <w:r w:rsidRPr="00112D14">
        <w:rPr>
          <w:i/>
        </w:rPr>
        <w:t>Quaestiones Entomologicae</w:t>
      </w:r>
      <w:r w:rsidRPr="00112D14">
        <w:t>, vol. 23, no. 4, pp. 431-709.</w:t>
      </w:r>
      <w:bookmarkEnd w:id="602"/>
    </w:p>
    <w:p w14:paraId="1F65BBD3" w14:textId="7AB25718" w:rsidR="003438A2" w:rsidRPr="00112D14" w:rsidRDefault="003438A2" w:rsidP="00112D14">
      <w:pPr>
        <w:pStyle w:val="EndNoteBibliography"/>
        <w:spacing w:after="0"/>
      </w:pPr>
      <w:bookmarkStart w:id="603" w:name="_ENREF_34"/>
      <w:r w:rsidRPr="00112D14">
        <w:t xml:space="preserve">Anthon, EW 1993a, </w:t>
      </w:r>
      <w:r w:rsidRPr="00112D14">
        <w:rPr>
          <w:i/>
        </w:rPr>
        <w:t>Lygus bugs (tarnished plant bug)</w:t>
      </w:r>
      <w:r w:rsidRPr="00112D14">
        <w:t>, Washington State University, Orchard Pest Management Online, available at</w:t>
      </w:r>
      <w:r w:rsidR="003148D4">
        <w:t>,</w:t>
      </w:r>
      <w:r w:rsidRPr="00112D14">
        <w:t xml:space="preserve"> </w:t>
      </w:r>
      <w:hyperlink r:id="rId120" w:history="1">
        <w:r w:rsidR="005100F0" w:rsidRPr="009E4A79">
          <w:rPr>
            <w:rStyle w:val="Hyperlink"/>
          </w:rPr>
          <w:t>http://treefruit.wsu.edu/crop-protection/opm/lygus-bugs/</w:t>
        </w:r>
      </w:hyperlink>
      <w:r w:rsidRPr="00112D14">
        <w:t>.</w:t>
      </w:r>
      <w:bookmarkEnd w:id="603"/>
    </w:p>
    <w:p w14:paraId="1CE35762" w14:textId="26C43007" w:rsidR="003438A2" w:rsidRPr="00112D14" w:rsidRDefault="003438A2" w:rsidP="00112D14">
      <w:pPr>
        <w:pStyle w:val="EndNoteBibliography"/>
        <w:spacing w:after="0"/>
      </w:pPr>
      <w:bookmarkStart w:id="604" w:name="_ENREF_35"/>
      <w:r w:rsidRPr="00112D14">
        <w:t xml:space="preserve">-- -- 1993b, ‘Western boxelder bug’, </w:t>
      </w:r>
      <w:r w:rsidRPr="00112D14">
        <w:rPr>
          <w:i/>
        </w:rPr>
        <w:t>Orchard Pest Management Online, Washington State University</w:t>
      </w:r>
      <w:r w:rsidRPr="00112D14">
        <w:t>, available at</w:t>
      </w:r>
      <w:r w:rsidR="003148D4">
        <w:t>,</w:t>
      </w:r>
      <w:r w:rsidRPr="00112D14">
        <w:t xml:space="preserve"> </w:t>
      </w:r>
      <w:hyperlink r:id="rId121" w:history="1">
        <w:r w:rsidR="005100F0" w:rsidRPr="009E4A79">
          <w:rPr>
            <w:rStyle w:val="Hyperlink"/>
          </w:rPr>
          <w:t>http://treefruit.wsu.edu/crop-protection/opm/western-boxelder-bug/</w:t>
        </w:r>
      </w:hyperlink>
      <w:r w:rsidRPr="00112D14">
        <w:t>.</w:t>
      </w:r>
      <w:bookmarkEnd w:id="604"/>
    </w:p>
    <w:p w14:paraId="589C1A40" w14:textId="4F733D35" w:rsidR="003438A2" w:rsidRPr="00112D14" w:rsidRDefault="003438A2" w:rsidP="00112D14">
      <w:pPr>
        <w:pStyle w:val="EndNoteBibliography"/>
        <w:spacing w:after="0"/>
      </w:pPr>
      <w:bookmarkStart w:id="605" w:name="_ENREF_36"/>
      <w:r w:rsidRPr="00112D14">
        <w:t xml:space="preserve">Antonelli, AL &amp; Glass, J 2005, </w:t>
      </w:r>
      <w:r w:rsidRPr="00112D14">
        <w:rPr>
          <w:i/>
        </w:rPr>
        <w:t>Apple leaf curling midge</w:t>
      </w:r>
      <w:r w:rsidRPr="00112D14">
        <w:t>, Washington State University, available at</w:t>
      </w:r>
      <w:r w:rsidR="003148D4">
        <w:t>,</w:t>
      </w:r>
      <w:r w:rsidRPr="00112D14">
        <w:t xml:space="preserve"> </w:t>
      </w:r>
      <w:hyperlink r:id="rId122" w:history="1">
        <w:r w:rsidR="005100F0" w:rsidRPr="009E4A79">
          <w:rPr>
            <w:rStyle w:val="Hyperlink"/>
          </w:rPr>
          <w:t>https://s3.wp.wsu.edu/uploads/sites/408/2015/02/PLS-18-Apple-Leaf-Curling-Midge.pdf</w:t>
        </w:r>
      </w:hyperlink>
      <w:r w:rsidRPr="00112D14">
        <w:t>.</w:t>
      </w:r>
      <w:bookmarkEnd w:id="605"/>
    </w:p>
    <w:p w14:paraId="77A7E64F" w14:textId="77777777" w:rsidR="003438A2" w:rsidRPr="00112D14" w:rsidRDefault="003438A2" w:rsidP="00112D14">
      <w:pPr>
        <w:pStyle w:val="EndNoteBibliography"/>
        <w:spacing w:after="0"/>
      </w:pPr>
      <w:bookmarkStart w:id="606" w:name="_ENREF_37"/>
      <w:r w:rsidRPr="00112D14">
        <w:t xml:space="preserve">Antonelli, AL, LaGasa, EH &amp; Bay, EC 1989, </w:t>
      </w:r>
      <w:r w:rsidRPr="00112D14">
        <w:rPr>
          <w:i/>
        </w:rPr>
        <w:t>Apple ermine moth</w:t>
      </w:r>
      <w:r w:rsidRPr="00112D14">
        <w:t>, EB1526, Washington State University Extension.</w:t>
      </w:r>
      <w:bookmarkEnd w:id="606"/>
    </w:p>
    <w:p w14:paraId="7F3B5576" w14:textId="77777777" w:rsidR="003438A2" w:rsidRPr="00112D14" w:rsidRDefault="003438A2" w:rsidP="00112D14">
      <w:pPr>
        <w:pStyle w:val="EndNoteBibliography"/>
        <w:spacing w:after="0"/>
      </w:pPr>
      <w:bookmarkStart w:id="607" w:name="_ENREF_38"/>
      <w:r w:rsidRPr="00112D14">
        <w:t>Antwi, J &amp; Rondon, S 2018, ‘Molecular and morphological identifications reveal species composition of</w:t>
      </w:r>
      <w:r w:rsidRPr="00112D14">
        <w:rPr>
          <w:i/>
        </w:rPr>
        <w:t xml:space="preserve"> Lygus</w:t>
      </w:r>
      <w:r w:rsidRPr="00112D14">
        <w:t xml:space="preserve"> (Hemiptera: Miridae) bugs in potatoes fields in the Lower Columbia Basin of the United States’, </w:t>
      </w:r>
      <w:r w:rsidRPr="00112D14">
        <w:rPr>
          <w:i/>
        </w:rPr>
        <w:t>Journal of Economic Entomology</w:t>
      </w:r>
      <w:r w:rsidRPr="00112D14">
        <w:t>, vol. 112, no. 1, pp. 364-70.</w:t>
      </w:r>
      <w:bookmarkEnd w:id="607"/>
    </w:p>
    <w:p w14:paraId="224A9E4F" w14:textId="654CE1A6" w:rsidR="003438A2" w:rsidRPr="00112D14" w:rsidRDefault="003438A2" w:rsidP="00112D14">
      <w:pPr>
        <w:pStyle w:val="EndNoteBibliography"/>
        <w:spacing w:after="0"/>
      </w:pPr>
      <w:bookmarkStart w:id="608" w:name="_ENREF_39"/>
      <w:r w:rsidRPr="00112D14">
        <w:t xml:space="preserve">APAL 2009, </w:t>
      </w:r>
      <w:r w:rsidRPr="00112D14">
        <w:rPr>
          <w:i/>
        </w:rPr>
        <w:t>Apple and Pear Australia Limited</w:t>
      </w:r>
      <w:r w:rsidRPr="00112D14">
        <w:t>, available at</w:t>
      </w:r>
      <w:r w:rsidR="009379E4">
        <w:t>,</w:t>
      </w:r>
      <w:r w:rsidRPr="00112D14">
        <w:t xml:space="preserve"> </w:t>
      </w:r>
      <w:hyperlink r:id="rId123" w:history="1">
        <w:r w:rsidR="001274A4" w:rsidRPr="009E4A79">
          <w:rPr>
            <w:rStyle w:val="Hyperlink"/>
          </w:rPr>
          <w:t>http://www.apal.org.au/</w:t>
        </w:r>
      </w:hyperlink>
      <w:r w:rsidRPr="00112D14">
        <w:t>.</w:t>
      </w:r>
      <w:bookmarkEnd w:id="608"/>
    </w:p>
    <w:p w14:paraId="23A7FBB7" w14:textId="77777777" w:rsidR="003438A2" w:rsidRPr="00112D14" w:rsidRDefault="003438A2" w:rsidP="00112D14">
      <w:pPr>
        <w:pStyle w:val="EndNoteBibliography"/>
        <w:spacing w:after="0"/>
      </w:pPr>
      <w:bookmarkStart w:id="609" w:name="_ENREF_40"/>
      <w:r w:rsidRPr="00112D14">
        <w:t xml:space="preserve">-- -- 2020, </w:t>
      </w:r>
      <w:r w:rsidRPr="00112D14">
        <w:rPr>
          <w:i/>
        </w:rPr>
        <w:t>Apple and Pear growing regions in Australia</w:t>
      </w:r>
      <w:r w:rsidRPr="00112D14">
        <w:t>, Apple and Pear Australia Limited (APAL), Australia.</w:t>
      </w:r>
      <w:bookmarkEnd w:id="609"/>
    </w:p>
    <w:p w14:paraId="7E706C1A" w14:textId="77777777" w:rsidR="003438A2" w:rsidRPr="00112D14" w:rsidRDefault="003438A2" w:rsidP="00112D14">
      <w:pPr>
        <w:pStyle w:val="EndNoteBibliography"/>
        <w:spacing w:after="0"/>
      </w:pPr>
      <w:bookmarkStart w:id="610" w:name="_ENREF_41"/>
      <w:r w:rsidRPr="00112D14">
        <w:t xml:space="preserve">APHIS 2007, </w:t>
      </w:r>
      <w:r w:rsidRPr="00112D14">
        <w:rPr>
          <w:i/>
        </w:rPr>
        <w:t>Pests of U.S. apples from Idaho, Oregon, and Washington, 31 May 2007</w:t>
      </w:r>
      <w:r w:rsidRPr="00112D14">
        <w:t>, United States Department of Agriculture, Washington, D.C.</w:t>
      </w:r>
      <w:bookmarkEnd w:id="610"/>
    </w:p>
    <w:p w14:paraId="39F00C5E" w14:textId="77777777" w:rsidR="003438A2" w:rsidRPr="00112D14" w:rsidRDefault="003438A2" w:rsidP="00112D14">
      <w:pPr>
        <w:pStyle w:val="EndNoteBibliography"/>
        <w:spacing w:after="0"/>
      </w:pPr>
      <w:bookmarkStart w:id="611" w:name="_ENREF_42"/>
      <w:r w:rsidRPr="00112D14">
        <w:t xml:space="preserve">-- -- 2008, </w:t>
      </w:r>
      <w:r w:rsidRPr="00112D14">
        <w:rPr>
          <w:i/>
        </w:rPr>
        <w:t>APHIS comments on ‘Issues paper for the import risk analysis of fresh apple fruit from the United States of America’</w:t>
      </w:r>
      <w:r w:rsidRPr="00112D14">
        <w:t>, Letter to Biosecurity Australia, 5 September 2008.</w:t>
      </w:r>
      <w:bookmarkEnd w:id="611"/>
    </w:p>
    <w:p w14:paraId="491753C8" w14:textId="5D215A4A" w:rsidR="003438A2" w:rsidRPr="00112D14" w:rsidRDefault="003438A2" w:rsidP="00112D14">
      <w:pPr>
        <w:pStyle w:val="EndNoteBibliography"/>
        <w:spacing w:after="0"/>
      </w:pPr>
      <w:bookmarkStart w:id="612" w:name="_ENREF_43"/>
      <w:r w:rsidRPr="00112D14">
        <w:t xml:space="preserve">-- -- 2011, </w:t>
      </w:r>
      <w:r w:rsidRPr="00112D14">
        <w:rPr>
          <w:i/>
        </w:rPr>
        <w:t>APHIS- National Plant Board: Phytophthora ramorum: Regulatory Working Group reports</w:t>
      </w:r>
      <w:r w:rsidRPr="00112D14">
        <w:t>, available at</w:t>
      </w:r>
      <w:r w:rsidR="0033783F">
        <w:t>,</w:t>
      </w:r>
      <w:r w:rsidRPr="00112D14">
        <w:t xml:space="preserve"> </w:t>
      </w:r>
      <w:hyperlink r:id="rId124" w:history="1">
        <w:r w:rsidR="001274A4" w:rsidRPr="009E4A79">
          <w:rPr>
            <w:rStyle w:val="Hyperlink"/>
          </w:rPr>
          <w:t>https://www.aphis.usda.gov/plant_health/plant_pest_info/pram/downloads/pdf_files/NPB-RWGR.pdf</w:t>
        </w:r>
      </w:hyperlink>
      <w:r w:rsidRPr="00112D14">
        <w:t>.</w:t>
      </w:r>
      <w:bookmarkEnd w:id="612"/>
    </w:p>
    <w:p w14:paraId="1EF5ED22" w14:textId="77777777" w:rsidR="003438A2" w:rsidRPr="00112D14" w:rsidRDefault="003438A2" w:rsidP="00112D14">
      <w:pPr>
        <w:pStyle w:val="EndNoteBibliography"/>
        <w:spacing w:after="0"/>
      </w:pPr>
      <w:bookmarkStart w:id="613" w:name="_ENREF_44"/>
      <w:r w:rsidRPr="00112D14">
        <w:t xml:space="preserve">-- -- 2014, </w:t>
      </w:r>
      <w:r w:rsidRPr="00112D14">
        <w:rPr>
          <w:i/>
        </w:rPr>
        <w:t>Systems approach submission on postharvest rot fungal controls-PNW apples</w:t>
      </w:r>
      <w:r w:rsidRPr="00112D14">
        <w:t>, USDA, Animal and Plant Health Inspection Service (APHIS), Riverdale, MD, USA.</w:t>
      </w:r>
      <w:bookmarkEnd w:id="613"/>
    </w:p>
    <w:p w14:paraId="5B970425" w14:textId="77777777" w:rsidR="003438A2" w:rsidRPr="00112D14" w:rsidRDefault="003438A2" w:rsidP="00112D14">
      <w:pPr>
        <w:pStyle w:val="EndNoteBibliography"/>
        <w:spacing w:after="0"/>
      </w:pPr>
      <w:bookmarkStart w:id="614" w:name="_ENREF_45"/>
      <w:r w:rsidRPr="00112D14">
        <w:t>APPD 2022, ‘Australian Plant Pest Database, online database’</w:t>
      </w:r>
      <w:r>
        <w:t>,</w:t>
      </w:r>
      <w:r w:rsidRPr="00112D14">
        <w:t xml:space="preserve"> accessed 2022.</w:t>
      </w:r>
      <w:bookmarkEnd w:id="614"/>
    </w:p>
    <w:p w14:paraId="4B86F4A1" w14:textId="77777777" w:rsidR="003438A2" w:rsidRPr="00112D14" w:rsidRDefault="003438A2" w:rsidP="00112D14">
      <w:pPr>
        <w:pStyle w:val="EndNoteBibliography"/>
        <w:spacing w:after="0"/>
      </w:pPr>
      <w:bookmarkStart w:id="615" w:name="_ENREF_46"/>
      <w:r w:rsidRPr="00112D14">
        <w:t>APVMA 2018, ‘Public chemical registration information system: PUBCRIS database’, Australian Pesticides and Veterinary Medicines Authority (APVMA), Canberra, accessed 2018.</w:t>
      </w:r>
      <w:bookmarkEnd w:id="615"/>
    </w:p>
    <w:p w14:paraId="1363A1A1" w14:textId="6391B501" w:rsidR="003438A2" w:rsidRPr="00112D14" w:rsidRDefault="003438A2" w:rsidP="00112D14">
      <w:pPr>
        <w:pStyle w:val="EndNoteBibliography"/>
        <w:spacing w:after="0"/>
      </w:pPr>
      <w:bookmarkStart w:id="616" w:name="_ENREF_47"/>
      <w:r w:rsidRPr="00112D14">
        <w:t xml:space="preserve">AQIS 1998a, </w:t>
      </w:r>
      <w:r w:rsidRPr="00112D14">
        <w:rPr>
          <w:i/>
        </w:rPr>
        <w:t>Final import risk analysis of the importation of fruit of Fuji apple (Malus pumila Miller var. domestica Schneider) from Aomori prefecture in Japan</w:t>
      </w:r>
      <w:r w:rsidRPr="00112D14">
        <w:t>, Australian Quarantine and Inspection Service, Canberra, available at</w:t>
      </w:r>
      <w:r w:rsidR="0033783F">
        <w:t>,</w:t>
      </w:r>
      <w:r w:rsidRPr="00112D14">
        <w:t xml:space="preserve"> </w:t>
      </w:r>
      <w:hyperlink r:id="rId125" w:history="1">
        <w:r w:rsidR="001274A4" w:rsidRPr="009E4A79">
          <w:rPr>
            <w:rStyle w:val="Hyperlink"/>
          </w:rPr>
          <w:t>https://www.agriculture.gov.au/biosecurity-trade/policy/risk-analysis/plant/fujiapple-japan</w:t>
        </w:r>
      </w:hyperlink>
      <w:r w:rsidRPr="00112D14">
        <w:t>.</w:t>
      </w:r>
      <w:bookmarkEnd w:id="616"/>
    </w:p>
    <w:p w14:paraId="703C487F" w14:textId="67D9C552" w:rsidR="003438A2" w:rsidRPr="00112D14" w:rsidRDefault="003438A2" w:rsidP="00112D14">
      <w:pPr>
        <w:pStyle w:val="EndNoteBibliography"/>
        <w:spacing w:after="0"/>
      </w:pPr>
      <w:bookmarkStart w:id="617" w:name="_ENREF_48"/>
      <w:r w:rsidRPr="00112D14">
        <w:t xml:space="preserve">-- -- 1998b, </w:t>
      </w:r>
      <w:r w:rsidRPr="00112D14">
        <w:rPr>
          <w:i/>
        </w:rPr>
        <w:t>Final import risk analysis of the importation of fruit of Ya pear (Pyrus bretschneideri Redh.) from the People’s Republic of China (Hebei and Shandong Provinces)</w:t>
      </w:r>
      <w:r w:rsidRPr="00112D14">
        <w:t>, Australian Quarantine and Inspection Service, Canberra, available at</w:t>
      </w:r>
      <w:r w:rsidR="0033783F">
        <w:t>,</w:t>
      </w:r>
      <w:r w:rsidRPr="00112D14">
        <w:t xml:space="preserve"> </w:t>
      </w:r>
      <w:hyperlink r:id="rId126" w:history="1">
        <w:r w:rsidR="001274A4" w:rsidRPr="009E4A79">
          <w:rPr>
            <w:rStyle w:val="Hyperlink"/>
          </w:rPr>
          <w:t>https://www.agriculture.gov.au/biosecurity-trade/policy/risk-analysis/plant/yapear-china</w:t>
        </w:r>
      </w:hyperlink>
      <w:r w:rsidRPr="00112D14">
        <w:t>.</w:t>
      </w:r>
      <w:bookmarkEnd w:id="617"/>
    </w:p>
    <w:p w14:paraId="53B61404" w14:textId="77777777" w:rsidR="003438A2" w:rsidRPr="00112D14" w:rsidRDefault="003438A2" w:rsidP="00112D14">
      <w:pPr>
        <w:pStyle w:val="EndNoteBibliography"/>
        <w:spacing w:after="0"/>
      </w:pPr>
      <w:bookmarkStart w:id="618" w:name="_ENREF_49"/>
      <w:r w:rsidRPr="00112D14">
        <w:t xml:space="preserve">Arabuli, T &amp; Tskitshvili, M 2008, ‘Quantitative dynamic of </w:t>
      </w:r>
      <w:r w:rsidRPr="00112D14">
        <w:rPr>
          <w:i/>
        </w:rPr>
        <w:t>Cenopalpus pulcher</w:t>
      </w:r>
      <w:r w:rsidRPr="00112D14">
        <w:t xml:space="preserve"> (Acari: Tenuipalpidae) on the quince </w:t>
      </w:r>
      <w:r w:rsidRPr="00112D14">
        <w:rPr>
          <w:i/>
        </w:rPr>
        <w:t>(Cydonia oblonga)</w:t>
      </w:r>
      <w:r w:rsidRPr="00112D14">
        <w:t xml:space="preserve">’, </w:t>
      </w:r>
      <w:r w:rsidRPr="00112D14">
        <w:rPr>
          <w:i/>
        </w:rPr>
        <w:t>Proceedings of the Institute of Zoology, Georgia</w:t>
      </w:r>
      <w:r w:rsidRPr="00112D14">
        <w:t>, vol. 23, pp. 74-6.</w:t>
      </w:r>
      <w:bookmarkEnd w:id="618"/>
    </w:p>
    <w:p w14:paraId="0B2ABC3E" w14:textId="2873D274" w:rsidR="003438A2" w:rsidRPr="00112D14" w:rsidRDefault="003438A2" w:rsidP="00112D14">
      <w:pPr>
        <w:pStyle w:val="EndNoteBibliography"/>
        <w:spacing w:after="0"/>
      </w:pPr>
      <w:bookmarkStart w:id="619" w:name="_ENREF_50"/>
      <w:r w:rsidRPr="00112D14">
        <w:t xml:space="preserve">Australian Bureau of Statistics 2018, </w:t>
      </w:r>
      <w:r w:rsidRPr="00112D14">
        <w:rPr>
          <w:i/>
        </w:rPr>
        <w:t>Value of Agricultural Commodities Produced, Australia, 2016-17</w:t>
      </w:r>
      <w:r w:rsidRPr="00112D14">
        <w:t>, Australian Bureau of Statistics, available at</w:t>
      </w:r>
      <w:r w:rsidR="0033783F">
        <w:t>,</w:t>
      </w:r>
      <w:r w:rsidRPr="00112D14">
        <w:t xml:space="preserve"> </w:t>
      </w:r>
      <w:hyperlink r:id="rId127" w:history="1">
        <w:r w:rsidR="001274A4" w:rsidRPr="009E4A79">
          <w:rPr>
            <w:rStyle w:val="Hyperlink"/>
          </w:rPr>
          <w:t>https://www.abs.gov.au/AUSSTATS/abs@.nsf/Lookup/7503.0Main+Features12016-17?OpenDocument</w:t>
        </w:r>
      </w:hyperlink>
      <w:r w:rsidRPr="00112D14">
        <w:t>.</w:t>
      </w:r>
      <w:bookmarkEnd w:id="619"/>
    </w:p>
    <w:p w14:paraId="01844163" w14:textId="77777777" w:rsidR="003438A2" w:rsidRPr="00112D14" w:rsidRDefault="003438A2" w:rsidP="00112D14">
      <w:pPr>
        <w:pStyle w:val="EndNoteBibliography"/>
        <w:spacing w:after="0"/>
      </w:pPr>
      <w:bookmarkStart w:id="620" w:name="_ENREF_51"/>
      <w:r w:rsidRPr="00112D14">
        <w:t xml:space="preserve">Ayers, A, Ayers, S &amp; Goodman, R 1979, ‘Extracellular polysaccharide of </w:t>
      </w:r>
      <w:r w:rsidRPr="00112D14">
        <w:rPr>
          <w:i/>
        </w:rPr>
        <w:t>Erwinia amylovora</w:t>
      </w:r>
      <w:r w:rsidRPr="00112D14">
        <w:t xml:space="preserve">: a correlation with virulence’, </w:t>
      </w:r>
      <w:r w:rsidRPr="00112D14">
        <w:rPr>
          <w:i/>
        </w:rPr>
        <w:t>Applied and Environmental Microbiology</w:t>
      </w:r>
      <w:r w:rsidRPr="00112D14">
        <w:t>, vol. 38, no. 4, pp. 659-66.</w:t>
      </w:r>
      <w:bookmarkEnd w:id="620"/>
    </w:p>
    <w:p w14:paraId="49CD228B" w14:textId="77777777" w:rsidR="003438A2" w:rsidRPr="00112D14" w:rsidRDefault="003438A2" w:rsidP="00112D14">
      <w:pPr>
        <w:pStyle w:val="EndNoteBibliography"/>
        <w:spacing w:after="0"/>
      </w:pPr>
      <w:bookmarkStart w:id="621" w:name="_ENREF_52"/>
      <w:r w:rsidRPr="00112D14">
        <w:t>Azegami, K, Goto, M, Tsukamoto, T, Bessho, H, Kimura, S, Inoue, Y, Uematsu, H, Sato, S, Ohara, T, Mizuno, A, Yoshida, K, Uematsu, H &amp; Maatsura, T 2006, ‘</w:t>
      </w:r>
      <w:r w:rsidRPr="00112D14">
        <w:rPr>
          <w:i/>
        </w:rPr>
        <w:t>Erwinia amylovora</w:t>
      </w:r>
      <w:r w:rsidRPr="00112D14">
        <w:t xml:space="preserve"> can pass through the abscission layer of fruit-bearing twigs and invade apple fruit during fruit maturation’, </w:t>
      </w:r>
      <w:r w:rsidRPr="00112D14">
        <w:rPr>
          <w:i/>
        </w:rPr>
        <w:t>Journal of General Plant Pathology</w:t>
      </w:r>
      <w:r w:rsidRPr="00112D14">
        <w:t>, vol. 72, no. 1, pp. 42-5.</w:t>
      </w:r>
      <w:bookmarkEnd w:id="621"/>
    </w:p>
    <w:p w14:paraId="5DB31572" w14:textId="77777777" w:rsidR="003438A2" w:rsidRPr="00112D14" w:rsidRDefault="003438A2" w:rsidP="00112D14">
      <w:pPr>
        <w:pStyle w:val="EndNoteBibliography"/>
        <w:spacing w:after="0"/>
      </w:pPr>
      <w:bookmarkStart w:id="622" w:name="_ENREF_53"/>
      <w:r w:rsidRPr="00112D14">
        <w:t xml:space="preserve">Azegami, K, Goto, M, Tsukamoto, T, Kimura, S, Bessho, H, Yoshida, K, Mizuno, A, Matsuura, T, Inoue, Y &amp; Ohara, T 2004, ‘Invasion and colonization of mature apple fruit by </w:t>
      </w:r>
      <w:r w:rsidRPr="00112D14">
        <w:rPr>
          <w:i/>
        </w:rPr>
        <w:t>Erwinia amylovora</w:t>
      </w:r>
      <w:r w:rsidRPr="00112D14">
        <w:t xml:space="preserve"> tagged with bioluminiscence genes’, </w:t>
      </w:r>
      <w:r w:rsidRPr="00112D14">
        <w:rPr>
          <w:i/>
        </w:rPr>
        <w:t>Journal of General Plant Pathology</w:t>
      </w:r>
      <w:r w:rsidRPr="00112D14">
        <w:t>, vol. 70, no. 6, pp. 336-41.</w:t>
      </w:r>
      <w:bookmarkEnd w:id="622"/>
    </w:p>
    <w:p w14:paraId="3A4AB1BF" w14:textId="77777777" w:rsidR="003438A2" w:rsidRPr="00112D14" w:rsidRDefault="003438A2" w:rsidP="00112D14">
      <w:pPr>
        <w:pStyle w:val="EndNoteBibliography"/>
        <w:spacing w:after="0"/>
      </w:pPr>
      <w:bookmarkStart w:id="623" w:name="_ENREF_54"/>
      <w:r w:rsidRPr="00112D14">
        <w:t xml:space="preserve">Bailly, X, Migeon, A &amp; Navajas, M 2004, ‘Analysis of microsatellite variation in the spider mite pest </w:t>
      </w:r>
      <w:r w:rsidRPr="00112D14">
        <w:rPr>
          <w:i/>
        </w:rPr>
        <w:t xml:space="preserve">Tetranychus turkestani </w:t>
      </w:r>
      <w:r w:rsidRPr="00112D14">
        <w:t xml:space="preserve">(Acari: Tetranychidae) reveals population genetic structure and raises questions about related ecological factors’, </w:t>
      </w:r>
      <w:r w:rsidRPr="00112D14">
        <w:rPr>
          <w:i/>
        </w:rPr>
        <w:t>Biological Journal of the Linnean Society</w:t>
      </w:r>
      <w:r w:rsidRPr="00112D14">
        <w:t>, vol. 82, no. 1, pp. 69-78.</w:t>
      </w:r>
      <w:bookmarkEnd w:id="623"/>
    </w:p>
    <w:p w14:paraId="5E91C57A" w14:textId="30A1A845" w:rsidR="003438A2" w:rsidRDefault="003438A2" w:rsidP="00112D14">
      <w:pPr>
        <w:pStyle w:val="EndNoteBibliography"/>
        <w:spacing w:after="0"/>
      </w:pPr>
      <w:bookmarkStart w:id="624" w:name="_ENREF_55"/>
      <w:r w:rsidRPr="00112D14">
        <w:t xml:space="preserve">Bajwa, W &amp; Kogan, M 2001, </w:t>
      </w:r>
      <w:r w:rsidRPr="00112D14">
        <w:rPr>
          <w:i/>
        </w:rPr>
        <w:t>Some studies on the bionomics of Cenopalpus pulcher (C.and F.) (Acarina: Tenuipalpidae) in Oregon</w:t>
      </w:r>
      <w:r w:rsidRPr="00112D14">
        <w:t>, Ecological Society of America 2001 Annual Meeting, Oregon State University, Corvallis, available at</w:t>
      </w:r>
      <w:r w:rsidR="001F11C7">
        <w:t>,</w:t>
      </w:r>
      <w:r w:rsidRPr="00112D14">
        <w:t xml:space="preserve"> </w:t>
      </w:r>
      <w:hyperlink r:id="rId128" w:history="1">
        <w:r w:rsidR="00430E1D" w:rsidRPr="009E4A79">
          <w:rPr>
            <w:rStyle w:val="Hyperlink"/>
          </w:rPr>
          <w:t>http://esa.confex.com/esa/2001/techprogram/paper_3993.htm</w:t>
        </w:r>
      </w:hyperlink>
      <w:r w:rsidRPr="00112D14">
        <w:t>.</w:t>
      </w:r>
      <w:bookmarkEnd w:id="624"/>
    </w:p>
    <w:p w14:paraId="1951B20A" w14:textId="77777777" w:rsidR="003438A2" w:rsidRPr="00112D14" w:rsidRDefault="003438A2" w:rsidP="009A72D4">
      <w:pPr>
        <w:pStyle w:val="EndNoteBibliography"/>
        <w:spacing w:after="0"/>
      </w:pPr>
      <w:bookmarkStart w:id="625" w:name="_ENREF_57"/>
      <w:r w:rsidRPr="00112D14">
        <w:t xml:space="preserve">-- --  2003, ‘Field biology of </w:t>
      </w:r>
      <w:r w:rsidRPr="00112D14">
        <w:rPr>
          <w:i/>
        </w:rPr>
        <w:t xml:space="preserve">Cenopalpus pulcher </w:t>
      </w:r>
      <w:r w:rsidRPr="00112D14">
        <w:t>(C &amp; F) (Tenuipalpidae): an invasive mite new to Oregon apple and pear orchards’, paper presented at NSF Center for Intergrated Pest Management, Fourth National IPM Symposium/Workshop 2003.</w:t>
      </w:r>
      <w:bookmarkEnd w:id="625"/>
    </w:p>
    <w:p w14:paraId="6E27DF81" w14:textId="77777777" w:rsidR="003438A2" w:rsidRPr="00112D14" w:rsidRDefault="003438A2" w:rsidP="00112D14">
      <w:pPr>
        <w:pStyle w:val="EndNoteBibliography"/>
        <w:spacing w:after="0"/>
      </w:pPr>
      <w:bookmarkStart w:id="626" w:name="_ENREF_56"/>
      <w:r w:rsidRPr="00112D14">
        <w:t xml:space="preserve">Bajwa, W, Krantz, GW &amp; Kogan, M 2001, ‘Discovery of </w:t>
      </w:r>
      <w:r w:rsidRPr="00112D14">
        <w:rPr>
          <w:i/>
        </w:rPr>
        <w:t>Cenopalpus pulcher</w:t>
      </w:r>
      <w:r w:rsidRPr="00112D14">
        <w:t xml:space="preserve"> (C. &amp; F.) (Acari: Tenuipalpidae) in the new world’, </w:t>
      </w:r>
      <w:r w:rsidRPr="00112D14">
        <w:rPr>
          <w:i/>
        </w:rPr>
        <w:t>Proceedings of the Entomological Society of Washington</w:t>
      </w:r>
      <w:r w:rsidRPr="00112D14">
        <w:t>, vol. 103, no. 3, pp. 754-6.</w:t>
      </w:r>
      <w:bookmarkEnd w:id="626"/>
    </w:p>
    <w:p w14:paraId="0AB648B5" w14:textId="77777777" w:rsidR="003438A2" w:rsidRPr="00112D14" w:rsidRDefault="003438A2" w:rsidP="00112D14">
      <w:pPr>
        <w:pStyle w:val="EndNoteBibliography"/>
        <w:spacing w:after="0"/>
      </w:pPr>
      <w:bookmarkStart w:id="627" w:name="_ENREF_58"/>
      <w:r w:rsidRPr="00112D14">
        <w:t xml:space="preserve">Baker, E &amp; Tuttle, D 1994, </w:t>
      </w:r>
      <w:r w:rsidRPr="00112D14">
        <w:rPr>
          <w:i/>
        </w:rPr>
        <w:t>A guide to the spider mites (Tetranychidae) of the United States</w:t>
      </w:r>
      <w:r w:rsidRPr="00112D14">
        <w:t>, Indira Publishing House, Michigan.</w:t>
      </w:r>
      <w:bookmarkEnd w:id="627"/>
    </w:p>
    <w:p w14:paraId="0E101083" w14:textId="77777777" w:rsidR="003438A2" w:rsidRPr="00112D14" w:rsidRDefault="003438A2" w:rsidP="00112D14">
      <w:pPr>
        <w:pStyle w:val="EndNoteBibliography"/>
        <w:spacing w:after="0"/>
      </w:pPr>
      <w:bookmarkStart w:id="628" w:name="_ENREF_59"/>
      <w:r w:rsidRPr="00112D14">
        <w:t xml:space="preserve">Balykina, EB, Rybareva, TS &amp; Yagodinskaya, LP 2021, ‘Population of Tetranychidae mites on apple trees and methods of restraining the number of resistant races in Crimea’, </w:t>
      </w:r>
      <w:r w:rsidRPr="00112D14">
        <w:rPr>
          <w:i/>
        </w:rPr>
        <w:t>E3S Web of Conferences</w:t>
      </w:r>
      <w:r w:rsidRPr="00112D14">
        <w:t>, vol. 254, p. 6.</w:t>
      </w:r>
      <w:bookmarkEnd w:id="628"/>
    </w:p>
    <w:p w14:paraId="19563361" w14:textId="77777777" w:rsidR="003438A2" w:rsidRPr="00112D14" w:rsidRDefault="003438A2" w:rsidP="00112D14">
      <w:pPr>
        <w:pStyle w:val="EndNoteBibliography"/>
        <w:spacing w:after="0"/>
      </w:pPr>
      <w:bookmarkStart w:id="629" w:name="_ENREF_60"/>
      <w:r w:rsidRPr="00112D14">
        <w:t xml:space="preserve">Barcenas, NM, Unruh, TR &amp; Neven, LG 2005, ‘DNA diagnostics to identify internal feeders (Lepidoptera: Tortricidae) of pome fruits of quarantine importance’, </w:t>
      </w:r>
      <w:r w:rsidRPr="00112D14">
        <w:rPr>
          <w:i/>
        </w:rPr>
        <w:t>Journal of Economic Entomology</w:t>
      </w:r>
      <w:r w:rsidRPr="00112D14">
        <w:t>, vol. 98, pp. 299-306.</w:t>
      </w:r>
      <w:bookmarkEnd w:id="629"/>
    </w:p>
    <w:p w14:paraId="1AFDD626" w14:textId="77777777" w:rsidR="003438A2" w:rsidRPr="00112D14" w:rsidRDefault="003438A2" w:rsidP="00112D14">
      <w:pPr>
        <w:pStyle w:val="EndNoteBibliography"/>
        <w:spacing w:after="0"/>
      </w:pPr>
      <w:bookmarkStart w:id="630" w:name="_ENREF_61"/>
      <w:r w:rsidRPr="00112D14">
        <w:t xml:space="preserve">Beer, SV 1990, ‘Fire blight’, in </w:t>
      </w:r>
      <w:r w:rsidRPr="00112D14">
        <w:rPr>
          <w:i/>
        </w:rPr>
        <w:t>Compendium of apple and pear diseases</w:t>
      </w:r>
      <w:r w:rsidRPr="00112D14">
        <w:t>, Jones, AL &amp; Aldwinckle, HS (eds), The American Phytopathological Society Press, St. Paul, Minnesota.</w:t>
      </w:r>
      <w:bookmarkEnd w:id="630"/>
    </w:p>
    <w:p w14:paraId="170D3557" w14:textId="77777777" w:rsidR="003438A2" w:rsidRPr="00112D14" w:rsidRDefault="003438A2" w:rsidP="00112D14">
      <w:pPr>
        <w:pStyle w:val="EndNoteBibliography"/>
        <w:spacing w:after="0"/>
      </w:pPr>
      <w:bookmarkStart w:id="631" w:name="_ENREF_62"/>
      <w:r w:rsidRPr="00112D14">
        <w:t xml:space="preserve">Beer, SV &amp; Norelli, JL 1977, ‘Fire blight epidemiology: factors affecting release of </w:t>
      </w:r>
      <w:r w:rsidRPr="00112D14">
        <w:rPr>
          <w:i/>
        </w:rPr>
        <w:t>Erwinia amylovora</w:t>
      </w:r>
      <w:r w:rsidRPr="00112D14">
        <w:t xml:space="preserve"> by cankers’, </w:t>
      </w:r>
      <w:r w:rsidRPr="00112D14">
        <w:rPr>
          <w:i/>
        </w:rPr>
        <w:t>Phytopathology</w:t>
      </w:r>
      <w:r w:rsidRPr="00112D14">
        <w:t>, vol. 67, no. 9, pp. 1119-25.</w:t>
      </w:r>
      <w:bookmarkEnd w:id="631"/>
    </w:p>
    <w:p w14:paraId="70C413A8" w14:textId="709A6EA6" w:rsidR="003438A2" w:rsidRPr="00112D14" w:rsidRDefault="003438A2" w:rsidP="00112D14">
      <w:pPr>
        <w:pStyle w:val="EndNoteBibliography"/>
        <w:spacing w:after="0"/>
      </w:pPr>
      <w:bookmarkStart w:id="632" w:name="_ENREF_63"/>
      <w:r w:rsidRPr="00112D14">
        <w:t xml:space="preserve">Beers, EH 2004, </w:t>
      </w:r>
      <w:r w:rsidRPr="00112D14">
        <w:rPr>
          <w:i/>
        </w:rPr>
        <w:t>Curculionids and Pacific Northwest tree fruits: past and present</w:t>
      </w:r>
      <w:r w:rsidRPr="00112D14">
        <w:t>, Curculio</w:t>
      </w:r>
      <w:r w:rsidR="002637F8">
        <w:t>.</w:t>
      </w:r>
      <w:bookmarkEnd w:id="632"/>
    </w:p>
    <w:p w14:paraId="2D33180E" w14:textId="44C12CD8" w:rsidR="003438A2" w:rsidRPr="00112D14" w:rsidRDefault="003438A2" w:rsidP="00112D14">
      <w:pPr>
        <w:pStyle w:val="EndNoteBibliography"/>
        <w:spacing w:after="0"/>
      </w:pPr>
      <w:bookmarkStart w:id="633" w:name="_ENREF_64"/>
      <w:r w:rsidRPr="00112D14">
        <w:t xml:space="preserve">-- -- 2007a, </w:t>
      </w:r>
      <w:r w:rsidRPr="00112D14">
        <w:rPr>
          <w:i/>
        </w:rPr>
        <w:t>Apple mealybug</w:t>
      </w:r>
      <w:r w:rsidRPr="00112D14">
        <w:t>, Orchard Pest Management Online, Washington State University, available at</w:t>
      </w:r>
      <w:r w:rsidR="001F11C7">
        <w:t>,</w:t>
      </w:r>
      <w:r w:rsidRPr="00112D14">
        <w:t xml:space="preserve"> </w:t>
      </w:r>
      <w:hyperlink r:id="rId129" w:history="1">
        <w:r w:rsidR="004B5BB2" w:rsidRPr="009E4A79">
          <w:rPr>
            <w:rStyle w:val="Hyperlink"/>
          </w:rPr>
          <w:t>http://treefruit.wsu.edu/crop-protection/opm/apple-mealybug/</w:t>
        </w:r>
      </w:hyperlink>
      <w:r w:rsidRPr="00112D14">
        <w:t>.</w:t>
      </w:r>
      <w:bookmarkEnd w:id="633"/>
    </w:p>
    <w:p w14:paraId="1C2EAD07" w14:textId="41E222C6" w:rsidR="003438A2" w:rsidRPr="00112D14" w:rsidRDefault="003438A2" w:rsidP="00112D14">
      <w:pPr>
        <w:pStyle w:val="EndNoteBibliography"/>
        <w:spacing w:after="0"/>
      </w:pPr>
      <w:bookmarkStart w:id="634" w:name="_ENREF_65"/>
      <w:r w:rsidRPr="00112D14">
        <w:t>-- -- 2007b, ‘Weevils’, Washington State University, Washington, USA, available at</w:t>
      </w:r>
      <w:r w:rsidR="001F11C7">
        <w:t>,</w:t>
      </w:r>
      <w:r w:rsidRPr="00112D14">
        <w:t xml:space="preserve"> </w:t>
      </w:r>
      <w:hyperlink r:id="rId130" w:history="1">
        <w:r w:rsidR="004B5BB2" w:rsidRPr="009E4A79">
          <w:rPr>
            <w:rStyle w:val="Hyperlink"/>
          </w:rPr>
          <w:t>http://treefruit.wsu.edu/crop-protection/opm/weevils/</w:t>
        </w:r>
      </w:hyperlink>
      <w:r w:rsidRPr="00112D14">
        <w:t>.</w:t>
      </w:r>
      <w:bookmarkEnd w:id="634"/>
    </w:p>
    <w:p w14:paraId="45B09426" w14:textId="77777777" w:rsidR="003438A2" w:rsidRPr="00112D14" w:rsidRDefault="003438A2" w:rsidP="00112D14">
      <w:pPr>
        <w:pStyle w:val="EndNoteBibliography"/>
        <w:spacing w:after="0"/>
      </w:pPr>
      <w:bookmarkStart w:id="635" w:name="_ENREF_66"/>
      <w:r w:rsidRPr="00112D14">
        <w:t xml:space="preserve">-- -- 2008, </w:t>
      </w:r>
      <w:r w:rsidRPr="00112D14">
        <w:rPr>
          <w:i/>
        </w:rPr>
        <w:t>Observations on the apple mealybug and its parasitoid in Washington</w:t>
      </w:r>
      <w:r w:rsidRPr="00112D14">
        <w:t>, Western Orchard Pest and Disease Management Conference, Oregon, USA.</w:t>
      </w:r>
      <w:bookmarkEnd w:id="635"/>
    </w:p>
    <w:p w14:paraId="22304EE6" w14:textId="360EA821" w:rsidR="003438A2" w:rsidRPr="00112D14" w:rsidRDefault="003438A2" w:rsidP="00112D14">
      <w:pPr>
        <w:pStyle w:val="EndNoteBibliography"/>
        <w:spacing w:after="0"/>
      </w:pPr>
      <w:bookmarkStart w:id="636" w:name="_ENREF_67"/>
      <w:r w:rsidRPr="00112D14">
        <w:t>-- -- 2017, ‘Apple leaf curling midge’, Washington State University, available at</w:t>
      </w:r>
      <w:r w:rsidR="00303902">
        <w:t>,</w:t>
      </w:r>
      <w:r w:rsidRPr="00112D14">
        <w:t xml:space="preserve"> </w:t>
      </w:r>
      <w:hyperlink r:id="rId131" w:history="1">
        <w:r w:rsidR="004B5BB2" w:rsidRPr="009E4A79">
          <w:rPr>
            <w:rStyle w:val="Hyperlink"/>
          </w:rPr>
          <w:t>http://treefruit.wsu.edu/crop-protection/opm/apple-leafcurling-midge/</w:t>
        </w:r>
      </w:hyperlink>
      <w:r w:rsidRPr="00112D14">
        <w:t>.</w:t>
      </w:r>
      <w:bookmarkEnd w:id="636"/>
    </w:p>
    <w:p w14:paraId="324F7FE8" w14:textId="77777777" w:rsidR="003438A2" w:rsidRPr="00112D14" w:rsidRDefault="003438A2" w:rsidP="00112D14">
      <w:pPr>
        <w:pStyle w:val="EndNoteBibliography"/>
        <w:spacing w:after="0"/>
      </w:pPr>
      <w:bookmarkStart w:id="637" w:name="_ENREF_68"/>
      <w:r w:rsidRPr="00112D14">
        <w:t xml:space="preserve">Beers, EH, Antonelli, AL &amp; LaGasa, EH 1996, </w:t>
      </w:r>
      <w:r w:rsidRPr="00112D14">
        <w:rPr>
          <w:i/>
        </w:rPr>
        <w:t>Gardening in western Washington: apple maggot</w:t>
      </w:r>
      <w:r w:rsidRPr="00112D14">
        <w:t>, Orchard Pest Management Online, Washington State University.</w:t>
      </w:r>
      <w:bookmarkEnd w:id="637"/>
    </w:p>
    <w:p w14:paraId="2EEAC385" w14:textId="77777777" w:rsidR="003438A2" w:rsidRPr="00112D14" w:rsidRDefault="003438A2" w:rsidP="00112D14">
      <w:pPr>
        <w:pStyle w:val="EndNoteBibliography"/>
        <w:spacing w:after="0"/>
      </w:pPr>
      <w:bookmarkStart w:id="638" w:name="_ENREF_69"/>
      <w:r w:rsidRPr="00112D14">
        <w:t xml:space="preserve">Beers, EH, Brunner, JF &amp; Barrett, BA 2007, </w:t>
      </w:r>
      <w:r w:rsidRPr="00112D14">
        <w:rPr>
          <w:i/>
        </w:rPr>
        <w:t>Western tentiform leafminer</w:t>
      </w:r>
      <w:r w:rsidRPr="00112D14">
        <w:t>, Orchard Pest Management, Washington State University.</w:t>
      </w:r>
      <w:bookmarkEnd w:id="638"/>
    </w:p>
    <w:p w14:paraId="7F5B8FCB" w14:textId="6B54D04E" w:rsidR="003438A2" w:rsidRPr="00112D14" w:rsidRDefault="003438A2" w:rsidP="00112D14">
      <w:pPr>
        <w:pStyle w:val="EndNoteBibliography"/>
        <w:spacing w:after="0"/>
      </w:pPr>
      <w:bookmarkStart w:id="639" w:name="_ENREF_70"/>
      <w:r w:rsidRPr="00112D14">
        <w:t>Beers, EH, Brunner, JF, Willett, MJ &amp; Warner, G</w:t>
      </w:r>
      <w:r>
        <w:t>M</w:t>
      </w:r>
      <w:r w:rsidRPr="00112D14">
        <w:t xml:space="preserve"> 1993a, </w:t>
      </w:r>
      <w:r w:rsidRPr="00112D14">
        <w:rPr>
          <w:i/>
        </w:rPr>
        <w:t>Less common aphids</w:t>
      </w:r>
      <w:r w:rsidRPr="00112D14">
        <w:t>, Washington State University, Orchard Pest Management Online, available at</w:t>
      </w:r>
      <w:r w:rsidR="00303902">
        <w:t>,</w:t>
      </w:r>
      <w:r w:rsidRPr="00112D14">
        <w:t xml:space="preserve"> </w:t>
      </w:r>
      <w:hyperlink r:id="rId132" w:history="1">
        <w:r w:rsidR="004B5BB2" w:rsidRPr="009E4A79">
          <w:rPr>
            <w:rStyle w:val="Hyperlink"/>
          </w:rPr>
          <w:t>http://treefruit.wsu.edu/crop-protection/opm/less-common-aphids/</w:t>
        </w:r>
      </w:hyperlink>
      <w:r w:rsidRPr="00112D14">
        <w:t>.</w:t>
      </w:r>
      <w:bookmarkEnd w:id="639"/>
    </w:p>
    <w:p w14:paraId="76A84DB6" w14:textId="77777777" w:rsidR="003438A2" w:rsidRPr="00112D14" w:rsidRDefault="003438A2" w:rsidP="00112D14">
      <w:pPr>
        <w:pStyle w:val="EndNoteBibliography"/>
        <w:spacing w:after="0"/>
      </w:pPr>
      <w:bookmarkStart w:id="640" w:name="_ENREF_71"/>
      <w:r w:rsidRPr="00112D14">
        <w:t xml:space="preserve">-- --  1993b, </w:t>
      </w:r>
      <w:r w:rsidRPr="00112D14">
        <w:rPr>
          <w:i/>
        </w:rPr>
        <w:t>Orchard pest management: a resource book for the Pacific Northwest</w:t>
      </w:r>
      <w:r w:rsidRPr="00112D14">
        <w:t>, Good fruit grower, Washington, USA.</w:t>
      </w:r>
      <w:bookmarkEnd w:id="640"/>
    </w:p>
    <w:p w14:paraId="31BA3FC5" w14:textId="2FC823C4" w:rsidR="003438A2" w:rsidRPr="00112D14" w:rsidRDefault="003438A2" w:rsidP="00112D14">
      <w:pPr>
        <w:pStyle w:val="EndNoteBibliography"/>
        <w:spacing w:after="0"/>
      </w:pPr>
      <w:bookmarkStart w:id="641" w:name="_ENREF_72"/>
      <w:r w:rsidRPr="00112D14">
        <w:t xml:space="preserve">Beers, EH &amp; Elsner, EA 1993, </w:t>
      </w:r>
      <w:r w:rsidRPr="00112D14">
        <w:rPr>
          <w:i/>
        </w:rPr>
        <w:t>Rose leafhopper, Edwardsiana rosae (Linnaeus)</w:t>
      </w:r>
      <w:r w:rsidRPr="00112D14">
        <w:t>, Orchard Pest Management Online, Washington State University, available at</w:t>
      </w:r>
      <w:r w:rsidR="00303902">
        <w:t>,</w:t>
      </w:r>
      <w:r w:rsidRPr="00112D14">
        <w:t xml:space="preserve"> </w:t>
      </w:r>
      <w:hyperlink r:id="rId133" w:history="1">
        <w:r w:rsidR="00C43E79" w:rsidRPr="009E4A79">
          <w:rPr>
            <w:rStyle w:val="Hyperlink"/>
          </w:rPr>
          <w:t>http://treefruit.wsu.edu/crop-protection/opm/rose-leafhopper/</w:t>
        </w:r>
      </w:hyperlink>
      <w:r w:rsidRPr="00112D14">
        <w:t>.</w:t>
      </w:r>
      <w:bookmarkEnd w:id="641"/>
    </w:p>
    <w:p w14:paraId="512D3DC2" w14:textId="334851DD" w:rsidR="003438A2" w:rsidRPr="00112D14" w:rsidRDefault="003438A2" w:rsidP="00112D14">
      <w:pPr>
        <w:pStyle w:val="EndNoteBibliography"/>
        <w:spacing w:after="0"/>
      </w:pPr>
      <w:bookmarkStart w:id="642" w:name="_ENREF_73"/>
      <w:r w:rsidRPr="00112D14">
        <w:t xml:space="preserve">Beers, EH, Hoyt, SC &amp; Willett, MJ 1993, </w:t>
      </w:r>
      <w:r w:rsidRPr="00112D14">
        <w:rPr>
          <w:i/>
        </w:rPr>
        <w:t>Apple aphid and spirea aphid</w:t>
      </w:r>
      <w:r w:rsidRPr="00112D14">
        <w:t>, Orchard Pest Management Online, Washington State University, available at</w:t>
      </w:r>
      <w:r w:rsidR="003C2C7F">
        <w:t>,</w:t>
      </w:r>
      <w:r w:rsidRPr="00112D14">
        <w:t xml:space="preserve"> </w:t>
      </w:r>
      <w:hyperlink r:id="rId134" w:history="1">
        <w:r w:rsidR="00C43E79" w:rsidRPr="009E4A79">
          <w:rPr>
            <w:rStyle w:val="Hyperlink"/>
          </w:rPr>
          <w:t>http://treefruit.wsu.edu/crop-protection/opm/apple-aphid-and-spirea-aphid/</w:t>
        </w:r>
      </w:hyperlink>
      <w:r w:rsidRPr="00112D14">
        <w:t>.</w:t>
      </w:r>
      <w:bookmarkEnd w:id="642"/>
    </w:p>
    <w:p w14:paraId="4FA72978" w14:textId="78794A86" w:rsidR="003438A2" w:rsidRPr="00112D14" w:rsidRDefault="003438A2" w:rsidP="00112D14">
      <w:pPr>
        <w:pStyle w:val="EndNoteBibliography"/>
        <w:spacing w:after="0"/>
      </w:pPr>
      <w:bookmarkStart w:id="643" w:name="_ENREF_74"/>
      <w:r w:rsidRPr="00112D14">
        <w:t xml:space="preserve">Beers, EH &amp; Willett, MJ 2007, ‘Rosy apple aphid: </w:t>
      </w:r>
      <w:r w:rsidRPr="00112D14">
        <w:rPr>
          <w:i/>
        </w:rPr>
        <w:t>Dysaphis plantaginea</w:t>
      </w:r>
      <w:r w:rsidRPr="00112D14">
        <w:t xml:space="preserve"> Passerini (Homoptera: Aphididae)’, </w:t>
      </w:r>
      <w:r w:rsidRPr="00112D14">
        <w:rPr>
          <w:i/>
        </w:rPr>
        <w:t>WSU Tree Fruit</w:t>
      </w:r>
      <w:r w:rsidRPr="00112D14">
        <w:t>, Washington State University, USA, available at</w:t>
      </w:r>
      <w:r w:rsidR="003C2C7F">
        <w:t>,</w:t>
      </w:r>
      <w:r w:rsidRPr="00112D14">
        <w:t xml:space="preserve"> </w:t>
      </w:r>
      <w:hyperlink r:id="rId135" w:history="1">
        <w:r w:rsidR="00C43E79" w:rsidRPr="009E4A79">
          <w:rPr>
            <w:rStyle w:val="Hyperlink"/>
          </w:rPr>
          <w:t>http://treefruit.wsu.edu/crop-protection/opm/rosy-apple-aphid/?print-view=true</w:t>
        </w:r>
      </w:hyperlink>
      <w:r w:rsidRPr="00112D14">
        <w:t>.</w:t>
      </w:r>
      <w:bookmarkEnd w:id="643"/>
    </w:p>
    <w:p w14:paraId="5AEED34F" w14:textId="602CDC35" w:rsidR="003438A2" w:rsidRPr="00112D14" w:rsidRDefault="003438A2" w:rsidP="00112D14">
      <w:pPr>
        <w:pStyle w:val="EndNoteBibliography"/>
        <w:spacing w:after="0"/>
      </w:pPr>
      <w:bookmarkStart w:id="644" w:name="_ENREF_75"/>
      <w:r w:rsidRPr="00112D14">
        <w:t xml:space="preserve">Bell, H, Wakefield, M, Macarthur, R, Stein, J, Collins, D, Hart, A, Roques, A, Augustin, S, Yart, A, Péré, C, Schrader, G, Wendt, C, Battisti, A, Faccoli, M, Marini, L &amp; Toffolo, EP 2015, </w:t>
      </w:r>
      <w:r w:rsidRPr="00112D14">
        <w:rPr>
          <w:i/>
        </w:rPr>
        <w:t>A review of the literature relevant to the monitoring of regulated plant health pests in Europe</w:t>
      </w:r>
      <w:r w:rsidRPr="00112D14">
        <w:t>, Expert Working Group Meeting on the Revision of ISPM 6, available at</w:t>
      </w:r>
      <w:r w:rsidR="003C2C7F">
        <w:t>,</w:t>
      </w:r>
      <w:r w:rsidRPr="00112D14">
        <w:t xml:space="preserve"> </w:t>
      </w:r>
      <w:hyperlink r:id="rId136" w:history="1">
        <w:r w:rsidR="00C43E79" w:rsidRPr="009E4A79">
          <w:rPr>
            <w:rStyle w:val="Hyperlink"/>
          </w:rPr>
          <w:t>https://www.ippc.int/static/media/files/publication/en/2015/09/13_EWG_ISPM6_2015_Sept_EFSA_PERSEUS_Appendix_C_to_the_Final_report.pdf</w:t>
        </w:r>
      </w:hyperlink>
      <w:r w:rsidRPr="00112D14">
        <w:t>.</w:t>
      </w:r>
      <w:bookmarkEnd w:id="644"/>
    </w:p>
    <w:p w14:paraId="172D5B10" w14:textId="77777777" w:rsidR="003438A2" w:rsidRPr="00112D14" w:rsidRDefault="003438A2" w:rsidP="00112D14">
      <w:pPr>
        <w:pStyle w:val="EndNoteBibliography"/>
        <w:spacing w:after="0"/>
      </w:pPr>
      <w:bookmarkStart w:id="645" w:name="_ENREF_76"/>
      <w:r w:rsidRPr="00112D14">
        <w:t xml:space="preserve">Bell, N, Antonelli, AL &amp; Daniels, C 2007, ‘Home garden: tree fruit and nuts’, in </w:t>
      </w:r>
      <w:r w:rsidRPr="00112D14">
        <w:rPr>
          <w:i/>
        </w:rPr>
        <w:t>Pacific northwest insect management handbook</w:t>
      </w:r>
      <w:r w:rsidRPr="00112D14">
        <w:t>, Hollingsworth, CS (ed), Oregon State University, Corvallis.</w:t>
      </w:r>
      <w:bookmarkEnd w:id="645"/>
    </w:p>
    <w:p w14:paraId="420B34BA" w14:textId="77777777" w:rsidR="003438A2" w:rsidRPr="00112D14" w:rsidRDefault="003438A2" w:rsidP="00112D14">
      <w:pPr>
        <w:pStyle w:val="EndNoteBibliography"/>
        <w:spacing w:after="0"/>
      </w:pPr>
      <w:bookmarkStart w:id="646" w:name="_ENREF_77"/>
      <w:r w:rsidRPr="00112D14">
        <w:t xml:space="preserve">Bell, N &amp; Waters, T 2021, ‘Vegetable crops, vegetable pests’, in </w:t>
      </w:r>
      <w:r w:rsidRPr="00112D14">
        <w:rPr>
          <w:i/>
        </w:rPr>
        <w:t>PNW Insect Management Handbook</w:t>
      </w:r>
      <w:r w:rsidRPr="00112D14">
        <w:t>, Kaur, N (ed), Oregon State University, Corvallis, Oregon, USA.</w:t>
      </w:r>
      <w:bookmarkEnd w:id="646"/>
    </w:p>
    <w:p w14:paraId="42F29B16" w14:textId="3408BBE4" w:rsidR="003438A2" w:rsidRPr="00112D14" w:rsidRDefault="003438A2" w:rsidP="00112D14">
      <w:pPr>
        <w:pStyle w:val="EndNoteBibliography"/>
        <w:spacing w:after="0"/>
      </w:pPr>
      <w:bookmarkStart w:id="647" w:name="_ENREF_78"/>
      <w:r w:rsidRPr="00112D14">
        <w:t xml:space="preserve">Bentley, WJ &amp; Day, KR 2006, </w:t>
      </w:r>
      <w:r w:rsidRPr="00112D14">
        <w:rPr>
          <w:i/>
        </w:rPr>
        <w:t>Nectarine: insects and mites</w:t>
      </w:r>
      <w:r w:rsidRPr="00112D14">
        <w:t>, UC IPM Online: Statewide integrated pest management program, University of California, Agriculture and Natural Resources, available at</w:t>
      </w:r>
      <w:r w:rsidR="003C2C7F">
        <w:t>,</w:t>
      </w:r>
      <w:r w:rsidRPr="00112D14">
        <w:t xml:space="preserve"> </w:t>
      </w:r>
      <w:hyperlink r:id="rId137" w:history="1">
        <w:r w:rsidR="00C43E79" w:rsidRPr="009E4A79">
          <w:rPr>
            <w:rStyle w:val="Hyperlink"/>
          </w:rPr>
          <w:t>http://www.ipm.ucdavis.edu/PDF/PMG/pmgnectarine.pdf</w:t>
        </w:r>
      </w:hyperlink>
      <w:r w:rsidRPr="00112D14">
        <w:t>.</w:t>
      </w:r>
      <w:bookmarkEnd w:id="647"/>
    </w:p>
    <w:p w14:paraId="70347AD3" w14:textId="77777777" w:rsidR="003438A2" w:rsidRPr="00112D14" w:rsidRDefault="003438A2" w:rsidP="00112D14">
      <w:pPr>
        <w:pStyle w:val="EndNoteBibliography"/>
        <w:spacing w:after="0"/>
      </w:pPr>
      <w:bookmarkStart w:id="648" w:name="_ENREF_79"/>
      <w:r w:rsidRPr="00112D14">
        <w:t xml:space="preserve">Beresford, RM &amp; Kim, KS 2011, ‘Identification of regional climate conditions favorable for development of European canker of apple’, </w:t>
      </w:r>
      <w:r w:rsidRPr="00112D14">
        <w:rPr>
          <w:i/>
        </w:rPr>
        <w:t>Phytopathology</w:t>
      </w:r>
      <w:r w:rsidRPr="00112D14">
        <w:t>, vol. 101, pp. 135-46.</w:t>
      </w:r>
      <w:bookmarkEnd w:id="648"/>
    </w:p>
    <w:p w14:paraId="2858D6B5" w14:textId="77777777" w:rsidR="003438A2" w:rsidRPr="00112D14" w:rsidRDefault="003438A2" w:rsidP="00112D14">
      <w:pPr>
        <w:pStyle w:val="EndNoteBibliography"/>
        <w:spacing w:after="0"/>
      </w:pPr>
      <w:bookmarkStart w:id="649" w:name="_ENREF_80"/>
      <w:r w:rsidRPr="00112D14">
        <w:t xml:space="preserve">Berry, RE 1998a, ‘Bertha armyworm-Lepidoptera: Noctuidae </w:t>
      </w:r>
      <w:r w:rsidRPr="00112D14">
        <w:rPr>
          <w:i/>
        </w:rPr>
        <w:t>Mamestra configurata</w:t>
      </w:r>
      <w:r w:rsidRPr="00112D14">
        <w:t xml:space="preserve">’, in </w:t>
      </w:r>
      <w:r w:rsidRPr="00112D14">
        <w:rPr>
          <w:i/>
        </w:rPr>
        <w:t>Insects and mites of economic importance in the Pacific northwest</w:t>
      </w:r>
      <w:r w:rsidRPr="00112D14">
        <w:t>, 2nd edn, Agricultural Experiment Station, Oregon State University, Corvallis.</w:t>
      </w:r>
      <w:bookmarkEnd w:id="649"/>
    </w:p>
    <w:p w14:paraId="7331A083" w14:textId="77777777" w:rsidR="003438A2" w:rsidRPr="00112D14" w:rsidRDefault="003438A2" w:rsidP="00112D14">
      <w:pPr>
        <w:pStyle w:val="EndNoteBibliography"/>
        <w:spacing w:after="0"/>
      </w:pPr>
      <w:bookmarkStart w:id="650" w:name="_ENREF_81"/>
      <w:r w:rsidRPr="00112D14">
        <w:t xml:space="preserve">-- -- 1998b, ‘Filbert leafroller, </w:t>
      </w:r>
      <w:r w:rsidRPr="00112D14">
        <w:rPr>
          <w:i/>
        </w:rPr>
        <w:t>Archips rosanus</w:t>
      </w:r>
      <w:r w:rsidRPr="00112D14">
        <w:t xml:space="preserve">’, in </w:t>
      </w:r>
      <w:r w:rsidRPr="00112D14">
        <w:rPr>
          <w:i/>
        </w:rPr>
        <w:t>Insects and mites of economic importance in the Pacific northwest</w:t>
      </w:r>
      <w:r w:rsidRPr="00112D14">
        <w:t>, 2nd edn, Agricultural Experiment Station, Oregon State University, Corvallis.</w:t>
      </w:r>
      <w:bookmarkEnd w:id="650"/>
    </w:p>
    <w:p w14:paraId="51E7BBB9" w14:textId="77777777" w:rsidR="003438A2" w:rsidRPr="00112D14" w:rsidRDefault="003438A2" w:rsidP="00112D14">
      <w:pPr>
        <w:pStyle w:val="EndNoteBibliography"/>
        <w:spacing w:after="0"/>
      </w:pPr>
      <w:bookmarkStart w:id="651" w:name="_ENREF_82"/>
      <w:r w:rsidRPr="00112D14">
        <w:t xml:space="preserve">-- -- 1998c, ‘Leafrollers Lepidoptera: Tortricidae obliquebanded leafroller </w:t>
      </w:r>
      <w:r w:rsidRPr="00112D14">
        <w:rPr>
          <w:i/>
        </w:rPr>
        <w:t>Choristoneura rosaceana,</w:t>
      </w:r>
      <w:r w:rsidRPr="00112D14">
        <w:t xml:space="preserve"> fruittree leafroller </w:t>
      </w:r>
      <w:r w:rsidRPr="00112D14">
        <w:rPr>
          <w:i/>
        </w:rPr>
        <w:t xml:space="preserve">Archips argyrospilius, </w:t>
      </w:r>
      <w:r w:rsidRPr="00112D14">
        <w:t xml:space="preserve">Pandemis leafroller </w:t>
      </w:r>
      <w:r w:rsidRPr="00112D14">
        <w:rPr>
          <w:i/>
        </w:rPr>
        <w:t>Pandemis pyrusana</w:t>
      </w:r>
      <w:r w:rsidRPr="00112D14">
        <w:t xml:space="preserve">’, in </w:t>
      </w:r>
      <w:r w:rsidRPr="00112D14">
        <w:rPr>
          <w:i/>
        </w:rPr>
        <w:t>Insects and mites of economic importance in the Pacific northwest</w:t>
      </w:r>
      <w:r w:rsidRPr="00112D14">
        <w:t>, 2nd edn, Agricultural Experiment Station, Oregon State University, Corvallis.</w:t>
      </w:r>
      <w:bookmarkEnd w:id="651"/>
    </w:p>
    <w:p w14:paraId="4219850B" w14:textId="77777777" w:rsidR="003438A2" w:rsidRPr="00112D14" w:rsidRDefault="003438A2" w:rsidP="00112D14">
      <w:pPr>
        <w:pStyle w:val="EndNoteBibliography"/>
        <w:spacing w:after="0"/>
      </w:pPr>
      <w:bookmarkStart w:id="652" w:name="_ENREF_83"/>
      <w:r w:rsidRPr="00112D14">
        <w:t xml:space="preserve">-- -- 1998d, ‘Orange tortrix-Lepidoptera : Tortricidae </w:t>
      </w:r>
      <w:r w:rsidRPr="00112D14">
        <w:rPr>
          <w:i/>
        </w:rPr>
        <w:t>Argyrotaenia citrana</w:t>
      </w:r>
      <w:r w:rsidRPr="00112D14">
        <w:t xml:space="preserve">’, in </w:t>
      </w:r>
      <w:r w:rsidRPr="00112D14">
        <w:rPr>
          <w:i/>
        </w:rPr>
        <w:t>Insects and mites of economic importance in the Pacific Northwest</w:t>
      </w:r>
      <w:r w:rsidRPr="00112D14">
        <w:t>, 2nd edn, Agricultural Experiment Station, Oregon State University, Corvallis.</w:t>
      </w:r>
      <w:bookmarkEnd w:id="652"/>
    </w:p>
    <w:p w14:paraId="6811D2DB" w14:textId="77777777" w:rsidR="003438A2" w:rsidRPr="00112D14" w:rsidRDefault="003438A2" w:rsidP="00112D14">
      <w:pPr>
        <w:pStyle w:val="EndNoteBibliography"/>
        <w:spacing w:after="0"/>
      </w:pPr>
      <w:bookmarkStart w:id="653" w:name="_ENREF_84"/>
      <w:r w:rsidRPr="00112D14">
        <w:t xml:space="preserve">Bielenin, A 1986, ‘Apple rot caused by </w:t>
      </w:r>
      <w:r w:rsidRPr="00112D14">
        <w:rPr>
          <w:i/>
        </w:rPr>
        <w:t>Corticium centrifugum</w:t>
      </w:r>
      <w:r w:rsidRPr="00112D14">
        <w:t xml:space="preserve"> (Lev.) Bres. in storage’, </w:t>
      </w:r>
      <w:r w:rsidRPr="00112D14">
        <w:rPr>
          <w:i/>
        </w:rPr>
        <w:t>Fruit Science Reports</w:t>
      </w:r>
      <w:r w:rsidRPr="00112D14">
        <w:t>, vol. 13, no. 3, pp. 143-7.</w:t>
      </w:r>
      <w:bookmarkEnd w:id="653"/>
    </w:p>
    <w:p w14:paraId="0ED30FED" w14:textId="77777777" w:rsidR="003438A2" w:rsidRPr="00112D14" w:rsidRDefault="003438A2" w:rsidP="00112D14">
      <w:pPr>
        <w:pStyle w:val="EndNoteBibliography"/>
        <w:spacing w:after="0"/>
      </w:pPr>
      <w:bookmarkStart w:id="654" w:name="_ENREF_85"/>
      <w:r w:rsidRPr="00112D14">
        <w:t xml:space="preserve">Biosca, EG, Marco-Noales, E, Ordax, M &amp; López, MM 2006, ‘Long-term starvation-survival of </w:t>
      </w:r>
      <w:r w:rsidRPr="00112D14">
        <w:rPr>
          <w:i/>
        </w:rPr>
        <w:t>Erwinia amylovora</w:t>
      </w:r>
      <w:r w:rsidRPr="00112D14">
        <w:t xml:space="preserve"> in sterile irrigation water’, </w:t>
      </w:r>
      <w:r w:rsidRPr="00112D14">
        <w:rPr>
          <w:i/>
        </w:rPr>
        <w:t>Acta Horticulturae (ISHS)</w:t>
      </w:r>
      <w:r w:rsidRPr="00112D14">
        <w:t>, vol. 704, pp. 107-12.</w:t>
      </w:r>
      <w:bookmarkEnd w:id="654"/>
    </w:p>
    <w:p w14:paraId="5216ADF2" w14:textId="22D8E5D8" w:rsidR="003438A2" w:rsidRPr="00112D14" w:rsidRDefault="003438A2" w:rsidP="00112D14">
      <w:pPr>
        <w:pStyle w:val="EndNoteBibliography"/>
        <w:spacing w:after="0"/>
      </w:pPr>
      <w:bookmarkStart w:id="655" w:name="_ENREF_86"/>
      <w:r w:rsidRPr="00112D14">
        <w:t xml:space="preserve">Biosecurity Australia 2005, </w:t>
      </w:r>
      <w:r w:rsidR="00F93271">
        <w:rPr>
          <w:i/>
        </w:rPr>
        <w:t>Final</w:t>
      </w:r>
      <w:r w:rsidRPr="00112D14">
        <w:rPr>
          <w:i/>
        </w:rPr>
        <w:t xml:space="preserve"> extension of existing policy for pears from The People's Republic of China</w:t>
      </w:r>
      <w:r w:rsidRPr="00112D14">
        <w:t>, Biosecurity Australia, Department of Agriculture, Fisheries and Forestry, Canberra</w:t>
      </w:r>
      <w:r w:rsidR="00F93271">
        <w:t xml:space="preserve"> </w:t>
      </w:r>
      <w:r w:rsidR="00F93271" w:rsidRPr="00112D14">
        <w:t>available at</w:t>
      </w:r>
      <w:r w:rsidR="0009785C">
        <w:t>,</w:t>
      </w:r>
      <w:r w:rsidR="00F93271" w:rsidRPr="00112D14">
        <w:t xml:space="preserve"> </w:t>
      </w:r>
      <w:hyperlink r:id="rId138" w:history="1">
        <w:r w:rsidR="00F93271" w:rsidRPr="00847402">
          <w:rPr>
            <w:rStyle w:val="Hyperlink"/>
          </w:rPr>
          <w:t>https://www.agriculture.gov.au/biosecurity-trade/policy/risk-analysis/plant/pears-china</w:t>
        </w:r>
      </w:hyperlink>
      <w:r w:rsidR="00F93271">
        <w:t xml:space="preserve">. </w:t>
      </w:r>
      <w:bookmarkEnd w:id="655"/>
    </w:p>
    <w:p w14:paraId="4B1BF541" w14:textId="75F65C91" w:rsidR="003438A2" w:rsidRPr="00112D14" w:rsidRDefault="003438A2" w:rsidP="00112D14">
      <w:pPr>
        <w:pStyle w:val="EndNoteBibliography"/>
        <w:spacing w:after="0"/>
      </w:pPr>
      <w:bookmarkStart w:id="656" w:name="_ENREF_87"/>
      <w:r w:rsidRPr="00112D14">
        <w:t xml:space="preserve">-- -- 2006a, </w:t>
      </w:r>
      <w:r w:rsidRPr="00112D14">
        <w:rPr>
          <w:i/>
        </w:rPr>
        <w:t>Final import risk analysis report for apples from New Zealand: part a, b and c</w:t>
      </w:r>
      <w:r w:rsidRPr="00112D14">
        <w:t>, Biosecurity Australia, Department of Agriculture, Fisheries and Forestry, Canberra, available at</w:t>
      </w:r>
      <w:r w:rsidR="0009785C">
        <w:t>,</w:t>
      </w:r>
      <w:r w:rsidRPr="00112D14">
        <w:t xml:space="preserve"> </w:t>
      </w:r>
      <w:hyperlink r:id="rId139" w:history="1">
        <w:r w:rsidR="008B1C52" w:rsidRPr="009E4A79">
          <w:rPr>
            <w:rStyle w:val="Hyperlink"/>
          </w:rPr>
          <w:t>https://www.agriculture.gov.au/biosecurity-trade/policy/risk-analysis/plant/apples-nz</w:t>
        </w:r>
      </w:hyperlink>
      <w:r w:rsidRPr="00112D14">
        <w:t>.</w:t>
      </w:r>
      <w:bookmarkEnd w:id="656"/>
    </w:p>
    <w:p w14:paraId="0A9C9E60" w14:textId="2DB4B96A" w:rsidR="003438A2" w:rsidRPr="00112D14" w:rsidRDefault="003438A2" w:rsidP="00112D14">
      <w:pPr>
        <w:pStyle w:val="EndNoteBibliography"/>
        <w:spacing w:after="0"/>
      </w:pPr>
      <w:bookmarkStart w:id="657" w:name="_ENREF_88"/>
      <w:r w:rsidRPr="00112D14">
        <w:t xml:space="preserve">-- -- 2006b, </w:t>
      </w:r>
      <w:r w:rsidRPr="00112D14">
        <w:rPr>
          <w:i/>
        </w:rPr>
        <w:t>Final pest risk analysis for stone fruit from New Zealand into Western Australia</w:t>
      </w:r>
      <w:r w:rsidRPr="00112D14">
        <w:t xml:space="preserve">, Biosecurity Australia, Department of Agriculture, Fisheries and Forestry, Canberra, available at </w:t>
      </w:r>
      <w:hyperlink r:id="rId140" w:history="1">
        <w:r w:rsidR="008B1C52" w:rsidRPr="009E4A79">
          <w:rPr>
            <w:rStyle w:val="Hyperlink"/>
          </w:rPr>
          <w:t>https://www.agriculture.gov.au/biosecurity-trade/policy/risk-analysis/plant/stonefruit-nztowa</w:t>
        </w:r>
      </w:hyperlink>
      <w:r w:rsidRPr="00112D14">
        <w:t>.</w:t>
      </w:r>
      <w:bookmarkEnd w:id="657"/>
    </w:p>
    <w:p w14:paraId="35748199" w14:textId="75B2BFAB" w:rsidR="003438A2" w:rsidRPr="00112D14" w:rsidRDefault="003438A2" w:rsidP="00112D14">
      <w:pPr>
        <w:pStyle w:val="EndNoteBibliography"/>
        <w:spacing w:after="0"/>
      </w:pPr>
      <w:bookmarkStart w:id="658" w:name="_ENREF_89"/>
      <w:r w:rsidRPr="00112D14">
        <w:t xml:space="preserve">-- -- 2010a, </w:t>
      </w:r>
      <w:r w:rsidRPr="00112D14">
        <w:rPr>
          <w:i/>
        </w:rPr>
        <w:t>Final import risk analysis report for fresh apple fruit from the People's Republic of China</w:t>
      </w:r>
      <w:r w:rsidRPr="00112D14">
        <w:t>, Biosecurity Australia, Department of Agriculture, Fisheries and Forestry, Canberra, available at</w:t>
      </w:r>
      <w:r w:rsidR="0009785C">
        <w:t>,</w:t>
      </w:r>
      <w:r w:rsidRPr="00112D14">
        <w:t xml:space="preserve"> </w:t>
      </w:r>
      <w:hyperlink r:id="rId141" w:history="1">
        <w:r w:rsidR="008B1C52" w:rsidRPr="009E4A79">
          <w:rPr>
            <w:rStyle w:val="Hyperlink"/>
          </w:rPr>
          <w:t>https://www.agriculture.gov.au/biosecurity-trade/policy/risk-analysis/plant/apples-china</w:t>
        </w:r>
      </w:hyperlink>
      <w:r w:rsidRPr="00112D14">
        <w:t>.</w:t>
      </w:r>
      <w:bookmarkEnd w:id="658"/>
    </w:p>
    <w:p w14:paraId="5DE343C8" w14:textId="1B273AA1" w:rsidR="00965C11" w:rsidRPr="00112D14" w:rsidRDefault="003438A2" w:rsidP="00112D14">
      <w:pPr>
        <w:pStyle w:val="EndNoteBibliography"/>
        <w:spacing w:after="0"/>
      </w:pPr>
      <w:bookmarkStart w:id="659" w:name="_ENREF_90"/>
      <w:r w:rsidRPr="00112D14">
        <w:t xml:space="preserve">-- -- 2010b, </w:t>
      </w:r>
      <w:r w:rsidRPr="00112D14">
        <w:rPr>
          <w:i/>
        </w:rPr>
        <w:t>Final import risk analysis report for fresh stone fruit from California, Idaho, Oregon and Washington</w:t>
      </w:r>
      <w:r w:rsidRPr="00112D14">
        <w:t>, Biosecurity Australia, Department of Agriculture, Fisheries and Forestry, Canberra</w:t>
      </w:r>
      <w:bookmarkEnd w:id="659"/>
      <w:r w:rsidR="00E2604A">
        <w:t xml:space="preserve">, </w:t>
      </w:r>
      <w:r w:rsidR="00E2604A" w:rsidRPr="00112D14">
        <w:t>available at</w:t>
      </w:r>
      <w:r w:rsidR="0024395E">
        <w:t>,</w:t>
      </w:r>
      <w:r w:rsidR="00E2604A">
        <w:t xml:space="preserve"> </w:t>
      </w:r>
      <w:hyperlink r:id="rId142" w:history="1">
        <w:r w:rsidR="00965C11" w:rsidRPr="00847402">
          <w:rPr>
            <w:rStyle w:val="Hyperlink"/>
          </w:rPr>
          <w:t>https://www.agriculture.gov.au/biosecurity-trade/policy/risk-analysis/plant/stonefruit-usa</w:t>
        </w:r>
      </w:hyperlink>
      <w:r w:rsidR="00965C11">
        <w:t>.</w:t>
      </w:r>
    </w:p>
    <w:p w14:paraId="7E7F95E1" w14:textId="4B00E00B" w:rsidR="003438A2" w:rsidRPr="00112D14" w:rsidRDefault="003438A2" w:rsidP="00112D14">
      <w:pPr>
        <w:pStyle w:val="EndNoteBibliography"/>
        <w:spacing w:after="0"/>
      </w:pPr>
      <w:bookmarkStart w:id="660" w:name="_ENREF_91"/>
      <w:r w:rsidRPr="00112D14">
        <w:t xml:space="preserve">-- -- 2011a, </w:t>
      </w:r>
      <w:r w:rsidRPr="00112D14">
        <w:rPr>
          <w:i/>
        </w:rPr>
        <w:t>Final import risk analysis report for table grapes from the People's Republic of China</w:t>
      </w:r>
      <w:r w:rsidRPr="00112D14">
        <w:t>, Department of Agriculture, Fisheries and Forestry, Canberra, available at</w:t>
      </w:r>
      <w:r w:rsidR="0024395E">
        <w:t>,</w:t>
      </w:r>
      <w:r w:rsidRPr="00112D14">
        <w:t xml:space="preserve"> </w:t>
      </w:r>
      <w:hyperlink r:id="rId143" w:history="1">
        <w:r w:rsidR="00F95AFA" w:rsidRPr="009E4A79">
          <w:rPr>
            <w:rStyle w:val="Hyperlink"/>
          </w:rPr>
          <w:t>https://www.agriculture.gov.au/biosecurity-trade/policy/risk-analysis/plant/table-grapes-china</w:t>
        </w:r>
      </w:hyperlink>
      <w:r w:rsidRPr="00112D14">
        <w:t>.</w:t>
      </w:r>
      <w:bookmarkEnd w:id="660"/>
    </w:p>
    <w:p w14:paraId="7FA5E78C" w14:textId="7B9FF09E" w:rsidR="003438A2" w:rsidRPr="00112D14" w:rsidRDefault="003438A2" w:rsidP="00112D14">
      <w:pPr>
        <w:pStyle w:val="EndNoteBibliography"/>
        <w:spacing w:after="0"/>
      </w:pPr>
      <w:bookmarkStart w:id="661" w:name="_ENREF_92"/>
      <w:r w:rsidRPr="00112D14">
        <w:t xml:space="preserve">-- -- 2011b, </w:t>
      </w:r>
      <w:r w:rsidRPr="00112D14">
        <w:rPr>
          <w:i/>
        </w:rPr>
        <w:t>Final report for the non-regulated analysis of existing policy for apples from New Zealand</w:t>
      </w:r>
      <w:r w:rsidRPr="00112D14">
        <w:t>, Biosecurity Australia, Canberra, available at</w:t>
      </w:r>
      <w:r w:rsidR="0024395E">
        <w:t>,</w:t>
      </w:r>
      <w:r w:rsidRPr="00112D14">
        <w:t xml:space="preserve"> </w:t>
      </w:r>
      <w:hyperlink r:id="rId144" w:history="1">
        <w:r w:rsidR="00F95AFA" w:rsidRPr="009E4A79">
          <w:rPr>
            <w:rStyle w:val="Hyperlink"/>
          </w:rPr>
          <w:t>https://www.agriculture.gov.au/biosecurity-trade/policy/risk-analysis/plant/non-regulated_analysis_apples_from_new_zealand</w:t>
        </w:r>
      </w:hyperlink>
      <w:r w:rsidRPr="00112D14">
        <w:t>.</w:t>
      </w:r>
      <w:bookmarkEnd w:id="661"/>
    </w:p>
    <w:p w14:paraId="1AB0EE28" w14:textId="77777777" w:rsidR="003438A2" w:rsidRPr="00112D14" w:rsidRDefault="003438A2" w:rsidP="00112D14">
      <w:pPr>
        <w:pStyle w:val="EndNoteBibliography"/>
        <w:spacing w:after="0"/>
      </w:pPr>
      <w:bookmarkStart w:id="662" w:name="_ENREF_93"/>
      <w:r w:rsidRPr="00112D14">
        <w:t xml:space="preserve">Blodgett, EC &amp; Aichele, MD 1961, ‘Symptoms and transmission of a "star cracking" type of apple in Washington’, </w:t>
      </w:r>
      <w:r w:rsidRPr="00112D14">
        <w:rPr>
          <w:i/>
        </w:rPr>
        <w:t>Plant Disease Reporter</w:t>
      </w:r>
      <w:r w:rsidRPr="00112D14">
        <w:t>, vol. 45, no. 1, pp. 45-.</w:t>
      </w:r>
      <w:bookmarkEnd w:id="662"/>
    </w:p>
    <w:p w14:paraId="10AD3798" w14:textId="77777777" w:rsidR="003438A2" w:rsidRPr="00112D14" w:rsidRDefault="003438A2" w:rsidP="00112D14">
      <w:pPr>
        <w:pStyle w:val="EndNoteBibliography"/>
        <w:spacing w:after="0"/>
      </w:pPr>
      <w:bookmarkStart w:id="663" w:name="_ENREF_94"/>
      <w:r w:rsidRPr="00112D14">
        <w:t xml:space="preserve">Boerema, GH, de Gruyter, ME, Noordeloos, ME &amp; Hamers, C 2004, </w:t>
      </w:r>
      <w:r w:rsidRPr="00112D14">
        <w:rPr>
          <w:i/>
        </w:rPr>
        <w:t>Phoma identification manual: differentiation of specific and infra-specific taxa in culture</w:t>
      </w:r>
      <w:r w:rsidRPr="00112D14">
        <w:t>, CAB International, Wallingford.</w:t>
      </w:r>
      <w:bookmarkEnd w:id="663"/>
    </w:p>
    <w:p w14:paraId="603A8B7F" w14:textId="77777777" w:rsidR="003438A2" w:rsidRPr="00112D14" w:rsidRDefault="003438A2" w:rsidP="00112D14">
      <w:pPr>
        <w:pStyle w:val="EndNoteBibliography"/>
        <w:spacing w:after="0"/>
      </w:pPr>
      <w:bookmarkStart w:id="664" w:name="_ENREF_95"/>
      <w:r w:rsidRPr="00112D14">
        <w:t xml:space="preserve">Bondoux, P &amp; Bulit, J 1959, ‘Sur la pourriture des pommes due au </w:t>
      </w:r>
      <w:r w:rsidRPr="00112D14">
        <w:rPr>
          <w:i/>
        </w:rPr>
        <w:t>Cylindrocarpon mali</w:t>
      </w:r>
      <w:r w:rsidRPr="00112D14">
        <w:t xml:space="preserve"> (All.) Wr.’ (On rot of apples due to </w:t>
      </w:r>
      <w:r w:rsidRPr="00112D14">
        <w:rPr>
          <w:i/>
        </w:rPr>
        <w:t xml:space="preserve">Cylindrocarpon mali </w:t>
      </w:r>
      <w:r w:rsidRPr="00112D14">
        <w:t xml:space="preserve">(All.) Wr.), </w:t>
      </w:r>
      <w:r w:rsidRPr="00112D14">
        <w:rPr>
          <w:i/>
        </w:rPr>
        <w:t>Comptes Rendus de l'Academic d'Agriculture de France</w:t>
      </w:r>
      <w:r w:rsidRPr="00112D14">
        <w:t xml:space="preserve">, vol. 45, no. 6, pp. 275-7. </w:t>
      </w:r>
      <w:bookmarkEnd w:id="664"/>
    </w:p>
    <w:p w14:paraId="410679B4" w14:textId="77777777" w:rsidR="003438A2" w:rsidRPr="00112D14" w:rsidRDefault="003438A2" w:rsidP="00112D14">
      <w:pPr>
        <w:pStyle w:val="EndNoteBibliography"/>
        <w:spacing w:after="0"/>
      </w:pPr>
      <w:bookmarkStart w:id="665" w:name="_ENREF_96"/>
      <w:r w:rsidRPr="00112D14">
        <w:t xml:space="preserve">Bonn, WG 1999, ‘Opening address from the fire blight working group of the international society for horticultural science’, </w:t>
      </w:r>
      <w:r w:rsidRPr="00112D14">
        <w:rPr>
          <w:i/>
        </w:rPr>
        <w:t>Acta Horticulturae (ISHS)</w:t>
      </w:r>
      <w:r w:rsidRPr="00112D14">
        <w:t>, vol. 489, pp. 27-8. (Abstract only)</w:t>
      </w:r>
      <w:bookmarkEnd w:id="665"/>
    </w:p>
    <w:p w14:paraId="3077BDD1" w14:textId="77777777" w:rsidR="003438A2" w:rsidRPr="00112D14" w:rsidRDefault="003438A2" w:rsidP="00112D14">
      <w:pPr>
        <w:pStyle w:val="EndNoteBibliography"/>
        <w:spacing w:after="0"/>
      </w:pPr>
      <w:bookmarkStart w:id="666" w:name="_ENREF_97"/>
      <w:r w:rsidRPr="00112D14">
        <w:t xml:space="preserve">Bonn, WG &amp; Van der Zwet, T 2000, ‘Distribution and economic importance of fire blight’, in </w:t>
      </w:r>
      <w:r w:rsidRPr="00112D14">
        <w:rPr>
          <w:i/>
        </w:rPr>
        <w:t>Fire blight: the disease and its causative agent, Erwinia amylovora</w:t>
      </w:r>
      <w:r w:rsidRPr="00112D14">
        <w:t>, Vanneste, JL (ed), CAB International, Wallingford.</w:t>
      </w:r>
      <w:bookmarkEnd w:id="666"/>
    </w:p>
    <w:p w14:paraId="7CB9C314" w14:textId="77777777" w:rsidR="003438A2" w:rsidRPr="00112D14" w:rsidRDefault="003438A2" w:rsidP="00112D14">
      <w:pPr>
        <w:pStyle w:val="EndNoteBibliography"/>
        <w:spacing w:after="0"/>
      </w:pPr>
      <w:bookmarkStart w:id="667" w:name="_ENREF_98"/>
      <w:r w:rsidRPr="00112D14">
        <w:t xml:space="preserve">Booth, C 1977, </w:t>
      </w:r>
      <w:r w:rsidRPr="00112D14">
        <w:rPr>
          <w:i/>
        </w:rPr>
        <w:t>Commonwealth Mycological Institute descriptions of fungi and bacteria no. 532: Nectria coccinea</w:t>
      </w:r>
      <w:r w:rsidRPr="00112D14">
        <w:t>, CAB Abstracts plus.</w:t>
      </w:r>
      <w:bookmarkEnd w:id="667"/>
    </w:p>
    <w:p w14:paraId="7D7DD364" w14:textId="77777777" w:rsidR="003438A2" w:rsidRPr="00112D14" w:rsidRDefault="003438A2" w:rsidP="00112D14">
      <w:pPr>
        <w:pStyle w:val="EndNoteBibliography"/>
        <w:spacing w:after="0"/>
      </w:pPr>
      <w:bookmarkStart w:id="668" w:name="_ENREF_99"/>
      <w:r w:rsidRPr="00112D14">
        <w:t xml:space="preserve">Borden, AD, Lange, WH &amp; Madsen, HF 1953, ‘A spotted tentiform leaf miner outbreak in California orchards’, </w:t>
      </w:r>
      <w:r w:rsidRPr="00112D14">
        <w:rPr>
          <w:i/>
        </w:rPr>
        <w:t>Journal of Economic Entomology</w:t>
      </w:r>
      <w:r w:rsidRPr="00112D14">
        <w:t>, vol. 46, p. 519.</w:t>
      </w:r>
      <w:bookmarkEnd w:id="668"/>
    </w:p>
    <w:p w14:paraId="5F23B0B7" w14:textId="77777777" w:rsidR="003438A2" w:rsidRPr="00112D14" w:rsidRDefault="003438A2" w:rsidP="00112D14">
      <w:pPr>
        <w:pStyle w:val="EndNoteBibliography"/>
        <w:spacing w:after="0"/>
      </w:pPr>
      <w:bookmarkStart w:id="669" w:name="_ENREF_100"/>
      <w:r w:rsidRPr="00112D14">
        <w:t xml:space="preserve">Bos, L 1999, </w:t>
      </w:r>
      <w:r w:rsidRPr="00112D14">
        <w:rPr>
          <w:i/>
        </w:rPr>
        <w:t>Plant viruses, unique and intriguing pathogens</w:t>
      </w:r>
      <w:r w:rsidRPr="00112D14">
        <w:t>, Backhuys Publishers, Leiden.</w:t>
      </w:r>
      <w:bookmarkEnd w:id="669"/>
    </w:p>
    <w:p w14:paraId="773F5363" w14:textId="77777777" w:rsidR="003438A2" w:rsidRPr="00112D14" w:rsidRDefault="003438A2" w:rsidP="00112D14">
      <w:pPr>
        <w:pStyle w:val="EndNoteBibliography"/>
        <w:spacing w:after="0"/>
      </w:pPr>
      <w:bookmarkStart w:id="670" w:name="_ENREF_101"/>
      <w:r w:rsidRPr="00112D14">
        <w:t xml:space="preserve">Botha, J, Hardie, D, Reeves, A, Bloomfield, T &amp; Poole, M 2006, </w:t>
      </w:r>
      <w:r w:rsidRPr="00112D14">
        <w:rPr>
          <w:i/>
        </w:rPr>
        <w:t>Oriental fruit moth (Grapholita molesta): exotic threat to Western Australia</w:t>
      </w:r>
      <w:r w:rsidRPr="00112D14">
        <w:t>, Factsheet no. 4/2004, Department of Agriculture, Western Australia.</w:t>
      </w:r>
      <w:bookmarkEnd w:id="670"/>
    </w:p>
    <w:p w14:paraId="536F0748" w14:textId="77777777" w:rsidR="003438A2" w:rsidRPr="00112D14" w:rsidRDefault="003438A2" w:rsidP="00112D14">
      <w:pPr>
        <w:pStyle w:val="EndNoteBibliography"/>
        <w:spacing w:after="0"/>
      </w:pPr>
      <w:bookmarkStart w:id="671" w:name="_ENREF_102"/>
      <w:r w:rsidRPr="00112D14">
        <w:t xml:space="preserve">Bright, D &amp; Bouchard, P 2008, </w:t>
      </w:r>
      <w:r w:rsidRPr="00112D14">
        <w:rPr>
          <w:i/>
        </w:rPr>
        <w:t>Weevils of Canada and Alaska</w:t>
      </w:r>
      <w:r w:rsidRPr="00112D14">
        <w:t>, vol. 2, NRC Research Press, Canada.</w:t>
      </w:r>
      <w:bookmarkEnd w:id="671"/>
    </w:p>
    <w:p w14:paraId="65773AFB" w14:textId="372E7453" w:rsidR="003438A2" w:rsidRPr="00112D14" w:rsidRDefault="003438A2" w:rsidP="00112D14">
      <w:pPr>
        <w:pStyle w:val="EndNoteBibliography"/>
        <w:spacing w:after="0"/>
      </w:pPr>
      <w:bookmarkStart w:id="672" w:name="_ENREF_103"/>
      <w:r w:rsidRPr="00112D14">
        <w:t xml:space="preserve">Briones, ML &amp; McDaniel, B 1976, ‘The eriophyid plant mites of South Dakota’, </w:t>
      </w:r>
      <w:r w:rsidRPr="00112D14">
        <w:rPr>
          <w:i/>
        </w:rPr>
        <w:t>Technical Bulletin - South Dakota State University Agricultural Experiment Station</w:t>
      </w:r>
      <w:r w:rsidRPr="00112D14">
        <w:t>, vol. 7, available at</w:t>
      </w:r>
      <w:r w:rsidR="00984BF2">
        <w:t>,</w:t>
      </w:r>
      <w:r w:rsidRPr="00112D14">
        <w:t xml:space="preserve"> </w:t>
      </w:r>
      <w:hyperlink r:id="rId145" w:history="1">
        <w:r w:rsidR="00F95AFA" w:rsidRPr="009E4A79">
          <w:rPr>
            <w:rStyle w:val="Hyperlink"/>
          </w:rPr>
          <w:t>https://openprairie.sdstate.edu/cgi/viewcontent.cgi?article=1006&amp;context=agexperimentsta_tb</w:t>
        </w:r>
      </w:hyperlink>
      <w:r w:rsidRPr="00112D14">
        <w:t>.</w:t>
      </w:r>
      <w:bookmarkEnd w:id="672"/>
    </w:p>
    <w:p w14:paraId="2A1EA99E" w14:textId="77777777" w:rsidR="003438A2" w:rsidRPr="00112D14" w:rsidRDefault="003438A2" w:rsidP="00112D14">
      <w:pPr>
        <w:pStyle w:val="EndNoteBibliography"/>
        <w:spacing w:after="0"/>
      </w:pPr>
      <w:bookmarkStart w:id="673" w:name="_ENREF_104"/>
      <w:r w:rsidRPr="00112D14">
        <w:t xml:space="preserve">Broadbent, AB, Lachance, S, Sears, MK &amp; Goulet, H 2006, ‘Native braconid parasitism of the tarnished plant bug (Hemiptera: Miridae) in Southern Ontario’, </w:t>
      </w:r>
      <w:r w:rsidRPr="00112D14">
        <w:rPr>
          <w:i/>
        </w:rPr>
        <w:t>Biocontrol Science and Technology</w:t>
      </w:r>
      <w:r w:rsidRPr="00112D14">
        <w:t>, vol. 16, no. 7, pp. 687-98.</w:t>
      </w:r>
      <w:bookmarkEnd w:id="673"/>
    </w:p>
    <w:p w14:paraId="755DE498" w14:textId="77777777" w:rsidR="003438A2" w:rsidRPr="00112D14" w:rsidRDefault="003438A2" w:rsidP="00112D14">
      <w:pPr>
        <w:pStyle w:val="EndNoteBibliography"/>
        <w:spacing w:after="0"/>
      </w:pPr>
      <w:bookmarkStart w:id="674" w:name="_ENREF_105"/>
      <w:r w:rsidRPr="00112D14">
        <w:t xml:space="preserve">Brooks, FE 1910, ‘Three snout beetles that attack apples’, </w:t>
      </w:r>
      <w:r w:rsidRPr="00112D14">
        <w:rPr>
          <w:i/>
        </w:rPr>
        <w:t>West Virginia University Bulletin</w:t>
      </w:r>
      <w:r w:rsidRPr="00112D14">
        <w:t>, vol. 126, pp. 105-24.</w:t>
      </w:r>
      <w:bookmarkEnd w:id="674"/>
    </w:p>
    <w:p w14:paraId="2E177F06" w14:textId="77777777" w:rsidR="003438A2" w:rsidRPr="00112D14" w:rsidRDefault="003438A2" w:rsidP="00112D14">
      <w:pPr>
        <w:pStyle w:val="EndNoteBibliography"/>
        <w:spacing w:after="0"/>
      </w:pPr>
      <w:bookmarkStart w:id="675" w:name="_ENREF_106"/>
      <w:r w:rsidRPr="00112D14">
        <w:t xml:space="preserve">Brown, GE 2002, </w:t>
      </w:r>
      <w:r w:rsidRPr="00112D14">
        <w:rPr>
          <w:i/>
        </w:rPr>
        <w:t>Use of chlorine for packinghouse sanitation</w:t>
      </w:r>
      <w:r w:rsidRPr="00112D14">
        <w:t>, Postharvest Florida Citrus Information Guide, Microorganisms in Food and Beverage.</w:t>
      </w:r>
      <w:bookmarkEnd w:id="675"/>
    </w:p>
    <w:p w14:paraId="5670E0EB" w14:textId="2190B1EF" w:rsidR="003438A2" w:rsidRPr="00112D14" w:rsidRDefault="003438A2" w:rsidP="00112D14">
      <w:pPr>
        <w:pStyle w:val="EndNoteBibliography"/>
        <w:spacing w:after="0"/>
      </w:pPr>
      <w:bookmarkStart w:id="676" w:name="_ENREF_107"/>
      <w:r w:rsidRPr="00112D14">
        <w:t xml:space="preserve">Brunner, J 2016, </w:t>
      </w:r>
      <w:r w:rsidRPr="00112D14">
        <w:rPr>
          <w:i/>
        </w:rPr>
        <w:t>Apple maggot control options for WA apple growers</w:t>
      </w:r>
      <w:r w:rsidRPr="00112D14">
        <w:t>, Washington State University Extension Publications, Washington,</w:t>
      </w:r>
      <w:r w:rsidR="00257F70">
        <w:t xml:space="preserve"> </w:t>
      </w:r>
      <w:r w:rsidR="00257F70" w:rsidRPr="00112D14">
        <w:t>available at</w:t>
      </w:r>
      <w:r w:rsidR="00257F70">
        <w:t>,</w:t>
      </w:r>
      <w:r w:rsidRPr="00112D14">
        <w:t xml:space="preserve"> </w:t>
      </w:r>
      <w:hyperlink r:id="rId146" w:history="1">
        <w:r w:rsidR="00F95AFA" w:rsidRPr="009E4A79">
          <w:rPr>
            <w:rStyle w:val="Hyperlink"/>
          </w:rPr>
          <w:t>http://treefruit.wsu.edu/crop-protection/opm/am-control_waapple-growers/</w:t>
        </w:r>
      </w:hyperlink>
      <w:r w:rsidRPr="00112D14">
        <w:t>.</w:t>
      </w:r>
      <w:bookmarkEnd w:id="676"/>
    </w:p>
    <w:p w14:paraId="43718C1C" w14:textId="0C316767" w:rsidR="003438A2" w:rsidRPr="00112D14" w:rsidRDefault="003438A2" w:rsidP="00112D14">
      <w:pPr>
        <w:pStyle w:val="EndNoteBibliography"/>
        <w:spacing w:after="0"/>
      </w:pPr>
      <w:bookmarkStart w:id="677" w:name="_ENREF_108"/>
      <w:r w:rsidRPr="00112D14">
        <w:t>Brunner, J 2018, ‘Codling Moth’, Washington State University, Washington State tree fruit extension fruit matters at treefruit, Washington, USA, available at</w:t>
      </w:r>
      <w:r w:rsidR="00984BF2">
        <w:t>,</w:t>
      </w:r>
      <w:r w:rsidRPr="00112D14">
        <w:t xml:space="preserve"> </w:t>
      </w:r>
      <w:hyperlink r:id="rId147" w:history="1">
        <w:r w:rsidR="00F95AFA" w:rsidRPr="009E4A79">
          <w:rPr>
            <w:rStyle w:val="Hyperlink"/>
          </w:rPr>
          <w:t>http://treefruit.wsu.edu/crop-protection/opm/codling-moth/</w:t>
        </w:r>
      </w:hyperlink>
      <w:r w:rsidRPr="00112D14">
        <w:t>.</w:t>
      </w:r>
      <w:bookmarkEnd w:id="677"/>
    </w:p>
    <w:p w14:paraId="7618E7DC" w14:textId="5E588653" w:rsidR="003438A2" w:rsidRPr="00112D14" w:rsidRDefault="003438A2" w:rsidP="00112D14">
      <w:pPr>
        <w:pStyle w:val="EndNoteBibliography"/>
        <w:spacing w:after="0"/>
      </w:pPr>
      <w:bookmarkStart w:id="678" w:name="_ENREF_109"/>
      <w:r w:rsidRPr="00112D14">
        <w:t xml:space="preserve">Brunner, JF 1993, </w:t>
      </w:r>
      <w:r w:rsidRPr="00112D14">
        <w:rPr>
          <w:i/>
        </w:rPr>
        <w:t>Leafrollers</w:t>
      </w:r>
      <w:r w:rsidRPr="00112D14">
        <w:t>, Orchard Pest Management Online, Washington State University, available at</w:t>
      </w:r>
      <w:r w:rsidR="00984BF2">
        <w:t>,</w:t>
      </w:r>
      <w:r w:rsidRPr="00112D14">
        <w:t xml:space="preserve"> </w:t>
      </w:r>
      <w:hyperlink r:id="rId148" w:history="1">
        <w:r w:rsidR="00F95AFA" w:rsidRPr="009E4A79">
          <w:rPr>
            <w:rStyle w:val="Hyperlink"/>
          </w:rPr>
          <w:t>http://treefruit.wsu.edu/crop-protection/opm/leafrollers/?print-view=true</w:t>
        </w:r>
      </w:hyperlink>
      <w:r w:rsidRPr="00112D14">
        <w:t>.</w:t>
      </w:r>
      <w:bookmarkEnd w:id="678"/>
    </w:p>
    <w:p w14:paraId="3483CD05" w14:textId="77777777" w:rsidR="003438A2" w:rsidRPr="00112D14" w:rsidRDefault="003438A2" w:rsidP="00112D14">
      <w:pPr>
        <w:pStyle w:val="EndNoteBibliography"/>
        <w:spacing w:after="0"/>
      </w:pPr>
      <w:bookmarkStart w:id="679" w:name="_ENREF_110"/>
      <w:r w:rsidRPr="00112D14">
        <w:t xml:space="preserve">Brunner, JF &amp; Doerr, MD 2000, ‘Timing and products for the control of </w:t>
      </w:r>
      <w:r w:rsidRPr="00112D14">
        <w:rPr>
          <w:i/>
        </w:rPr>
        <w:t>Lacanobia</w:t>
      </w:r>
      <w:r w:rsidRPr="00112D14">
        <w:t xml:space="preserve"> fruitworm’, </w:t>
      </w:r>
      <w:r w:rsidRPr="00112D14">
        <w:rPr>
          <w:i/>
        </w:rPr>
        <w:t>Proceedings of the Washington State Horticultural Association</w:t>
      </w:r>
      <w:r w:rsidRPr="00112D14">
        <w:t>, vol. 96, pp. 144-7.</w:t>
      </w:r>
      <w:bookmarkEnd w:id="679"/>
    </w:p>
    <w:p w14:paraId="3F5D1A73" w14:textId="77777777" w:rsidR="003438A2" w:rsidRPr="00112D14" w:rsidRDefault="003438A2" w:rsidP="00112D14">
      <w:pPr>
        <w:pStyle w:val="EndNoteBibliography"/>
        <w:spacing w:after="0"/>
      </w:pPr>
      <w:bookmarkStart w:id="680" w:name="_ENREF_111"/>
      <w:r w:rsidRPr="00112D14">
        <w:t xml:space="preserve">Brunner, JF, Doerr, MD, Landolt, PJ, Zack, R &amp; Hitchcock, M 2000, </w:t>
      </w:r>
      <w:r w:rsidRPr="00112D14">
        <w:rPr>
          <w:i/>
        </w:rPr>
        <w:t>Biology, behaviour and management of cutworms</w:t>
      </w:r>
      <w:r w:rsidRPr="00112D14">
        <w:t>, Washington State University, Washington State University, Washington</w:t>
      </w:r>
      <w:r>
        <w:t>.</w:t>
      </w:r>
      <w:bookmarkEnd w:id="680"/>
    </w:p>
    <w:p w14:paraId="71CC7B40" w14:textId="77777777" w:rsidR="003438A2" w:rsidRPr="00112D14" w:rsidRDefault="003438A2" w:rsidP="00112D14">
      <w:pPr>
        <w:pStyle w:val="EndNoteBibliography"/>
        <w:spacing w:after="0"/>
      </w:pPr>
      <w:bookmarkStart w:id="681" w:name="_ENREF_112"/>
      <w:r w:rsidRPr="00112D14">
        <w:t xml:space="preserve">Brunner, JF &amp; Klaus, MW 1993, </w:t>
      </w:r>
      <w:r w:rsidRPr="00112D14">
        <w:rPr>
          <w:i/>
        </w:rPr>
        <w:t>Apple maggot -Rhagoletis pomonella (Walsh) (Diptera: Tephritidae)</w:t>
      </w:r>
      <w:r w:rsidRPr="00112D14">
        <w:t>.</w:t>
      </w:r>
      <w:bookmarkEnd w:id="681"/>
    </w:p>
    <w:p w14:paraId="4CA13F69" w14:textId="77777777" w:rsidR="003438A2" w:rsidRPr="00112D14" w:rsidRDefault="003438A2" w:rsidP="00112D14">
      <w:pPr>
        <w:pStyle w:val="EndNoteBibliography"/>
        <w:spacing w:after="0"/>
      </w:pPr>
      <w:bookmarkStart w:id="682" w:name="_ENREF_113"/>
      <w:r w:rsidRPr="00112D14">
        <w:t xml:space="preserve">Brunner, JF, Welter, SC, Calkins, CO, Hilton, R, Beers, EH, Dunley, J, Unruh, TR, Knight, A, Van Steenwyk, RA &amp; Van Buskirk, PD 2002, ‘Mating disruption of codling moth: a perspective from the Western United States’, </w:t>
      </w:r>
      <w:r w:rsidRPr="00112D14">
        <w:rPr>
          <w:i/>
        </w:rPr>
        <w:t>IOBC wprs Bulletin</w:t>
      </w:r>
      <w:r w:rsidRPr="00112D14">
        <w:t>, vol. 25, pp. 1-11.</w:t>
      </w:r>
      <w:bookmarkEnd w:id="682"/>
    </w:p>
    <w:p w14:paraId="610A6E0B" w14:textId="77777777" w:rsidR="003438A2" w:rsidRPr="00112D14" w:rsidRDefault="003438A2" w:rsidP="00112D14">
      <w:pPr>
        <w:pStyle w:val="EndNoteBibliography"/>
        <w:spacing w:after="0"/>
      </w:pPr>
      <w:bookmarkStart w:id="683" w:name="_ENREF_114"/>
      <w:r w:rsidRPr="00112D14">
        <w:t xml:space="preserve">Brunner, JF &amp; Zack, R 1993, </w:t>
      </w:r>
      <w:r w:rsidRPr="00112D14">
        <w:rPr>
          <w:i/>
        </w:rPr>
        <w:t>Fall webworm: Hyphantria cunea Drury (Lepidoptera: Arctiidae)</w:t>
      </w:r>
      <w:r w:rsidRPr="00112D14">
        <w:t>, Tree Fruit Research and Extension Center, Orchard Pest Management</w:t>
      </w:r>
      <w:r>
        <w:t>.</w:t>
      </w:r>
      <w:bookmarkEnd w:id="683"/>
    </w:p>
    <w:p w14:paraId="682C8019" w14:textId="77777777" w:rsidR="003438A2" w:rsidRPr="00112D14" w:rsidRDefault="003438A2" w:rsidP="00112D14">
      <w:pPr>
        <w:pStyle w:val="EndNoteBibliography"/>
        <w:spacing w:after="0"/>
      </w:pPr>
      <w:bookmarkStart w:id="684" w:name="_ENREF_115"/>
      <w:r w:rsidRPr="00112D14">
        <w:t>Brunt, AA &amp; Teakle, DS 1996, ‘</w:t>
      </w:r>
      <w:r w:rsidRPr="00112D14">
        <w:rPr>
          <w:i/>
        </w:rPr>
        <w:t>Tobacco necrosis necrovirus</w:t>
      </w:r>
      <w:r w:rsidRPr="00112D14">
        <w:t xml:space="preserve">’, in </w:t>
      </w:r>
      <w:r w:rsidRPr="00112D14">
        <w:rPr>
          <w:i/>
        </w:rPr>
        <w:t>Viruses of plants: descriptions and lists from the VIDE database</w:t>
      </w:r>
      <w:r w:rsidRPr="00112D14">
        <w:t>, Brunt, AA, Crabtree, K, Dallwitz, MJ, Gibbs, A &amp; Watson, L (eds), CAB International, Wallingford, UK.</w:t>
      </w:r>
      <w:bookmarkEnd w:id="684"/>
    </w:p>
    <w:p w14:paraId="0E3B32B3" w14:textId="0CC90C30" w:rsidR="003438A2" w:rsidRPr="00112D14" w:rsidRDefault="003438A2" w:rsidP="00112D14">
      <w:pPr>
        <w:pStyle w:val="EndNoteBibliography"/>
        <w:spacing w:after="0"/>
      </w:pPr>
      <w:bookmarkStart w:id="685" w:name="_ENREF_116"/>
      <w:r w:rsidRPr="00112D14">
        <w:t>BugGuide 2022, ‘BugGuide’, Iowa State University Department of Entomology, Iowa, USA, available at</w:t>
      </w:r>
      <w:r w:rsidR="00554648">
        <w:t>,</w:t>
      </w:r>
      <w:r w:rsidRPr="00112D14">
        <w:t xml:space="preserve"> </w:t>
      </w:r>
      <w:hyperlink r:id="rId149" w:history="1">
        <w:r w:rsidR="00F95AFA" w:rsidRPr="009E4A79">
          <w:rPr>
            <w:rStyle w:val="Hyperlink"/>
          </w:rPr>
          <w:t>https://bugguide.net/node/view/15740</w:t>
        </w:r>
      </w:hyperlink>
      <w:r w:rsidRPr="00112D14">
        <w:t>.</w:t>
      </w:r>
      <w:bookmarkEnd w:id="685"/>
    </w:p>
    <w:p w14:paraId="1014BAEC" w14:textId="7689776F" w:rsidR="003438A2" w:rsidRPr="00112D14" w:rsidRDefault="003438A2" w:rsidP="00112D14">
      <w:pPr>
        <w:pStyle w:val="EndNoteBibliography"/>
        <w:spacing w:after="0"/>
      </w:pPr>
      <w:bookmarkStart w:id="686" w:name="_ENREF_117"/>
      <w:r w:rsidRPr="00112D14">
        <w:t>Bureau of Meteorology 2018, ‘Climate data online’, Commonwealth of Australia, Australia, available at</w:t>
      </w:r>
      <w:r w:rsidR="00554648">
        <w:t>,</w:t>
      </w:r>
      <w:r w:rsidRPr="00112D14">
        <w:t xml:space="preserve"> </w:t>
      </w:r>
      <w:hyperlink r:id="rId150" w:history="1">
        <w:r w:rsidR="00554648" w:rsidRPr="00847402">
          <w:rPr>
            <w:rStyle w:val="Hyperlink"/>
          </w:rPr>
          <w:t>http://www.bom.gov.au</w:t>
        </w:r>
      </w:hyperlink>
      <w:r w:rsidR="00554648">
        <w:t>,</w:t>
      </w:r>
      <w:r w:rsidRPr="00112D14">
        <w:t xml:space="preserve"> accessed 2018.</w:t>
      </w:r>
      <w:bookmarkEnd w:id="686"/>
    </w:p>
    <w:p w14:paraId="0653A490" w14:textId="77777777" w:rsidR="003438A2" w:rsidRPr="00112D14" w:rsidRDefault="003438A2" w:rsidP="00112D14">
      <w:pPr>
        <w:pStyle w:val="EndNoteBibliography"/>
        <w:spacing w:after="0"/>
      </w:pPr>
      <w:bookmarkStart w:id="687" w:name="_ENREF_118"/>
      <w:r w:rsidRPr="00112D14">
        <w:t xml:space="preserve">Burgess, TI, Webster, JL, Ciampini, JA, White, D, Hardy, GESJ &amp; Stukely, JC 2009, ‘Re-evaluation of </w:t>
      </w:r>
      <w:r w:rsidRPr="00112D14">
        <w:rPr>
          <w:i/>
        </w:rPr>
        <w:t>Phytophthora</w:t>
      </w:r>
      <w:r w:rsidRPr="00112D14">
        <w:t xml:space="preserve"> species isolated during 30 years of vegetation health surveys in Western Australia using molecular techniques’, </w:t>
      </w:r>
      <w:r w:rsidRPr="00112D14">
        <w:rPr>
          <w:i/>
        </w:rPr>
        <w:t>Plant Disease</w:t>
      </w:r>
      <w:r w:rsidRPr="00112D14">
        <w:t>, vol. 93, no. 3, pp. 215-23.</w:t>
      </w:r>
      <w:bookmarkEnd w:id="687"/>
    </w:p>
    <w:p w14:paraId="51DCDDF6" w14:textId="77777777" w:rsidR="003438A2" w:rsidRPr="00112D14" w:rsidRDefault="003438A2" w:rsidP="00112D14">
      <w:pPr>
        <w:pStyle w:val="EndNoteBibliography"/>
        <w:spacing w:after="0"/>
      </w:pPr>
      <w:bookmarkStart w:id="688" w:name="_ENREF_119"/>
      <w:r w:rsidRPr="00112D14">
        <w:t xml:space="preserve">Burke, HR &amp; Anderson, RS 1989, ‘Systematics of species of </w:t>
      </w:r>
      <w:r w:rsidRPr="00112D14">
        <w:rPr>
          <w:i/>
        </w:rPr>
        <w:t>Anthonomus</w:t>
      </w:r>
      <w:r w:rsidRPr="00112D14">
        <w:t xml:space="preserve"> Germar previously assigned to </w:t>
      </w:r>
      <w:r w:rsidRPr="00112D14">
        <w:rPr>
          <w:i/>
        </w:rPr>
        <w:t>Tachypterellus</w:t>
      </w:r>
      <w:r w:rsidRPr="00112D14">
        <w:t xml:space="preserve"> Fall and Cockrell (Coleoptera: Curculionidae)’, </w:t>
      </w:r>
      <w:r w:rsidRPr="00112D14">
        <w:rPr>
          <w:i/>
        </w:rPr>
        <w:t>Annals of the Entomological Society of America</w:t>
      </w:r>
      <w:r w:rsidRPr="00112D14">
        <w:t>, vol. 82, no. 4, pp. 426-37.</w:t>
      </w:r>
      <w:bookmarkEnd w:id="688"/>
    </w:p>
    <w:p w14:paraId="213C024E" w14:textId="77777777" w:rsidR="003438A2" w:rsidRPr="00112D14" w:rsidRDefault="003438A2" w:rsidP="00112D14">
      <w:pPr>
        <w:pStyle w:val="EndNoteBibliography"/>
        <w:spacing w:after="0"/>
      </w:pPr>
      <w:bookmarkStart w:id="689" w:name="_ENREF_120"/>
      <w:r w:rsidRPr="00112D14">
        <w:t xml:space="preserve">Burts, EC 1970, ‘Biology of blister mites, </w:t>
      </w:r>
      <w:r w:rsidRPr="00112D14">
        <w:rPr>
          <w:i/>
        </w:rPr>
        <w:t xml:space="preserve">Eriophyes </w:t>
      </w:r>
      <w:r w:rsidRPr="00112D14">
        <w:t xml:space="preserve">spp., of pear and apple in the Pacific Northwest’, </w:t>
      </w:r>
      <w:r w:rsidRPr="00112D14">
        <w:rPr>
          <w:i/>
        </w:rPr>
        <w:t>Melanderia</w:t>
      </w:r>
      <w:r w:rsidRPr="00112D14">
        <w:t>, vol. 4, pp. 41-53.</w:t>
      </w:r>
      <w:bookmarkEnd w:id="689"/>
    </w:p>
    <w:p w14:paraId="16313F4F" w14:textId="12B7D36A" w:rsidR="003438A2" w:rsidRPr="00112D14" w:rsidRDefault="003438A2" w:rsidP="00112D14">
      <w:pPr>
        <w:pStyle w:val="EndNoteBibliography"/>
        <w:spacing w:after="0"/>
      </w:pPr>
      <w:bookmarkStart w:id="690" w:name="_ENREF_121"/>
      <w:r w:rsidRPr="00112D14">
        <w:t xml:space="preserve">Burts, EC &amp; Dunley, J 1993, </w:t>
      </w:r>
      <w:r w:rsidRPr="00112D14">
        <w:rPr>
          <w:i/>
        </w:rPr>
        <w:t>Grape mealybug: Pseudococcus maritimus (Ehorn)</w:t>
      </w:r>
      <w:r w:rsidRPr="00112D14">
        <w:t>, Orchard Pest Management, Washington State University, available at</w:t>
      </w:r>
      <w:r w:rsidR="00554648">
        <w:t>,</w:t>
      </w:r>
      <w:r w:rsidRPr="00112D14">
        <w:t xml:space="preserve"> </w:t>
      </w:r>
      <w:hyperlink r:id="rId151" w:history="1">
        <w:r w:rsidR="00F95AFA" w:rsidRPr="009E4A79">
          <w:rPr>
            <w:rStyle w:val="Hyperlink"/>
          </w:rPr>
          <w:t>http://treefruit.wsu.edu/crop-protection/opm/grape-mealybug</w:t>
        </w:r>
      </w:hyperlink>
      <w:r w:rsidRPr="003438A2">
        <w:t>/</w:t>
      </w:r>
      <w:r w:rsidRPr="00112D14">
        <w:t>.</w:t>
      </w:r>
      <w:bookmarkEnd w:id="690"/>
    </w:p>
    <w:p w14:paraId="7A566C6C" w14:textId="77777777" w:rsidR="003438A2" w:rsidRPr="00112D14" w:rsidRDefault="003438A2" w:rsidP="00112D14">
      <w:pPr>
        <w:pStyle w:val="EndNoteBibliography"/>
        <w:spacing w:after="0"/>
      </w:pPr>
      <w:bookmarkStart w:id="691" w:name="_ENREF_122"/>
      <w:r w:rsidRPr="00112D14">
        <w:t xml:space="preserve">Bush, MR, Klaus, M, Antonelli, A &amp; Daniels, C 2005, </w:t>
      </w:r>
      <w:r w:rsidRPr="00112D14">
        <w:rPr>
          <w:i/>
        </w:rPr>
        <w:t>Protecting backyard apple trees from apple maggot</w:t>
      </w:r>
      <w:r w:rsidRPr="00112D14">
        <w:t>, Extension Bulletin 1928: Washington State University, available at.</w:t>
      </w:r>
      <w:bookmarkEnd w:id="691"/>
    </w:p>
    <w:p w14:paraId="608A6A50" w14:textId="77777777" w:rsidR="003438A2" w:rsidRPr="00112D14" w:rsidRDefault="003438A2" w:rsidP="00112D14">
      <w:pPr>
        <w:pStyle w:val="EndNoteBibliography"/>
        <w:spacing w:after="0"/>
      </w:pPr>
      <w:bookmarkStart w:id="692" w:name="_ENREF_123"/>
      <w:r w:rsidRPr="00112D14">
        <w:t xml:space="preserve">Butler, EJ 1949, ‘Apple canker, </w:t>
      </w:r>
      <w:r w:rsidRPr="00112D14">
        <w:rPr>
          <w:i/>
        </w:rPr>
        <w:t>Nectria galligena</w:t>
      </w:r>
      <w:r w:rsidRPr="00112D14">
        <w:t xml:space="preserve">’, in </w:t>
      </w:r>
      <w:r w:rsidRPr="00112D14">
        <w:rPr>
          <w:i/>
        </w:rPr>
        <w:t>Plant pathology</w:t>
      </w:r>
      <w:r w:rsidRPr="00112D14">
        <w:t>, Butler, EJ &amp; Jones, SG (eds), Macmillan Publishing Company, London.</w:t>
      </w:r>
      <w:bookmarkEnd w:id="692"/>
    </w:p>
    <w:p w14:paraId="391D5B4D" w14:textId="3A79276F" w:rsidR="003438A2" w:rsidRPr="00112D14" w:rsidRDefault="003438A2" w:rsidP="00112D14">
      <w:pPr>
        <w:pStyle w:val="EndNoteBibliography"/>
        <w:spacing w:after="0"/>
      </w:pPr>
      <w:bookmarkStart w:id="693" w:name="_ENREF_124"/>
      <w:r w:rsidRPr="00112D14">
        <w:t>Byers, JA 2006, ‘Leaf-mining insects’, available at</w:t>
      </w:r>
      <w:r w:rsidR="004D30A7">
        <w:t>,</w:t>
      </w:r>
      <w:r w:rsidRPr="00112D14">
        <w:t xml:space="preserve"> </w:t>
      </w:r>
      <w:hyperlink r:id="rId152" w:history="1">
        <w:r w:rsidR="00F95AFA" w:rsidRPr="009E4A79">
          <w:rPr>
            <w:rStyle w:val="Hyperlink"/>
          </w:rPr>
          <w:t>http://www.chemical-ecology.net/insects/leafmine.htm</w:t>
        </w:r>
      </w:hyperlink>
      <w:r w:rsidRPr="00112D14">
        <w:t>.</w:t>
      </w:r>
      <w:bookmarkEnd w:id="693"/>
    </w:p>
    <w:p w14:paraId="36446374" w14:textId="54EAA9B6" w:rsidR="003438A2" w:rsidRPr="00112D14" w:rsidRDefault="003438A2" w:rsidP="00112D14">
      <w:pPr>
        <w:pStyle w:val="EndNoteBibliography"/>
        <w:spacing w:after="0"/>
      </w:pPr>
      <w:bookmarkStart w:id="694" w:name="_ENREF_125"/>
      <w:r w:rsidRPr="00112D14">
        <w:t>CABI 2018, ‘Crop Protection Compendium’, CAB International, Wallingford, UK, available at</w:t>
      </w:r>
      <w:r w:rsidR="004D30A7">
        <w:t>,</w:t>
      </w:r>
      <w:r w:rsidRPr="00112D14">
        <w:t xml:space="preserve"> </w:t>
      </w:r>
      <w:hyperlink r:id="rId153" w:history="1">
        <w:r w:rsidR="00F95AFA" w:rsidRPr="009E4A79">
          <w:rPr>
            <w:rStyle w:val="Hyperlink"/>
          </w:rPr>
          <w:t>http://www.cabi.org/cpc/</w:t>
        </w:r>
      </w:hyperlink>
      <w:r w:rsidR="00F95AFA">
        <w:t>.</w:t>
      </w:r>
      <w:r w:rsidRPr="00112D14">
        <w:t xml:space="preserve"> accessed 2018.</w:t>
      </w:r>
      <w:bookmarkEnd w:id="694"/>
    </w:p>
    <w:p w14:paraId="78A821BE" w14:textId="497D8388" w:rsidR="003438A2" w:rsidRPr="00112D14" w:rsidRDefault="003438A2" w:rsidP="00112D14">
      <w:pPr>
        <w:pStyle w:val="EndNoteBibliography"/>
        <w:spacing w:after="0"/>
      </w:pPr>
      <w:bookmarkStart w:id="695" w:name="_ENREF_126"/>
      <w:r w:rsidRPr="00112D14">
        <w:t>-- -- 2019, ‘Crop Protection Compendium’, CAB International, Wallingford, UK, available at</w:t>
      </w:r>
      <w:r w:rsidR="004D30A7">
        <w:t>,</w:t>
      </w:r>
      <w:r w:rsidRPr="00112D14">
        <w:t xml:space="preserve"> </w:t>
      </w:r>
      <w:hyperlink r:id="rId154" w:history="1">
        <w:r w:rsidR="00F95AFA" w:rsidRPr="009E4A79">
          <w:rPr>
            <w:rStyle w:val="Hyperlink"/>
          </w:rPr>
          <w:t>http://www.cabi.org/cpc</w:t>
        </w:r>
      </w:hyperlink>
      <w:r w:rsidRPr="003438A2">
        <w:t>/</w:t>
      </w:r>
      <w:r w:rsidRPr="00112D14">
        <w:t>, accessed 2019.</w:t>
      </w:r>
      <w:bookmarkEnd w:id="695"/>
    </w:p>
    <w:p w14:paraId="65237699" w14:textId="6F2BDF21" w:rsidR="003438A2" w:rsidRPr="00112D14" w:rsidRDefault="003438A2" w:rsidP="00112D14">
      <w:pPr>
        <w:pStyle w:val="EndNoteBibliography"/>
        <w:spacing w:after="0"/>
      </w:pPr>
      <w:bookmarkStart w:id="696" w:name="_ENREF_127"/>
      <w:r w:rsidRPr="00112D14">
        <w:t>-- -- 2020a, ‘Crop Protection Compendium’, CAB International, Wallingford, UK, available at</w:t>
      </w:r>
      <w:r w:rsidR="004D30A7">
        <w:t>,</w:t>
      </w:r>
      <w:r w:rsidRPr="00112D14">
        <w:t xml:space="preserve"> </w:t>
      </w:r>
      <w:hyperlink r:id="rId155" w:history="1">
        <w:r w:rsidR="00F95AFA" w:rsidRPr="009E4A79">
          <w:rPr>
            <w:rStyle w:val="Hyperlink"/>
          </w:rPr>
          <w:t>http://www.cabi.org/cpc/</w:t>
        </w:r>
      </w:hyperlink>
      <w:r w:rsidRPr="00112D14">
        <w:t>, accessed 2020.</w:t>
      </w:r>
      <w:bookmarkEnd w:id="696"/>
    </w:p>
    <w:p w14:paraId="1C89C019" w14:textId="011BF652" w:rsidR="003438A2" w:rsidRPr="00112D14" w:rsidRDefault="003438A2" w:rsidP="00112D14">
      <w:pPr>
        <w:pStyle w:val="EndNoteBibliography"/>
        <w:spacing w:after="0"/>
      </w:pPr>
      <w:bookmarkStart w:id="697" w:name="_ENREF_128"/>
      <w:r w:rsidRPr="00112D14">
        <w:t>-- -- 2020b, ‘Invasive Species Compendium’, CAB International, Wallingford, UK, available at</w:t>
      </w:r>
      <w:r w:rsidR="004D30A7">
        <w:t>,</w:t>
      </w:r>
      <w:r w:rsidRPr="00112D14">
        <w:t xml:space="preserve"> </w:t>
      </w:r>
      <w:hyperlink r:id="rId156" w:history="1">
        <w:r w:rsidR="00F95AFA" w:rsidRPr="009E4A79">
          <w:rPr>
            <w:rStyle w:val="Hyperlink"/>
          </w:rPr>
          <w:t>http://www.cabi.org/isc</w:t>
        </w:r>
      </w:hyperlink>
      <w:r w:rsidRPr="00112D14">
        <w:t>, accessed 2020.</w:t>
      </w:r>
      <w:bookmarkEnd w:id="697"/>
    </w:p>
    <w:p w14:paraId="6B9B43DD" w14:textId="28C548AF" w:rsidR="003438A2" w:rsidRPr="00112D14" w:rsidRDefault="003438A2" w:rsidP="00112D14">
      <w:pPr>
        <w:pStyle w:val="EndNoteBibliography"/>
        <w:spacing w:after="0"/>
      </w:pPr>
      <w:bookmarkStart w:id="698" w:name="_ENREF_129"/>
      <w:r w:rsidRPr="00112D14">
        <w:t>-- -- 2021a, ‘Crop Protection Compendium’, CAB International, Wallingford, UK, available at</w:t>
      </w:r>
      <w:r w:rsidR="004D30A7">
        <w:t>,</w:t>
      </w:r>
      <w:r w:rsidRPr="00112D14">
        <w:t xml:space="preserve"> </w:t>
      </w:r>
      <w:hyperlink r:id="rId157" w:history="1">
        <w:r w:rsidR="00F95AFA" w:rsidRPr="009E4A79">
          <w:rPr>
            <w:rStyle w:val="Hyperlink"/>
          </w:rPr>
          <w:t>http://www.cabi.org/cpc/</w:t>
        </w:r>
      </w:hyperlink>
      <w:r w:rsidRPr="00112D14">
        <w:t>, accessed 2021.</w:t>
      </w:r>
      <w:bookmarkEnd w:id="698"/>
    </w:p>
    <w:p w14:paraId="3E876BBF" w14:textId="77777777" w:rsidR="003438A2" w:rsidRPr="00112D14" w:rsidRDefault="003438A2" w:rsidP="00112D14">
      <w:pPr>
        <w:pStyle w:val="EndNoteBibliography"/>
        <w:spacing w:after="0"/>
      </w:pPr>
      <w:bookmarkStart w:id="699" w:name="_ENREF_130"/>
      <w:r w:rsidRPr="00112D14">
        <w:t xml:space="preserve">-- -- 2021b, ‘Datasheets on quarantine pests: </w:t>
      </w:r>
      <w:r w:rsidRPr="00112D14">
        <w:rPr>
          <w:i/>
        </w:rPr>
        <w:t>Tetranychus pacificus</w:t>
      </w:r>
      <w:r w:rsidRPr="00112D14">
        <w:t xml:space="preserve"> (Pacific spider mite)’, Crop Protection Compendium, accessed 26 November 2021.</w:t>
      </w:r>
      <w:bookmarkEnd w:id="699"/>
    </w:p>
    <w:p w14:paraId="6C3D5EF8" w14:textId="33823173" w:rsidR="003438A2" w:rsidRPr="00112D14" w:rsidRDefault="003438A2" w:rsidP="00112D14">
      <w:pPr>
        <w:pStyle w:val="EndNoteBibliography"/>
        <w:spacing w:after="0"/>
      </w:pPr>
      <w:bookmarkStart w:id="700" w:name="_ENREF_131"/>
      <w:r w:rsidRPr="00112D14">
        <w:t>-- -- 2022, ‘Crop Protection Compendium’, CAB International, Wallingford, UK, available at</w:t>
      </w:r>
      <w:r w:rsidR="004D30A7">
        <w:t>,</w:t>
      </w:r>
      <w:r w:rsidRPr="00112D14">
        <w:t xml:space="preserve"> </w:t>
      </w:r>
      <w:hyperlink r:id="rId158" w:history="1">
        <w:r w:rsidR="00F95AFA" w:rsidRPr="009E4A79">
          <w:rPr>
            <w:rStyle w:val="Hyperlink"/>
          </w:rPr>
          <w:t>http://www.cabi.org/cpc/</w:t>
        </w:r>
      </w:hyperlink>
      <w:r w:rsidRPr="00112D14">
        <w:t>, accessed 2022.</w:t>
      </w:r>
      <w:bookmarkEnd w:id="700"/>
    </w:p>
    <w:p w14:paraId="09712F1B" w14:textId="6F1407EB" w:rsidR="003438A2" w:rsidRPr="00112D14" w:rsidRDefault="003438A2" w:rsidP="00112D14">
      <w:pPr>
        <w:pStyle w:val="EndNoteBibliography"/>
        <w:spacing w:after="0"/>
      </w:pPr>
      <w:bookmarkStart w:id="701" w:name="_ENREF_132"/>
      <w:r w:rsidRPr="00112D14">
        <w:t xml:space="preserve">CABI &amp; EPPO 1997a, </w:t>
      </w:r>
      <w:r w:rsidRPr="00112D14">
        <w:rPr>
          <w:i/>
        </w:rPr>
        <w:t>Data sheets on quarantine pests: Phyllosticta solitaria</w:t>
      </w:r>
      <w:r w:rsidRPr="00112D14">
        <w:t>, European and Mediterranean Plant Protection Organization, available at</w:t>
      </w:r>
      <w:r w:rsidR="004D30A7">
        <w:t>,</w:t>
      </w:r>
      <w:r w:rsidRPr="00112D14">
        <w:t xml:space="preserve"> </w:t>
      </w:r>
      <w:hyperlink r:id="rId159" w:history="1">
        <w:r w:rsidR="00F95AFA" w:rsidRPr="009E4A79">
          <w:rPr>
            <w:rStyle w:val="Hyperlink"/>
          </w:rPr>
          <w:t>https://gd.eppo.int/taxon/PHYSSL/documents</w:t>
        </w:r>
      </w:hyperlink>
      <w:r w:rsidR="00F95AFA">
        <w:t>.</w:t>
      </w:r>
      <w:r w:rsidRPr="00112D14">
        <w:t xml:space="preserve"> </w:t>
      </w:r>
      <w:bookmarkEnd w:id="701"/>
    </w:p>
    <w:p w14:paraId="5628DE92" w14:textId="77777777" w:rsidR="003438A2" w:rsidRPr="00112D14" w:rsidRDefault="003438A2" w:rsidP="00112D14">
      <w:pPr>
        <w:pStyle w:val="EndNoteBibliography"/>
        <w:spacing w:after="0"/>
      </w:pPr>
      <w:bookmarkStart w:id="702" w:name="_ENREF_133"/>
      <w:r w:rsidRPr="00112D14">
        <w:t xml:space="preserve">-- -- 1997b, </w:t>
      </w:r>
      <w:r w:rsidRPr="00112D14">
        <w:rPr>
          <w:i/>
        </w:rPr>
        <w:t>Datasheets on quarantine pests: Tobacco ringspot nepovirus</w:t>
      </w:r>
      <w:r w:rsidRPr="00112D14">
        <w:t>, European and Mediterranean Plant Protection Organization.</w:t>
      </w:r>
      <w:bookmarkEnd w:id="702"/>
    </w:p>
    <w:p w14:paraId="78EF76FB" w14:textId="77777777" w:rsidR="003438A2" w:rsidRPr="00112D14" w:rsidRDefault="003438A2" w:rsidP="00112D14">
      <w:pPr>
        <w:pStyle w:val="EndNoteBibliography"/>
        <w:spacing w:after="0"/>
      </w:pPr>
      <w:bookmarkStart w:id="703" w:name="_ENREF_134"/>
      <w:r w:rsidRPr="00112D14">
        <w:t xml:space="preserve">-- -- 2021, ‘Datasheets on quarantine pests: </w:t>
      </w:r>
      <w:r w:rsidRPr="00112D14">
        <w:rPr>
          <w:i/>
        </w:rPr>
        <w:t>Anthonomus quadrigibbus</w:t>
      </w:r>
      <w:r w:rsidRPr="00112D14">
        <w:t>’, Crop Protection Compendium, accessed 26 November 2021.</w:t>
      </w:r>
      <w:bookmarkEnd w:id="703"/>
    </w:p>
    <w:p w14:paraId="15B46343" w14:textId="77777777" w:rsidR="003438A2" w:rsidRPr="00112D14" w:rsidRDefault="003438A2" w:rsidP="00112D14">
      <w:pPr>
        <w:pStyle w:val="EndNoteBibliography"/>
        <w:spacing w:after="0"/>
      </w:pPr>
      <w:bookmarkStart w:id="704" w:name="_ENREF_135"/>
      <w:r w:rsidRPr="00112D14">
        <w:t xml:space="preserve">Cameldi, I, Pirondi, A, Neri, F, Collina, M &amp; Mari, M 2016, ‘First report of apple bull's eye rot caused by </w:t>
      </w:r>
      <w:r w:rsidRPr="00112D14">
        <w:rPr>
          <w:i/>
        </w:rPr>
        <w:t>Neofabraea malicorticis</w:t>
      </w:r>
      <w:r w:rsidRPr="00112D14">
        <w:t xml:space="preserve"> in Italy’, </w:t>
      </w:r>
      <w:r w:rsidRPr="00112D14">
        <w:rPr>
          <w:i/>
        </w:rPr>
        <w:t>Plant Disease</w:t>
      </w:r>
      <w:r w:rsidRPr="00112D14">
        <w:t>, vol. 100, no. 12, p. 2532.</w:t>
      </w:r>
      <w:bookmarkEnd w:id="704"/>
    </w:p>
    <w:p w14:paraId="4450C05B" w14:textId="77777777" w:rsidR="003438A2" w:rsidRPr="00112D14" w:rsidRDefault="003438A2" w:rsidP="00112D14">
      <w:pPr>
        <w:pStyle w:val="EndNoteBibliography"/>
        <w:spacing w:after="0"/>
      </w:pPr>
      <w:bookmarkStart w:id="705" w:name="_ENREF_136"/>
      <w:r w:rsidRPr="00112D14">
        <w:t xml:space="preserve">Campbell, JM, Sarazin, MJ &amp; Lyons, DB 1989, </w:t>
      </w:r>
      <w:r w:rsidRPr="00112D14">
        <w:rPr>
          <w:i/>
        </w:rPr>
        <w:t>Canadian beetles (Coleoptera): injurious to crops, ornamentals, stored products, and buildings</w:t>
      </w:r>
      <w:r w:rsidRPr="00112D14">
        <w:t>, 1826, Research Branch Agriculture Canada, Canada.</w:t>
      </w:r>
      <w:bookmarkEnd w:id="705"/>
    </w:p>
    <w:p w14:paraId="68F033AE" w14:textId="7D98B099" w:rsidR="003438A2" w:rsidRPr="00112D14" w:rsidRDefault="003438A2" w:rsidP="00112D14">
      <w:pPr>
        <w:pStyle w:val="EndNoteBibliography"/>
        <w:spacing w:after="0"/>
      </w:pPr>
      <w:bookmarkStart w:id="706" w:name="_ENREF_137"/>
      <w:r w:rsidRPr="00112D14">
        <w:t xml:space="preserve">Capinera, JL 2008, </w:t>
      </w:r>
      <w:r w:rsidRPr="00112D14">
        <w:rPr>
          <w:i/>
        </w:rPr>
        <w:t>Green peach aphid, Myzus persicae (Sulzer) (Insecta: Hemiptera: Aphididae)</w:t>
      </w:r>
      <w:r w:rsidRPr="00112D14">
        <w:t>, Institute of Food and Agricultural Sciences Extension, University of Florida</w:t>
      </w:r>
      <w:r w:rsidR="00CA14FC">
        <w:t xml:space="preserve">. </w:t>
      </w:r>
      <w:bookmarkEnd w:id="706"/>
    </w:p>
    <w:p w14:paraId="61FB8522" w14:textId="376CDB11" w:rsidR="003438A2" w:rsidRPr="00112D14" w:rsidRDefault="003438A2" w:rsidP="00112D14">
      <w:pPr>
        <w:pStyle w:val="EndNoteBibliography"/>
        <w:spacing w:after="0"/>
      </w:pPr>
      <w:bookmarkStart w:id="707" w:name="_ENREF_138"/>
      <w:r w:rsidRPr="00112D14">
        <w:t>Caprile, JL 2015, ‘Webspinning Spider Mites’, University of California Agriculture and Natural Resources, California, USA, available at</w:t>
      </w:r>
      <w:r w:rsidR="008C2369">
        <w:t>,</w:t>
      </w:r>
      <w:r w:rsidRPr="00112D14">
        <w:t xml:space="preserve"> </w:t>
      </w:r>
      <w:hyperlink r:id="rId160" w:history="1">
        <w:r w:rsidR="00EA6A79" w:rsidRPr="009E4A79">
          <w:rPr>
            <w:rStyle w:val="Hyperlink"/>
          </w:rPr>
          <w:t>https://www2.ipm.ucanr.edu/agriculture/apple/Webspinning-spider-mites/</w:t>
        </w:r>
      </w:hyperlink>
      <w:r w:rsidRPr="00112D14">
        <w:t>.</w:t>
      </w:r>
      <w:bookmarkEnd w:id="707"/>
    </w:p>
    <w:p w14:paraId="092F4AE9" w14:textId="77777777" w:rsidR="003438A2" w:rsidRPr="00112D14" w:rsidRDefault="003438A2" w:rsidP="00112D14">
      <w:pPr>
        <w:pStyle w:val="EndNoteBibliography"/>
        <w:spacing w:after="0"/>
      </w:pPr>
      <w:bookmarkStart w:id="708" w:name="_ENREF_139"/>
      <w:r w:rsidRPr="00112D14">
        <w:t xml:space="preserve">Caprile, JL &amp; Vossen, PM 2005, ‘Codling moth’, </w:t>
      </w:r>
      <w:r w:rsidRPr="00112D14">
        <w:rPr>
          <w:i/>
        </w:rPr>
        <w:t>Pest Notes</w:t>
      </w:r>
      <w:r w:rsidRPr="00112D14">
        <w:t>, vol. 7412, pp. 1-6.</w:t>
      </w:r>
      <w:bookmarkEnd w:id="708"/>
    </w:p>
    <w:p w14:paraId="76599326" w14:textId="661CDB3D" w:rsidR="003438A2" w:rsidRPr="00112D14" w:rsidRDefault="003438A2" w:rsidP="00112D14">
      <w:pPr>
        <w:pStyle w:val="EndNoteBibliography"/>
        <w:spacing w:after="0"/>
      </w:pPr>
      <w:bookmarkStart w:id="709" w:name="_ENREF_140"/>
      <w:r w:rsidRPr="00112D14">
        <w:t xml:space="preserve">Caprile, JL, Wunderlich, LR, Vossen, PM, Coates, WW, Andris, HL, Varela, LG &amp; Bentley, WJ 2006a, </w:t>
      </w:r>
      <w:r w:rsidRPr="00112D14">
        <w:rPr>
          <w:i/>
        </w:rPr>
        <w:t>Apple codling moth</w:t>
      </w:r>
      <w:r w:rsidRPr="00112D14">
        <w:t>, UC IPM Online: Statewide integrated pest management program, University of California, Agriculture and Natural Resources, available at</w:t>
      </w:r>
      <w:r w:rsidR="008C2369">
        <w:t>,</w:t>
      </w:r>
      <w:r w:rsidRPr="00112D14">
        <w:t xml:space="preserve"> </w:t>
      </w:r>
      <w:hyperlink r:id="rId161" w:history="1">
        <w:r w:rsidR="00EA6A79" w:rsidRPr="009E4A79">
          <w:rPr>
            <w:rStyle w:val="Hyperlink"/>
          </w:rPr>
          <w:t>http://ipm.ucanr.edu/PMG/PESTNOTES/pn7412.html</w:t>
        </w:r>
      </w:hyperlink>
      <w:r w:rsidRPr="00112D14">
        <w:t>.</w:t>
      </w:r>
      <w:bookmarkEnd w:id="709"/>
    </w:p>
    <w:p w14:paraId="656F1615" w14:textId="7C13989C" w:rsidR="003438A2" w:rsidRPr="00112D14" w:rsidRDefault="003438A2" w:rsidP="00112D14">
      <w:pPr>
        <w:pStyle w:val="EndNoteBibliography"/>
        <w:spacing w:after="0"/>
      </w:pPr>
      <w:bookmarkStart w:id="710" w:name="_ENREF_141"/>
      <w:r w:rsidRPr="00112D14">
        <w:t xml:space="preserve">-- -- 2006b, </w:t>
      </w:r>
      <w:r w:rsidRPr="00112D14">
        <w:rPr>
          <w:i/>
        </w:rPr>
        <w:t>Apple maggot</w:t>
      </w:r>
      <w:r w:rsidRPr="00112D14">
        <w:t>, UC IPM Online: Statewide integrated pest management program, University of California, Agriculture and Natural Resources, available at</w:t>
      </w:r>
      <w:r w:rsidR="008C2369">
        <w:t>,</w:t>
      </w:r>
      <w:r w:rsidRPr="00112D14">
        <w:t xml:space="preserve"> </w:t>
      </w:r>
      <w:hyperlink r:id="rId162" w:history="1">
        <w:r w:rsidR="00EA6A79" w:rsidRPr="009E4A79">
          <w:rPr>
            <w:rStyle w:val="Hyperlink"/>
          </w:rPr>
          <w:t>http://ipm.ucanr.edu/PMG/GARDEN/FRUIT/PESTS/applemaggot.html</w:t>
        </w:r>
      </w:hyperlink>
      <w:r w:rsidRPr="00112D14">
        <w:t>.</w:t>
      </w:r>
      <w:bookmarkEnd w:id="710"/>
    </w:p>
    <w:p w14:paraId="71AF1870" w14:textId="16D296A1" w:rsidR="003438A2" w:rsidRPr="00112D14" w:rsidRDefault="003438A2" w:rsidP="00112D14">
      <w:pPr>
        <w:pStyle w:val="EndNoteBibliography"/>
        <w:spacing w:after="0"/>
      </w:pPr>
      <w:bookmarkStart w:id="711" w:name="_ENREF_142"/>
      <w:r w:rsidRPr="00112D14">
        <w:t xml:space="preserve">-- -- 2006c, </w:t>
      </w:r>
      <w:r w:rsidRPr="00112D14">
        <w:rPr>
          <w:i/>
        </w:rPr>
        <w:t>Apple: insects and mites</w:t>
      </w:r>
      <w:r w:rsidRPr="00112D14">
        <w:t>, UC IPM Online: Statewide integrated pest management program, University of California, Agriculture and Natural Resources, available at</w:t>
      </w:r>
      <w:r w:rsidR="008C2369">
        <w:t>,</w:t>
      </w:r>
      <w:r w:rsidRPr="00112D14">
        <w:t xml:space="preserve"> </w:t>
      </w:r>
      <w:hyperlink r:id="rId163" w:history="1">
        <w:r w:rsidR="00564B46" w:rsidRPr="009E4A79">
          <w:rPr>
            <w:rStyle w:val="Hyperlink"/>
          </w:rPr>
          <w:t>http://ipm.ucdavis.edu/PDF/PMG/pmgapple.pdf</w:t>
        </w:r>
      </w:hyperlink>
      <w:r w:rsidRPr="00112D14">
        <w:t>.</w:t>
      </w:r>
      <w:bookmarkEnd w:id="711"/>
    </w:p>
    <w:p w14:paraId="654987B5" w14:textId="0479DC33" w:rsidR="003438A2" w:rsidRPr="00112D14" w:rsidRDefault="003438A2" w:rsidP="00112D14">
      <w:pPr>
        <w:pStyle w:val="EndNoteBibliography"/>
        <w:spacing w:after="0"/>
      </w:pPr>
      <w:bookmarkStart w:id="712" w:name="_ENREF_143"/>
      <w:r w:rsidRPr="00112D14">
        <w:t xml:space="preserve">-- -- 2006d, </w:t>
      </w:r>
      <w:r w:rsidRPr="00112D14">
        <w:rPr>
          <w:i/>
        </w:rPr>
        <w:t>Pest management guidelines for fruittree leafroller on apples</w:t>
      </w:r>
      <w:r w:rsidRPr="00112D14">
        <w:t>, UC IPM Online: Statewide integrated pest management program, University of California, Agriculture and Natural Resources, available at</w:t>
      </w:r>
      <w:r w:rsidR="00B10680">
        <w:t>,</w:t>
      </w:r>
      <w:r w:rsidRPr="00112D14">
        <w:t xml:space="preserve"> </w:t>
      </w:r>
      <w:hyperlink r:id="rId164" w:history="1">
        <w:r w:rsidR="00564B46" w:rsidRPr="009E4A79">
          <w:rPr>
            <w:rStyle w:val="Hyperlink"/>
          </w:rPr>
          <w:t>https://www2.ipm.ucanr.edu/agriculture/apple/Fruittree-leafroller/</w:t>
        </w:r>
      </w:hyperlink>
      <w:r w:rsidRPr="00112D14">
        <w:t>.</w:t>
      </w:r>
      <w:bookmarkEnd w:id="712"/>
    </w:p>
    <w:p w14:paraId="50E810E1" w14:textId="5201492C" w:rsidR="003438A2" w:rsidRPr="00112D14" w:rsidRDefault="003438A2" w:rsidP="00112D14">
      <w:pPr>
        <w:pStyle w:val="EndNoteBibliography"/>
        <w:spacing w:after="0"/>
      </w:pPr>
      <w:bookmarkStart w:id="713" w:name="_ENREF_144"/>
      <w:r w:rsidRPr="00112D14">
        <w:t xml:space="preserve">Caprile, JL, Wunderlich, LR, Vossen, PM, Coates, WW, Andris, HL, Varela, LG &amp; Bentley, WJ 2009a, </w:t>
      </w:r>
      <w:r w:rsidRPr="00112D14">
        <w:rPr>
          <w:i/>
        </w:rPr>
        <w:t>Lygus bugs</w:t>
      </w:r>
      <w:r w:rsidRPr="00112D14">
        <w:t>, UC IPM Pest Management Guidelines: Apple, UC ANR Publication 3432, University of California Agriculture &amp; Natural Resources, available at</w:t>
      </w:r>
      <w:r w:rsidR="00B10680">
        <w:t>,</w:t>
      </w:r>
      <w:r w:rsidRPr="00112D14">
        <w:t xml:space="preserve"> </w:t>
      </w:r>
      <w:hyperlink r:id="rId165" w:history="1">
        <w:r w:rsidR="00564B46" w:rsidRPr="009E4A79">
          <w:rPr>
            <w:rStyle w:val="Hyperlink"/>
          </w:rPr>
          <w:t>http://www.ipm.ucdavis.edu/PMG/r4300411.html</w:t>
        </w:r>
      </w:hyperlink>
      <w:r w:rsidRPr="00112D14">
        <w:t>.</w:t>
      </w:r>
      <w:bookmarkEnd w:id="713"/>
    </w:p>
    <w:p w14:paraId="71DC77AE" w14:textId="1661031D" w:rsidR="003438A2" w:rsidRPr="00112D14" w:rsidRDefault="003438A2" w:rsidP="00112D14">
      <w:pPr>
        <w:pStyle w:val="EndNoteBibliography"/>
        <w:spacing w:after="0"/>
      </w:pPr>
      <w:bookmarkStart w:id="714" w:name="_ENREF_145"/>
      <w:r w:rsidRPr="00112D14">
        <w:t xml:space="preserve">-- -- 2009b, </w:t>
      </w:r>
      <w:r w:rsidRPr="00112D14">
        <w:rPr>
          <w:i/>
        </w:rPr>
        <w:t>UC IPM Pest Management Guidelines: apple</w:t>
      </w:r>
      <w:r w:rsidRPr="00112D14">
        <w:t>, Publication 3432, UC Statewide IPM Program, California, USA, available at</w:t>
      </w:r>
      <w:r w:rsidR="00B10680">
        <w:t>,</w:t>
      </w:r>
      <w:r w:rsidRPr="00112D14">
        <w:t xml:space="preserve"> </w:t>
      </w:r>
      <w:hyperlink r:id="rId166" w:history="1">
        <w:r w:rsidR="00564B46" w:rsidRPr="009E4A79">
          <w:rPr>
            <w:rStyle w:val="Hyperlink"/>
          </w:rPr>
          <w:t>https://www2.ipm.ucanr.edu/agriculture/apple/</w:t>
        </w:r>
      </w:hyperlink>
      <w:r w:rsidRPr="00112D14">
        <w:t>.</w:t>
      </w:r>
      <w:bookmarkEnd w:id="714"/>
    </w:p>
    <w:p w14:paraId="31E8364A" w14:textId="77777777" w:rsidR="003438A2" w:rsidRPr="00112D14" w:rsidRDefault="003438A2" w:rsidP="00112D14">
      <w:pPr>
        <w:pStyle w:val="EndNoteBibliography"/>
        <w:spacing w:after="0"/>
      </w:pPr>
      <w:bookmarkStart w:id="715" w:name="_ENREF_146"/>
      <w:r w:rsidRPr="00112D14">
        <w:t xml:space="preserve">Cardoso, JM, Felix, MR, Clara, MI &amp; Oliveira, S 2005, ‘The complete genome sequence of a new necrovirus isolated from </w:t>
      </w:r>
      <w:r w:rsidRPr="00112D14">
        <w:rPr>
          <w:i/>
        </w:rPr>
        <w:t>Olea europaea</w:t>
      </w:r>
      <w:r w:rsidRPr="00112D14">
        <w:t xml:space="preserve"> L’, </w:t>
      </w:r>
      <w:r w:rsidRPr="00112D14">
        <w:rPr>
          <w:i/>
        </w:rPr>
        <w:t>Archives of Virology</w:t>
      </w:r>
      <w:r w:rsidRPr="00112D14">
        <w:t>, vol. 150, pp. 815-23.</w:t>
      </w:r>
      <w:bookmarkEnd w:id="715"/>
    </w:p>
    <w:p w14:paraId="347773E6" w14:textId="77777777" w:rsidR="003438A2" w:rsidRPr="00112D14" w:rsidRDefault="003438A2" w:rsidP="00112D14">
      <w:pPr>
        <w:pStyle w:val="EndNoteBibliography"/>
        <w:spacing w:after="0"/>
      </w:pPr>
      <w:bookmarkStart w:id="716" w:name="_ENREF_147"/>
      <w:r w:rsidRPr="00112D14">
        <w:t xml:space="preserve">Carter, DJ 1984, </w:t>
      </w:r>
      <w:r w:rsidRPr="00112D14">
        <w:rPr>
          <w:i/>
        </w:rPr>
        <w:t>Pest Lepidoptera of Europe: with special reference to the British Isles</w:t>
      </w:r>
      <w:r w:rsidRPr="00112D14">
        <w:t>, Dr W. Junk Publishers, Dordrecht, The Netherlands.</w:t>
      </w:r>
      <w:bookmarkEnd w:id="716"/>
    </w:p>
    <w:p w14:paraId="65A60F2D" w14:textId="77777777" w:rsidR="003438A2" w:rsidRPr="00112D14" w:rsidRDefault="003438A2" w:rsidP="00112D14">
      <w:pPr>
        <w:pStyle w:val="EndNoteBibliography"/>
        <w:spacing w:after="0"/>
      </w:pPr>
      <w:bookmarkStart w:id="717" w:name="_ENREF_148"/>
      <w:r w:rsidRPr="00112D14">
        <w:t xml:space="preserve">Carter, MV 1991, </w:t>
      </w:r>
      <w:r w:rsidRPr="00112D14">
        <w:rPr>
          <w:i/>
        </w:rPr>
        <w:t>The status of Eutypa lata as a pathogen</w:t>
      </w:r>
      <w:r w:rsidRPr="00112D14">
        <w:t>, vol. 32, CAB International, Wallingford.</w:t>
      </w:r>
      <w:bookmarkEnd w:id="717"/>
    </w:p>
    <w:p w14:paraId="2EA11C46" w14:textId="22C1391E" w:rsidR="003438A2" w:rsidRPr="00112D14" w:rsidRDefault="003438A2" w:rsidP="00112D14">
      <w:pPr>
        <w:pStyle w:val="EndNoteBibliography"/>
        <w:spacing w:after="0"/>
      </w:pPr>
      <w:bookmarkStart w:id="718" w:name="_ENREF_149"/>
      <w:r w:rsidRPr="00112D14">
        <w:t xml:space="preserve">Cartwright, B &amp; Browning, HW 2008, </w:t>
      </w:r>
      <w:r w:rsidRPr="00112D14">
        <w:rPr>
          <w:i/>
        </w:rPr>
        <w:t>Scales</w:t>
      </w:r>
      <w:r w:rsidRPr="00112D14">
        <w:t>, Texas Agricultural Extension Service, available at</w:t>
      </w:r>
      <w:r w:rsidR="00B10680">
        <w:t>,</w:t>
      </w:r>
      <w:r w:rsidRPr="00112D14">
        <w:t xml:space="preserve"> </w:t>
      </w:r>
      <w:hyperlink r:id="rId167" w:history="1">
        <w:r w:rsidR="00564B46" w:rsidRPr="009E4A79">
          <w:rPr>
            <w:rStyle w:val="Hyperlink"/>
          </w:rPr>
          <w:t>http://aggie-horticulture.tamu.edu/citrus/l2310.htm</w:t>
        </w:r>
      </w:hyperlink>
      <w:r w:rsidRPr="00112D14">
        <w:t>.</w:t>
      </w:r>
      <w:bookmarkEnd w:id="718"/>
    </w:p>
    <w:p w14:paraId="75C6649F" w14:textId="77777777" w:rsidR="003438A2" w:rsidRPr="00112D14" w:rsidRDefault="003438A2" w:rsidP="00112D14">
      <w:pPr>
        <w:pStyle w:val="EndNoteBibliography"/>
        <w:spacing w:after="0"/>
      </w:pPr>
      <w:bookmarkStart w:id="719" w:name="_ENREF_150"/>
      <w:r w:rsidRPr="00112D14">
        <w:t xml:space="preserve">Castlebury, LA, Rossman, AY &amp; Hyten, AS 2006, ‘Phylogenetic relationships of </w:t>
      </w:r>
      <w:r w:rsidRPr="00112D14">
        <w:rPr>
          <w:i/>
        </w:rPr>
        <w:t>Neonectria</w:t>
      </w:r>
      <w:r w:rsidRPr="00112D14">
        <w:t xml:space="preserve">/ </w:t>
      </w:r>
      <w:r w:rsidRPr="00112D14">
        <w:rPr>
          <w:i/>
        </w:rPr>
        <w:t xml:space="preserve">cylindrocarpon </w:t>
      </w:r>
      <w:r w:rsidRPr="00112D14">
        <w:t xml:space="preserve">on </w:t>
      </w:r>
      <w:r w:rsidRPr="00112D14">
        <w:rPr>
          <w:i/>
        </w:rPr>
        <w:t xml:space="preserve">Fagus </w:t>
      </w:r>
      <w:r w:rsidRPr="00112D14">
        <w:t xml:space="preserve">in North America’, </w:t>
      </w:r>
      <w:r w:rsidRPr="00112D14">
        <w:rPr>
          <w:i/>
        </w:rPr>
        <w:t>Canadian Journal of Botany</w:t>
      </w:r>
      <w:r w:rsidRPr="00112D14">
        <w:t>, vol. 84, no. 9, pp. 1417-33.</w:t>
      </w:r>
      <w:bookmarkEnd w:id="719"/>
    </w:p>
    <w:p w14:paraId="570F14A2" w14:textId="3757EB97" w:rsidR="003438A2" w:rsidRPr="00112D14" w:rsidRDefault="003438A2" w:rsidP="00112D14">
      <w:pPr>
        <w:pStyle w:val="EndNoteBibliography"/>
        <w:spacing w:after="0"/>
      </w:pPr>
      <w:bookmarkStart w:id="720" w:name="_ENREF_151"/>
      <w:r w:rsidRPr="00112D14">
        <w:t xml:space="preserve">Cave, GL, Randall-Schadel, B &amp; Redline, SC 2008, </w:t>
      </w:r>
      <w:r w:rsidRPr="00112D14">
        <w:rPr>
          <w:i/>
        </w:rPr>
        <w:t>Risk analysis for Phytophthora ramorum Weres, de Cock and Man in't Veld, causal agent of sudden oak death, ramorum leaf blight, and ramorum dieback</w:t>
      </w:r>
      <w:r w:rsidRPr="00112D14">
        <w:t>, United States Department of Agriculture, Animal and Plant Health Inspection Service, Plant Protection Qurantine, North Carolina, available at</w:t>
      </w:r>
      <w:r w:rsidR="00286A1A">
        <w:t>,</w:t>
      </w:r>
      <w:r w:rsidRPr="00112D14">
        <w:t xml:space="preserve"> </w:t>
      </w:r>
      <w:hyperlink r:id="rId168" w:history="1">
        <w:r w:rsidR="00564B46" w:rsidRPr="009E4A79">
          <w:rPr>
            <w:rStyle w:val="Hyperlink"/>
          </w:rPr>
          <w:t>https://www.aphis.usda.gov/plant_health/plant_pest_info/pram/downloads/pdf_files/pra-cphst-08.pdf</w:t>
        </w:r>
      </w:hyperlink>
      <w:r w:rsidRPr="00112D14">
        <w:t>.</w:t>
      </w:r>
      <w:bookmarkEnd w:id="720"/>
    </w:p>
    <w:p w14:paraId="789761D7" w14:textId="42F5E289" w:rsidR="003438A2" w:rsidRPr="00112D14" w:rsidRDefault="003438A2" w:rsidP="00112D14">
      <w:pPr>
        <w:pStyle w:val="EndNoteBibliography"/>
        <w:spacing w:after="0"/>
      </w:pPr>
      <w:bookmarkStart w:id="721" w:name="_ENREF_152"/>
      <w:r w:rsidRPr="00112D14">
        <w:t>CDFA 2015, ‘</w:t>
      </w:r>
      <w:r w:rsidRPr="00112D14">
        <w:rPr>
          <w:i/>
        </w:rPr>
        <w:t>Dasineura mali</w:t>
      </w:r>
      <w:r w:rsidRPr="00112D14">
        <w:t xml:space="preserve"> (Kieffer): apple leaf gall midge’, California Department of Food and Agriculture (CDFA), California, USA, available at</w:t>
      </w:r>
      <w:r w:rsidR="00286A1A">
        <w:t>,</w:t>
      </w:r>
      <w:r w:rsidRPr="00112D14">
        <w:t xml:space="preserve"> </w:t>
      </w:r>
      <w:hyperlink r:id="rId169" w:history="1">
        <w:r w:rsidR="00564B46" w:rsidRPr="009E4A79">
          <w:rPr>
            <w:rStyle w:val="Hyperlink"/>
          </w:rPr>
          <w:t>https://blogs.cdfa.ca.gov/Section3162/?p=618</w:t>
        </w:r>
      </w:hyperlink>
      <w:r w:rsidRPr="00112D14">
        <w:t>.</w:t>
      </w:r>
      <w:bookmarkEnd w:id="721"/>
    </w:p>
    <w:p w14:paraId="629170E3" w14:textId="77777777" w:rsidR="003438A2" w:rsidRPr="00112D14" w:rsidRDefault="003438A2" w:rsidP="00112D14">
      <w:pPr>
        <w:pStyle w:val="EndNoteBibliography"/>
        <w:spacing w:after="0"/>
      </w:pPr>
      <w:bookmarkStart w:id="722" w:name="_ENREF_153"/>
      <w:r w:rsidRPr="00112D14">
        <w:t xml:space="preserve">Chambers, SC 1982, </w:t>
      </w:r>
      <w:r w:rsidRPr="00112D14">
        <w:rPr>
          <w:i/>
        </w:rPr>
        <w:t>Lists of diseases recorded on ornamentals, native plants and weeds in Victoria before 30 June 1980</w:t>
      </w:r>
      <w:r w:rsidRPr="00112D14">
        <w:t>, Department of Agriculture, Melbourne, Victoria.</w:t>
      </w:r>
      <w:bookmarkEnd w:id="722"/>
    </w:p>
    <w:p w14:paraId="00A49101" w14:textId="77777777" w:rsidR="003438A2" w:rsidRPr="00112D14" w:rsidRDefault="003438A2" w:rsidP="00112D14">
      <w:pPr>
        <w:pStyle w:val="EndNoteBibliography"/>
        <w:spacing w:after="0"/>
      </w:pPr>
      <w:bookmarkStart w:id="723" w:name="_ENREF_154"/>
      <w:r w:rsidRPr="00112D14">
        <w:t xml:space="preserve">Chapman, PJ &amp; Hess, AD 1941, ‘Mortality of the apple maggot in fruit held in cold storage’, </w:t>
      </w:r>
      <w:r w:rsidRPr="00112D14">
        <w:rPr>
          <w:i/>
        </w:rPr>
        <w:t>Circular</w:t>
      </w:r>
      <w:r w:rsidRPr="00112D14">
        <w:t>, vol. 600, pp. 1-9.</w:t>
      </w:r>
      <w:bookmarkEnd w:id="723"/>
    </w:p>
    <w:p w14:paraId="445B935A" w14:textId="77777777" w:rsidR="003438A2" w:rsidRPr="00112D14" w:rsidRDefault="003438A2" w:rsidP="00112D14">
      <w:pPr>
        <w:pStyle w:val="EndNoteBibliography"/>
        <w:spacing w:after="0"/>
      </w:pPr>
      <w:bookmarkStart w:id="724" w:name="_ENREF_155"/>
      <w:r w:rsidRPr="00112D14">
        <w:t>Charkowski, AO, Yap, MN &amp; Jabn, C 2005, ‘Are genes required for</w:t>
      </w:r>
      <w:r w:rsidRPr="00112D14">
        <w:rPr>
          <w:i/>
        </w:rPr>
        <w:t xml:space="preserve"> Erwinia</w:t>
      </w:r>
      <w:r w:rsidRPr="00112D14">
        <w:t xml:space="preserve"> biofilm formation also required for virulence?’, </w:t>
      </w:r>
      <w:r w:rsidRPr="00112D14">
        <w:rPr>
          <w:i/>
        </w:rPr>
        <w:t>Phytopathology</w:t>
      </w:r>
      <w:r w:rsidRPr="00112D14">
        <w:t>, vol. 95, no. 6 (suppl.), p. S133. (Abstract only)</w:t>
      </w:r>
      <w:bookmarkEnd w:id="724"/>
    </w:p>
    <w:p w14:paraId="0830C22F" w14:textId="77777777" w:rsidR="003438A2" w:rsidRPr="00112D14" w:rsidRDefault="003438A2" w:rsidP="00112D14">
      <w:pPr>
        <w:pStyle w:val="EndNoteBibliography"/>
        <w:spacing w:after="0"/>
      </w:pPr>
      <w:bookmarkStart w:id="725" w:name="_ENREF_156"/>
      <w:r w:rsidRPr="00112D14">
        <w:t xml:space="preserve">Chaudhary, KCB, Puttoo, BL &amp; Ashraf, SS 1987, ‘Seed-borne nature of </w:t>
      </w:r>
      <w:r w:rsidRPr="00112D14">
        <w:rPr>
          <w:i/>
        </w:rPr>
        <w:t>Pestalotia hartigii</w:t>
      </w:r>
      <w:r w:rsidRPr="00112D14">
        <w:t xml:space="preserve"> on apple seeds’, </w:t>
      </w:r>
      <w:r w:rsidRPr="00112D14">
        <w:rPr>
          <w:i/>
        </w:rPr>
        <w:t>International Journal of Tropical Plant Diseases</w:t>
      </w:r>
      <w:r w:rsidRPr="00112D14">
        <w:t>, vol. 5, pp. 111-2.</w:t>
      </w:r>
      <w:bookmarkEnd w:id="725"/>
    </w:p>
    <w:p w14:paraId="519645E3" w14:textId="024D81C3" w:rsidR="003438A2" w:rsidRPr="00112D14" w:rsidRDefault="003438A2" w:rsidP="00112D14">
      <w:pPr>
        <w:pStyle w:val="EndNoteBibliography"/>
        <w:spacing w:after="0"/>
      </w:pPr>
      <w:bookmarkStart w:id="726" w:name="_ENREF_157"/>
      <w:r w:rsidRPr="00112D14">
        <w:t xml:space="preserve">Childs, RD, Swanson, DC &amp; Elkinton, J 2007, </w:t>
      </w:r>
      <w:r w:rsidRPr="00112D14">
        <w:rPr>
          <w:i/>
        </w:rPr>
        <w:t>The winter moth (Operophtera brumata (L.)</w:t>
      </w:r>
      <w:r w:rsidRPr="00112D14">
        <w:t>, University of Massechusetts, Amherst, available at</w:t>
      </w:r>
      <w:r w:rsidR="00286A1A">
        <w:t>,</w:t>
      </w:r>
      <w:r w:rsidRPr="00112D14">
        <w:t xml:space="preserve"> </w:t>
      </w:r>
      <w:hyperlink r:id="rId170" w:history="1">
        <w:r w:rsidR="00564B46" w:rsidRPr="009E4A79">
          <w:rPr>
            <w:rStyle w:val="Hyperlink"/>
          </w:rPr>
          <w:t>https://ag.umass.edu/landscape/fact-sheets/winter-moth-identification-management</w:t>
        </w:r>
      </w:hyperlink>
      <w:r w:rsidRPr="00112D14">
        <w:t xml:space="preserve"> </w:t>
      </w:r>
      <w:bookmarkEnd w:id="726"/>
    </w:p>
    <w:p w14:paraId="0D03F3E1" w14:textId="77777777" w:rsidR="003438A2" w:rsidRPr="00112D14" w:rsidRDefault="003438A2" w:rsidP="00112D14">
      <w:pPr>
        <w:pStyle w:val="EndNoteBibliography"/>
        <w:spacing w:after="0"/>
      </w:pPr>
      <w:bookmarkStart w:id="727" w:name="_ENREF_158"/>
      <w:r w:rsidRPr="00112D14">
        <w:t xml:space="preserve">Chupp, C &amp; Clapp, GL 1923, ‘Fusicoccum canker on apple’, </w:t>
      </w:r>
      <w:r w:rsidRPr="00112D14">
        <w:rPr>
          <w:i/>
        </w:rPr>
        <w:t>Phytopathology</w:t>
      </w:r>
      <w:r w:rsidRPr="00112D14">
        <w:t>, vol. 13, pp. 228-31.</w:t>
      </w:r>
      <w:bookmarkEnd w:id="727"/>
    </w:p>
    <w:p w14:paraId="6BAFAD1E" w14:textId="77777777" w:rsidR="003438A2" w:rsidRPr="00112D14" w:rsidRDefault="003438A2" w:rsidP="00112D14">
      <w:pPr>
        <w:pStyle w:val="EndNoteBibliography"/>
        <w:spacing w:after="0"/>
      </w:pPr>
      <w:bookmarkStart w:id="728" w:name="_ENREF_159"/>
      <w:r w:rsidRPr="00112D14">
        <w:t xml:space="preserve">CMI 1984, </w:t>
      </w:r>
      <w:r w:rsidRPr="00112D14">
        <w:rPr>
          <w:i/>
        </w:rPr>
        <w:t>Tobacco ringspot virus</w:t>
      </w:r>
      <w:r w:rsidRPr="00112D14">
        <w:t>, Distribution maps of plant diseases, No. 144, Commonwealth Mycological Institute.</w:t>
      </w:r>
      <w:bookmarkEnd w:id="728"/>
    </w:p>
    <w:p w14:paraId="4D914272" w14:textId="24D7B2BB" w:rsidR="003438A2" w:rsidRPr="00112D14" w:rsidRDefault="003438A2" w:rsidP="00112D14">
      <w:pPr>
        <w:pStyle w:val="EndNoteBibliography"/>
        <w:spacing w:after="0"/>
      </w:pPr>
      <w:bookmarkStart w:id="729" w:name="_ENREF_160"/>
      <w:r w:rsidRPr="00112D14">
        <w:t xml:space="preserve">Coates, WW, Van Steenwyk, RA, Bentley, WJ, Day, KR, Kelley, KA &amp; Caprile, JL 2009, </w:t>
      </w:r>
      <w:r w:rsidRPr="00112D14">
        <w:rPr>
          <w:i/>
        </w:rPr>
        <w:t>Insects and Mites</w:t>
      </w:r>
      <w:r w:rsidRPr="00112D14">
        <w:t>, UC IPM Pest Management Guidelines: Apricot, University of California, Oakland, CA, available at</w:t>
      </w:r>
      <w:r w:rsidR="00286A1A">
        <w:t>,</w:t>
      </w:r>
      <w:r w:rsidRPr="00112D14">
        <w:t xml:space="preserve"> </w:t>
      </w:r>
      <w:hyperlink r:id="rId171" w:history="1">
        <w:r w:rsidR="00237C38" w:rsidRPr="009E4A79">
          <w:rPr>
            <w:rStyle w:val="Hyperlink"/>
          </w:rPr>
          <w:t>http://www.ipm.ucdavis.edu/PDF/PMG/pmgapricot.pdf</w:t>
        </w:r>
      </w:hyperlink>
      <w:r w:rsidRPr="00112D14">
        <w:t>.</w:t>
      </w:r>
      <w:bookmarkEnd w:id="729"/>
    </w:p>
    <w:p w14:paraId="58AEF4A4" w14:textId="77777777" w:rsidR="003438A2" w:rsidRPr="00112D14" w:rsidRDefault="003438A2" w:rsidP="00112D14">
      <w:pPr>
        <w:pStyle w:val="EndNoteBibliography"/>
        <w:spacing w:after="0"/>
      </w:pPr>
      <w:bookmarkStart w:id="730" w:name="_ENREF_161"/>
      <w:r w:rsidRPr="00112D14">
        <w:t xml:space="preserve">Colhoun, J 1938, ‘Fungi causing rots of apple fruits in storage in Northern Ireland’, </w:t>
      </w:r>
      <w:r w:rsidRPr="00112D14">
        <w:rPr>
          <w:i/>
        </w:rPr>
        <w:t>Annals of Applied Biology</w:t>
      </w:r>
      <w:r w:rsidRPr="00112D14">
        <w:t>, vol. 25, pp. 88-99.</w:t>
      </w:r>
      <w:bookmarkEnd w:id="730"/>
    </w:p>
    <w:p w14:paraId="4AEC20A1" w14:textId="77777777" w:rsidR="003438A2" w:rsidRPr="00112D14" w:rsidRDefault="003438A2" w:rsidP="00112D14">
      <w:pPr>
        <w:pStyle w:val="EndNoteBibliography"/>
        <w:spacing w:after="0"/>
      </w:pPr>
      <w:bookmarkStart w:id="731" w:name="_ENREF_162"/>
      <w:r w:rsidRPr="00112D14">
        <w:t xml:space="preserve">Collyer, E &amp; Van Geldermalsen, M 1975, ‘Integrated control of apple pests in New Zealand: i. outline of experiment and general results’, </w:t>
      </w:r>
      <w:r w:rsidRPr="00112D14">
        <w:rPr>
          <w:i/>
        </w:rPr>
        <w:t>New Zealand Journal of Zoology</w:t>
      </w:r>
      <w:r w:rsidRPr="00112D14">
        <w:t>, vol. 2, no. 1, pp. 101-34.</w:t>
      </w:r>
      <w:bookmarkEnd w:id="731"/>
    </w:p>
    <w:p w14:paraId="5FAC8D4A" w14:textId="77777777" w:rsidR="003438A2" w:rsidRPr="00112D14" w:rsidRDefault="003438A2" w:rsidP="00112D14">
      <w:pPr>
        <w:pStyle w:val="EndNoteBibliography"/>
        <w:spacing w:after="0"/>
      </w:pPr>
      <w:bookmarkStart w:id="732" w:name="_ENREF_163"/>
      <w:r w:rsidRPr="00112D14">
        <w:t xml:space="preserve">Colt, M, Fallahi, E, Himyck, R &amp; Lyon, T 2001, </w:t>
      </w:r>
      <w:r w:rsidRPr="00112D14">
        <w:rPr>
          <w:i/>
        </w:rPr>
        <w:t>Idaho crop profiles: apples</w:t>
      </w:r>
      <w:r w:rsidRPr="00112D14">
        <w:t>, College of Agricultural and Life Sciences, University of Idaho, USA, CIS 1090.</w:t>
      </w:r>
      <w:bookmarkEnd w:id="732"/>
    </w:p>
    <w:p w14:paraId="79B530B0" w14:textId="77777777" w:rsidR="003438A2" w:rsidRPr="00112D14" w:rsidRDefault="003438A2" w:rsidP="00112D14">
      <w:pPr>
        <w:pStyle w:val="EndNoteBibliography"/>
        <w:spacing w:after="0"/>
      </w:pPr>
      <w:bookmarkStart w:id="733" w:name="_ENREF_164"/>
      <w:r w:rsidRPr="00112D14">
        <w:t xml:space="preserve">Constable, FE, Joyce, PA &amp; Rodoni, BC 2007, ‘A survey of key Australian pome fruit growing districts for exotic and endemic pathogens’, </w:t>
      </w:r>
      <w:r w:rsidRPr="00112D14">
        <w:rPr>
          <w:i/>
        </w:rPr>
        <w:t>Australasian Plant Pathology</w:t>
      </w:r>
      <w:r w:rsidRPr="00112D14">
        <w:t>, vol. 36, pp. 165-72.</w:t>
      </w:r>
      <w:bookmarkEnd w:id="733"/>
    </w:p>
    <w:p w14:paraId="3719C3DA" w14:textId="77777777" w:rsidR="003438A2" w:rsidRPr="00112D14" w:rsidRDefault="003438A2" w:rsidP="00112D14">
      <w:pPr>
        <w:pStyle w:val="EndNoteBibliography"/>
        <w:spacing w:after="0"/>
      </w:pPr>
      <w:bookmarkStart w:id="734" w:name="_ENREF_165"/>
      <w:r w:rsidRPr="00112D14">
        <w:t xml:space="preserve">Consterton, JW, Cheng, K, Geesy, GG, Ladd, TI, Nickel, JC, Dasgupta, M &amp; Marrie, TJ 1987, ‘Bacterial biofilms in nature and disease’, </w:t>
      </w:r>
      <w:r w:rsidRPr="00112D14">
        <w:rPr>
          <w:i/>
        </w:rPr>
        <w:t>Annual Review of Microbiology</w:t>
      </w:r>
      <w:r w:rsidRPr="00112D14">
        <w:t>, vol. 41, pp. 435-64.</w:t>
      </w:r>
      <w:bookmarkEnd w:id="734"/>
    </w:p>
    <w:p w14:paraId="727B5C08" w14:textId="77777777" w:rsidR="003438A2" w:rsidRPr="00112D14" w:rsidRDefault="003438A2" w:rsidP="00112D14">
      <w:pPr>
        <w:pStyle w:val="EndNoteBibliography"/>
        <w:spacing w:after="0"/>
      </w:pPr>
      <w:bookmarkStart w:id="735" w:name="_ENREF_166"/>
      <w:r w:rsidRPr="00112D14">
        <w:t>Conti, E &amp; Bin, F 2001, ‘Native</w:t>
      </w:r>
      <w:r w:rsidRPr="00112D14">
        <w:rPr>
          <w:i/>
        </w:rPr>
        <w:t xml:space="preserve"> Lygus</w:t>
      </w:r>
      <w:r w:rsidRPr="00112D14">
        <w:t xml:space="preserve"> spp.(Heteroptera: Miridae) damaging introduced </w:t>
      </w:r>
      <w:r w:rsidRPr="00112D14">
        <w:rPr>
          <w:i/>
        </w:rPr>
        <w:t>Hibiscus cannabinus</w:t>
      </w:r>
      <w:r w:rsidRPr="00112D14">
        <w:t xml:space="preserve"> in Italy’, </w:t>
      </w:r>
      <w:r w:rsidRPr="00112D14">
        <w:rPr>
          <w:i/>
        </w:rPr>
        <w:t>Journal of Economic Entomology</w:t>
      </w:r>
      <w:r w:rsidRPr="00112D14">
        <w:t>, vol. 94, no. 3, pp. 648-57.</w:t>
      </w:r>
      <w:bookmarkEnd w:id="735"/>
    </w:p>
    <w:p w14:paraId="018696F2" w14:textId="77777777" w:rsidR="003438A2" w:rsidRPr="00112D14" w:rsidRDefault="003438A2" w:rsidP="00112D14">
      <w:pPr>
        <w:pStyle w:val="EndNoteBibliography"/>
        <w:spacing w:after="0"/>
      </w:pPr>
      <w:bookmarkStart w:id="736" w:name="_ENREF_167"/>
      <w:r w:rsidRPr="00112D14">
        <w:t xml:space="preserve">Cook, RP &amp; Dubé, AJ 1989, </w:t>
      </w:r>
      <w:r w:rsidRPr="00112D14">
        <w:rPr>
          <w:i/>
        </w:rPr>
        <w:t>Host-pathogen index of plant diseases in South Australia</w:t>
      </w:r>
      <w:r w:rsidRPr="00112D14">
        <w:t>, Field Crops Pathology Group, South Australian Department of Agriculture, Adelaide.</w:t>
      </w:r>
      <w:bookmarkEnd w:id="736"/>
    </w:p>
    <w:p w14:paraId="23597518" w14:textId="77777777" w:rsidR="003438A2" w:rsidRPr="00112D14" w:rsidRDefault="003438A2" w:rsidP="00112D14">
      <w:pPr>
        <w:pStyle w:val="EndNoteBibliography"/>
        <w:spacing w:after="0"/>
      </w:pPr>
      <w:bookmarkStart w:id="737" w:name="_ENREF_168"/>
      <w:r w:rsidRPr="00112D14">
        <w:t xml:space="preserve">Cooke, MC 1906, </w:t>
      </w:r>
      <w:r w:rsidRPr="00112D14">
        <w:rPr>
          <w:i/>
        </w:rPr>
        <w:t>Fungoid pests of cultivated plants</w:t>
      </w:r>
      <w:r w:rsidRPr="00112D14">
        <w:t>, Spottiswoode and Company, London.</w:t>
      </w:r>
      <w:bookmarkEnd w:id="737"/>
    </w:p>
    <w:p w14:paraId="39EDCF85" w14:textId="77777777" w:rsidR="003438A2" w:rsidRPr="00112D14" w:rsidRDefault="003438A2" w:rsidP="00112D14">
      <w:pPr>
        <w:pStyle w:val="EndNoteBibliography"/>
        <w:spacing w:after="0"/>
      </w:pPr>
      <w:bookmarkStart w:id="738" w:name="_ENREF_169"/>
      <w:r w:rsidRPr="00112D14">
        <w:t xml:space="preserve">Coop, L, Knight, A &amp; Fisher, G 1989, ‘Parasitism of orange tortrix on caneberry, </w:t>
      </w:r>
      <w:r w:rsidRPr="00112D14">
        <w:rPr>
          <w:i/>
        </w:rPr>
        <w:t>Rubus</w:t>
      </w:r>
      <w:r w:rsidRPr="00112D14">
        <w:t xml:space="preserve"> spp. in western Oregon and Washington’, </w:t>
      </w:r>
      <w:r w:rsidRPr="00112D14">
        <w:rPr>
          <w:i/>
        </w:rPr>
        <w:t>Journal of the Entomological Society of British Columbia</w:t>
      </w:r>
      <w:r w:rsidRPr="00112D14">
        <w:t>, vol. 86, pp. 63-5.</w:t>
      </w:r>
      <w:bookmarkEnd w:id="738"/>
    </w:p>
    <w:p w14:paraId="733EF053" w14:textId="77777777" w:rsidR="003438A2" w:rsidRPr="00112D14" w:rsidRDefault="003438A2" w:rsidP="00112D14">
      <w:pPr>
        <w:pStyle w:val="EndNoteBibliography"/>
        <w:spacing w:after="0"/>
      </w:pPr>
      <w:bookmarkStart w:id="739" w:name="_ENREF_170"/>
      <w:r w:rsidRPr="00112D14">
        <w:t xml:space="preserve">Cooper, WR &amp; Spurgeon, DW 2015, ‘Temperature-dependent survival of adult </w:t>
      </w:r>
      <w:r w:rsidRPr="00112D14">
        <w:rPr>
          <w:i/>
        </w:rPr>
        <w:t>Lygus hesperus</w:t>
      </w:r>
      <w:r w:rsidRPr="00112D14">
        <w:t xml:space="preserve"> (Hemiptera: Miridae)’, </w:t>
      </w:r>
      <w:r w:rsidRPr="00112D14">
        <w:rPr>
          <w:i/>
        </w:rPr>
        <w:t>Environmental Entomology</w:t>
      </w:r>
      <w:r w:rsidRPr="00112D14">
        <w:t>, vol. 44, no. 3, pp. 808-13.</w:t>
      </w:r>
      <w:bookmarkEnd w:id="739"/>
    </w:p>
    <w:p w14:paraId="5096A1ED" w14:textId="4492414B" w:rsidR="003438A2" w:rsidRPr="00112D14" w:rsidRDefault="003438A2" w:rsidP="00112D14">
      <w:pPr>
        <w:pStyle w:val="EndNoteBibliography"/>
        <w:spacing w:after="0"/>
      </w:pPr>
      <w:bookmarkStart w:id="740" w:name="_ENREF_171"/>
      <w:r w:rsidRPr="00112D14">
        <w:t xml:space="preserve">Cornell Cooperative Extention 2000, </w:t>
      </w:r>
      <w:r w:rsidRPr="00112D14">
        <w:rPr>
          <w:i/>
        </w:rPr>
        <w:t>Home grounds fact sheet: apple maggot</w:t>
      </w:r>
      <w:r w:rsidRPr="00112D14">
        <w:t>, Cornell Cooperative Extension Services, Nassau County, Horticulture program, available at</w:t>
      </w:r>
      <w:r w:rsidR="000473D0">
        <w:t>,</w:t>
      </w:r>
      <w:r w:rsidRPr="00112D14">
        <w:t xml:space="preserve"> </w:t>
      </w:r>
      <w:hyperlink r:id="rId172" w:history="1">
        <w:r w:rsidR="00237C38" w:rsidRPr="009E4A79">
          <w:rPr>
            <w:rStyle w:val="Hyperlink"/>
          </w:rPr>
          <w:t>http://ccenassau.org/resources/-apple-maggot-apple-scab</w:t>
        </w:r>
      </w:hyperlink>
      <w:r w:rsidRPr="00112D14">
        <w:t>.</w:t>
      </w:r>
      <w:bookmarkEnd w:id="740"/>
    </w:p>
    <w:p w14:paraId="3DCEF204" w14:textId="77777777" w:rsidR="003438A2" w:rsidRPr="00112D14" w:rsidRDefault="003438A2" w:rsidP="00112D14">
      <w:pPr>
        <w:pStyle w:val="EndNoteBibliography"/>
        <w:spacing w:after="0"/>
      </w:pPr>
      <w:bookmarkStart w:id="741" w:name="_ENREF_172"/>
      <w:r w:rsidRPr="00112D14">
        <w:t xml:space="preserve">Coutts, RHA, Rigden, JE, Slabas, AR, Lomonossoff, GP &amp; Wise, PJ 1991, ‘The complete nucleotide sequence of </w:t>
      </w:r>
      <w:r w:rsidRPr="00112D14">
        <w:rPr>
          <w:i/>
        </w:rPr>
        <w:t>Tobacco necrosis virus</w:t>
      </w:r>
      <w:r w:rsidRPr="00112D14">
        <w:t xml:space="preserve"> strain D’, </w:t>
      </w:r>
      <w:r w:rsidRPr="00112D14">
        <w:rPr>
          <w:i/>
        </w:rPr>
        <w:t>Journal of General Virology</w:t>
      </w:r>
      <w:r w:rsidRPr="00112D14">
        <w:t>, vol. 72, pp. 1521-9.</w:t>
      </w:r>
      <w:bookmarkEnd w:id="741"/>
    </w:p>
    <w:p w14:paraId="47275307" w14:textId="77777777" w:rsidR="003438A2" w:rsidRPr="00112D14" w:rsidRDefault="003438A2" w:rsidP="00112D14">
      <w:pPr>
        <w:pStyle w:val="EndNoteBibliography"/>
        <w:spacing w:after="0"/>
      </w:pPr>
      <w:bookmarkStart w:id="742" w:name="_ENREF_173"/>
      <w:r w:rsidRPr="00112D14">
        <w:t>Coventry, SA 2011, ‘Factors affecting short and long distance dispersal of fungal pathogens – chickpea ascochyta blight as a model’, PhD Thesis, The University of Adelaide.</w:t>
      </w:r>
      <w:bookmarkEnd w:id="742"/>
    </w:p>
    <w:p w14:paraId="4AA909A3" w14:textId="77777777" w:rsidR="003438A2" w:rsidRPr="00112D14" w:rsidRDefault="003438A2" w:rsidP="00112D14">
      <w:pPr>
        <w:pStyle w:val="EndNoteBibliography"/>
        <w:spacing w:after="0"/>
      </w:pPr>
      <w:bookmarkStart w:id="743" w:name="_ENREF_174"/>
      <w:r w:rsidRPr="00112D14">
        <w:t xml:space="preserve">Cox, CM 2004, ‘Dealing with boxelder bug problems without pesticides’, </w:t>
      </w:r>
      <w:r w:rsidRPr="00112D14">
        <w:rPr>
          <w:i/>
        </w:rPr>
        <w:t>Journal of Pesticide Reform</w:t>
      </w:r>
      <w:r w:rsidRPr="00112D14">
        <w:t>, vol. 24, no. 4, pp. 6-7.</w:t>
      </w:r>
      <w:bookmarkEnd w:id="743"/>
    </w:p>
    <w:p w14:paraId="51E380BD" w14:textId="6F8D7F37" w:rsidR="003438A2" w:rsidRPr="00112D14" w:rsidRDefault="003438A2" w:rsidP="00112D14">
      <w:pPr>
        <w:pStyle w:val="EndNoteBibliography"/>
        <w:spacing w:after="0"/>
      </w:pPr>
      <w:bookmarkStart w:id="744" w:name="_ENREF_175"/>
      <w:r w:rsidRPr="00112D14">
        <w:t>Crabo, L, Hammond, P, Peterson, M, Shepard, J &amp; Zack, R 2019, ‘Pacific Northwest Moths’, available at</w:t>
      </w:r>
      <w:r w:rsidR="000473D0">
        <w:t>,</w:t>
      </w:r>
      <w:r w:rsidRPr="00112D14">
        <w:t xml:space="preserve"> </w:t>
      </w:r>
      <w:hyperlink r:id="rId173" w:history="1">
        <w:r w:rsidR="00237C38" w:rsidRPr="009E4A79">
          <w:rPr>
            <w:rStyle w:val="Hyperlink"/>
          </w:rPr>
          <w:t>http://pnwmoths.biol.wwu.edu/</w:t>
        </w:r>
      </w:hyperlink>
      <w:r w:rsidRPr="00112D14">
        <w:t>, accessed 2019.</w:t>
      </w:r>
      <w:bookmarkEnd w:id="744"/>
    </w:p>
    <w:p w14:paraId="1FCEBA4A" w14:textId="22565E43" w:rsidR="003438A2" w:rsidRPr="00112D14" w:rsidRDefault="003438A2" w:rsidP="00112D14">
      <w:pPr>
        <w:pStyle w:val="EndNoteBibliography"/>
        <w:spacing w:after="0"/>
      </w:pPr>
      <w:bookmarkStart w:id="745" w:name="_ENREF_176"/>
      <w:r w:rsidRPr="00112D14">
        <w:t>-- -- 2021, ‘Pacific Northwest Moths’, available at</w:t>
      </w:r>
      <w:r w:rsidR="000473D0">
        <w:t>,</w:t>
      </w:r>
      <w:r w:rsidRPr="00112D14">
        <w:t xml:space="preserve"> </w:t>
      </w:r>
      <w:hyperlink r:id="rId174" w:history="1">
        <w:r w:rsidR="00237C38" w:rsidRPr="009E4A79">
          <w:rPr>
            <w:rStyle w:val="Hyperlink"/>
          </w:rPr>
          <w:t>http://pnwmoths.biol.wwu.edu/</w:t>
        </w:r>
      </w:hyperlink>
      <w:r w:rsidRPr="00112D14">
        <w:t>, accessed 2021.</w:t>
      </w:r>
      <w:bookmarkEnd w:id="745"/>
    </w:p>
    <w:p w14:paraId="58CD6460" w14:textId="77777777" w:rsidR="003438A2" w:rsidRPr="00112D14" w:rsidRDefault="003438A2" w:rsidP="00112D14">
      <w:pPr>
        <w:pStyle w:val="EndNoteBibliography"/>
        <w:spacing w:after="0"/>
      </w:pPr>
      <w:bookmarkStart w:id="746" w:name="_ENREF_177"/>
      <w:r w:rsidRPr="00112D14">
        <w:t xml:space="preserve">Crandall, CS 1905, ‘The curculio and the apple’, </w:t>
      </w:r>
      <w:r w:rsidRPr="00112D14">
        <w:rPr>
          <w:i/>
        </w:rPr>
        <w:t>Bulletin of the University of Illinois Agricultural Experiment Station</w:t>
      </w:r>
      <w:r w:rsidRPr="00112D14">
        <w:t>, vol. 98, pp. 467-560.</w:t>
      </w:r>
      <w:bookmarkEnd w:id="746"/>
    </w:p>
    <w:p w14:paraId="5A909941" w14:textId="666AFECA" w:rsidR="003438A2" w:rsidRPr="00112D14" w:rsidRDefault="003438A2" w:rsidP="00112D14">
      <w:pPr>
        <w:pStyle w:val="EndNoteBibliography"/>
        <w:spacing w:after="0"/>
      </w:pPr>
      <w:bookmarkStart w:id="747" w:name="_ENREF_178"/>
      <w:r w:rsidRPr="00112D14">
        <w:t>CSIRO 2022, ‘Australian National Insect Collection Taxon Database’, Commonwealth Scientific and Industrial Research Organisation (CSIRO), Canberra, Australia, available at</w:t>
      </w:r>
      <w:r w:rsidR="000473D0">
        <w:t>,</w:t>
      </w:r>
      <w:r w:rsidRPr="00112D14">
        <w:t xml:space="preserve"> </w:t>
      </w:r>
      <w:hyperlink r:id="rId175" w:history="1">
        <w:r w:rsidR="00237C38" w:rsidRPr="009E4A79">
          <w:rPr>
            <w:rStyle w:val="Hyperlink"/>
          </w:rPr>
          <w:t>https://www.csiro.au/en/about/facilities-collections/Collections/ANIC</w:t>
        </w:r>
      </w:hyperlink>
      <w:r w:rsidRPr="00112D14">
        <w:t>, accessed 2022.</w:t>
      </w:r>
      <w:bookmarkEnd w:id="747"/>
    </w:p>
    <w:p w14:paraId="78543F68" w14:textId="77777777" w:rsidR="003438A2" w:rsidRPr="00112D14" w:rsidRDefault="003438A2" w:rsidP="00112D14">
      <w:pPr>
        <w:pStyle w:val="EndNoteBibliography"/>
        <w:spacing w:after="0"/>
      </w:pPr>
      <w:bookmarkStart w:id="748" w:name="_ENREF_179"/>
      <w:r w:rsidRPr="00112D14">
        <w:t xml:space="preserve">Cunnington, JH 2004, ‘Three </w:t>
      </w:r>
      <w:r w:rsidRPr="00112D14">
        <w:rPr>
          <w:i/>
        </w:rPr>
        <w:t xml:space="preserve">Neofabraea </w:t>
      </w:r>
      <w:r w:rsidRPr="00112D14">
        <w:t xml:space="preserve">species on pome fruit in Australia’, </w:t>
      </w:r>
      <w:r w:rsidRPr="00112D14">
        <w:rPr>
          <w:i/>
        </w:rPr>
        <w:t>Australasian Plant Pathology</w:t>
      </w:r>
      <w:r w:rsidRPr="00112D14">
        <w:t>, vol. 33, no. 3, pp. 453-4.</w:t>
      </w:r>
      <w:bookmarkEnd w:id="748"/>
    </w:p>
    <w:p w14:paraId="53116F18" w14:textId="77777777" w:rsidR="003438A2" w:rsidRPr="00112D14" w:rsidRDefault="003438A2" w:rsidP="00112D14">
      <w:pPr>
        <w:pStyle w:val="EndNoteBibliography"/>
        <w:spacing w:after="0"/>
      </w:pPr>
      <w:bookmarkStart w:id="749" w:name="_ENREF_180"/>
      <w:r w:rsidRPr="00112D14">
        <w:t xml:space="preserve">Cunnington, JH, de Alwis, SK &amp; Priest, M 2009, ‘Some notes on </w:t>
      </w:r>
      <w:r w:rsidRPr="00112D14">
        <w:rPr>
          <w:i/>
        </w:rPr>
        <w:t>Phytophthora syringae</w:t>
      </w:r>
      <w:r w:rsidRPr="00112D14">
        <w:t xml:space="preserve"> and </w:t>
      </w:r>
      <w:r w:rsidRPr="00112D14">
        <w:rPr>
          <w:i/>
        </w:rPr>
        <w:t>P. multivesiculata</w:t>
      </w:r>
      <w:r w:rsidRPr="00112D14">
        <w:t xml:space="preserve"> in Australia’, </w:t>
      </w:r>
      <w:r w:rsidRPr="00112D14">
        <w:rPr>
          <w:i/>
        </w:rPr>
        <w:t>Australasian Plant Disease Notes</w:t>
      </w:r>
      <w:r w:rsidRPr="00112D14">
        <w:t>, vol. 4, pp. 42-3.</w:t>
      </w:r>
      <w:bookmarkEnd w:id="749"/>
    </w:p>
    <w:p w14:paraId="5EDFBE5D" w14:textId="77777777" w:rsidR="003438A2" w:rsidRPr="00112D14" w:rsidRDefault="003438A2" w:rsidP="00112D14">
      <w:pPr>
        <w:pStyle w:val="EndNoteBibliography"/>
        <w:spacing w:after="0"/>
      </w:pPr>
      <w:bookmarkStart w:id="750" w:name="_ENREF_181"/>
      <w:r w:rsidRPr="00112D14">
        <w:t xml:space="preserve">Cunnington, JH &amp; Mann, RC 2004, ‘The disappearance of </w:t>
      </w:r>
      <w:r w:rsidRPr="00112D14">
        <w:rPr>
          <w:i/>
        </w:rPr>
        <w:t xml:space="preserve">Taphrina bullata </w:t>
      </w:r>
      <w:r w:rsidRPr="00112D14">
        <w:t xml:space="preserve">from Australia’, </w:t>
      </w:r>
      <w:r w:rsidRPr="00112D14">
        <w:rPr>
          <w:i/>
        </w:rPr>
        <w:t>Australasian Plant Pathology</w:t>
      </w:r>
      <w:r w:rsidRPr="00112D14">
        <w:t>, vol. 33, no. 1, pp. 125-7.</w:t>
      </w:r>
      <w:bookmarkEnd w:id="750"/>
    </w:p>
    <w:p w14:paraId="4896DD09" w14:textId="77777777" w:rsidR="003438A2" w:rsidRPr="00112D14" w:rsidRDefault="003438A2" w:rsidP="00112D14">
      <w:pPr>
        <w:pStyle w:val="EndNoteBibliography"/>
        <w:spacing w:after="0"/>
      </w:pPr>
      <w:bookmarkStart w:id="751" w:name="_ENREF_182"/>
      <w:r w:rsidRPr="00112D14">
        <w:t xml:space="preserve">Curtis, CE, Clark, JD, Tebbets, JS &amp; Mackey, BE 1992, ‘Incidence of arthropods found in packed nectarine fruit in central California’, </w:t>
      </w:r>
      <w:r w:rsidRPr="00112D14">
        <w:rPr>
          <w:i/>
        </w:rPr>
        <w:t>Southwestern Entomologist</w:t>
      </w:r>
      <w:r w:rsidRPr="00112D14">
        <w:t>, vol. 17, no. 1, pp. 29-39.</w:t>
      </w:r>
      <w:bookmarkEnd w:id="751"/>
    </w:p>
    <w:p w14:paraId="5EAA87A5" w14:textId="77777777" w:rsidR="003438A2" w:rsidRPr="00112D14" w:rsidRDefault="003438A2" w:rsidP="00112D14">
      <w:pPr>
        <w:pStyle w:val="EndNoteBibliography"/>
        <w:spacing w:after="0"/>
      </w:pPr>
      <w:bookmarkStart w:id="752" w:name="_ENREF_183"/>
      <w:r w:rsidRPr="00112D14">
        <w:t xml:space="preserve">Cuthbertson, AGS &amp; Murchie, AK 2005, ‘Environmental monitoring of </w:t>
      </w:r>
      <w:r w:rsidRPr="00112D14">
        <w:rPr>
          <w:i/>
        </w:rPr>
        <w:t xml:space="preserve">Archips podana </w:t>
      </w:r>
      <w:r w:rsidRPr="00112D14">
        <w:t xml:space="preserve">(fruit tree tortrix moth) in Bramley apple orchards in Northern Ireland’, </w:t>
      </w:r>
      <w:r w:rsidRPr="00112D14">
        <w:rPr>
          <w:i/>
        </w:rPr>
        <w:t>International Journal of Environmental Science and Technology</w:t>
      </w:r>
      <w:r w:rsidRPr="00112D14">
        <w:t>, vol. 2, no. 2, pp. 101-4.</w:t>
      </w:r>
      <w:bookmarkEnd w:id="752"/>
    </w:p>
    <w:p w14:paraId="4F22BBED" w14:textId="61C91484" w:rsidR="003438A2" w:rsidRPr="00112D14" w:rsidRDefault="003438A2" w:rsidP="00112D14">
      <w:pPr>
        <w:pStyle w:val="EndNoteBibliography"/>
        <w:spacing w:after="0"/>
      </w:pPr>
      <w:bookmarkStart w:id="753" w:name="_ENREF_184"/>
      <w:r w:rsidRPr="00112D14">
        <w:t xml:space="preserve">DAFF 2013a, </w:t>
      </w:r>
      <w:r w:rsidRPr="00112D14">
        <w:rPr>
          <w:i/>
        </w:rPr>
        <w:t>Final non-regulated analysis of existing policy for Californian table grapes to Western Australia</w:t>
      </w:r>
      <w:r w:rsidRPr="00112D14">
        <w:t>, Department of Agriculture, Fisheries and Forestry, Canberra, available at</w:t>
      </w:r>
      <w:r w:rsidR="00F076F2">
        <w:t>,</w:t>
      </w:r>
      <w:r w:rsidRPr="00112D14">
        <w:t xml:space="preserve"> </w:t>
      </w:r>
      <w:hyperlink r:id="rId176" w:history="1">
        <w:r w:rsidR="00237C38" w:rsidRPr="009E4A79">
          <w:rPr>
            <w:rStyle w:val="Hyperlink"/>
          </w:rPr>
          <w:t>https://www.agriculture.gov.au/biosecurity-trade/policy/risk-analysis/memos/2013/ba2013-16-final-tg-california-wa</w:t>
        </w:r>
      </w:hyperlink>
      <w:r w:rsidRPr="00112D14">
        <w:t>.</w:t>
      </w:r>
      <w:bookmarkEnd w:id="753"/>
    </w:p>
    <w:p w14:paraId="02905E06" w14:textId="7A24FE37" w:rsidR="003438A2" w:rsidRPr="00112D14" w:rsidRDefault="003438A2" w:rsidP="00112D14">
      <w:pPr>
        <w:pStyle w:val="EndNoteBibliography"/>
        <w:spacing w:after="0"/>
      </w:pPr>
      <w:bookmarkStart w:id="754" w:name="_ENREF_185"/>
      <w:r w:rsidRPr="00112D14">
        <w:t xml:space="preserve">-- -- 2013b, </w:t>
      </w:r>
      <w:r w:rsidRPr="00112D14">
        <w:rPr>
          <w:i/>
        </w:rPr>
        <w:t>Final pest risk analysis report for Drosophila suzukii</w:t>
      </w:r>
      <w:r w:rsidRPr="00112D14">
        <w:t>, Australian Government Department of Agriculture, Fisheries and Forestry (DAFF), Canberra, available at</w:t>
      </w:r>
      <w:r w:rsidR="00F076F2">
        <w:t>,</w:t>
      </w:r>
      <w:r w:rsidRPr="00112D14">
        <w:t xml:space="preserve"> </w:t>
      </w:r>
      <w:hyperlink r:id="rId177" w:history="1">
        <w:r w:rsidR="00237C38" w:rsidRPr="009E4A79">
          <w:rPr>
            <w:rStyle w:val="Hyperlink"/>
          </w:rPr>
          <w:t>https://www.agriculture.gov.au/biosecurity-trade/policy/risk-analysis/memos/2013/ba2013-09-drosophila-suzukii-final</w:t>
        </w:r>
      </w:hyperlink>
      <w:r w:rsidRPr="00112D14">
        <w:t>.</w:t>
      </w:r>
      <w:bookmarkEnd w:id="754"/>
    </w:p>
    <w:p w14:paraId="7773C75F" w14:textId="77777777" w:rsidR="003438A2" w:rsidRPr="00112D14" w:rsidRDefault="003438A2" w:rsidP="00112D14">
      <w:pPr>
        <w:pStyle w:val="EndNoteBibliography"/>
        <w:spacing w:after="0"/>
      </w:pPr>
      <w:bookmarkStart w:id="755" w:name="_ENREF_186"/>
      <w:r w:rsidRPr="00112D14">
        <w:t xml:space="preserve">Dalton, MM, Mote, PW &amp; Snover, AK 2013, </w:t>
      </w:r>
      <w:r w:rsidRPr="00112D14">
        <w:rPr>
          <w:i/>
        </w:rPr>
        <w:t>Climate change in the Northwest: implications for our landscapes, waters, and communities</w:t>
      </w:r>
      <w:r w:rsidRPr="00112D14">
        <w:t>, Dalton, MM, Mote, PW &amp; Snover, AK (eds), Island Press, Washington, DC, USA.</w:t>
      </w:r>
      <w:bookmarkEnd w:id="755"/>
    </w:p>
    <w:p w14:paraId="2FB47463" w14:textId="77777777" w:rsidR="003438A2" w:rsidRPr="00112D14" w:rsidRDefault="003438A2" w:rsidP="00112D14">
      <w:pPr>
        <w:pStyle w:val="EndNoteBibliography"/>
        <w:spacing w:after="0"/>
      </w:pPr>
      <w:bookmarkStart w:id="756" w:name="_ENREF_187"/>
      <w:r w:rsidRPr="00112D14">
        <w:t xml:space="preserve">Dar, M, Ramegowda, G, Rao, R &amp; Illahi, I 2017, ‘Influence of weather on population build-up of </w:t>
      </w:r>
      <w:r w:rsidRPr="00112D14">
        <w:rPr>
          <w:i/>
        </w:rPr>
        <w:t xml:space="preserve">Tetranychus turkestani </w:t>
      </w:r>
      <w:r w:rsidRPr="00112D14">
        <w:t xml:space="preserve">Ugarov &amp; Nikolsii (Acari: Tetranychidae) on mulberry’, </w:t>
      </w:r>
      <w:r w:rsidRPr="00112D14">
        <w:rPr>
          <w:i/>
        </w:rPr>
        <w:t>Journal of Entomology and Zoology Studies</w:t>
      </w:r>
      <w:r w:rsidRPr="00112D14">
        <w:t>, vol. 5, no. 4, pp. 888-93.</w:t>
      </w:r>
      <w:bookmarkEnd w:id="756"/>
    </w:p>
    <w:p w14:paraId="38E1C186" w14:textId="77777777" w:rsidR="003438A2" w:rsidRPr="00112D14" w:rsidRDefault="003438A2" w:rsidP="00112D14">
      <w:pPr>
        <w:pStyle w:val="EndNoteBibliography"/>
        <w:spacing w:after="0"/>
      </w:pPr>
      <w:bookmarkStart w:id="757" w:name="_ENREF_188"/>
      <w:r w:rsidRPr="00112D14">
        <w:t xml:space="preserve">Davidson, JA &amp; Miller, DR 1990, ‘Ornamental plants’, in </w:t>
      </w:r>
      <w:r w:rsidRPr="00112D14">
        <w:rPr>
          <w:i/>
        </w:rPr>
        <w:t>Armoured scale insects: their biology, natural enemies and control. Vol. 4B</w:t>
      </w:r>
      <w:r w:rsidRPr="00112D14">
        <w:t>, Rosen, D (ed), Elsevier Science Publishers B.V., Amsterdam.</w:t>
      </w:r>
      <w:bookmarkEnd w:id="757"/>
    </w:p>
    <w:p w14:paraId="47C9F710" w14:textId="77777777" w:rsidR="003438A2" w:rsidRPr="00112D14" w:rsidRDefault="003438A2" w:rsidP="00112D14">
      <w:pPr>
        <w:pStyle w:val="EndNoteBibliography"/>
        <w:spacing w:after="0"/>
      </w:pPr>
      <w:bookmarkStart w:id="758" w:name="_ENREF_189"/>
      <w:r w:rsidRPr="00112D14">
        <w:t xml:space="preserve">Davidson, RH &amp; Peairs, LM 1966, </w:t>
      </w:r>
      <w:r w:rsidRPr="00112D14">
        <w:rPr>
          <w:i/>
        </w:rPr>
        <w:t>Insect pests of farm, garden, and orchard</w:t>
      </w:r>
      <w:r w:rsidRPr="00112D14">
        <w:t>, 6th edn, John Wiley and Sons, New York.</w:t>
      </w:r>
      <w:bookmarkEnd w:id="758"/>
    </w:p>
    <w:p w14:paraId="2A18024C" w14:textId="78398441" w:rsidR="003438A2" w:rsidRPr="00112D14" w:rsidRDefault="003438A2" w:rsidP="00112D14">
      <w:pPr>
        <w:pStyle w:val="EndNoteBibliography"/>
        <w:spacing w:after="0"/>
      </w:pPr>
      <w:bookmarkStart w:id="759" w:name="_ENREF_190"/>
      <w:r w:rsidRPr="00112D14">
        <w:t xml:space="preserve">DAWE 2021, </w:t>
      </w:r>
      <w:r w:rsidRPr="00112D14">
        <w:rPr>
          <w:i/>
        </w:rPr>
        <w:t>Final group pest risk analysis for soft and hard scale insects on fresh fruit, vegetable, cut-flower and foliage imports</w:t>
      </w:r>
      <w:r w:rsidRPr="00112D14">
        <w:t>, Department of Agriculture, Water and the Environment, Canberra, available at</w:t>
      </w:r>
      <w:r w:rsidR="00F076F2">
        <w:t>,</w:t>
      </w:r>
      <w:r w:rsidRPr="00112D14">
        <w:t xml:space="preserve"> </w:t>
      </w:r>
      <w:hyperlink r:id="rId178" w:history="1">
        <w:r w:rsidR="00237C38" w:rsidRPr="009E4A79">
          <w:rPr>
            <w:rStyle w:val="Hyperlink"/>
          </w:rPr>
          <w:t>https://www.agriculture.gov.au/biosecurity-trade/policy/risk-analysis/group-pest-risk-analyses/scales</w:t>
        </w:r>
      </w:hyperlink>
      <w:r w:rsidRPr="00112D14">
        <w:t>.</w:t>
      </w:r>
      <w:bookmarkEnd w:id="759"/>
    </w:p>
    <w:p w14:paraId="01AB04B6" w14:textId="35BA1DF8" w:rsidR="00C749B1" w:rsidRPr="00112D14" w:rsidRDefault="003438A2" w:rsidP="00112D14">
      <w:pPr>
        <w:pStyle w:val="EndNoteBibliography"/>
        <w:spacing w:after="0"/>
      </w:pPr>
      <w:bookmarkStart w:id="760" w:name="_ENREF_191"/>
      <w:r w:rsidRPr="00112D14">
        <w:t xml:space="preserve">DAWR 2016a, </w:t>
      </w:r>
      <w:r w:rsidRPr="00112D14">
        <w:rPr>
          <w:i/>
        </w:rPr>
        <w:t>Final report for the non-re</w:t>
      </w:r>
      <w:r w:rsidR="00237C38">
        <w:rPr>
          <w:i/>
        </w:rPr>
        <w:t>g</w:t>
      </w:r>
      <w:r w:rsidRPr="00112D14">
        <w:rPr>
          <w:i/>
        </w:rPr>
        <w:t>ulated analysis of existing policy for fresh nectarine fruit from China</w:t>
      </w:r>
      <w:r w:rsidRPr="00112D14">
        <w:t>, Department of Agriculture and Water Resources, Canberra</w:t>
      </w:r>
      <w:bookmarkEnd w:id="760"/>
      <w:r w:rsidR="00C749B1">
        <w:t xml:space="preserve">, </w:t>
      </w:r>
      <w:r w:rsidR="00C749B1" w:rsidRPr="00112D14">
        <w:t>available at</w:t>
      </w:r>
      <w:r w:rsidR="00F076F2">
        <w:t>,</w:t>
      </w:r>
      <w:r w:rsidR="00C749B1" w:rsidRPr="00112D14">
        <w:t xml:space="preserve"> </w:t>
      </w:r>
      <w:hyperlink r:id="rId179" w:history="1">
        <w:r w:rsidR="00C749B1" w:rsidRPr="00847402">
          <w:rPr>
            <w:rStyle w:val="Hyperlink"/>
          </w:rPr>
          <w:t>https://www.agriculture.gov.au/biosecurity-trade/policy/risk-analysis/plant/nectarines-from-china</w:t>
        </w:r>
      </w:hyperlink>
      <w:r w:rsidR="00C749B1">
        <w:t xml:space="preserve">. </w:t>
      </w:r>
    </w:p>
    <w:p w14:paraId="4C5CD5D8" w14:textId="54E20821" w:rsidR="003438A2" w:rsidRPr="00112D14" w:rsidRDefault="003438A2" w:rsidP="00112D14">
      <w:pPr>
        <w:pStyle w:val="EndNoteBibliography"/>
        <w:spacing w:after="0"/>
      </w:pPr>
      <w:bookmarkStart w:id="761" w:name="_ENREF_192"/>
      <w:r w:rsidRPr="00112D14">
        <w:t xml:space="preserve">-- -- 2016b, </w:t>
      </w:r>
      <w:r w:rsidRPr="00112D14">
        <w:rPr>
          <w:i/>
        </w:rPr>
        <w:t>Final report for the non-regulated analysis of existing policy for table grapes from India</w:t>
      </w:r>
      <w:r w:rsidRPr="00112D14">
        <w:t>, the Australian Government Department of Agriculture and Water Resources, Canberra, available at</w:t>
      </w:r>
      <w:r w:rsidR="00FB3E78">
        <w:t>,</w:t>
      </w:r>
      <w:r w:rsidRPr="00112D14">
        <w:t xml:space="preserve"> </w:t>
      </w:r>
      <w:hyperlink r:id="rId180" w:history="1">
        <w:r w:rsidR="007A10EB" w:rsidRPr="009E4A79">
          <w:rPr>
            <w:rStyle w:val="Hyperlink"/>
          </w:rPr>
          <w:t>https://www.agriculture.gov.au/biosecurity-trade/policy/risk-analysis/memos/ba2016-25</w:t>
        </w:r>
      </w:hyperlink>
      <w:r w:rsidRPr="00112D14">
        <w:t>.</w:t>
      </w:r>
      <w:bookmarkEnd w:id="761"/>
    </w:p>
    <w:p w14:paraId="20848D9F" w14:textId="7E5EC74E" w:rsidR="003438A2" w:rsidRPr="00112D14" w:rsidRDefault="003438A2" w:rsidP="00112D14">
      <w:pPr>
        <w:pStyle w:val="EndNoteBibliography"/>
        <w:spacing w:after="0"/>
      </w:pPr>
      <w:bookmarkStart w:id="762" w:name="_ENREF_193"/>
      <w:r w:rsidRPr="00112D14">
        <w:t xml:space="preserve">-- -- 2017, </w:t>
      </w:r>
      <w:r w:rsidRPr="00112D14">
        <w:rPr>
          <w:i/>
        </w:rPr>
        <w:t>Final group pest risk analysis for thrips and orthotospoviruses on fresh fruit, vegetable, cut-flower and foliage imports</w:t>
      </w:r>
      <w:r w:rsidRPr="00112D14">
        <w:t>, Department of Agriculture and Water Resources, Canberra, available at</w:t>
      </w:r>
      <w:r w:rsidR="00FB3E78">
        <w:t>,</w:t>
      </w:r>
      <w:r w:rsidRPr="00112D14">
        <w:t xml:space="preserve"> </w:t>
      </w:r>
      <w:hyperlink r:id="rId181" w:history="1">
        <w:r w:rsidR="007A10EB" w:rsidRPr="009E4A79">
          <w:rPr>
            <w:rStyle w:val="Hyperlink"/>
          </w:rPr>
          <w:t>https://www.agriculture.gov.au/biosecurity-trade/policy/risk-analysis/group-pest-risk-analyses/group-pra-thrips-orthotospoviruses/final-report</w:t>
        </w:r>
      </w:hyperlink>
      <w:r w:rsidRPr="00112D14">
        <w:t>.</w:t>
      </w:r>
      <w:bookmarkEnd w:id="762"/>
    </w:p>
    <w:p w14:paraId="1839D18C" w14:textId="1510FC11" w:rsidR="003438A2" w:rsidRPr="00112D14" w:rsidRDefault="003438A2" w:rsidP="00112D14">
      <w:pPr>
        <w:pStyle w:val="EndNoteBibliography"/>
        <w:spacing w:after="0"/>
      </w:pPr>
      <w:bookmarkStart w:id="763" w:name="_ENREF_194"/>
      <w:r w:rsidRPr="00112D14">
        <w:t xml:space="preserve">-- -- 2019, </w:t>
      </w:r>
      <w:r w:rsidRPr="00112D14">
        <w:rPr>
          <w:i/>
        </w:rPr>
        <w:t>Final group pest risk analysis for mealybugs and the viruses they transmit on fresh fruit, vegetable, cut-flower and foliage imports</w:t>
      </w:r>
      <w:r w:rsidRPr="00112D14">
        <w:t>, Department of Agriculture and Water Resources, Canberra, available at</w:t>
      </w:r>
      <w:r w:rsidR="00FB3E78">
        <w:t>,</w:t>
      </w:r>
      <w:r w:rsidRPr="00112D14">
        <w:t xml:space="preserve"> </w:t>
      </w:r>
      <w:hyperlink r:id="rId182" w:history="1">
        <w:r w:rsidR="007A10EB" w:rsidRPr="009E4A79">
          <w:rPr>
            <w:rStyle w:val="Hyperlink"/>
          </w:rPr>
          <w:t>https://www.agriculture.gov.au/biosecurity-trade/policy/risk-analysis/group-pest-risk-analyses/mealybugs/final-report</w:t>
        </w:r>
      </w:hyperlink>
      <w:r w:rsidRPr="00112D14">
        <w:t>.</w:t>
      </w:r>
      <w:bookmarkEnd w:id="763"/>
    </w:p>
    <w:p w14:paraId="7D28B7F4" w14:textId="77777777" w:rsidR="003438A2" w:rsidRPr="00112D14" w:rsidRDefault="003438A2" w:rsidP="00112D14">
      <w:pPr>
        <w:pStyle w:val="EndNoteBibliography"/>
        <w:spacing w:after="0"/>
      </w:pPr>
      <w:bookmarkStart w:id="764" w:name="_ENREF_195"/>
      <w:r w:rsidRPr="00112D14">
        <w:t xml:space="preserve">de Assis Filho, FM, Stravisky, J, Reitz, SR, Deom, CM &amp; Sherwood, JL 2005, ‘Midgut infection by </w:t>
      </w:r>
      <w:r w:rsidRPr="00112D14">
        <w:rPr>
          <w:i/>
        </w:rPr>
        <w:t>Tomato spotted wilt virus</w:t>
      </w:r>
      <w:r w:rsidRPr="00112D14">
        <w:t xml:space="preserve"> and vector incompetence of </w:t>
      </w:r>
      <w:r w:rsidRPr="00112D14">
        <w:rPr>
          <w:i/>
        </w:rPr>
        <w:t>Frankliniella tritici</w:t>
      </w:r>
      <w:r w:rsidRPr="00112D14">
        <w:t xml:space="preserve">’, </w:t>
      </w:r>
      <w:r w:rsidRPr="00112D14">
        <w:rPr>
          <w:i/>
        </w:rPr>
        <w:t>Journal of Applied Entomology-Zeitschrift fur Angewandte Entomologie</w:t>
      </w:r>
      <w:r w:rsidRPr="00112D14">
        <w:t>, vol. 129, no. 9-10, pp. 548-50.</w:t>
      </w:r>
      <w:bookmarkEnd w:id="764"/>
    </w:p>
    <w:p w14:paraId="1E261284" w14:textId="77777777" w:rsidR="003438A2" w:rsidRPr="00112D14" w:rsidRDefault="003438A2" w:rsidP="00112D14">
      <w:pPr>
        <w:pStyle w:val="EndNoteBibliography"/>
        <w:spacing w:after="0"/>
      </w:pPr>
      <w:bookmarkStart w:id="765" w:name="_ENREF_196"/>
      <w:r w:rsidRPr="00112D14">
        <w:t xml:space="preserve">de Jong, SN 1998, ‘The development of specific, non-discriminating PCR primers for the detection of </w:t>
      </w:r>
      <w:r w:rsidRPr="00112D14">
        <w:rPr>
          <w:i/>
        </w:rPr>
        <w:t xml:space="preserve">Pezicula malicorticis </w:t>
      </w:r>
      <w:r w:rsidRPr="00112D14">
        <w:t xml:space="preserve">and </w:t>
      </w:r>
      <w:r w:rsidRPr="00112D14">
        <w:rPr>
          <w:i/>
        </w:rPr>
        <w:t>P. perennans</w:t>
      </w:r>
      <w:r w:rsidRPr="00112D14">
        <w:t>, agents of anthracnose canker, perennial canker, and bull's-eye rot of apple’, Master of Pest Management Thesis, Simon Fraser University.</w:t>
      </w:r>
      <w:bookmarkEnd w:id="765"/>
    </w:p>
    <w:p w14:paraId="35A103A2" w14:textId="77777777" w:rsidR="003438A2" w:rsidRPr="00112D14" w:rsidRDefault="003438A2" w:rsidP="00112D14">
      <w:pPr>
        <w:pStyle w:val="EndNoteBibliography"/>
        <w:spacing w:after="0"/>
      </w:pPr>
      <w:bookmarkStart w:id="766" w:name="_ENREF_197"/>
      <w:r w:rsidRPr="00112D14">
        <w:t xml:space="preserve">de Jong, SN, Lévesque, CA, Verkley, GJM, Abeln, ECA, Rahe, JE &amp; Braun, PG 2001, ‘Phylogenetic relationships among </w:t>
      </w:r>
      <w:r w:rsidRPr="00112D14">
        <w:rPr>
          <w:i/>
        </w:rPr>
        <w:t>Neofabraea</w:t>
      </w:r>
      <w:r w:rsidRPr="00112D14">
        <w:t xml:space="preserve"> species causing tree cankers and bull's-eye rot of apple based on DNA sequencing of ITS nuclear rDNA, mitochondrial rDNA, and the beta-tubulin gene’, </w:t>
      </w:r>
      <w:r w:rsidRPr="00112D14">
        <w:rPr>
          <w:i/>
        </w:rPr>
        <w:t>Mycological Research</w:t>
      </w:r>
      <w:r w:rsidRPr="00112D14">
        <w:t>, vol. 105, no. 6, pp. 658-69.</w:t>
      </w:r>
      <w:bookmarkEnd w:id="766"/>
    </w:p>
    <w:p w14:paraId="7D1521BC" w14:textId="77777777" w:rsidR="003438A2" w:rsidRPr="00112D14" w:rsidRDefault="003438A2" w:rsidP="00112D14">
      <w:pPr>
        <w:pStyle w:val="EndNoteBibliography"/>
        <w:spacing w:after="0"/>
      </w:pPr>
      <w:bookmarkStart w:id="767" w:name="_ENREF_198"/>
      <w:r w:rsidRPr="00112D14">
        <w:t xml:space="preserve">de Prins, W &amp; Steeman, C 2008, </w:t>
      </w:r>
      <w:r w:rsidRPr="00112D14">
        <w:rPr>
          <w:i/>
        </w:rPr>
        <w:t>Catalogue of the Lepidoptera of Belgium Acleris holmiana (Linnaeus, 1758)</w:t>
      </w:r>
      <w:r w:rsidRPr="00112D14">
        <w:t>, Flemish Entomological Society, UK Moths.</w:t>
      </w:r>
      <w:bookmarkEnd w:id="767"/>
    </w:p>
    <w:p w14:paraId="2EBC18DE" w14:textId="77777777" w:rsidR="003438A2" w:rsidRPr="00112D14" w:rsidRDefault="003438A2" w:rsidP="00112D14">
      <w:pPr>
        <w:pStyle w:val="EndNoteBibliography"/>
        <w:spacing w:after="0"/>
      </w:pPr>
      <w:bookmarkStart w:id="768" w:name="_ENREF_199"/>
      <w:r w:rsidRPr="00112D14">
        <w:t xml:space="preserve">Deckers, T 2010, </w:t>
      </w:r>
      <w:r w:rsidRPr="00112D14">
        <w:rPr>
          <w:i/>
        </w:rPr>
        <w:t>Australia - measures affecting the importation of apples from New Zealand</w:t>
      </w:r>
      <w:r w:rsidRPr="00112D14">
        <w:t>, WT/DS367/11, World Trade Organisation.</w:t>
      </w:r>
      <w:bookmarkEnd w:id="768"/>
    </w:p>
    <w:p w14:paraId="47A7AE84" w14:textId="722DCDCC" w:rsidR="003438A2" w:rsidRPr="00112D14" w:rsidRDefault="003438A2" w:rsidP="0053382E">
      <w:pPr>
        <w:pStyle w:val="EndNoteBibliography"/>
        <w:spacing w:after="0"/>
      </w:pPr>
      <w:bookmarkStart w:id="769" w:name="_ENREF_200"/>
      <w:r w:rsidRPr="00112D14">
        <w:t>DEFRA 2020, ‘</w:t>
      </w:r>
      <w:r w:rsidRPr="00112D14">
        <w:rPr>
          <w:i/>
        </w:rPr>
        <w:t>Anthonomus quadrigibbus</w:t>
      </w:r>
      <w:r w:rsidRPr="00112D14">
        <w:t xml:space="preserve">’, </w:t>
      </w:r>
      <w:r w:rsidRPr="00112D14">
        <w:rPr>
          <w:i/>
        </w:rPr>
        <w:t>Pest Information</w:t>
      </w:r>
      <w:r w:rsidRPr="00112D14">
        <w:t>, Department for Environment Food and Rural Affairs (DEFRA), UK</w:t>
      </w:r>
      <w:bookmarkStart w:id="770" w:name="_ENREF_201"/>
      <w:bookmarkEnd w:id="769"/>
      <w:r w:rsidR="0053382E">
        <w:t>.</w:t>
      </w:r>
      <w:r w:rsidRPr="00112D14">
        <w:t xml:space="preserve"> and Washington blueberries,’ </w:t>
      </w:r>
      <w:r w:rsidRPr="00112D14">
        <w:rPr>
          <w:i/>
        </w:rPr>
        <w:t>Summary of a workshop held by the Western Integrated Pest Management Center, Portland OR, USA, 24 March 2004</w:t>
      </w:r>
      <w:r w:rsidRPr="00112D14">
        <w:t>.</w:t>
      </w:r>
      <w:bookmarkEnd w:id="770"/>
    </w:p>
    <w:p w14:paraId="06DEE7FB" w14:textId="77777777" w:rsidR="003438A2" w:rsidRPr="00112D14" w:rsidRDefault="003438A2" w:rsidP="00112D14">
      <w:pPr>
        <w:pStyle w:val="EndNoteBibliography"/>
        <w:spacing w:after="0"/>
      </w:pPr>
      <w:bookmarkStart w:id="771" w:name="_ENREF_202"/>
      <w:r w:rsidRPr="00112D14">
        <w:t xml:space="preserve">Deland, J, Gries, R, Gries, G, Judd, GJR &amp; Roitberg, BD 1993, ‘Sex pheromone components of the fruit-tree leaf roller, </w:t>
      </w:r>
      <w:r w:rsidRPr="00112D14">
        <w:rPr>
          <w:i/>
        </w:rPr>
        <w:t>Archips argyrospilus</w:t>
      </w:r>
      <w:r w:rsidRPr="00112D14">
        <w:t xml:space="preserve"> (Walker) (Lepidoptera: Tortricidae), in British Columbia’, </w:t>
      </w:r>
      <w:r w:rsidRPr="00112D14">
        <w:rPr>
          <w:i/>
        </w:rPr>
        <w:t>Journal of Chemical Ecology</w:t>
      </w:r>
      <w:r w:rsidRPr="00112D14">
        <w:t>, vol. 19, no. 12, pp. 2855-64.</w:t>
      </w:r>
      <w:bookmarkEnd w:id="771"/>
    </w:p>
    <w:p w14:paraId="307647F3" w14:textId="77777777" w:rsidR="003438A2" w:rsidRPr="00112D14" w:rsidRDefault="003438A2" w:rsidP="00112D14">
      <w:pPr>
        <w:pStyle w:val="EndNoteBibliography"/>
        <w:spacing w:after="0"/>
      </w:pPr>
      <w:bookmarkStart w:id="772" w:name="_ENREF_203"/>
      <w:r w:rsidRPr="00112D14">
        <w:t xml:space="preserve">Dennis, C &amp; Mountford, J 1975, ‘The fungal flora of soft fruits in relation to storage and spoilage’, </w:t>
      </w:r>
      <w:r w:rsidRPr="00112D14">
        <w:rPr>
          <w:i/>
        </w:rPr>
        <w:t>Annals of Applied Biology</w:t>
      </w:r>
      <w:r w:rsidRPr="00112D14">
        <w:t>, vol. 79, pp. 141-7.</w:t>
      </w:r>
      <w:bookmarkEnd w:id="772"/>
    </w:p>
    <w:p w14:paraId="44B2FEDB" w14:textId="5841B424" w:rsidR="003438A2" w:rsidRPr="00112D14" w:rsidRDefault="003438A2" w:rsidP="00112D14">
      <w:pPr>
        <w:pStyle w:val="EndNoteBibliography"/>
        <w:spacing w:after="0"/>
      </w:pPr>
      <w:bookmarkStart w:id="773" w:name="_ENREF_204"/>
      <w:r w:rsidRPr="00112D14">
        <w:t xml:space="preserve">Department of Agriculture 2014, </w:t>
      </w:r>
      <w:r w:rsidRPr="00112D14">
        <w:rPr>
          <w:i/>
        </w:rPr>
        <w:t>Final report for the non-regulated analysis of existing policy for fresh table grapes from Japan</w:t>
      </w:r>
      <w:r w:rsidRPr="00112D14">
        <w:t>, Department of Agriculture, Canberra, available at</w:t>
      </w:r>
      <w:r w:rsidR="004D707A">
        <w:t>,</w:t>
      </w:r>
      <w:r w:rsidRPr="00112D14">
        <w:t xml:space="preserve"> </w:t>
      </w:r>
      <w:hyperlink r:id="rId183" w:history="1">
        <w:r w:rsidR="00834FC9" w:rsidRPr="009E4A79">
          <w:rPr>
            <w:rStyle w:val="Hyperlink"/>
          </w:rPr>
          <w:t>https://www.agriculture.gov.au/biosecurity-trade/policy/risk-analysis/plant/table-grapes-japan</w:t>
        </w:r>
      </w:hyperlink>
      <w:r w:rsidRPr="00112D14">
        <w:t>.</w:t>
      </w:r>
      <w:bookmarkEnd w:id="773"/>
    </w:p>
    <w:p w14:paraId="21E7FFA3" w14:textId="77777777" w:rsidR="003438A2" w:rsidRPr="00112D14" w:rsidRDefault="003438A2" w:rsidP="00112D14">
      <w:pPr>
        <w:pStyle w:val="EndNoteBibliography"/>
        <w:spacing w:after="0"/>
      </w:pPr>
      <w:bookmarkStart w:id="774" w:name="_ENREF_205"/>
      <w:r w:rsidRPr="00112D14">
        <w:t xml:space="preserve">-- -- 2018, </w:t>
      </w:r>
      <w:r w:rsidRPr="00112D14">
        <w:rPr>
          <w:i/>
        </w:rPr>
        <w:t>National diagnostic protocol for detection of Neonectria ditissima (European canker)</w:t>
      </w:r>
      <w:r w:rsidRPr="00112D14">
        <w:t>, NDP 21, Australian Government, Department of Agriculture (pdf 2.9 mb).</w:t>
      </w:r>
      <w:bookmarkEnd w:id="774"/>
    </w:p>
    <w:p w14:paraId="5C46CF27" w14:textId="77777777" w:rsidR="003438A2" w:rsidRPr="00112D14" w:rsidRDefault="003438A2" w:rsidP="00112D14">
      <w:pPr>
        <w:pStyle w:val="EndNoteBibliography"/>
        <w:spacing w:after="0"/>
      </w:pPr>
      <w:bookmarkStart w:id="775" w:name="_ENREF_206"/>
      <w:r w:rsidRPr="00112D14">
        <w:t xml:space="preserve">Desvignes, JC, Grasseau, N, Boyé, R, Cornaggia, D, Aparicio, F, Di Serio, F &amp; Flores, R 1999, ‘Biological properties of </w:t>
      </w:r>
      <w:r w:rsidRPr="00112D14">
        <w:rPr>
          <w:i/>
        </w:rPr>
        <w:t>Apple scar skin viroid</w:t>
      </w:r>
      <w:r w:rsidRPr="00112D14">
        <w:t xml:space="preserve">: isolates, host range, different sensitivity of apple cultivars, elimination, and natural transmission’, </w:t>
      </w:r>
      <w:r w:rsidRPr="00112D14">
        <w:rPr>
          <w:i/>
        </w:rPr>
        <w:t>Plant Disease</w:t>
      </w:r>
      <w:r w:rsidRPr="00112D14">
        <w:t>, vol. 83, no. 8, pp. 768-72.</w:t>
      </w:r>
      <w:bookmarkEnd w:id="775"/>
    </w:p>
    <w:p w14:paraId="2385FB30" w14:textId="77777777" w:rsidR="003438A2" w:rsidRPr="00112D14" w:rsidRDefault="003438A2" w:rsidP="00112D14">
      <w:pPr>
        <w:pStyle w:val="EndNoteBibliography"/>
        <w:spacing w:after="0"/>
      </w:pPr>
      <w:bookmarkStart w:id="776" w:name="_ENREF_207"/>
      <w:r w:rsidRPr="00112D14">
        <w:t xml:space="preserve">Di Serio, F, Flores, R, Verhoeven, JTJ, Li, SF, Pallas, V, Randles, JW, Sano, T, Vidalakis, G &amp; Owens, RA 2014, ‘Current status of viroid taxonomy’, </w:t>
      </w:r>
      <w:r w:rsidRPr="00112D14">
        <w:rPr>
          <w:i/>
        </w:rPr>
        <w:t>Archives of Virology</w:t>
      </w:r>
      <w:r w:rsidRPr="00112D14">
        <w:t>, vol. 159, pp. 3467-78.</w:t>
      </w:r>
      <w:bookmarkEnd w:id="776"/>
    </w:p>
    <w:p w14:paraId="6602291E" w14:textId="77777777" w:rsidR="003438A2" w:rsidRPr="00112D14" w:rsidRDefault="003438A2" w:rsidP="00112D14">
      <w:pPr>
        <w:pStyle w:val="EndNoteBibliography"/>
        <w:spacing w:after="0"/>
      </w:pPr>
      <w:bookmarkStart w:id="777" w:name="_ENREF_208"/>
      <w:r>
        <w:t>D</w:t>
      </w:r>
      <w:r w:rsidRPr="00112D14">
        <w:t>i Serio, F, Malfitano, M, Alioto, D, Ragozzino, A, Desvinges, JC &amp; Flores, R 2001, ‘</w:t>
      </w:r>
      <w:r w:rsidRPr="00112D14">
        <w:rPr>
          <w:i/>
        </w:rPr>
        <w:t>Apple dimple fruit viroid</w:t>
      </w:r>
      <w:r w:rsidRPr="00112D14">
        <w:t xml:space="preserve">: fulfillment of Koch's postulates and sympton characteristics’, </w:t>
      </w:r>
      <w:r w:rsidRPr="00112D14">
        <w:rPr>
          <w:i/>
        </w:rPr>
        <w:t>Plant Disease</w:t>
      </w:r>
      <w:r w:rsidRPr="00112D14">
        <w:t>, vol. 85, pp. 179-82.</w:t>
      </w:r>
      <w:bookmarkEnd w:id="777"/>
    </w:p>
    <w:p w14:paraId="7BF04514" w14:textId="77777777" w:rsidR="003438A2" w:rsidRPr="00112D14" w:rsidRDefault="003438A2" w:rsidP="00112D14">
      <w:pPr>
        <w:pStyle w:val="EndNoteBibliography"/>
        <w:spacing w:after="0"/>
      </w:pPr>
      <w:bookmarkStart w:id="778" w:name="_ENREF_209"/>
      <w:r w:rsidRPr="00112D14">
        <w:t xml:space="preserve">Díaz-Cruz, GA, Smith, CM, Wiebe, KF &amp; Cassone, BJ 2017, ‘First complete genome sequence of </w:t>
      </w:r>
      <w:r w:rsidRPr="00112D14">
        <w:rPr>
          <w:i/>
        </w:rPr>
        <w:t>Tobacco necrosis virus D</w:t>
      </w:r>
      <w:r w:rsidRPr="00112D14">
        <w:t xml:space="preserve"> isolated from soybean and from North America’, </w:t>
      </w:r>
      <w:r w:rsidRPr="00112D14">
        <w:rPr>
          <w:i/>
        </w:rPr>
        <w:t>Genome Announcements</w:t>
      </w:r>
      <w:r w:rsidRPr="00112D14">
        <w:t>, vol. 5, e00781-17.</w:t>
      </w:r>
      <w:bookmarkEnd w:id="778"/>
    </w:p>
    <w:p w14:paraId="4B9700A8" w14:textId="77777777" w:rsidR="003438A2" w:rsidRPr="00112D14" w:rsidRDefault="003438A2" w:rsidP="00112D14">
      <w:pPr>
        <w:pStyle w:val="EndNoteBibliography"/>
        <w:spacing w:after="0"/>
      </w:pPr>
      <w:bookmarkStart w:id="779" w:name="_ENREF_210"/>
      <w:r w:rsidRPr="00112D14">
        <w:t xml:space="preserve">Díaz, GA, Zoffoli, JP, Lolas, M, Blanco, A, Latorre, BA, Ferrada, EE, Elfar, K &amp; Naranjo, P 2016, ‘Occurrence of </w:t>
      </w:r>
      <w:r w:rsidRPr="00112D14">
        <w:rPr>
          <w:i/>
        </w:rPr>
        <w:t>Phacidiopycnis washingtonensis</w:t>
      </w:r>
      <w:r w:rsidRPr="00112D14">
        <w:t xml:space="preserve"> causing speck rot on stored Pink lady apple fruit in Chile’, </w:t>
      </w:r>
      <w:r w:rsidRPr="00112D14">
        <w:rPr>
          <w:i/>
        </w:rPr>
        <w:t>Plant Disease</w:t>
      </w:r>
      <w:r w:rsidRPr="00112D14">
        <w:t>, vol. 100, no. 1, pp. 211-2.</w:t>
      </w:r>
      <w:bookmarkEnd w:id="779"/>
    </w:p>
    <w:p w14:paraId="7B01188D" w14:textId="77777777" w:rsidR="003438A2" w:rsidRPr="00112D14" w:rsidRDefault="003438A2" w:rsidP="00112D14">
      <w:pPr>
        <w:pStyle w:val="EndNoteBibliography"/>
        <w:spacing w:after="0"/>
      </w:pPr>
      <w:bookmarkStart w:id="780" w:name="_ENREF_211"/>
      <w:r w:rsidRPr="00112D14">
        <w:t xml:space="preserve">Dickler, E 1991, ‘Tortricid pests of pome and stone fruits, Eurasian species’, in </w:t>
      </w:r>
      <w:r w:rsidRPr="00112D14">
        <w:rPr>
          <w:i/>
        </w:rPr>
        <w:t>Tortricid pests: their biology, natural enemies and control. Vol. 5</w:t>
      </w:r>
      <w:r w:rsidRPr="00112D14">
        <w:t>, Van der Geest, LPS &amp; Evenhuis, HH (eds), Elsevier Science Publishers B.V., Amsterdam.</w:t>
      </w:r>
      <w:bookmarkEnd w:id="780"/>
    </w:p>
    <w:p w14:paraId="7417CC29" w14:textId="77777777" w:rsidR="003438A2" w:rsidRPr="00112D14" w:rsidRDefault="003438A2" w:rsidP="00112D14">
      <w:pPr>
        <w:pStyle w:val="EndNoteBibliography"/>
        <w:spacing w:after="0"/>
      </w:pPr>
      <w:bookmarkStart w:id="781" w:name="_ENREF_212"/>
      <w:r w:rsidRPr="00112D14">
        <w:t xml:space="preserve">DiCosmo, F, Nag Raj, TR &amp; Kendrick, WB 1984, ‘A revision of the </w:t>
      </w:r>
      <w:r w:rsidRPr="00112D14">
        <w:rPr>
          <w:i/>
        </w:rPr>
        <w:t>Phacidiaceae</w:t>
      </w:r>
      <w:r w:rsidRPr="00112D14">
        <w:t xml:space="preserve"> and related anamorphs’, </w:t>
      </w:r>
      <w:r w:rsidRPr="00112D14">
        <w:rPr>
          <w:i/>
        </w:rPr>
        <w:t>Mycotaxon</w:t>
      </w:r>
      <w:r w:rsidRPr="00112D14">
        <w:t>, vol. 21, pp. 1-234.</w:t>
      </w:r>
      <w:bookmarkEnd w:id="781"/>
    </w:p>
    <w:p w14:paraId="5000334F" w14:textId="77777777" w:rsidR="003438A2" w:rsidRPr="00112D14" w:rsidRDefault="003438A2" w:rsidP="00112D14">
      <w:pPr>
        <w:pStyle w:val="EndNoteBibliography"/>
        <w:spacing w:after="0"/>
      </w:pPr>
      <w:bookmarkStart w:id="782" w:name="_ENREF_213"/>
      <w:r w:rsidRPr="00112D14">
        <w:t xml:space="preserve">Doerr, MD &amp; Brunner, JF 2002, </w:t>
      </w:r>
      <w:r w:rsidRPr="00112D14">
        <w:rPr>
          <w:i/>
        </w:rPr>
        <w:t>Temperature-dependent development of Lacanobia subjuncta (Lepidoptera: Noctuidae)</w:t>
      </w:r>
      <w:r w:rsidRPr="00112D14">
        <w:t>, Washington State University, Wenatchee, Washington.</w:t>
      </w:r>
      <w:bookmarkEnd w:id="782"/>
    </w:p>
    <w:p w14:paraId="32BD45A0" w14:textId="6BA8B280" w:rsidR="003438A2" w:rsidRPr="00112D14" w:rsidRDefault="003438A2" w:rsidP="00112D14">
      <w:pPr>
        <w:pStyle w:val="EndNoteBibliography"/>
        <w:spacing w:after="0"/>
      </w:pPr>
      <w:bookmarkStart w:id="783" w:name="_ENREF_214"/>
      <w:r w:rsidRPr="00112D14">
        <w:t xml:space="preserve">-- -- 2007, </w:t>
      </w:r>
      <w:r w:rsidRPr="00112D14">
        <w:rPr>
          <w:i/>
        </w:rPr>
        <w:t>Lacanobia subjuncta (Grote and Robinson)</w:t>
      </w:r>
      <w:r w:rsidRPr="00112D14">
        <w:t>, Orchard Pest Management Online, Washington State University, available at</w:t>
      </w:r>
      <w:r w:rsidR="004D707A">
        <w:t>,</w:t>
      </w:r>
      <w:r w:rsidRPr="00112D14">
        <w:t xml:space="preserve"> </w:t>
      </w:r>
      <w:hyperlink r:id="rId184" w:history="1">
        <w:r w:rsidR="00834FC9" w:rsidRPr="009E4A79">
          <w:rPr>
            <w:rStyle w:val="Hyperlink"/>
          </w:rPr>
          <w:t>http://treefruit.wsu.edu/crop-protection/opm/lacanobia/?print-view=true</w:t>
        </w:r>
      </w:hyperlink>
      <w:r w:rsidRPr="00112D14">
        <w:t>.</w:t>
      </w:r>
      <w:bookmarkEnd w:id="783"/>
    </w:p>
    <w:p w14:paraId="2224E27E" w14:textId="77777777" w:rsidR="003438A2" w:rsidRPr="00112D14" w:rsidRDefault="003438A2" w:rsidP="00112D14">
      <w:pPr>
        <w:pStyle w:val="EndNoteBibliography"/>
        <w:spacing w:after="0"/>
      </w:pPr>
      <w:bookmarkStart w:id="784" w:name="_ENREF_215"/>
      <w:r w:rsidRPr="00112D14">
        <w:t xml:space="preserve">Doerr, MD, Brunner, JF &amp; Jones, VP 2002, ‘Temperature-dependent development of </w:t>
      </w:r>
      <w:r w:rsidRPr="00112D14">
        <w:rPr>
          <w:i/>
        </w:rPr>
        <w:t>Lacanobia subjuncta</w:t>
      </w:r>
      <w:r w:rsidRPr="00112D14">
        <w:t xml:space="preserve"> (Lepidoptera: Noctuidae)’, </w:t>
      </w:r>
      <w:r w:rsidRPr="00112D14">
        <w:rPr>
          <w:i/>
        </w:rPr>
        <w:t>Environmental Entomology</w:t>
      </w:r>
      <w:r w:rsidRPr="00112D14">
        <w:t>, vol. 31, no. 6, pp. 995-9.</w:t>
      </w:r>
      <w:bookmarkEnd w:id="784"/>
    </w:p>
    <w:p w14:paraId="7C11CDAB" w14:textId="77777777" w:rsidR="003438A2" w:rsidRPr="00112D14" w:rsidRDefault="003438A2" w:rsidP="00112D14">
      <w:pPr>
        <w:pStyle w:val="EndNoteBibliography"/>
        <w:spacing w:after="0"/>
      </w:pPr>
      <w:bookmarkStart w:id="785" w:name="_ENREF_216"/>
      <w:r w:rsidRPr="00112D14">
        <w:t xml:space="preserve">-- -- 2005, ‘Phenology of </w:t>
      </w:r>
      <w:r w:rsidRPr="00112D14">
        <w:rPr>
          <w:i/>
        </w:rPr>
        <w:t>Lacanobia subjuncta</w:t>
      </w:r>
      <w:r w:rsidRPr="00112D14">
        <w:t xml:space="preserve"> (Lepidoptera: Noctuidae) in Washington and Oregon apple orchards’, </w:t>
      </w:r>
      <w:r w:rsidRPr="00112D14">
        <w:rPr>
          <w:i/>
        </w:rPr>
        <w:t>Journal of Economic Entomology</w:t>
      </w:r>
      <w:r w:rsidRPr="00112D14">
        <w:t>, vol. 98, no. 6, pp. 2100-6.</w:t>
      </w:r>
      <w:bookmarkEnd w:id="785"/>
    </w:p>
    <w:p w14:paraId="520C076A" w14:textId="77777777" w:rsidR="003438A2" w:rsidRPr="00112D14" w:rsidRDefault="003438A2" w:rsidP="00112D14">
      <w:pPr>
        <w:pStyle w:val="EndNoteBibliography"/>
        <w:spacing w:after="0"/>
      </w:pPr>
      <w:bookmarkStart w:id="786" w:name="_ENREF_217"/>
      <w:r w:rsidRPr="00112D14">
        <w:t xml:space="preserve">Doerr, MD, Brunner, JF &amp; Schrader, LE 2004, ‘Integrated pest management approach for a new pest, </w:t>
      </w:r>
      <w:r w:rsidRPr="00112D14">
        <w:rPr>
          <w:i/>
        </w:rPr>
        <w:t>Lacanobia subjuncta</w:t>
      </w:r>
      <w:r w:rsidRPr="00112D14">
        <w:t xml:space="preserve"> (Lepidoptera: Noctuidae), in Washington apple orchards’, </w:t>
      </w:r>
      <w:r w:rsidRPr="00112D14">
        <w:rPr>
          <w:i/>
        </w:rPr>
        <w:t>Pest Management Science</w:t>
      </w:r>
      <w:r w:rsidRPr="00112D14">
        <w:t>, vol. 60, pp. 1025-34.</w:t>
      </w:r>
      <w:bookmarkEnd w:id="786"/>
    </w:p>
    <w:p w14:paraId="328555BC" w14:textId="77777777" w:rsidR="003438A2" w:rsidRPr="00112D14" w:rsidRDefault="003438A2" w:rsidP="00112D14">
      <w:pPr>
        <w:pStyle w:val="EndNoteBibliography"/>
        <w:spacing w:after="0"/>
      </w:pPr>
      <w:bookmarkStart w:id="787" w:name="_ENREF_218"/>
      <w:r w:rsidRPr="00112D14">
        <w:t>Dosse, G 1953, ‘</w:t>
      </w:r>
      <w:r w:rsidRPr="00112D14">
        <w:rPr>
          <w:i/>
        </w:rPr>
        <w:t>Tenuipalpis oudemansi</w:t>
      </w:r>
      <w:r w:rsidRPr="00112D14">
        <w:t xml:space="preserve"> Geijskes, eine für Deutschland neue Spinnmilbenart’ (</w:t>
      </w:r>
      <w:r w:rsidRPr="00112D14">
        <w:rPr>
          <w:i/>
        </w:rPr>
        <w:t>Tenuipalpis oudemansi</w:t>
      </w:r>
      <w:r w:rsidRPr="00112D14">
        <w:t xml:space="preserve">), </w:t>
      </w:r>
      <w:r w:rsidRPr="00112D14">
        <w:rPr>
          <w:i/>
        </w:rPr>
        <w:t>Zeitschrift für Angewandte Entomologie</w:t>
      </w:r>
      <w:r w:rsidRPr="00112D14">
        <w:t xml:space="preserve">, vol. 34, pp. 587-97. </w:t>
      </w:r>
      <w:bookmarkEnd w:id="787"/>
    </w:p>
    <w:p w14:paraId="4036DA2C" w14:textId="41D4C825" w:rsidR="003438A2" w:rsidRPr="00112D14" w:rsidRDefault="003438A2" w:rsidP="00112D14">
      <w:pPr>
        <w:pStyle w:val="EndNoteBibliography"/>
        <w:spacing w:after="0"/>
      </w:pPr>
      <w:bookmarkStart w:id="788" w:name="_ENREF_219"/>
      <w:r w:rsidRPr="00112D14">
        <w:t xml:space="preserve">Douglas, SM 2006, </w:t>
      </w:r>
      <w:r w:rsidRPr="00112D14">
        <w:rPr>
          <w:i/>
        </w:rPr>
        <w:t>Fire blight</w:t>
      </w:r>
      <w:r w:rsidRPr="00112D14">
        <w:t>, The Connecticut Agricultural Experiment Station, available at</w:t>
      </w:r>
      <w:r w:rsidR="004D707A">
        <w:t>,</w:t>
      </w:r>
      <w:r w:rsidRPr="00112D14">
        <w:t xml:space="preserve"> </w:t>
      </w:r>
      <w:hyperlink r:id="rId185" w:history="1">
        <w:r w:rsidR="00834FC9" w:rsidRPr="009E4A79">
          <w:rPr>
            <w:rStyle w:val="Hyperlink"/>
          </w:rPr>
          <w:t>http://www.ct.gov/caes/cwp/view.asp?a=2815&amp;q=376796</w:t>
        </w:r>
      </w:hyperlink>
      <w:r w:rsidRPr="00112D14">
        <w:t>.</w:t>
      </w:r>
      <w:bookmarkEnd w:id="788"/>
    </w:p>
    <w:p w14:paraId="135CB1C3" w14:textId="434FC2EF" w:rsidR="003438A2" w:rsidRPr="00112D14" w:rsidRDefault="003438A2" w:rsidP="00112D14">
      <w:pPr>
        <w:pStyle w:val="EndNoteBibliography"/>
        <w:spacing w:after="0"/>
      </w:pPr>
      <w:bookmarkStart w:id="789" w:name="_ENREF_220"/>
      <w:r w:rsidRPr="00112D14">
        <w:t xml:space="preserve">DPIPWE 2020, </w:t>
      </w:r>
      <w:r w:rsidRPr="00112D14">
        <w:rPr>
          <w:i/>
        </w:rPr>
        <w:t>Plant Quarantine Manual Tasmania - 2014 Edition</w:t>
      </w:r>
      <w:r w:rsidRPr="00112D14">
        <w:t>, Department of Primary Industries, Parks, Water and Environment, Hobart, Tasmania.</w:t>
      </w:r>
      <w:bookmarkEnd w:id="789"/>
    </w:p>
    <w:p w14:paraId="661C4F44" w14:textId="1B0EFFCC" w:rsidR="003438A2" w:rsidRPr="00112D14" w:rsidRDefault="003438A2" w:rsidP="00112D14">
      <w:pPr>
        <w:pStyle w:val="EndNoteBibliography"/>
        <w:spacing w:after="0"/>
      </w:pPr>
      <w:bookmarkStart w:id="790" w:name="_ENREF_221"/>
      <w:r w:rsidRPr="00112D14">
        <w:t>DPIRD 2016, ‘Codling moth: declared pest’, Department of Primary Industries and Regional Development (DPIRD), Agriculture and Food, Western Australia, available at</w:t>
      </w:r>
      <w:r w:rsidR="004D707A">
        <w:t>,</w:t>
      </w:r>
      <w:r w:rsidRPr="00112D14">
        <w:t xml:space="preserve"> </w:t>
      </w:r>
      <w:hyperlink r:id="rId186" w:history="1">
        <w:r w:rsidR="00834FC9" w:rsidRPr="009E4A79">
          <w:rPr>
            <w:rStyle w:val="Hyperlink"/>
          </w:rPr>
          <w:t>https://www.agric.wa.gov.au/plant-biosecurity/codling-moth-declared-pest</w:t>
        </w:r>
      </w:hyperlink>
      <w:r w:rsidRPr="00112D14">
        <w:t>.</w:t>
      </w:r>
      <w:bookmarkEnd w:id="790"/>
    </w:p>
    <w:p w14:paraId="6719E434" w14:textId="77777777" w:rsidR="003438A2" w:rsidRPr="00112D14" w:rsidRDefault="003438A2" w:rsidP="00112D14">
      <w:pPr>
        <w:pStyle w:val="EndNoteBibliography"/>
        <w:spacing w:after="0"/>
      </w:pPr>
      <w:bookmarkStart w:id="791" w:name="_ENREF_222"/>
      <w:r w:rsidRPr="00112D14">
        <w:t xml:space="preserve">DPIW Tasmania 2008a, </w:t>
      </w:r>
      <w:r w:rsidRPr="00112D14">
        <w:rPr>
          <w:i/>
        </w:rPr>
        <w:t>An incomplete list of introduced invertebrate animals occurring in Tasmania and the Tasmanian Wilderness World Heritage Area (TWWHA)</w:t>
      </w:r>
      <w:r w:rsidRPr="00112D14">
        <w:t>, Department of Primary Industries and Water, Tasmania.</w:t>
      </w:r>
      <w:bookmarkEnd w:id="791"/>
    </w:p>
    <w:p w14:paraId="67548C6F" w14:textId="77777777" w:rsidR="003438A2" w:rsidRPr="00112D14" w:rsidRDefault="003438A2" w:rsidP="00112D14">
      <w:pPr>
        <w:pStyle w:val="EndNoteBibliography"/>
        <w:spacing w:after="0"/>
      </w:pPr>
      <w:bookmarkStart w:id="792" w:name="_ENREF_223"/>
      <w:r w:rsidRPr="00112D14">
        <w:t xml:space="preserve">-- -- 2008b, </w:t>
      </w:r>
      <w:r w:rsidRPr="00112D14">
        <w:rPr>
          <w:i/>
        </w:rPr>
        <w:t>Plant quarantine manual: Tasmania</w:t>
      </w:r>
      <w:r w:rsidRPr="00112D14">
        <w:t>, Department of Primary Industries and Water, Tasmania.</w:t>
      </w:r>
      <w:bookmarkEnd w:id="792"/>
    </w:p>
    <w:p w14:paraId="319C6D98" w14:textId="7C5A1C8F" w:rsidR="003438A2" w:rsidRPr="00112D14" w:rsidRDefault="003438A2" w:rsidP="00112D14">
      <w:pPr>
        <w:pStyle w:val="EndNoteBibliography"/>
        <w:spacing w:after="0"/>
      </w:pPr>
      <w:bookmarkStart w:id="793" w:name="_ENREF_224"/>
      <w:r w:rsidRPr="00112D14">
        <w:t xml:space="preserve">DRDPIFR NT 2008, </w:t>
      </w:r>
      <w:r w:rsidRPr="00112D14">
        <w:rPr>
          <w:i/>
        </w:rPr>
        <w:t>Summary of conditions for the introduction of plants and plant material into the Northern Territory</w:t>
      </w:r>
      <w:r w:rsidR="00834FC9">
        <w:rPr>
          <w:i/>
        </w:rPr>
        <w:t>.</w:t>
      </w:r>
      <w:bookmarkEnd w:id="793"/>
    </w:p>
    <w:p w14:paraId="59252FF1" w14:textId="77777777" w:rsidR="003438A2" w:rsidRPr="00112D14" w:rsidRDefault="003438A2" w:rsidP="00112D14">
      <w:pPr>
        <w:pStyle w:val="EndNoteBibliography"/>
        <w:spacing w:after="0"/>
      </w:pPr>
      <w:bookmarkStart w:id="794" w:name="_ENREF_225"/>
      <w:r w:rsidRPr="00112D14">
        <w:t xml:space="preserve">Dubin, HJ &amp; English, H 1975, ‘Effects of temperature, relative humidity, and desiccation on germination of </w:t>
      </w:r>
      <w:r w:rsidRPr="00112D14">
        <w:rPr>
          <w:i/>
        </w:rPr>
        <w:t>Nectria galligena</w:t>
      </w:r>
      <w:r w:rsidRPr="00112D14">
        <w:t xml:space="preserve"> conidia’, </w:t>
      </w:r>
      <w:r w:rsidRPr="00112D14">
        <w:rPr>
          <w:i/>
        </w:rPr>
        <w:t>Mycologia</w:t>
      </w:r>
      <w:r w:rsidRPr="00112D14">
        <w:t>, vol. 67, no. 1, pp. 83-8.</w:t>
      </w:r>
      <w:bookmarkEnd w:id="794"/>
    </w:p>
    <w:p w14:paraId="02AD1496" w14:textId="77777777" w:rsidR="003438A2" w:rsidRPr="00112D14" w:rsidRDefault="003438A2" w:rsidP="00112D14">
      <w:pPr>
        <w:pStyle w:val="EndNoteBibliography"/>
        <w:spacing w:after="0"/>
      </w:pPr>
      <w:bookmarkStart w:id="795" w:name="_ENREF_226"/>
      <w:r w:rsidRPr="00112D14">
        <w:t xml:space="preserve">Dueck, J 1974, ‘Survival of </w:t>
      </w:r>
      <w:r w:rsidRPr="00112D14">
        <w:rPr>
          <w:i/>
        </w:rPr>
        <w:t>Erwinia amylovora</w:t>
      </w:r>
      <w:r w:rsidRPr="00112D14">
        <w:t xml:space="preserve"> in association with mature apple fruit’, </w:t>
      </w:r>
      <w:r w:rsidRPr="00112D14">
        <w:rPr>
          <w:i/>
        </w:rPr>
        <w:t>Canadian Journal of Plant Science</w:t>
      </w:r>
      <w:r w:rsidRPr="00112D14">
        <w:t>, vol. 54, no. 2, pp. 349-51.</w:t>
      </w:r>
      <w:bookmarkEnd w:id="795"/>
    </w:p>
    <w:p w14:paraId="44FB5E69" w14:textId="77777777" w:rsidR="003438A2" w:rsidRPr="00112D14" w:rsidRDefault="003438A2" w:rsidP="00112D14">
      <w:pPr>
        <w:pStyle w:val="EndNoteBibliography"/>
        <w:spacing w:after="0"/>
      </w:pPr>
      <w:bookmarkStart w:id="796" w:name="_ENREF_227"/>
      <w:r w:rsidRPr="00112D14">
        <w:t xml:space="preserve">Dugan, FM 1993, ‘Anthracnose, perennial canker and bull's-eye rot of apple and pear’, </w:t>
      </w:r>
      <w:r w:rsidRPr="00112D14">
        <w:rPr>
          <w:i/>
        </w:rPr>
        <w:t>Tree Fruit Postharvest Journal</w:t>
      </w:r>
      <w:r w:rsidRPr="00112D14">
        <w:t>, vol. 4, no. 1, pp. 5-6.</w:t>
      </w:r>
      <w:bookmarkEnd w:id="796"/>
    </w:p>
    <w:p w14:paraId="7A61CA85" w14:textId="77777777" w:rsidR="003438A2" w:rsidRPr="00112D14" w:rsidRDefault="003438A2" w:rsidP="00112D14">
      <w:pPr>
        <w:pStyle w:val="EndNoteBibliography"/>
        <w:spacing w:after="0"/>
      </w:pPr>
      <w:bookmarkStart w:id="797" w:name="_ENREF_228"/>
      <w:r w:rsidRPr="00112D14">
        <w:t xml:space="preserve">Dugan, FM, Grove, GG &amp; Rogers, JD 1993, ‘Comparative studies of </w:t>
      </w:r>
      <w:r w:rsidRPr="00112D14">
        <w:rPr>
          <w:i/>
        </w:rPr>
        <w:t xml:space="preserve">Cryptosporiopis curvispora </w:t>
      </w:r>
      <w:r w:rsidRPr="00112D14">
        <w:t xml:space="preserve">and </w:t>
      </w:r>
      <w:r w:rsidRPr="00112D14">
        <w:rPr>
          <w:i/>
        </w:rPr>
        <w:t xml:space="preserve">C.pernnans: </w:t>
      </w:r>
      <w:r w:rsidRPr="00112D14">
        <w:t xml:space="preserve">i. morphology and pathogenic behavior’, </w:t>
      </w:r>
      <w:r w:rsidRPr="00112D14">
        <w:rPr>
          <w:i/>
        </w:rPr>
        <w:t>Mycologia</w:t>
      </w:r>
      <w:r w:rsidRPr="00112D14">
        <w:t>, vol. 85, no. 4, pp. 551-64.</w:t>
      </w:r>
      <w:bookmarkEnd w:id="797"/>
    </w:p>
    <w:p w14:paraId="14A34223" w14:textId="4950C042" w:rsidR="003438A2" w:rsidRPr="00112D14" w:rsidRDefault="003438A2" w:rsidP="00112D14">
      <w:pPr>
        <w:pStyle w:val="EndNoteBibliography"/>
        <w:spacing w:after="0"/>
      </w:pPr>
      <w:bookmarkStart w:id="798" w:name="_ENREF_229"/>
      <w:r w:rsidRPr="00112D14">
        <w:t xml:space="preserve">Duncan, R 2006, </w:t>
      </w:r>
      <w:r w:rsidRPr="00112D14">
        <w:rPr>
          <w:i/>
        </w:rPr>
        <w:t>Conifer defoiliating insects of British Columbia: Geometridae, Hemithea aestivaria (Hubner), common emerald</w:t>
      </w:r>
      <w:r w:rsidRPr="00112D14">
        <w:t>, Natural Resources Canada, available at</w:t>
      </w:r>
      <w:r w:rsidR="00146E82">
        <w:t>,</w:t>
      </w:r>
      <w:r w:rsidRPr="00112D14">
        <w:t xml:space="preserve"> </w:t>
      </w:r>
      <w:hyperlink r:id="rId187" w:history="1">
        <w:r w:rsidR="00146E82" w:rsidRPr="00847402">
          <w:rPr>
            <w:rStyle w:val="Hyperlink"/>
          </w:rPr>
          <w:t>https://d1ied5g1xfgpx8.cloudfront.net/pdfs/26133.pdf</w:t>
        </w:r>
      </w:hyperlink>
      <w:r w:rsidRPr="00112D14">
        <w:t>.</w:t>
      </w:r>
      <w:bookmarkEnd w:id="798"/>
    </w:p>
    <w:p w14:paraId="562CE8E5" w14:textId="77777777" w:rsidR="003438A2" w:rsidRPr="00112D14" w:rsidRDefault="003438A2" w:rsidP="00112D14">
      <w:pPr>
        <w:pStyle w:val="EndNoteBibliography"/>
        <w:spacing w:after="0"/>
      </w:pPr>
      <w:bookmarkStart w:id="799" w:name="_ENREF_230"/>
      <w:r w:rsidRPr="00112D14">
        <w:t xml:space="preserve">Dunley, JE, Brunner, JF, Doerr, MD &amp; Beers, EH 2006, ‘Resistance and cross-resistance in populations of the leafrollers, </w:t>
      </w:r>
      <w:r w:rsidRPr="00112D14">
        <w:rPr>
          <w:i/>
        </w:rPr>
        <w:t>Choristoneura rosaceana</w:t>
      </w:r>
      <w:r w:rsidRPr="00112D14">
        <w:t xml:space="preserve"> and </w:t>
      </w:r>
      <w:r w:rsidRPr="00112D14">
        <w:rPr>
          <w:i/>
        </w:rPr>
        <w:t>Pandemis pyrusana</w:t>
      </w:r>
      <w:r w:rsidRPr="00112D14">
        <w:t xml:space="preserve">, in Washington apples’, </w:t>
      </w:r>
      <w:r w:rsidRPr="00112D14">
        <w:rPr>
          <w:i/>
        </w:rPr>
        <w:t>Journal of Insect Science</w:t>
      </w:r>
      <w:r w:rsidRPr="00112D14">
        <w:t>, vol. 6, no. 14, pp. 1-7.</w:t>
      </w:r>
      <w:bookmarkEnd w:id="799"/>
    </w:p>
    <w:p w14:paraId="13EF6B2A" w14:textId="77777777" w:rsidR="003438A2" w:rsidRPr="00112D14" w:rsidRDefault="003438A2" w:rsidP="006103D9">
      <w:pPr>
        <w:pStyle w:val="EndNoteBibliography"/>
        <w:spacing w:after="0"/>
      </w:pPr>
      <w:bookmarkStart w:id="800" w:name="_ENREF_232"/>
      <w:bookmarkStart w:id="801" w:name="_ENREF_231"/>
      <w:r w:rsidRPr="00112D14">
        <w:t>Du</w:t>
      </w:r>
      <w:r>
        <w:t>P</w:t>
      </w:r>
      <w:r w:rsidRPr="00112D14">
        <w:t xml:space="preserve">ont, </w:t>
      </w:r>
      <w:r>
        <w:t>S</w:t>
      </w:r>
      <w:r w:rsidRPr="00112D14">
        <w:t xml:space="preserve">T 2018, </w:t>
      </w:r>
      <w:r w:rsidRPr="00112D14">
        <w:rPr>
          <w:i/>
        </w:rPr>
        <w:t>Fall fire blight considerations</w:t>
      </w:r>
      <w:r w:rsidRPr="00112D14">
        <w:t>, Washington State University Extension, 14 April 2021, Washington State University (WSU) Tree Fruit, Washington State, USA.</w:t>
      </w:r>
      <w:bookmarkEnd w:id="800"/>
    </w:p>
    <w:p w14:paraId="62EEF928" w14:textId="77777777" w:rsidR="003438A2" w:rsidRPr="00112D14" w:rsidRDefault="003438A2" w:rsidP="00112D14">
      <w:pPr>
        <w:pStyle w:val="EndNoteBibliography"/>
        <w:spacing w:after="0"/>
      </w:pPr>
      <w:r w:rsidRPr="00112D14">
        <w:t>-- -- 2019a, ‘Fire blight outbreaks and controls in Washington state, United States’, paper presented at 2nd International Symposium on Fireblight of Rosaceous Plants, Traverse City, Michigan, USA, 17-21 June.</w:t>
      </w:r>
      <w:bookmarkEnd w:id="801"/>
    </w:p>
    <w:p w14:paraId="04D957A4" w14:textId="77777777" w:rsidR="003438A2" w:rsidRPr="00112D14" w:rsidRDefault="003438A2" w:rsidP="00112D14">
      <w:pPr>
        <w:pStyle w:val="EndNoteBibliography"/>
        <w:spacing w:after="0"/>
      </w:pPr>
      <w:bookmarkStart w:id="802" w:name="_ENREF_233"/>
      <w:r w:rsidRPr="00112D14">
        <w:t xml:space="preserve">-- -- 2019b, </w:t>
      </w:r>
      <w:r w:rsidRPr="00112D14">
        <w:rPr>
          <w:i/>
        </w:rPr>
        <w:t>Apples in Washington State</w:t>
      </w:r>
      <w:r w:rsidRPr="00112D14">
        <w:t>, College of Agricultural, Human, and Natural Resource Sciences, Washington State University, Wenatchee WA USA.</w:t>
      </w:r>
      <w:bookmarkEnd w:id="802"/>
    </w:p>
    <w:p w14:paraId="2103D578" w14:textId="3A5C318B" w:rsidR="003438A2" w:rsidRPr="00112D14" w:rsidRDefault="003438A2" w:rsidP="00112D14">
      <w:pPr>
        <w:pStyle w:val="EndNoteBibliography"/>
        <w:spacing w:after="0"/>
      </w:pPr>
      <w:bookmarkStart w:id="803" w:name="_ENREF_234"/>
      <w:r w:rsidRPr="00112D14">
        <w:t xml:space="preserve">-- -- 2019c, </w:t>
      </w:r>
      <w:r w:rsidRPr="00112D14">
        <w:rPr>
          <w:i/>
        </w:rPr>
        <w:t>Fire blight of apple and pear</w:t>
      </w:r>
      <w:r w:rsidRPr="00112D14">
        <w:t>, Washington State University Extension, available at</w:t>
      </w:r>
      <w:r w:rsidR="00817949">
        <w:t>,</w:t>
      </w:r>
      <w:r w:rsidRPr="00112D14">
        <w:t xml:space="preserve"> </w:t>
      </w:r>
      <w:hyperlink r:id="rId188" w:history="1">
        <w:r w:rsidR="00B53856" w:rsidRPr="009E4A79">
          <w:rPr>
            <w:rStyle w:val="Hyperlink"/>
          </w:rPr>
          <w:t>http://treefruit.wsu.edu/crop-protection/disease-management/fire-blight/?print-view=true</w:t>
        </w:r>
      </w:hyperlink>
      <w:r w:rsidRPr="00112D14">
        <w:t>.</w:t>
      </w:r>
      <w:bookmarkEnd w:id="803"/>
    </w:p>
    <w:p w14:paraId="2B211A7C" w14:textId="77777777" w:rsidR="003438A2" w:rsidRPr="00112D14" w:rsidRDefault="003438A2" w:rsidP="00112D14">
      <w:pPr>
        <w:pStyle w:val="EndNoteBibliography"/>
        <w:spacing w:after="0"/>
      </w:pPr>
      <w:bookmarkStart w:id="804" w:name="_ENREF_235"/>
      <w:r w:rsidRPr="00112D14">
        <w:t xml:space="preserve">-- -- 2019d, ‘Getting ready for fire blight prevention’, </w:t>
      </w:r>
      <w:r w:rsidRPr="00112D14">
        <w:rPr>
          <w:i/>
        </w:rPr>
        <w:t>Fruit Matters Newsletter, Washington State University</w:t>
      </w:r>
      <w:r w:rsidRPr="00112D14">
        <w:t>, 5 April 2019.</w:t>
      </w:r>
      <w:bookmarkEnd w:id="804"/>
    </w:p>
    <w:p w14:paraId="3001E23C" w14:textId="7DE5678D" w:rsidR="003438A2" w:rsidRPr="00112D14" w:rsidRDefault="003438A2" w:rsidP="00112D14">
      <w:pPr>
        <w:pStyle w:val="EndNoteBibliography"/>
        <w:spacing w:after="0"/>
      </w:pPr>
      <w:bookmarkStart w:id="805" w:name="_ENREF_236"/>
      <w:r w:rsidRPr="00112D14">
        <w:t xml:space="preserve">-- -- 2020a, ‘Cougar Blight Model’, </w:t>
      </w:r>
      <w:r w:rsidRPr="00112D14">
        <w:rPr>
          <w:i/>
        </w:rPr>
        <w:t>WSU Tree Fruit</w:t>
      </w:r>
      <w:r w:rsidRPr="00112D14">
        <w:t>, Washington State University, Washington State, USA, available at</w:t>
      </w:r>
      <w:r w:rsidR="00817949">
        <w:t>,</w:t>
      </w:r>
      <w:r w:rsidRPr="00112D14">
        <w:t xml:space="preserve"> </w:t>
      </w:r>
      <w:hyperlink r:id="rId189" w:history="1">
        <w:r w:rsidR="00B53856" w:rsidRPr="009E4A79">
          <w:rPr>
            <w:rStyle w:val="Hyperlink"/>
          </w:rPr>
          <w:t>http://treefruit.wsu.edu/crop-protection/disease-management/fire-blight/cougar-blight-model/</w:t>
        </w:r>
      </w:hyperlink>
      <w:r w:rsidRPr="00112D14">
        <w:t>.</w:t>
      </w:r>
      <w:bookmarkEnd w:id="805"/>
    </w:p>
    <w:p w14:paraId="5350F3CF" w14:textId="77777777" w:rsidR="003438A2" w:rsidRPr="00112D14" w:rsidRDefault="003438A2" w:rsidP="00112D14">
      <w:pPr>
        <w:pStyle w:val="EndNoteBibliography"/>
        <w:spacing w:after="0"/>
      </w:pPr>
      <w:bookmarkStart w:id="806" w:name="_ENREF_237"/>
      <w:r w:rsidRPr="00112D14">
        <w:t xml:space="preserve">-- -- 2020b, </w:t>
      </w:r>
      <w:r w:rsidRPr="00112D14">
        <w:rPr>
          <w:i/>
        </w:rPr>
        <w:t>Leaf curling midge</w:t>
      </w:r>
      <w:r w:rsidRPr="00112D14">
        <w:t>, Washington State Tree Fruit Extention, Washington State University, USA.</w:t>
      </w:r>
      <w:bookmarkEnd w:id="806"/>
    </w:p>
    <w:p w14:paraId="63A62822" w14:textId="77777777" w:rsidR="003438A2" w:rsidRPr="00112D14" w:rsidRDefault="003438A2" w:rsidP="00112D14">
      <w:pPr>
        <w:pStyle w:val="EndNoteBibliography"/>
        <w:spacing w:after="0"/>
      </w:pPr>
      <w:bookmarkStart w:id="807" w:name="_ENREF_238"/>
      <w:r w:rsidRPr="00112D14">
        <w:t xml:space="preserve">Dupont, T &amp; Brunner, J 2016, </w:t>
      </w:r>
      <w:r w:rsidRPr="00112D14">
        <w:rPr>
          <w:i/>
        </w:rPr>
        <w:t>Apple maggot control options for Washington apple growers</w:t>
      </w:r>
      <w:r w:rsidRPr="00112D14">
        <w:t>, WSU Tree Fruit Extension, WSU Tree Fruit Extension, Washington State, USA.</w:t>
      </w:r>
      <w:bookmarkEnd w:id="807"/>
    </w:p>
    <w:p w14:paraId="785E9BAE" w14:textId="77777777" w:rsidR="003438A2" w:rsidRPr="00112D14" w:rsidRDefault="003438A2" w:rsidP="00112D14">
      <w:pPr>
        <w:pStyle w:val="EndNoteBibliography"/>
        <w:spacing w:after="0"/>
      </w:pPr>
      <w:bookmarkStart w:id="808" w:name="_ENREF_239"/>
      <w:r w:rsidRPr="00112D14">
        <w:t xml:space="preserve">Eddy, D 2013, </w:t>
      </w:r>
      <w:r w:rsidRPr="00112D14">
        <w:rPr>
          <w:i/>
        </w:rPr>
        <w:t>Insect invaders from the east - growing produce</w:t>
      </w:r>
      <w:r w:rsidRPr="00112D14">
        <w:t>, 14 April 2021, Meister Media Worldwide, American Fruit Grower and Western Fruit Grower magazines.</w:t>
      </w:r>
      <w:bookmarkEnd w:id="808"/>
    </w:p>
    <w:p w14:paraId="608761AA" w14:textId="77777777" w:rsidR="003438A2" w:rsidRPr="00112D14" w:rsidRDefault="003438A2" w:rsidP="00112D14">
      <w:pPr>
        <w:pStyle w:val="EndNoteBibliography"/>
        <w:spacing w:after="0"/>
      </w:pPr>
      <w:bookmarkStart w:id="809" w:name="_ENREF_240"/>
      <w:r w:rsidRPr="00112D14">
        <w:t xml:space="preserve">Edney, KL 1956, ‘The rotting of apples by </w:t>
      </w:r>
      <w:r w:rsidRPr="00112D14">
        <w:rPr>
          <w:i/>
        </w:rPr>
        <w:t>Gloeosporium perennans</w:t>
      </w:r>
      <w:r w:rsidRPr="00112D14">
        <w:t xml:space="preserve"> Zeller &amp; Childs’, </w:t>
      </w:r>
      <w:r w:rsidRPr="00112D14">
        <w:rPr>
          <w:i/>
        </w:rPr>
        <w:t>Annals of Applied Biology</w:t>
      </w:r>
      <w:r w:rsidRPr="00112D14">
        <w:t>, vol. 44, pp. 113-28.</w:t>
      </w:r>
      <w:bookmarkEnd w:id="809"/>
    </w:p>
    <w:p w14:paraId="44BA8F8C" w14:textId="77777777" w:rsidR="003438A2" w:rsidRPr="00112D14" w:rsidRDefault="003438A2" w:rsidP="00112D14">
      <w:pPr>
        <w:pStyle w:val="EndNoteBibliography"/>
        <w:spacing w:after="0"/>
      </w:pPr>
      <w:bookmarkStart w:id="810" w:name="_ENREF_241"/>
      <w:r w:rsidRPr="00112D14">
        <w:t xml:space="preserve">EFSA PHS Panel, Jeger, M, Bragard, C, Caffier, D, Candresse, T, Chatzivassiliou, E, Dehnen‐Schmutz, K, Gilioli, G, Grégoire, JC, Miret, JAJ, Navarro, MN, Niere, B, Parnell, S, Potting, R, Rafoss, T, Rossi, V, Urek, G, van Bruggen, A, Van der Werf, W, West, J, Winter, S, Kertesz, V &amp; Macleod, A 2018, ‘Pest categorisation of </w:t>
      </w:r>
      <w:r w:rsidRPr="00112D14">
        <w:rPr>
          <w:i/>
        </w:rPr>
        <w:t>Grapholita packardi</w:t>
      </w:r>
      <w:r w:rsidRPr="00112D14">
        <w:t xml:space="preserve">’, </w:t>
      </w:r>
      <w:r w:rsidRPr="00112D14">
        <w:rPr>
          <w:i/>
        </w:rPr>
        <w:t>EFSA Journal</w:t>
      </w:r>
      <w:r w:rsidRPr="00112D14">
        <w:t>, vol. 16, no. 6, pp. 5304-27.</w:t>
      </w:r>
      <w:bookmarkEnd w:id="810"/>
    </w:p>
    <w:p w14:paraId="4421D111" w14:textId="77777777" w:rsidR="003438A2" w:rsidRPr="00112D14" w:rsidRDefault="003438A2" w:rsidP="00112D14">
      <w:pPr>
        <w:pStyle w:val="EndNoteBibliography"/>
        <w:spacing w:after="0"/>
      </w:pPr>
      <w:bookmarkStart w:id="811" w:name="_ENREF_242"/>
      <w:r w:rsidRPr="00112D14">
        <w:t xml:space="preserve">EFSA PLH Panel, Bragard, C, Dehnen-Schmutz, K, Di Serio, F &amp; Gonthier, P 2018, ‘Pest categorisation of </w:t>
      </w:r>
      <w:r w:rsidRPr="00112D14">
        <w:rPr>
          <w:i/>
        </w:rPr>
        <w:t>Phyllosticta solitaria</w:t>
      </w:r>
      <w:r w:rsidRPr="00112D14">
        <w:t xml:space="preserve">’, </w:t>
      </w:r>
      <w:r w:rsidRPr="00112D14">
        <w:rPr>
          <w:i/>
        </w:rPr>
        <w:t>EFSA Journal</w:t>
      </w:r>
      <w:r w:rsidRPr="00112D14">
        <w:t>, vol. 16, no. 12, p. 5510.</w:t>
      </w:r>
      <w:bookmarkEnd w:id="811"/>
    </w:p>
    <w:p w14:paraId="605E3F88" w14:textId="77777777" w:rsidR="003438A2" w:rsidRPr="00112D14" w:rsidRDefault="003438A2" w:rsidP="00112D14">
      <w:pPr>
        <w:pStyle w:val="EndNoteBibliography"/>
        <w:spacing w:after="0"/>
      </w:pPr>
      <w:bookmarkStart w:id="812" w:name="_ENREF_243"/>
      <w:r w:rsidRPr="00112D14">
        <w:t xml:space="preserve">EFSA PLH Panel, Bragard, C, Dehnen-Schmutz, K, Gonthier, P, Jacques, MA, Jaques Miret, JA, Justesen, AF, MacLeod, A, Magnusson, CS, P., M, Navas-Cortes, JA, Parnell, S, Potting, R, Reignault, PL, Thulke, HH, Van der Werf, W, Vicent-Civera, A, J., Y, Zappal, AL, Candresse, T, Chatzivassiliou, E, Finelli, F, Winter, S, Chiumenti, M, Di Serio, F, Kaluski, T, Minafra, A &amp; Rubino, L 2019, ‘List of non-EU viruses and viroids of </w:t>
      </w:r>
      <w:r w:rsidRPr="00112D14">
        <w:rPr>
          <w:i/>
        </w:rPr>
        <w:t xml:space="preserve">Cydonia </w:t>
      </w:r>
      <w:r w:rsidRPr="00112D14">
        <w:t xml:space="preserve">Mill., </w:t>
      </w:r>
      <w:r w:rsidRPr="00112D14">
        <w:rPr>
          <w:i/>
        </w:rPr>
        <w:t xml:space="preserve">Fragaria </w:t>
      </w:r>
      <w:r w:rsidRPr="00112D14">
        <w:t xml:space="preserve">L., </w:t>
      </w:r>
      <w:r w:rsidRPr="00112D14">
        <w:rPr>
          <w:i/>
        </w:rPr>
        <w:t xml:space="preserve">Malus </w:t>
      </w:r>
      <w:r w:rsidRPr="00112D14">
        <w:t xml:space="preserve">Mill., </w:t>
      </w:r>
      <w:r w:rsidRPr="00112D14">
        <w:rPr>
          <w:i/>
        </w:rPr>
        <w:t xml:space="preserve">Prunus </w:t>
      </w:r>
      <w:r w:rsidRPr="00112D14">
        <w:t xml:space="preserve">L., </w:t>
      </w:r>
      <w:r w:rsidRPr="00112D14">
        <w:rPr>
          <w:i/>
        </w:rPr>
        <w:t xml:space="preserve">Pyrus </w:t>
      </w:r>
      <w:r w:rsidRPr="00112D14">
        <w:t xml:space="preserve">L., </w:t>
      </w:r>
      <w:r w:rsidRPr="00112D14">
        <w:rPr>
          <w:i/>
        </w:rPr>
        <w:t xml:space="preserve">Ribes </w:t>
      </w:r>
      <w:r w:rsidRPr="00112D14">
        <w:t xml:space="preserve">L., </w:t>
      </w:r>
      <w:r w:rsidRPr="00112D14">
        <w:rPr>
          <w:i/>
        </w:rPr>
        <w:t xml:space="preserve">Rubus </w:t>
      </w:r>
      <w:r w:rsidRPr="00112D14">
        <w:t xml:space="preserve">L. and </w:t>
      </w:r>
      <w:r w:rsidRPr="00112D14">
        <w:rPr>
          <w:i/>
        </w:rPr>
        <w:t xml:space="preserve">Vitis </w:t>
      </w:r>
      <w:r w:rsidRPr="00112D14">
        <w:t xml:space="preserve">L.’, </w:t>
      </w:r>
      <w:r w:rsidRPr="00112D14">
        <w:rPr>
          <w:i/>
        </w:rPr>
        <w:t>EFSA Journal</w:t>
      </w:r>
      <w:r w:rsidRPr="00112D14">
        <w:t>, vol. 17, no. 9, 5501</w:t>
      </w:r>
      <w:r>
        <w:t>.</w:t>
      </w:r>
      <w:bookmarkEnd w:id="812"/>
    </w:p>
    <w:p w14:paraId="1AB833C1" w14:textId="77777777" w:rsidR="003438A2" w:rsidRPr="00112D14" w:rsidRDefault="003438A2" w:rsidP="00112D14">
      <w:pPr>
        <w:pStyle w:val="EndNoteBibliography"/>
        <w:spacing w:after="0"/>
      </w:pPr>
      <w:bookmarkStart w:id="813" w:name="_ENREF_244"/>
      <w:r w:rsidRPr="00112D14">
        <w:t xml:space="preserve">Elameen, AH, Eiken, HG &amp; Knudsen, GK 2016, ‘Genetic diversity in apple fruit moth indicate different clusters in the two most important apple growing regions of Norway’, </w:t>
      </w:r>
      <w:r w:rsidRPr="00112D14">
        <w:rPr>
          <w:i/>
        </w:rPr>
        <w:t>Diversity</w:t>
      </w:r>
      <w:r w:rsidRPr="00112D14">
        <w:t>, vol. 8, no. 10, p. 12.</w:t>
      </w:r>
      <w:bookmarkEnd w:id="813"/>
    </w:p>
    <w:p w14:paraId="27A62372" w14:textId="77777777" w:rsidR="003438A2" w:rsidRPr="00112D14" w:rsidRDefault="003438A2" w:rsidP="00112D14">
      <w:pPr>
        <w:pStyle w:val="EndNoteBibliography"/>
        <w:spacing w:after="0"/>
      </w:pPr>
      <w:bookmarkStart w:id="814" w:name="_ENREF_245"/>
      <w:r w:rsidRPr="00112D14">
        <w:t xml:space="preserve">Elkins, RB, Temple, TN, Shaffer, CA, Ingels, CA, Lindow, SB, Zoller, BG &amp; Johnson, KB 2015, ‘Evaluation of dormant-stage inoculum sanitation as a component of a fire blight management program for fresh-market Bartlett pear’, </w:t>
      </w:r>
      <w:r w:rsidRPr="00112D14">
        <w:rPr>
          <w:i/>
        </w:rPr>
        <w:t>Plant Disease</w:t>
      </w:r>
      <w:r w:rsidRPr="00112D14">
        <w:t>, vol. 99, pp. 1147-52.</w:t>
      </w:r>
      <w:bookmarkEnd w:id="814"/>
    </w:p>
    <w:p w14:paraId="2BAA85F6" w14:textId="2FC1B8D5" w:rsidR="003438A2" w:rsidRPr="00112D14" w:rsidRDefault="003438A2" w:rsidP="00112D14">
      <w:pPr>
        <w:pStyle w:val="EndNoteBibliography"/>
        <w:spacing w:after="0"/>
      </w:pPr>
      <w:bookmarkStart w:id="815" w:name="_ENREF_246"/>
      <w:r w:rsidRPr="00112D14">
        <w:t xml:space="preserve">Elliott, M, Chastagner, GA, Coats, KP, Sikdar, P &amp; Xiao, CL 2014, ‘First report of a new leaf blight caused by </w:t>
      </w:r>
      <w:r w:rsidRPr="00112D14">
        <w:rPr>
          <w:i/>
        </w:rPr>
        <w:t>Phacidiopycnis washingtonensis</w:t>
      </w:r>
      <w:r w:rsidRPr="00112D14">
        <w:t xml:space="preserve"> on Pacific madrone in western Washington and Oregon’, </w:t>
      </w:r>
      <w:r w:rsidRPr="00112D14">
        <w:rPr>
          <w:i/>
        </w:rPr>
        <w:t>Plant Disease</w:t>
      </w:r>
      <w:r w:rsidRPr="00112D14">
        <w:t xml:space="preserve">, vol. 98, no. 12, </w:t>
      </w:r>
      <w:r w:rsidR="004440AA">
        <w:t xml:space="preserve">available at, </w:t>
      </w:r>
      <w:hyperlink r:id="rId190" w:history="1">
        <w:r w:rsidR="00C03D34" w:rsidRPr="00847402">
          <w:rPr>
            <w:rStyle w:val="Hyperlink"/>
          </w:rPr>
          <w:t>https://doi.org/10.1094/PDIS-05-14-0462-PDN</w:t>
        </w:r>
      </w:hyperlink>
      <w:r w:rsidRPr="00112D14">
        <w:t>.</w:t>
      </w:r>
      <w:bookmarkEnd w:id="815"/>
    </w:p>
    <w:p w14:paraId="4281CC09" w14:textId="77777777" w:rsidR="003438A2" w:rsidRPr="00112D14" w:rsidRDefault="003438A2" w:rsidP="00112D14">
      <w:pPr>
        <w:pStyle w:val="EndNoteBibliography"/>
        <w:spacing w:after="0"/>
      </w:pPr>
      <w:bookmarkStart w:id="816" w:name="_ENREF_248"/>
      <w:r w:rsidRPr="00112D14">
        <w:t xml:space="preserve">Elmosa, HM 1971, ‘Studies on the biology of </w:t>
      </w:r>
      <w:r w:rsidRPr="00112D14">
        <w:rPr>
          <w:i/>
        </w:rPr>
        <w:t>Cenopalpus pulcher</w:t>
      </w:r>
      <w:r w:rsidRPr="00112D14">
        <w:t xml:space="preserve"> (C. and F.) (Acarina: Tenuipalpidae) in Baghdad’, </w:t>
      </w:r>
      <w:r w:rsidRPr="00112D14">
        <w:rPr>
          <w:i/>
        </w:rPr>
        <w:t>Zeitschrift für Angewandte Entomologie</w:t>
      </w:r>
      <w:r w:rsidRPr="00112D14">
        <w:t>, vol. 67, no. 4, pp. 394-6.</w:t>
      </w:r>
      <w:bookmarkEnd w:id="816"/>
    </w:p>
    <w:p w14:paraId="087D3B7B" w14:textId="77777777" w:rsidR="003438A2" w:rsidRPr="00112D14" w:rsidRDefault="003438A2" w:rsidP="00112D14">
      <w:pPr>
        <w:pStyle w:val="EndNoteBibliography"/>
        <w:spacing w:after="0"/>
      </w:pPr>
      <w:bookmarkStart w:id="817" w:name="_ENREF_249"/>
      <w:r w:rsidRPr="00112D14">
        <w:t xml:space="preserve">English, H 1944, ‘Notes on apple rots in Washington’, </w:t>
      </w:r>
      <w:r w:rsidRPr="00112D14">
        <w:rPr>
          <w:i/>
        </w:rPr>
        <w:t>Plant Disease Reporter</w:t>
      </w:r>
      <w:r w:rsidRPr="00112D14">
        <w:t>, vol. 28, no. 19, pp. 610-22.</w:t>
      </w:r>
      <w:bookmarkEnd w:id="817"/>
    </w:p>
    <w:p w14:paraId="475F98BA" w14:textId="77777777" w:rsidR="003438A2" w:rsidRPr="00112D14" w:rsidRDefault="003438A2" w:rsidP="00112D14">
      <w:pPr>
        <w:pStyle w:val="EndNoteBibliography"/>
        <w:spacing w:after="0"/>
      </w:pPr>
      <w:bookmarkStart w:id="818" w:name="_ENREF_250"/>
      <w:r w:rsidRPr="00112D14">
        <w:t xml:space="preserve">English, LM 2001, </w:t>
      </w:r>
      <w:r w:rsidRPr="00112D14">
        <w:rPr>
          <w:i/>
        </w:rPr>
        <w:t>Codling moth (Cydia pomonella) and its control</w:t>
      </w:r>
      <w:r w:rsidRPr="00112D14">
        <w:t>, New Mexico state university publication.</w:t>
      </w:r>
      <w:bookmarkEnd w:id="818"/>
    </w:p>
    <w:p w14:paraId="3972F681" w14:textId="77777777" w:rsidR="003438A2" w:rsidRPr="00112D14" w:rsidRDefault="003438A2" w:rsidP="00112D14">
      <w:pPr>
        <w:pStyle w:val="EndNoteBibliography"/>
        <w:spacing w:after="0"/>
      </w:pPr>
      <w:bookmarkStart w:id="819" w:name="_ENREF_251"/>
      <w:r w:rsidRPr="00112D14">
        <w:t xml:space="preserve">EPPO 1999, </w:t>
      </w:r>
      <w:r w:rsidRPr="00112D14">
        <w:rPr>
          <w:i/>
        </w:rPr>
        <w:t>Guidelines on good plant protection practice, Pome fruits</w:t>
      </w:r>
      <w:r w:rsidRPr="00112D14">
        <w:t>, EPPO Standards, PP 2/18(1) English, European and Mediterranean Plant Protection Organization, Paris.</w:t>
      </w:r>
      <w:bookmarkEnd w:id="819"/>
    </w:p>
    <w:p w14:paraId="0A679207" w14:textId="11CECA05" w:rsidR="003438A2" w:rsidRPr="00112D14" w:rsidRDefault="003438A2" w:rsidP="00112D14">
      <w:pPr>
        <w:pStyle w:val="EndNoteBibliography"/>
        <w:spacing w:after="0"/>
      </w:pPr>
      <w:bookmarkStart w:id="820" w:name="_ENREF_252"/>
      <w:r w:rsidRPr="00112D14">
        <w:t xml:space="preserve">-- -- 2004, </w:t>
      </w:r>
      <w:r w:rsidRPr="00112D14">
        <w:rPr>
          <w:i/>
        </w:rPr>
        <w:t>Valsa ceratosperma: a new canker disease of pear</w:t>
      </w:r>
      <w:r w:rsidRPr="00112D14">
        <w:t>, European and Mediterranean Plant Protection Organization, available at</w:t>
      </w:r>
      <w:r w:rsidR="00BD2A43">
        <w:t>,</w:t>
      </w:r>
      <w:r w:rsidRPr="00112D14">
        <w:t xml:space="preserve"> </w:t>
      </w:r>
      <w:hyperlink r:id="rId191" w:history="1">
        <w:r w:rsidR="00B53856" w:rsidRPr="009E4A79">
          <w:rPr>
            <w:rStyle w:val="Hyperlink"/>
          </w:rPr>
          <w:t>https://gd.eppo.int/</w:t>
        </w:r>
      </w:hyperlink>
      <w:r w:rsidRPr="00112D14">
        <w:t>.</w:t>
      </w:r>
      <w:bookmarkEnd w:id="820"/>
    </w:p>
    <w:p w14:paraId="4259BDE1" w14:textId="44F8B334" w:rsidR="003438A2" w:rsidRPr="00112D14" w:rsidRDefault="003438A2" w:rsidP="00112D14">
      <w:pPr>
        <w:pStyle w:val="EndNoteBibliography"/>
        <w:spacing w:after="0"/>
      </w:pPr>
      <w:bookmarkStart w:id="821" w:name="_ENREF_253"/>
      <w:r w:rsidRPr="00112D14">
        <w:t>-- -- 2018, ‘EPPO Global Database’, available at</w:t>
      </w:r>
      <w:r w:rsidR="00BD2A43">
        <w:t>,</w:t>
      </w:r>
      <w:r w:rsidRPr="00112D14">
        <w:t xml:space="preserve"> </w:t>
      </w:r>
      <w:hyperlink r:id="rId192" w:history="1">
        <w:r w:rsidR="00BD2A43" w:rsidRPr="00847402">
          <w:rPr>
            <w:rStyle w:val="Hyperlink"/>
          </w:rPr>
          <w:t>https://gd.eppo.int/</w:t>
        </w:r>
      </w:hyperlink>
      <w:r w:rsidRPr="00112D14">
        <w:t>, accessed 2018.</w:t>
      </w:r>
      <w:bookmarkEnd w:id="821"/>
    </w:p>
    <w:p w14:paraId="07D64871" w14:textId="77777777" w:rsidR="003438A2" w:rsidRPr="00112D14" w:rsidRDefault="003438A2" w:rsidP="00112D14">
      <w:pPr>
        <w:pStyle w:val="EndNoteBibliography"/>
        <w:spacing w:after="0"/>
      </w:pPr>
      <w:bookmarkStart w:id="822" w:name="_ENREF_254"/>
      <w:r w:rsidRPr="00112D14">
        <w:t xml:space="preserve">-- -- 2019, </w:t>
      </w:r>
      <w:r w:rsidRPr="00112D14">
        <w:rPr>
          <w:i/>
        </w:rPr>
        <w:t>EPPO reporting service</w:t>
      </w:r>
      <w:r w:rsidRPr="00112D14">
        <w:t>, 2019-07, European and Mediterranean Plant Protection Organization, Paris.</w:t>
      </w:r>
      <w:bookmarkEnd w:id="822"/>
    </w:p>
    <w:p w14:paraId="42A5D983" w14:textId="38C98AEC" w:rsidR="003438A2" w:rsidRPr="00112D14" w:rsidRDefault="003438A2" w:rsidP="00112D14">
      <w:pPr>
        <w:pStyle w:val="EndNoteBibliography"/>
        <w:spacing w:after="0"/>
      </w:pPr>
      <w:bookmarkStart w:id="823" w:name="_ENREF_255"/>
      <w:r w:rsidRPr="00112D14">
        <w:t>-- -- 2021, ‘EPPO Global Database’, European and Mediterranean Plant Protection Organization (EPPO), available at</w:t>
      </w:r>
      <w:r w:rsidR="00A85990">
        <w:t>,</w:t>
      </w:r>
      <w:r w:rsidRPr="00112D14">
        <w:t xml:space="preserve"> </w:t>
      </w:r>
      <w:hyperlink r:id="rId193" w:history="1">
        <w:r w:rsidR="00B53856" w:rsidRPr="009E4A79">
          <w:rPr>
            <w:rStyle w:val="Hyperlink"/>
          </w:rPr>
          <w:t>https://gd.eppo.int</w:t>
        </w:r>
      </w:hyperlink>
      <w:r w:rsidRPr="003438A2">
        <w:t>/</w:t>
      </w:r>
      <w:r w:rsidRPr="00112D14">
        <w:t>, accessed 2021.</w:t>
      </w:r>
      <w:bookmarkEnd w:id="823"/>
    </w:p>
    <w:p w14:paraId="6F9654D9" w14:textId="77777777" w:rsidR="003438A2" w:rsidRPr="00112D14" w:rsidRDefault="003438A2" w:rsidP="00112D14">
      <w:pPr>
        <w:pStyle w:val="EndNoteBibliography"/>
        <w:spacing w:after="0"/>
      </w:pPr>
      <w:bookmarkStart w:id="824" w:name="_ENREF_256"/>
      <w:r w:rsidRPr="00112D14">
        <w:t xml:space="preserve">Essig, EO 1926, </w:t>
      </w:r>
      <w:r w:rsidRPr="00112D14">
        <w:rPr>
          <w:i/>
        </w:rPr>
        <w:t>Insects of western North America</w:t>
      </w:r>
      <w:r w:rsidRPr="00112D14">
        <w:t>, The McMillan Company, New York.</w:t>
      </w:r>
      <w:bookmarkEnd w:id="824"/>
    </w:p>
    <w:p w14:paraId="7541F600" w14:textId="77777777" w:rsidR="003438A2" w:rsidRPr="00112D14" w:rsidRDefault="003438A2" w:rsidP="00112D14">
      <w:pPr>
        <w:pStyle w:val="EndNoteBibliography"/>
        <w:spacing w:after="0"/>
      </w:pPr>
      <w:bookmarkStart w:id="825" w:name="_ENREF_257"/>
      <w:r w:rsidRPr="00112D14">
        <w:t xml:space="preserve">Evans, DE 1970, ‘Life history and immature storage of </w:t>
      </w:r>
      <w:r w:rsidRPr="00112D14">
        <w:rPr>
          <w:i/>
        </w:rPr>
        <w:t>Pandemis cerasana</w:t>
      </w:r>
      <w:r w:rsidRPr="00112D14">
        <w:t xml:space="preserve"> (Lepidoptera : Tortricidae)’, </w:t>
      </w:r>
      <w:r w:rsidRPr="00112D14">
        <w:rPr>
          <w:i/>
        </w:rPr>
        <w:t>The Canadian Entomologist</w:t>
      </w:r>
      <w:r w:rsidRPr="00112D14">
        <w:t>, vol. 102, no. 12, pp. 1597-603.</w:t>
      </w:r>
      <w:bookmarkEnd w:id="825"/>
    </w:p>
    <w:p w14:paraId="7E8750DD" w14:textId="77777777" w:rsidR="003438A2" w:rsidRPr="00112D14" w:rsidRDefault="003438A2" w:rsidP="00112D14">
      <w:pPr>
        <w:pStyle w:val="EndNoteBibliography"/>
        <w:spacing w:after="0"/>
      </w:pPr>
      <w:bookmarkStart w:id="826" w:name="_ENREF_258"/>
      <w:r w:rsidRPr="00112D14">
        <w:t xml:space="preserve">Fadamiro, HY 2004, ‘Pest phenology and evaluation of traps and pheromone lures for monitoring flight activity of obliquebanded leafroller (Lepidoptera: Tortricidae) in Minnesota apple orchards’, </w:t>
      </w:r>
      <w:r w:rsidRPr="00112D14">
        <w:rPr>
          <w:i/>
        </w:rPr>
        <w:t>Journal of Economic Entomology</w:t>
      </w:r>
      <w:r w:rsidRPr="00112D14">
        <w:t>, vol. 97, no. 2, pp. 530-8.</w:t>
      </w:r>
      <w:bookmarkEnd w:id="826"/>
    </w:p>
    <w:p w14:paraId="283619A9" w14:textId="4F1A8EFF" w:rsidR="003438A2" w:rsidRPr="00112D14" w:rsidRDefault="003438A2" w:rsidP="00112D14">
      <w:pPr>
        <w:pStyle w:val="EndNoteBibliography"/>
        <w:spacing w:after="0"/>
      </w:pPr>
      <w:bookmarkStart w:id="827" w:name="_ENREF_259"/>
      <w:r w:rsidRPr="00112D14">
        <w:t xml:space="preserve">FAO 2015, </w:t>
      </w:r>
      <w:r w:rsidRPr="00112D14">
        <w:rPr>
          <w:i/>
        </w:rPr>
        <w:t>International Standards for Phytosanitary Measures (ISPM) no. 5: Glossary of phytosanitary terms</w:t>
      </w:r>
      <w:r w:rsidRPr="00112D14">
        <w:t>, Food and Agriculture Organization of the United Nations, Rome, available at</w:t>
      </w:r>
      <w:r w:rsidR="00210BB8">
        <w:t>,</w:t>
      </w:r>
      <w:r w:rsidRPr="00112D14">
        <w:t xml:space="preserve"> </w:t>
      </w:r>
      <w:hyperlink r:id="rId194" w:history="1">
        <w:r w:rsidR="00F3075B" w:rsidRPr="009E4A79">
          <w:rPr>
            <w:rStyle w:val="Hyperlink"/>
          </w:rPr>
          <w:t>https://www.ippc.int/en/core-activities/standards-setting/ispms/</w:t>
        </w:r>
      </w:hyperlink>
      <w:r w:rsidRPr="00112D14">
        <w:t>.</w:t>
      </w:r>
      <w:bookmarkEnd w:id="827"/>
    </w:p>
    <w:p w14:paraId="3E83271C" w14:textId="48ECBB9B" w:rsidR="003438A2" w:rsidRPr="00112D14" w:rsidRDefault="003438A2" w:rsidP="00112D14">
      <w:pPr>
        <w:pStyle w:val="EndNoteBibliography"/>
        <w:spacing w:after="0"/>
      </w:pPr>
      <w:bookmarkStart w:id="828" w:name="_ENREF_260"/>
      <w:r w:rsidRPr="00112D14">
        <w:t>-- -- 2020, ‘FAOSTAT’, Food and Agriculture Organization of the United Nations, available at</w:t>
      </w:r>
      <w:r w:rsidR="00210BB8">
        <w:t>,</w:t>
      </w:r>
      <w:r w:rsidRPr="00112D14">
        <w:t xml:space="preserve"> </w:t>
      </w:r>
      <w:hyperlink r:id="rId195" w:anchor="home" w:history="1">
        <w:r w:rsidR="00F3075B" w:rsidRPr="009E4A79">
          <w:rPr>
            <w:rStyle w:val="Hyperlink"/>
          </w:rPr>
          <w:t>http://www.fao.org/faostat/en/#home</w:t>
        </w:r>
      </w:hyperlink>
      <w:r w:rsidRPr="00112D14">
        <w:t>, accessed 2020.</w:t>
      </w:r>
      <w:bookmarkEnd w:id="828"/>
    </w:p>
    <w:p w14:paraId="48803849" w14:textId="3CE60386" w:rsidR="003438A2" w:rsidRPr="00112D14" w:rsidRDefault="003438A2" w:rsidP="00112D14">
      <w:pPr>
        <w:pStyle w:val="EndNoteBibliography"/>
        <w:spacing w:after="0"/>
      </w:pPr>
      <w:bookmarkStart w:id="829" w:name="_ENREF_261"/>
      <w:r w:rsidRPr="00112D14">
        <w:t xml:space="preserve">-- -- 2021a, </w:t>
      </w:r>
      <w:r w:rsidRPr="00112D14">
        <w:rPr>
          <w:i/>
        </w:rPr>
        <w:t>International Standards for Phytosanitary Measures (ISPM) no. 2: Framework for pest risk analysis</w:t>
      </w:r>
      <w:r w:rsidRPr="00112D14">
        <w:t>, Secretariat of the International Plant Protection Convention, Food and Agriculture Organization of the United Nations, Rome, Italy, available at</w:t>
      </w:r>
      <w:r w:rsidR="00210BB8">
        <w:t>,</w:t>
      </w:r>
      <w:r w:rsidRPr="00112D14">
        <w:t xml:space="preserve"> </w:t>
      </w:r>
      <w:hyperlink r:id="rId196" w:history="1">
        <w:r w:rsidR="00F3075B" w:rsidRPr="009E4A79">
          <w:rPr>
            <w:rStyle w:val="Hyperlink"/>
          </w:rPr>
          <w:t>https://www.ippc.int/en/core-activities/standards-setting/ispms/</w:t>
        </w:r>
      </w:hyperlink>
      <w:r w:rsidRPr="00112D14">
        <w:t>.</w:t>
      </w:r>
      <w:bookmarkEnd w:id="829"/>
    </w:p>
    <w:p w14:paraId="79FC1D8F" w14:textId="5F21F9D4" w:rsidR="003438A2" w:rsidRPr="00112D14" w:rsidRDefault="003438A2" w:rsidP="00112D14">
      <w:pPr>
        <w:pStyle w:val="EndNoteBibliography"/>
        <w:spacing w:after="0"/>
      </w:pPr>
      <w:bookmarkStart w:id="830" w:name="_ENREF_262"/>
      <w:r w:rsidRPr="00112D14">
        <w:t xml:space="preserve">-- -- 2021b, </w:t>
      </w:r>
      <w:r w:rsidRPr="00112D14">
        <w:rPr>
          <w:i/>
        </w:rPr>
        <w:t>International Standards for Phytosanitary Measures (ISPM) no. 4: Requirements for the establishment of pest free areas</w:t>
      </w:r>
      <w:r w:rsidRPr="00112D14">
        <w:t>, Secretariat of the International Plant Protection Convention, Food and Agriculture Organization of the United Nations, Rome, Italy, available at</w:t>
      </w:r>
      <w:r w:rsidR="00210BB8">
        <w:t>,</w:t>
      </w:r>
      <w:r w:rsidRPr="00112D14">
        <w:t xml:space="preserve"> </w:t>
      </w:r>
      <w:hyperlink r:id="rId197" w:history="1">
        <w:r w:rsidR="00F3075B" w:rsidRPr="009E4A79">
          <w:rPr>
            <w:rStyle w:val="Hyperlink"/>
          </w:rPr>
          <w:t>https://www.ippc.int/en/core-activities/standards-setting/ispms/</w:t>
        </w:r>
      </w:hyperlink>
      <w:r w:rsidRPr="00112D14">
        <w:t>.</w:t>
      </w:r>
      <w:bookmarkEnd w:id="830"/>
    </w:p>
    <w:p w14:paraId="5806FD5F" w14:textId="357A252A" w:rsidR="003438A2" w:rsidRPr="00112D14" w:rsidRDefault="003438A2" w:rsidP="00112D14">
      <w:pPr>
        <w:pStyle w:val="EndNoteBibliography"/>
        <w:spacing w:after="0"/>
      </w:pPr>
      <w:bookmarkStart w:id="831" w:name="_ENREF_263"/>
      <w:r w:rsidRPr="00112D14">
        <w:t xml:space="preserve">-- -- 2021c, </w:t>
      </w:r>
      <w:r w:rsidRPr="00112D14">
        <w:rPr>
          <w:i/>
        </w:rPr>
        <w:t>International Standards for Phytosanitary Measures (ISPM) no. 5: Glossary of phytosanitary terms</w:t>
      </w:r>
      <w:r w:rsidRPr="00112D14">
        <w:t>, Secretariat of the International Plant Protection Convention, Food and Agriculture Organization of the United Nations, Rome, Italy, available at</w:t>
      </w:r>
      <w:r w:rsidR="00210BB8">
        <w:t>,</w:t>
      </w:r>
      <w:r w:rsidRPr="00112D14">
        <w:t xml:space="preserve"> </w:t>
      </w:r>
      <w:hyperlink r:id="rId198" w:history="1">
        <w:r w:rsidR="00F3075B" w:rsidRPr="009E4A79">
          <w:rPr>
            <w:rStyle w:val="Hyperlink"/>
          </w:rPr>
          <w:t>https://www.ippc.int/en/core-activities/standards-setting/ispms/</w:t>
        </w:r>
      </w:hyperlink>
      <w:r w:rsidRPr="00112D14">
        <w:t>.</w:t>
      </w:r>
      <w:bookmarkEnd w:id="831"/>
    </w:p>
    <w:p w14:paraId="1F32FA42" w14:textId="29F08C5C" w:rsidR="003438A2" w:rsidRPr="00112D14" w:rsidRDefault="003438A2" w:rsidP="00112D14">
      <w:pPr>
        <w:pStyle w:val="EndNoteBibliography"/>
        <w:spacing w:after="0"/>
      </w:pPr>
      <w:bookmarkStart w:id="832" w:name="_ENREF_264"/>
      <w:r w:rsidRPr="00112D14">
        <w:t xml:space="preserve">-- -- 2021d, </w:t>
      </w:r>
      <w:r w:rsidRPr="00112D14">
        <w:rPr>
          <w:i/>
        </w:rPr>
        <w:t>International Standards for Phytosanitary Measures (ISPM) no. 10: Requirements for the establishment of pest free places of production and pest free production sites</w:t>
      </w:r>
      <w:r w:rsidRPr="00112D14">
        <w:t>, Secretariat of the International Plant Protection Convention, Food and Agriculture Organization of the United Nations, Rome, Italy, available at</w:t>
      </w:r>
      <w:r w:rsidR="00210BB8">
        <w:t>,</w:t>
      </w:r>
      <w:r w:rsidRPr="00112D14">
        <w:t xml:space="preserve"> </w:t>
      </w:r>
      <w:hyperlink r:id="rId199" w:history="1">
        <w:r w:rsidR="00F3075B" w:rsidRPr="009E4A79">
          <w:rPr>
            <w:rStyle w:val="Hyperlink"/>
          </w:rPr>
          <w:t>https://www.ippc.int/en/core-activities/standards-setting/ispms/</w:t>
        </w:r>
      </w:hyperlink>
      <w:r w:rsidRPr="00112D14">
        <w:t>.</w:t>
      </w:r>
      <w:bookmarkEnd w:id="832"/>
    </w:p>
    <w:p w14:paraId="01B77A2A" w14:textId="0C455F92" w:rsidR="003438A2" w:rsidRPr="00112D14" w:rsidRDefault="003438A2" w:rsidP="00112D14">
      <w:pPr>
        <w:pStyle w:val="EndNoteBibliography"/>
        <w:spacing w:after="0"/>
      </w:pPr>
      <w:bookmarkStart w:id="833" w:name="_ENREF_265"/>
      <w:r w:rsidRPr="00112D14">
        <w:t xml:space="preserve">-- -- 2021e, </w:t>
      </w:r>
      <w:r w:rsidRPr="00112D14">
        <w:rPr>
          <w:i/>
        </w:rPr>
        <w:t>International Standards for Phytosanitary Measures (ISPM) no. 11: Pest risk analysis for quarantine pests</w:t>
      </w:r>
      <w:r w:rsidRPr="00112D14">
        <w:t>, Secretariat of the International Plant Protection Convention, Food and Agriculture Organization (FAO) of the United Nations, Rome, Italy, available at</w:t>
      </w:r>
      <w:r w:rsidR="00210BB8">
        <w:t>,</w:t>
      </w:r>
      <w:r w:rsidRPr="00112D14">
        <w:t xml:space="preserve"> </w:t>
      </w:r>
      <w:hyperlink r:id="rId200" w:history="1">
        <w:r w:rsidR="00F3075B" w:rsidRPr="009E4A79">
          <w:rPr>
            <w:rStyle w:val="Hyperlink"/>
          </w:rPr>
          <w:t>https://www.ippc.int/en/core-activities/standards-setting/ispms/</w:t>
        </w:r>
      </w:hyperlink>
      <w:r w:rsidRPr="00112D14">
        <w:t>.</w:t>
      </w:r>
      <w:bookmarkEnd w:id="833"/>
    </w:p>
    <w:p w14:paraId="76D65BF8" w14:textId="484EBB6B" w:rsidR="003438A2" w:rsidRPr="00112D14" w:rsidRDefault="003438A2" w:rsidP="00112D14">
      <w:pPr>
        <w:pStyle w:val="EndNoteBibliography"/>
        <w:spacing w:after="0"/>
      </w:pPr>
      <w:bookmarkStart w:id="834" w:name="_ENREF_266"/>
      <w:r w:rsidRPr="00112D14">
        <w:t xml:space="preserve">-- -- 2021f, </w:t>
      </w:r>
      <w:r w:rsidRPr="00112D14">
        <w:rPr>
          <w:i/>
        </w:rPr>
        <w:t>International Standards for Phytosanitary Measures (ISPM) no. 23: Guidelines for inspection</w:t>
      </w:r>
      <w:r w:rsidRPr="00112D14">
        <w:t>, Secretariat of the International Plant Protection Convention, Food and Agriculture Organization of the United Nations, Rome, Italy, available at</w:t>
      </w:r>
      <w:r w:rsidR="007D714C">
        <w:t>,</w:t>
      </w:r>
      <w:r w:rsidRPr="00112D14">
        <w:t xml:space="preserve"> </w:t>
      </w:r>
      <w:hyperlink r:id="rId201" w:history="1">
        <w:r w:rsidR="00F3075B" w:rsidRPr="009E4A79">
          <w:rPr>
            <w:rStyle w:val="Hyperlink"/>
          </w:rPr>
          <w:t>https://www.ippc.int/en/core-activities/standards-setting/ispms/</w:t>
        </w:r>
      </w:hyperlink>
      <w:r w:rsidRPr="00112D14">
        <w:t>.</w:t>
      </w:r>
      <w:bookmarkEnd w:id="834"/>
    </w:p>
    <w:p w14:paraId="18933A93" w14:textId="0F78E5CB" w:rsidR="003438A2" w:rsidRPr="00112D14" w:rsidRDefault="003438A2" w:rsidP="00112D14">
      <w:pPr>
        <w:pStyle w:val="EndNoteBibliography"/>
        <w:spacing w:after="0"/>
      </w:pPr>
      <w:bookmarkStart w:id="835" w:name="_ENREF_267"/>
      <w:r w:rsidRPr="00112D14">
        <w:t xml:space="preserve">-- -- 2021g, </w:t>
      </w:r>
      <w:r w:rsidRPr="00112D14">
        <w:rPr>
          <w:i/>
        </w:rPr>
        <w:t>International Standards for Phytosanitary Measures (ISPM) no. 26: Establishment of pest free areas for fruit flies (Tephritidae)</w:t>
      </w:r>
      <w:r w:rsidRPr="00112D14">
        <w:t>, Secretariat of the International Plant Protection Convention, Food and Agriculture Organization of the United Nations, Rome, Italy, available at</w:t>
      </w:r>
      <w:r w:rsidR="007D714C">
        <w:t>,</w:t>
      </w:r>
      <w:r w:rsidRPr="00112D14">
        <w:t xml:space="preserve"> </w:t>
      </w:r>
      <w:hyperlink r:id="rId202" w:history="1">
        <w:r w:rsidR="00F3075B" w:rsidRPr="009E4A79">
          <w:rPr>
            <w:rStyle w:val="Hyperlink"/>
          </w:rPr>
          <w:t>https://www.ippc.int/en/core-activities/standards-setting/ispms/</w:t>
        </w:r>
      </w:hyperlink>
      <w:r w:rsidRPr="00112D14">
        <w:t>.</w:t>
      </w:r>
      <w:bookmarkEnd w:id="835"/>
    </w:p>
    <w:p w14:paraId="633ADF29" w14:textId="2C146222" w:rsidR="003438A2" w:rsidRPr="00112D14" w:rsidRDefault="003438A2" w:rsidP="00112D14">
      <w:pPr>
        <w:pStyle w:val="EndNoteBibliography"/>
        <w:spacing w:after="0"/>
      </w:pPr>
      <w:bookmarkStart w:id="836" w:name="_ENREF_268"/>
      <w:r w:rsidRPr="00112D14">
        <w:t xml:space="preserve">-- -- 2021h, </w:t>
      </w:r>
      <w:r w:rsidRPr="00112D14">
        <w:rPr>
          <w:i/>
        </w:rPr>
        <w:t>International Standards for Phytosanitary Measures (ISPM) no. 31: Methodologies for sampling of consignments</w:t>
      </w:r>
      <w:r w:rsidRPr="00112D14">
        <w:t>, Secretariat of the International Plant Protection Convention, Food and Agriculture Organization of the United Nations, Rome, Italy, available at</w:t>
      </w:r>
      <w:r w:rsidR="007D714C">
        <w:t>,</w:t>
      </w:r>
      <w:r w:rsidRPr="00112D14">
        <w:t xml:space="preserve"> </w:t>
      </w:r>
      <w:hyperlink r:id="rId203" w:history="1">
        <w:r w:rsidR="00F3075B" w:rsidRPr="009E4A79">
          <w:rPr>
            <w:rStyle w:val="Hyperlink"/>
          </w:rPr>
          <w:t>https://www.ippc.int/en/core-activities/standards-setting/ispms/</w:t>
        </w:r>
      </w:hyperlink>
      <w:r w:rsidRPr="00112D14">
        <w:t>.</w:t>
      </w:r>
      <w:bookmarkEnd w:id="836"/>
    </w:p>
    <w:p w14:paraId="649005DA" w14:textId="77777777" w:rsidR="003438A2" w:rsidRPr="00112D14" w:rsidRDefault="003438A2" w:rsidP="00112D14">
      <w:pPr>
        <w:pStyle w:val="EndNoteBibliography"/>
        <w:spacing w:after="0"/>
      </w:pPr>
      <w:bookmarkStart w:id="837" w:name="_ENREF_269"/>
      <w:r w:rsidRPr="00112D14">
        <w:t xml:space="preserve">Farr, DF, Bills, GF, Chamuris, GP &amp; Rossman, AY 1989, </w:t>
      </w:r>
      <w:r w:rsidRPr="00112D14">
        <w:rPr>
          <w:i/>
        </w:rPr>
        <w:t>Fungi on plants and plant products in the United States</w:t>
      </w:r>
      <w:r w:rsidRPr="00112D14">
        <w:t>, The American Phytopathological Society Press, St. Paul, Minnesota.</w:t>
      </w:r>
      <w:bookmarkEnd w:id="837"/>
    </w:p>
    <w:p w14:paraId="043D73DC" w14:textId="1CEB78CF" w:rsidR="003438A2" w:rsidRPr="00112D14" w:rsidRDefault="003438A2" w:rsidP="00112D14">
      <w:pPr>
        <w:pStyle w:val="EndNoteBibliography"/>
        <w:spacing w:after="0"/>
      </w:pPr>
      <w:bookmarkStart w:id="838" w:name="_ENREF_270"/>
      <w:r w:rsidRPr="00112D14">
        <w:t xml:space="preserve">Farr, DF &amp; Rossman, AY 2009, </w:t>
      </w:r>
      <w:r w:rsidRPr="00112D14">
        <w:rPr>
          <w:i/>
        </w:rPr>
        <w:t>Fungal databases</w:t>
      </w:r>
      <w:r w:rsidRPr="00112D14">
        <w:t>, United States Department of Agriculture, Agricultural Research Service, National Genetic Resources Program, Germplasm Resources Information Network, available at</w:t>
      </w:r>
      <w:r w:rsidR="00004D99">
        <w:t>,</w:t>
      </w:r>
      <w:r w:rsidRPr="00112D14">
        <w:t xml:space="preserve"> </w:t>
      </w:r>
      <w:hyperlink r:id="rId204" w:history="1">
        <w:r w:rsidR="001E5A69" w:rsidRPr="009E4A79">
          <w:rPr>
            <w:rStyle w:val="Hyperlink"/>
          </w:rPr>
          <w:t>https://nt.ars-grin.gov/fungaldatabases/</w:t>
        </w:r>
      </w:hyperlink>
      <w:bookmarkEnd w:id="838"/>
      <w:r>
        <w:t xml:space="preserve">, </w:t>
      </w:r>
      <w:r w:rsidRPr="00112D14">
        <w:t>accessed 20</w:t>
      </w:r>
      <w:r>
        <w:t>09</w:t>
      </w:r>
      <w:r w:rsidRPr="00112D14">
        <w:t>.</w:t>
      </w:r>
    </w:p>
    <w:p w14:paraId="44927578" w14:textId="4237093B" w:rsidR="003438A2" w:rsidRPr="00112D14" w:rsidRDefault="003438A2" w:rsidP="00112D14">
      <w:pPr>
        <w:pStyle w:val="EndNoteBibliography"/>
        <w:spacing w:after="0"/>
      </w:pPr>
      <w:bookmarkStart w:id="839" w:name="_ENREF_271"/>
      <w:r w:rsidRPr="00112D14">
        <w:t xml:space="preserve">-- -- 2017, ‘Fungal Databases, Systematic Mycology and Microbiology Laboratory, ARS, USDA’, available at </w:t>
      </w:r>
      <w:hyperlink r:id="rId205" w:history="1">
        <w:r w:rsidR="001E5A69" w:rsidRPr="009E4A79">
          <w:rPr>
            <w:rStyle w:val="Hyperlink"/>
          </w:rPr>
          <w:t>https://nt.ars-grin.gov/fungaldatabases/</w:t>
        </w:r>
      </w:hyperlink>
      <w:r w:rsidRPr="00112D14">
        <w:t>, accessed 2017.</w:t>
      </w:r>
      <w:bookmarkEnd w:id="839"/>
    </w:p>
    <w:p w14:paraId="41B15F6D" w14:textId="1086589F" w:rsidR="003438A2" w:rsidRPr="00112D14" w:rsidRDefault="003438A2" w:rsidP="00112D14">
      <w:pPr>
        <w:pStyle w:val="EndNoteBibliography"/>
        <w:spacing w:after="0"/>
      </w:pPr>
      <w:bookmarkStart w:id="840" w:name="_ENREF_272"/>
      <w:r w:rsidRPr="00112D14">
        <w:t>-- -- 2018, ‘Fungal Databases, Systematic Mycology and Microbiology Laboratory, ARS, USDA’, United States Department of Agriculture, Agricultural Research Service, National Genetic Resources Program, Germplasm Resources Information Network, available at</w:t>
      </w:r>
      <w:r w:rsidR="00004D99">
        <w:t>,</w:t>
      </w:r>
      <w:r w:rsidRPr="00112D14">
        <w:t xml:space="preserve"> </w:t>
      </w:r>
      <w:hyperlink r:id="rId206" w:history="1">
        <w:r w:rsidR="001E5A69" w:rsidRPr="009E4A79">
          <w:rPr>
            <w:rStyle w:val="Hyperlink"/>
          </w:rPr>
          <w:t>https://nt.ars-grin.gov/fungaldatabases/</w:t>
        </w:r>
      </w:hyperlink>
      <w:r w:rsidRPr="00112D14">
        <w:t>, accessed 2018.</w:t>
      </w:r>
      <w:bookmarkEnd w:id="840"/>
    </w:p>
    <w:p w14:paraId="4CA6A27A" w14:textId="0D0280D0" w:rsidR="003438A2" w:rsidRPr="00112D14" w:rsidRDefault="003438A2" w:rsidP="00112D14">
      <w:pPr>
        <w:pStyle w:val="EndNoteBibliography"/>
        <w:spacing w:after="0"/>
      </w:pPr>
      <w:bookmarkStart w:id="841" w:name="_ENREF_273"/>
      <w:r w:rsidRPr="00112D14">
        <w:t>-- -- 2019, ‘Fungal Databases, U.S. National Fungal Collections, ARS, USDA’, available at</w:t>
      </w:r>
      <w:r w:rsidR="00004D99">
        <w:t>,</w:t>
      </w:r>
      <w:r w:rsidRPr="00112D14">
        <w:t xml:space="preserve"> </w:t>
      </w:r>
      <w:hyperlink r:id="rId207" w:history="1">
        <w:r w:rsidR="001E5A69" w:rsidRPr="009E4A79">
          <w:rPr>
            <w:rStyle w:val="Hyperlink"/>
          </w:rPr>
          <w:t>https://nt.ars-grin.gov/fungaldatabases/</w:t>
        </w:r>
      </w:hyperlink>
      <w:r w:rsidRPr="00112D14">
        <w:t>, accessed 2019.</w:t>
      </w:r>
      <w:bookmarkEnd w:id="841"/>
    </w:p>
    <w:p w14:paraId="2FB3FFE8" w14:textId="5C47E9AF" w:rsidR="003438A2" w:rsidRPr="00112D14" w:rsidRDefault="003438A2" w:rsidP="00112D14">
      <w:pPr>
        <w:pStyle w:val="EndNoteBibliography"/>
        <w:spacing w:after="0"/>
      </w:pPr>
      <w:bookmarkStart w:id="842" w:name="_ENREF_274"/>
      <w:r w:rsidRPr="00112D14">
        <w:t>-- -- 2020, ‘Fungal Databases, U.S. National Fungal Collections, ARS, USDA’, available at</w:t>
      </w:r>
      <w:r w:rsidR="00004D99">
        <w:t>,</w:t>
      </w:r>
      <w:r w:rsidRPr="00112D14">
        <w:t xml:space="preserve"> </w:t>
      </w:r>
      <w:hyperlink r:id="rId208" w:history="1">
        <w:r w:rsidR="00004D99" w:rsidRPr="00847402">
          <w:rPr>
            <w:rStyle w:val="Hyperlink"/>
          </w:rPr>
          <w:t>https://nt.ars-grin.gov/fungaldatabases/</w:t>
        </w:r>
      </w:hyperlink>
      <w:r w:rsidRPr="00112D14">
        <w:t>, accessed 2020.</w:t>
      </w:r>
      <w:bookmarkEnd w:id="842"/>
    </w:p>
    <w:p w14:paraId="276D3C1A" w14:textId="4DDCC8E6" w:rsidR="003438A2" w:rsidRPr="00112D14" w:rsidRDefault="003438A2" w:rsidP="00112D14">
      <w:pPr>
        <w:pStyle w:val="EndNoteBibliography"/>
        <w:spacing w:after="0"/>
      </w:pPr>
      <w:bookmarkStart w:id="843" w:name="_ENREF_275"/>
      <w:r w:rsidRPr="00112D14">
        <w:t>-- -- 2021, ‘Fungal Databases’, U.S. National Fungal Collections, ARS, USDA, available at</w:t>
      </w:r>
      <w:r w:rsidR="00004D99">
        <w:t>,</w:t>
      </w:r>
      <w:r w:rsidRPr="00112D14">
        <w:t xml:space="preserve"> </w:t>
      </w:r>
      <w:hyperlink r:id="rId209" w:history="1">
        <w:r w:rsidR="001E5A69" w:rsidRPr="009E4A79">
          <w:rPr>
            <w:rStyle w:val="Hyperlink"/>
          </w:rPr>
          <w:t>https://nt.ars-grin.gov/fungaldatabases/</w:t>
        </w:r>
      </w:hyperlink>
      <w:r w:rsidRPr="00112D14">
        <w:t>, accessed 2021.</w:t>
      </w:r>
      <w:bookmarkEnd w:id="843"/>
    </w:p>
    <w:p w14:paraId="24A77C9A" w14:textId="2A13EFBB" w:rsidR="003438A2" w:rsidRPr="00112D14" w:rsidRDefault="003438A2" w:rsidP="00112D14">
      <w:pPr>
        <w:pStyle w:val="EndNoteBibliography"/>
        <w:spacing w:after="0"/>
      </w:pPr>
      <w:bookmarkStart w:id="844" w:name="_ENREF_276"/>
      <w:r w:rsidRPr="00112D14">
        <w:t>-- -- 2022, ‘Fungal Databases’, U.S. National Fungal Collections, ARS, USDA, available at</w:t>
      </w:r>
      <w:r w:rsidR="00004D99">
        <w:t>,</w:t>
      </w:r>
      <w:r w:rsidRPr="00112D14">
        <w:t xml:space="preserve"> </w:t>
      </w:r>
      <w:hyperlink r:id="rId210" w:history="1">
        <w:r w:rsidR="001E5A69" w:rsidRPr="009E4A79">
          <w:rPr>
            <w:rStyle w:val="Hyperlink"/>
          </w:rPr>
          <w:t>https://nt.ars-grin.gov/fungaldatabases</w:t>
        </w:r>
      </w:hyperlink>
      <w:r w:rsidRPr="003438A2">
        <w:t>/</w:t>
      </w:r>
      <w:r w:rsidRPr="00112D14">
        <w:t>, accessed 2022.</w:t>
      </w:r>
      <w:bookmarkEnd w:id="844"/>
    </w:p>
    <w:p w14:paraId="4863DA8A" w14:textId="77777777" w:rsidR="003438A2" w:rsidRPr="00112D14" w:rsidRDefault="003438A2" w:rsidP="00112D14">
      <w:pPr>
        <w:pStyle w:val="EndNoteBibliography"/>
        <w:spacing w:after="0"/>
      </w:pPr>
      <w:bookmarkStart w:id="845" w:name="_ENREF_277"/>
      <w:r w:rsidRPr="00112D14">
        <w:t>Fatima, S 2019, ‘Symptoms as an identification of post harvest diseases of apple (</w:t>
      </w:r>
      <w:r w:rsidRPr="00112D14">
        <w:rPr>
          <w:i/>
        </w:rPr>
        <w:t>Malus domestoca</w:t>
      </w:r>
      <w:r w:rsidRPr="00112D14">
        <w:t xml:space="preserve">)’, </w:t>
      </w:r>
      <w:r w:rsidRPr="00112D14">
        <w:rPr>
          <w:i/>
        </w:rPr>
        <w:t>World Journal of Pharmaceutical Research</w:t>
      </w:r>
      <w:r w:rsidRPr="00112D14">
        <w:t>, vol. 8, no. 12, pp. 763-70.</w:t>
      </w:r>
      <w:bookmarkEnd w:id="845"/>
    </w:p>
    <w:p w14:paraId="39C3BB9F" w14:textId="59E09A0C" w:rsidR="003438A2" w:rsidRPr="00112D14" w:rsidRDefault="003438A2" w:rsidP="00112D14">
      <w:pPr>
        <w:pStyle w:val="EndNoteBibliography"/>
        <w:spacing w:after="0"/>
      </w:pPr>
      <w:bookmarkStart w:id="846" w:name="_ENREF_278"/>
      <w:r w:rsidRPr="00112D14">
        <w:t xml:space="preserve">Fauske, GM 2007, </w:t>
      </w:r>
      <w:r w:rsidRPr="00112D14">
        <w:rPr>
          <w:i/>
        </w:rPr>
        <w:t>Moths of North Dakota: an online guide: Graphiphora augur (Fabricius 1775)</w:t>
      </w:r>
      <w:r w:rsidRPr="00112D14">
        <w:t>, North Dakota State University, available at</w:t>
      </w:r>
      <w:r w:rsidR="00004D99">
        <w:t>,</w:t>
      </w:r>
      <w:r w:rsidRPr="00112D14">
        <w:t xml:space="preserve"> </w:t>
      </w:r>
      <w:hyperlink r:id="rId211" w:history="1">
        <w:r w:rsidR="001E5A69" w:rsidRPr="009E4A79">
          <w:rPr>
            <w:rStyle w:val="Hyperlink"/>
          </w:rPr>
          <w:t>https://www.ndsu.edu/ndmoths/ndmoths/photo_gallerylist.htm</w:t>
        </w:r>
      </w:hyperlink>
      <w:r w:rsidRPr="00112D14">
        <w:t>.</w:t>
      </w:r>
      <w:bookmarkEnd w:id="846"/>
    </w:p>
    <w:p w14:paraId="25019449" w14:textId="77777777" w:rsidR="003438A2" w:rsidRPr="00112D14" w:rsidRDefault="003438A2" w:rsidP="00112D14">
      <w:pPr>
        <w:pStyle w:val="EndNoteBibliography"/>
        <w:spacing w:after="0"/>
      </w:pPr>
      <w:bookmarkStart w:id="847" w:name="_ENREF_279"/>
      <w:r w:rsidRPr="00112D14">
        <w:t xml:space="preserve">Ferguson, DC &amp; Mello, MJ 1996, ‘The introduction and spread of </w:t>
      </w:r>
      <w:r w:rsidRPr="00112D14">
        <w:rPr>
          <w:i/>
        </w:rPr>
        <w:t xml:space="preserve">Chloroclystis rectangulata </w:t>
      </w:r>
      <w:r w:rsidRPr="00112D14">
        <w:t xml:space="preserve">(L.) (Geometridae), and its first reported occurrences in the United States’, </w:t>
      </w:r>
      <w:r w:rsidRPr="00112D14">
        <w:rPr>
          <w:i/>
        </w:rPr>
        <w:t>Journal of the Lepidopterists' Society</w:t>
      </w:r>
      <w:r w:rsidRPr="00112D14">
        <w:t>, vol. 50, no. 2, pp. 145-8.</w:t>
      </w:r>
      <w:bookmarkEnd w:id="847"/>
    </w:p>
    <w:p w14:paraId="48A27FF9" w14:textId="77777777" w:rsidR="003438A2" w:rsidRPr="00112D14" w:rsidRDefault="003438A2" w:rsidP="00112D14">
      <w:pPr>
        <w:pStyle w:val="EndNoteBibliography"/>
        <w:spacing w:after="0"/>
      </w:pPr>
      <w:bookmarkStart w:id="848" w:name="_ENREF_280"/>
      <w:r w:rsidRPr="00112D14">
        <w:t xml:space="preserve">Ferree, DC &amp; Warrington, IJ 2003, </w:t>
      </w:r>
      <w:r w:rsidRPr="00112D14">
        <w:rPr>
          <w:i/>
        </w:rPr>
        <w:t>Apples: botany, production and uses</w:t>
      </w:r>
      <w:r w:rsidRPr="00112D14">
        <w:t>, Ferree, DC &amp; Warrington, IJ (eds), CABI Publishing, Wallingford, UK.</w:t>
      </w:r>
      <w:bookmarkEnd w:id="848"/>
    </w:p>
    <w:p w14:paraId="1D1449ED" w14:textId="77777777" w:rsidR="003438A2" w:rsidRPr="00112D14" w:rsidRDefault="003438A2" w:rsidP="00112D14">
      <w:pPr>
        <w:pStyle w:val="EndNoteBibliography"/>
        <w:spacing w:after="0"/>
      </w:pPr>
      <w:bookmarkStart w:id="849" w:name="_ENREF_282"/>
      <w:r w:rsidRPr="00112D14">
        <w:t xml:space="preserve">Fink, HC 1958, ‘Two unusual apple fruit rots in Pennsylvania’, </w:t>
      </w:r>
      <w:r w:rsidRPr="00112D14">
        <w:rPr>
          <w:i/>
        </w:rPr>
        <w:t>Plant Disease Reporter</w:t>
      </w:r>
      <w:r w:rsidRPr="00112D14">
        <w:t>, vol. 42, no. 1, pp. 156-.</w:t>
      </w:r>
      <w:bookmarkEnd w:id="849"/>
    </w:p>
    <w:p w14:paraId="2E64D41A" w14:textId="77777777" w:rsidR="003438A2" w:rsidRPr="00112D14" w:rsidRDefault="003438A2" w:rsidP="00112D14">
      <w:pPr>
        <w:pStyle w:val="EndNoteBibliography"/>
        <w:spacing w:after="0"/>
      </w:pPr>
      <w:bookmarkStart w:id="850" w:name="_ENREF_283"/>
      <w:r w:rsidRPr="00112D14">
        <w:t xml:space="preserve">Finlay, JR &amp; Teakle, DS 1969, ‘The effect of pH on the particle stability of a phosphotungstate-stained </w:t>
      </w:r>
      <w:r w:rsidRPr="00112D14">
        <w:rPr>
          <w:i/>
        </w:rPr>
        <w:t>Tobacco necrosis virus</w:t>
      </w:r>
      <w:r w:rsidRPr="00112D14">
        <w:t xml:space="preserve">’, </w:t>
      </w:r>
      <w:r w:rsidRPr="00112D14">
        <w:rPr>
          <w:i/>
        </w:rPr>
        <w:t>Journal of General Virology</w:t>
      </w:r>
      <w:r w:rsidRPr="00112D14">
        <w:t>, vol. 5, pp. 93-6.</w:t>
      </w:r>
      <w:bookmarkEnd w:id="850"/>
    </w:p>
    <w:p w14:paraId="6D29BC77" w14:textId="2EE27AD6" w:rsidR="003438A2" w:rsidRPr="00112D14" w:rsidRDefault="003438A2" w:rsidP="00112D14">
      <w:pPr>
        <w:pStyle w:val="EndNoteBibliography"/>
        <w:spacing w:after="0"/>
      </w:pPr>
      <w:bookmarkStart w:id="851" w:name="_ENREF_284"/>
      <w:r w:rsidRPr="00112D14">
        <w:t xml:space="preserve">Fisher, G &amp; Olsen, J 2009, </w:t>
      </w:r>
      <w:r w:rsidRPr="00112D14">
        <w:rPr>
          <w:i/>
        </w:rPr>
        <w:t>The apple maggot in Oregon</w:t>
      </w:r>
      <w:r w:rsidRPr="00112D14">
        <w:t>, available at</w:t>
      </w:r>
      <w:r w:rsidR="001B0F39">
        <w:t>,</w:t>
      </w:r>
      <w:r w:rsidRPr="00112D14">
        <w:t xml:space="preserve"> </w:t>
      </w:r>
      <w:hyperlink r:id="rId212" w:history="1">
        <w:r w:rsidR="001E5A69" w:rsidRPr="009E4A79">
          <w:rPr>
            <w:rStyle w:val="Hyperlink"/>
          </w:rPr>
          <w:t>https://agsci.oregonstate.edu/sites/agscid7/files/horticulture/attachments/ec1633.pdf</w:t>
        </w:r>
      </w:hyperlink>
      <w:r w:rsidRPr="00112D14">
        <w:t>.</w:t>
      </w:r>
      <w:bookmarkEnd w:id="851"/>
    </w:p>
    <w:p w14:paraId="753004F5" w14:textId="77777777" w:rsidR="003438A2" w:rsidRPr="00112D14" w:rsidRDefault="003438A2" w:rsidP="00112D14">
      <w:pPr>
        <w:pStyle w:val="EndNoteBibliography"/>
        <w:spacing w:after="0"/>
      </w:pPr>
      <w:bookmarkStart w:id="852" w:name="_ENREF_285"/>
      <w:r w:rsidRPr="00112D14">
        <w:t xml:space="preserve">Flaherty, DL, Christensen, LP, Lanini, WT, Marois, JJ, Phillips, PA &amp; Wilson, LT, (eds) 1992, </w:t>
      </w:r>
      <w:r w:rsidRPr="00112D14">
        <w:rPr>
          <w:i/>
        </w:rPr>
        <w:t>Grape pest management</w:t>
      </w:r>
      <w:r w:rsidRPr="00112D14">
        <w:t>, 2nd edn, University of California, Oakland.</w:t>
      </w:r>
      <w:bookmarkEnd w:id="852"/>
    </w:p>
    <w:p w14:paraId="4E3B2237" w14:textId="77777777" w:rsidR="003438A2" w:rsidRPr="00112D14" w:rsidRDefault="003438A2" w:rsidP="00112D14">
      <w:pPr>
        <w:pStyle w:val="EndNoteBibliography"/>
        <w:spacing w:after="0"/>
      </w:pPr>
      <w:bookmarkStart w:id="853" w:name="_ENREF_286"/>
      <w:r w:rsidRPr="00112D14">
        <w:t xml:space="preserve">Foldi, I 1990, ‘The scale cover’, in </w:t>
      </w:r>
      <w:r w:rsidRPr="00112D14">
        <w:rPr>
          <w:i/>
        </w:rPr>
        <w:t>Armoured scale insects: their biology, natural enemies and control. Vol. 4A</w:t>
      </w:r>
      <w:r w:rsidRPr="00112D14">
        <w:t>, Rosen, D (ed), Elsevier Science Publishers B.V., Amsterdam.</w:t>
      </w:r>
      <w:bookmarkEnd w:id="853"/>
    </w:p>
    <w:p w14:paraId="4D9C7185" w14:textId="418F1F4F" w:rsidR="003438A2" w:rsidRPr="00112D14" w:rsidRDefault="003438A2" w:rsidP="00112D14">
      <w:pPr>
        <w:pStyle w:val="EndNoteBibliography"/>
        <w:spacing w:after="0"/>
      </w:pPr>
      <w:bookmarkStart w:id="854" w:name="_ENREF_287"/>
      <w:r w:rsidRPr="00112D14">
        <w:t>Frantz, G &amp; Fasulo, TR 2008a, ‘</w:t>
      </w:r>
      <w:r w:rsidRPr="00112D14">
        <w:rPr>
          <w:i/>
        </w:rPr>
        <w:t xml:space="preserve">Frankliniella occidentalis </w:t>
      </w:r>
      <w:r w:rsidRPr="00112D14">
        <w:t xml:space="preserve">(Pergande), Western flower thrips’, </w:t>
      </w:r>
      <w:r w:rsidRPr="00112D14">
        <w:rPr>
          <w:i/>
        </w:rPr>
        <w:t>Thrips Knowledgebase</w:t>
      </w:r>
      <w:r w:rsidRPr="00112D14">
        <w:t>, Glades Crop Care, Jupiter, Florida, available at</w:t>
      </w:r>
      <w:r w:rsidR="001B0F39">
        <w:t>,</w:t>
      </w:r>
      <w:r w:rsidRPr="00112D14">
        <w:t xml:space="preserve"> </w:t>
      </w:r>
      <w:hyperlink r:id="rId213" w:history="1">
        <w:r w:rsidR="001E5A69" w:rsidRPr="009E4A79">
          <w:rPr>
            <w:rStyle w:val="Hyperlink"/>
          </w:rPr>
          <w:t>https://www.gladescropcare.com/thrips/wfthp.html</w:t>
        </w:r>
      </w:hyperlink>
      <w:r w:rsidRPr="00112D14">
        <w:t>.</w:t>
      </w:r>
      <w:bookmarkEnd w:id="854"/>
    </w:p>
    <w:p w14:paraId="05BBD77B" w14:textId="2AB1030D" w:rsidR="003438A2" w:rsidRPr="00112D14" w:rsidRDefault="003438A2" w:rsidP="00112D14">
      <w:pPr>
        <w:pStyle w:val="EndNoteBibliography"/>
        <w:spacing w:after="0"/>
      </w:pPr>
      <w:bookmarkStart w:id="855" w:name="_ENREF_288"/>
      <w:r w:rsidRPr="00112D14">
        <w:t>-- -- 2008b, ‘</w:t>
      </w:r>
      <w:r w:rsidRPr="00112D14">
        <w:rPr>
          <w:i/>
        </w:rPr>
        <w:t>Frankliniella tritici</w:t>
      </w:r>
      <w:r w:rsidRPr="00112D14">
        <w:t xml:space="preserve"> (Fitch), flower thrips’, </w:t>
      </w:r>
      <w:r w:rsidRPr="00112D14">
        <w:rPr>
          <w:i/>
        </w:rPr>
        <w:t>Thrips Knowledgebase</w:t>
      </w:r>
      <w:r w:rsidRPr="00112D14">
        <w:t>, Glades Crop Care, Jupiter, Florida, available at</w:t>
      </w:r>
      <w:r w:rsidR="001B0F39">
        <w:t>,</w:t>
      </w:r>
      <w:r w:rsidRPr="00112D14">
        <w:t xml:space="preserve"> </w:t>
      </w:r>
      <w:hyperlink r:id="rId214" w:history="1">
        <w:r w:rsidR="001E5A69" w:rsidRPr="009E4A79">
          <w:rPr>
            <w:rStyle w:val="Hyperlink"/>
          </w:rPr>
          <w:t>https://www.gladescropcare.com/thrips/fthrp.html</w:t>
        </w:r>
      </w:hyperlink>
      <w:r w:rsidRPr="00112D14">
        <w:t>.</w:t>
      </w:r>
      <w:bookmarkEnd w:id="855"/>
    </w:p>
    <w:p w14:paraId="12464D32" w14:textId="63CECC08" w:rsidR="003438A2" w:rsidRPr="00112D14" w:rsidRDefault="003438A2" w:rsidP="00112D14">
      <w:pPr>
        <w:pStyle w:val="EndNoteBibliography"/>
        <w:spacing w:after="0"/>
      </w:pPr>
      <w:bookmarkStart w:id="856" w:name="_ENREF_289"/>
      <w:r w:rsidRPr="00112D14">
        <w:t>FSANZ 2011, ‘Treatment of apple trees with streptomycin and potential risk to human health’, Food Standards Australia New Zealand (FSANZ), Fact Sheet, 16 May 2011, available at</w:t>
      </w:r>
      <w:r w:rsidR="001B0F39">
        <w:t>,</w:t>
      </w:r>
      <w:r w:rsidRPr="00112D14">
        <w:t xml:space="preserve"> </w:t>
      </w:r>
      <w:hyperlink r:id="rId215" w:history="1">
        <w:r w:rsidR="001E5A69" w:rsidRPr="009E4A79">
          <w:rPr>
            <w:rStyle w:val="Hyperlink"/>
            <w:rFonts w:eastAsia="Times New Roman"/>
          </w:rPr>
          <w:t>https://www.foodstandards.gov.au/publications/pages/applerisk/fsanzriskassessmento5163.aspx</w:t>
        </w:r>
      </w:hyperlink>
      <w:r w:rsidRPr="00112D14">
        <w:t>.</w:t>
      </w:r>
      <w:bookmarkEnd w:id="856"/>
    </w:p>
    <w:p w14:paraId="2E0C43E4" w14:textId="3193BB73" w:rsidR="003438A2" w:rsidRPr="00112D14" w:rsidRDefault="003438A2" w:rsidP="00112D14">
      <w:pPr>
        <w:pStyle w:val="EndNoteBibliography"/>
        <w:spacing w:after="0"/>
      </w:pPr>
      <w:bookmarkStart w:id="857" w:name="_ENREF_290"/>
      <w:r w:rsidRPr="00112D14">
        <w:t>Fur</w:t>
      </w:r>
      <w:r w:rsidR="001E5A69">
        <w:t>e</w:t>
      </w:r>
      <w:r w:rsidRPr="00112D14">
        <w:t xml:space="preserve">nhed, S 2006, ‘Ground-living predators of the apple fruit moth </w:t>
      </w:r>
      <w:r w:rsidRPr="00112D14">
        <w:rPr>
          <w:i/>
        </w:rPr>
        <w:t>Argyresthia conjugella</w:t>
      </w:r>
      <w:r w:rsidRPr="00112D14">
        <w:t xml:space="preserve"> (Zell.)’, </w:t>
      </w:r>
      <w:r w:rsidRPr="00112D14">
        <w:rPr>
          <w:i/>
        </w:rPr>
        <w:t>Examensarbete i entomologi</w:t>
      </w:r>
      <w:r w:rsidRPr="00112D14">
        <w:t>, vol. 5, pp. 1-21.</w:t>
      </w:r>
      <w:bookmarkEnd w:id="857"/>
    </w:p>
    <w:p w14:paraId="27955BAB" w14:textId="77777777" w:rsidR="003438A2" w:rsidRPr="00112D14" w:rsidRDefault="003438A2" w:rsidP="00112D14">
      <w:pPr>
        <w:pStyle w:val="EndNoteBibliography"/>
        <w:spacing w:after="0"/>
      </w:pPr>
      <w:bookmarkStart w:id="858" w:name="_ENREF_291"/>
      <w:r w:rsidRPr="00112D14">
        <w:t>Fye, RE 1982, ‘Weed hosts of the</w:t>
      </w:r>
      <w:r w:rsidRPr="00112D14">
        <w:rPr>
          <w:i/>
        </w:rPr>
        <w:t xml:space="preserve"> Lygus</w:t>
      </w:r>
      <w:r w:rsidRPr="00112D14">
        <w:t xml:space="preserve"> (Heteroptera: Miridae) bug complex in Central Washington’, </w:t>
      </w:r>
      <w:r w:rsidRPr="00112D14">
        <w:rPr>
          <w:i/>
        </w:rPr>
        <w:t>Journal of Economic Entomology</w:t>
      </w:r>
      <w:r w:rsidRPr="00112D14">
        <w:t>, vol. 75, pp. 724-7.</w:t>
      </w:r>
      <w:bookmarkEnd w:id="858"/>
    </w:p>
    <w:p w14:paraId="27EA80CB" w14:textId="0F764599" w:rsidR="003438A2" w:rsidRPr="00112D14" w:rsidRDefault="003438A2" w:rsidP="00112D14">
      <w:pPr>
        <w:pStyle w:val="EndNoteBibliography"/>
        <w:spacing w:after="0"/>
      </w:pPr>
      <w:bookmarkStart w:id="859" w:name="_ENREF_292"/>
      <w:r w:rsidRPr="00112D14">
        <w:t xml:space="preserve">Gallice, GR 2017, ‘Cecropia moth: </w:t>
      </w:r>
      <w:r w:rsidRPr="00112D14">
        <w:rPr>
          <w:i/>
        </w:rPr>
        <w:t xml:space="preserve">Hyalophora cecropia </w:t>
      </w:r>
      <w:r w:rsidRPr="00112D14">
        <w:t xml:space="preserve">Linnaeus’, </w:t>
      </w:r>
      <w:r w:rsidRPr="00112D14">
        <w:rPr>
          <w:i/>
        </w:rPr>
        <w:t>Featured Creatures</w:t>
      </w:r>
      <w:r w:rsidRPr="00112D14">
        <w:t>, University of Florida, USA, available at</w:t>
      </w:r>
      <w:r w:rsidR="001B0F39">
        <w:t>,</w:t>
      </w:r>
      <w:r w:rsidRPr="00112D14">
        <w:t xml:space="preserve"> </w:t>
      </w:r>
      <w:hyperlink r:id="rId216" w:history="1">
        <w:r w:rsidR="008F1205" w:rsidRPr="009E4A79">
          <w:rPr>
            <w:rStyle w:val="Hyperlink"/>
          </w:rPr>
          <w:t>https://entnemdept.ufl.edu/creatures/bfly/moth2/cecropia_moth.htm</w:t>
        </w:r>
      </w:hyperlink>
      <w:r w:rsidRPr="00112D14">
        <w:t>.</w:t>
      </w:r>
      <w:bookmarkEnd w:id="859"/>
    </w:p>
    <w:p w14:paraId="6A5BC522" w14:textId="30B047BD" w:rsidR="003438A2" w:rsidRPr="00112D14" w:rsidRDefault="003438A2" w:rsidP="00112D14">
      <w:pPr>
        <w:pStyle w:val="EndNoteBibliography"/>
        <w:spacing w:after="0"/>
      </w:pPr>
      <w:bookmarkStart w:id="860" w:name="_ENREF_293"/>
      <w:r w:rsidRPr="00112D14">
        <w:t>García Morales, M, Denno, B, Miller, DR, Miller, GL, Ben-Dov, Y &amp; Hardy, NB 2016, ‘ScaleNet: a literature-based model of scale insect biology and systematics’, available at</w:t>
      </w:r>
      <w:r w:rsidR="000E652E">
        <w:t>,</w:t>
      </w:r>
      <w:r w:rsidRPr="00112D14">
        <w:t xml:space="preserve"> </w:t>
      </w:r>
      <w:hyperlink r:id="rId217" w:history="1">
        <w:r w:rsidR="00C03D34" w:rsidRPr="00847402">
          <w:rPr>
            <w:rStyle w:val="Hyperlink"/>
          </w:rPr>
          <w:t>http://scalenet.info</w:t>
        </w:r>
      </w:hyperlink>
      <w:r w:rsidRPr="00112D14">
        <w:t>, accessed 2016.</w:t>
      </w:r>
      <w:bookmarkEnd w:id="860"/>
    </w:p>
    <w:p w14:paraId="5DA69DF0" w14:textId="44F6B588" w:rsidR="003438A2" w:rsidRPr="00112D14" w:rsidRDefault="003438A2" w:rsidP="00112D14">
      <w:pPr>
        <w:pStyle w:val="EndNoteBibliography"/>
        <w:spacing w:after="0"/>
      </w:pPr>
      <w:bookmarkStart w:id="861" w:name="_ENREF_294"/>
      <w:r w:rsidRPr="00112D14">
        <w:t>-- -- 2020, ‘ScaleNet: a literature-based model of scale insect biology and systematics’, available at</w:t>
      </w:r>
      <w:r w:rsidR="000E652E">
        <w:t>,</w:t>
      </w:r>
      <w:r w:rsidRPr="00112D14">
        <w:t xml:space="preserve"> </w:t>
      </w:r>
      <w:hyperlink r:id="rId218" w:history="1">
        <w:r w:rsidR="008F1205" w:rsidRPr="009E4A79">
          <w:rPr>
            <w:rStyle w:val="Hyperlink"/>
          </w:rPr>
          <w:t>http://scalenet.info</w:t>
        </w:r>
      </w:hyperlink>
      <w:r w:rsidRPr="00112D14">
        <w:t>, accessed 2020.</w:t>
      </w:r>
      <w:bookmarkEnd w:id="861"/>
    </w:p>
    <w:p w14:paraId="5C05F24D" w14:textId="77777777" w:rsidR="003438A2" w:rsidRPr="00112D14" w:rsidRDefault="003438A2" w:rsidP="00112D14">
      <w:pPr>
        <w:pStyle w:val="EndNoteBibliography"/>
        <w:spacing w:after="0"/>
      </w:pPr>
      <w:bookmarkStart w:id="862" w:name="_ENREF_295"/>
      <w:r w:rsidRPr="00112D14">
        <w:t xml:space="preserve">Gardner, MW 1923, ‘Origin and control of apple-blotch cankers’, </w:t>
      </w:r>
      <w:r w:rsidRPr="00112D14">
        <w:rPr>
          <w:i/>
        </w:rPr>
        <w:t>Journal of Agricultural Research</w:t>
      </w:r>
      <w:r w:rsidRPr="00112D14">
        <w:t>, vol. 25, no. 10, pp. 403-18.</w:t>
      </w:r>
      <w:bookmarkEnd w:id="862"/>
    </w:p>
    <w:p w14:paraId="6B2D6650" w14:textId="77777777" w:rsidR="003438A2" w:rsidRPr="00112D14" w:rsidRDefault="003438A2" w:rsidP="00112D14">
      <w:pPr>
        <w:pStyle w:val="EndNoteBibliography"/>
        <w:spacing w:after="0"/>
      </w:pPr>
      <w:bookmarkStart w:id="863" w:name="_ENREF_296"/>
      <w:r w:rsidRPr="00112D14">
        <w:t xml:space="preserve">Garibaldi, A, Bertetti, D, Amatulli, MT &amp; Gullino, ML 2010, ‘First report of postharvest fruit rot in persimmon caused by </w:t>
      </w:r>
      <w:r w:rsidRPr="00112D14">
        <w:rPr>
          <w:i/>
        </w:rPr>
        <w:t>Phacidiopycnis washingtonensis</w:t>
      </w:r>
      <w:r w:rsidRPr="00112D14">
        <w:t xml:space="preserve"> in Italy’, </w:t>
      </w:r>
      <w:r w:rsidRPr="00112D14">
        <w:rPr>
          <w:i/>
        </w:rPr>
        <w:t>Plant Disease</w:t>
      </w:r>
      <w:r w:rsidRPr="00112D14">
        <w:t>, vol. 94, no. 6, p. 788.</w:t>
      </w:r>
      <w:bookmarkEnd w:id="863"/>
    </w:p>
    <w:p w14:paraId="47BAEBF2" w14:textId="77777777" w:rsidR="003438A2" w:rsidRPr="00112D14" w:rsidRDefault="003438A2" w:rsidP="00112D14">
      <w:pPr>
        <w:pStyle w:val="EndNoteBibliography"/>
        <w:spacing w:after="0"/>
      </w:pPr>
      <w:bookmarkStart w:id="864" w:name="_ENREF_297"/>
      <w:r w:rsidRPr="00112D14">
        <w:t>Gariepy, TD, Rahe, JE, Lévesque, CA, Spotts, RA, Sugar, DL &amp; Henriquez, JL 2005, ‘</w:t>
      </w:r>
      <w:r w:rsidRPr="00112D14">
        <w:rPr>
          <w:i/>
        </w:rPr>
        <w:t>Neofabraea</w:t>
      </w:r>
      <w:r w:rsidRPr="00112D14">
        <w:t xml:space="preserve"> species associated with bull's-eye rot and cankers of apple and pear in the Pacific Northwest’, </w:t>
      </w:r>
      <w:r w:rsidRPr="00112D14">
        <w:rPr>
          <w:i/>
        </w:rPr>
        <w:t>Canadian Journal of Plant Pathology</w:t>
      </w:r>
      <w:r w:rsidRPr="00112D14">
        <w:t>, vol. 27, pp. 118-24.</w:t>
      </w:r>
      <w:bookmarkEnd w:id="864"/>
    </w:p>
    <w:p w14:paraId="7A16EE9B" w14:textId="479F0C48" w:rsidR="008F1205" w:rsidRDefault="003438A2" w:rsidP="00112D14">
      <w:pPr>
        <w:pStyle w:val="EndNoteBibliography"/>
        <w:spacing w:after="0"/>
      </w:pPr>
      <w:bookmarkStart w:id="865" w:name="_ENREF_298"/>
      <w:r w:rsidRPr="00112D14">
        <w:t xml:space="preserve">Garton, W, Dugan, F, Mazzola, M &amp; Miles, C 2016, ‘Apple Anthracnose’, </w:t>
      </w:r>
      <w:r w:rsidRPr="00112D14">
        <w:rPr>
          <w:i/>
        </w:rPr>
        <w:t>WSU Tree Fruit Extension</w:t>
      </w:r>
      <w:r w:rsidRPr="00112D14">
        <w:t>, Washington State University, Washington, USA, available at</w:t>
      </w:r>
      <w:r w:rsidR="000E652E">
        <w:t>,</w:t>
      </w:r>
      <w:r w:rsidRPr="00112D14">
        <w:t xml:space="preserve"> </w:t>
      </w:r>
      <w:hyperlink r:id="rId219" w:history="1">
        <w:r w:rsidR="008F1205" w:rsidRPr="009E4A79">
          <w:rPr>
            <w:rStyle w:val="Hyperlink"/>
          </w:rPr>
          <w:t>http://treefruit.wsu.edu/crop-protection/disease-management/apple-anthracnose/</w:t>
        </w:r>
      </w:hyperlink>
    </w:p>
    <w:p w14:paraId="6BC792D6" w14:textId="44DDBE8D" w:rsidR="003438A2" w:rsidRPr="00112D14" w:rsidRDefault="003438A2" w:rsidP="00112D14">
      <w:pPr>
        <w:pStyle w:val="EndNoteBibliography"/>
        <w:spacing w:after="0"/>
      </w:pPr>
      <w:bookmarkStart w:id="866" w:name="_ENREF_299"/>
      <w:bookmarkEnd w:id="865"/>
      <w:r w:rsidRPr="00112D14">
        <w:t xml:space="preserve">Gaudet, DA &amp; Kokko, EG 1985, ‘Penetration and infection of winter wheat leaves by </w:t>
      </w:r>
      <w:r w:rsidRPr="00112D14">
        <w:rPr>
          <w:i/>
        </w:rPr>
        <w:t>Coprinus psychromorbidus</w:t>
      </w:r>
      <w:r w:rsidRPr="00112D14">
        <w:t xml:space="preserve"> under controlled environment conditions’, </w:t>
      </w:r>
      <w:r w:rsidRPr="00112D14">
        <w:rPr>
          <w:i/>
        </w:rPr>
        <w:t>Canadian Journal of Botany</w:t>
      </w:r>
      <w:r w:rsidRPr="00112D14">
        <w:t>, vol. 63, pp. 955-60.</w:t>
      </w:r>
      <w:bookmarkEnd w:id="866"/>
    </w:p>
    <w:p w14:paraId="62590910" w14:textId="77777777" w:rsidR="003438A2" w:rsidRPr="00112D14" w:rsidRDefault="003438A2" w:rsidP="00112D14">
      <w:pPr>
        <w:pStyle w:val="EndNoteBibliography"/>
        <w:spacing w:after="0"/>
      </w:pPr>
      <w:bookmarkStart w:id="867" w:name="_ENREF_300"/>
      <w:r w:rsidRPr="00112D14">
        <w:t xml:space="preserve">Gaudet, DA, Kokko, EG &amp; Sholberg, PL 1990, ‘Histopathology of apple fruit infected with strains of the low-temperature basidiomycete </w:t>
      </w:r>
      <w:r w:rsidRPr="00112D14">
        <w:rPr>
          <w:i/>
        </w:rPr>
        <w:t>Coprinus psychromorbidus</w:t>
      </w:r>
      <w:r w:rsidRPr="00112D14">
        <w:t xml:space="preserve">’, </w:t>
      </w:r>
      <w:r w:rsidRPr="00112D14">
        <w:rPr>
          <w:i/>
        </w:rPr>
        <w:t>Canadian Journal of Plant Pathology</w:t>
      </w:r>
      <w:r w:rsidRPr="00112D14">
        <w:t>, vol. 12, pp. 369-75.</w:t>
      </w:r>
      <w:bookmarkEnd w:id="867"/>
    </w:p>
    <w:p w14:paraId="0CBD8541" w14:textId="77777777" w:rsidR="003438A2" w:rsidRPr="00112D14" w:rsidRDefault="003438A2" w:rsidP="00112D14">
      <w:pPr>
        <w:pStyle w:val="EndNoteBibliography"/>
        <w:spacing w:after="0"/>
      </w:pPr>
      <w:bookmarkStart w:id="868" w:name="_ENREF_301"/>
      <w:r w:rsidRPr="00112D14">
        <w:t xml:space="preserve">Gaudet, DA &amp; Sholberg, PL 1990, ‘Comparative pathogenicity of </w:t>
      </w:r>
      <w:r w:rsidRPr="00112D14">
        <w:rPr>
          <w:i/>
        </w:rPr>
        <w:t>Coprinus psychromorbidus</w:t>
      </w:r>
      <w:r w:rsidRPr="00112D14">
        <w:t xml:space="preserve"> monokaryons and dikaryons on winter wheat, alfalfa, grass, and pome fruit’, </w:t>
      </w:r>
      <w:r w:rsidRPr="00112D14">
        <w:rPr>
          <w:i/>
        </w:rPr>
        <w:t>Canadian Journal of Plant Pathology</w:t>
      </w:r>
      <w:r w:rsidRPr="00112D14">
        <w:t>, vol. 12, pp. 31-7.</w:t>
      </w:r>
      <w:bookmarkEnd w:id="868"/>
    </w:p>
    <w:p w14:paraId="5DADCB4E" w14:textId="77777777" w:rsidR="003438A2" w:rsidRPr="00112D14" w:rsidRDefault="003438A2" w:rsidP="00112D14">
      <w:pPr>
        <w:pStyle w:val="EndNoteBibliography"/>
        <w:spacing w:after="0"/>
      </w:pPr>
      <w:bookmarkStart w:id="869" w:name="_ENREF_302"/>
      <w:r w:rsidRPr="00112D14">
        <w:t xml:space="preserve">Geider, K 2009, ‘Structure, biosynthesis and regulation of capsular exopolysaccharide of </w:t>
      </w:r>
      <w:r w:rsidRPr="00112D14">
        <w:rPr>
          <w:i/>
        </w:rPr>
        <w:t xml:space="preserve">Erwinia amylovora </w:t>
      </w:r>
      <w:r w:rsidRPr="00112D14">
        <w:t xml:space="preserve">and other </w:t>
      </w:r>
      <w:r w:rsidRPr="00112D14">
        <w:rPr>
          <w:i/>
        </w:rPr>
        <w:t>Erwinia</w:t>
      </w:r>
      <w:r w:rsidRPr="00112D14">
        <w:t xml:space="preserve"> species and role in pathogenicity’, in </w:t>
      </w:r>
      <w:r w:rsidRPr="00112D14">
        <w:rPr>
          <w:i/>
        </w:rPr>
        <w:t>Bacterial polysaccharides: current innovations and future trends</w:t>
      </w:r>
      <w:r w:rsidRPr="00112D14">
        <w:t>, Caister Academic, Norfolk.</w:t>
      </w:r>
      <w:bookmarkEnd w:id="869"/>
    </w:p>
    <w:p w14:paraId="6F5D4E1E" w14:textId="77777777" w:rsidR="003438A2" w:rsidRPr="00112D14" w:rsidRDefault="003438A2" w:rsidP="00112D14">
      <w:pPr>
        <w:pStyle w:val="EndNoteBibliography"/>
        <w:spacing w:after="0"/>
      </w:pPr>
      <w:bookmarkStart w:id="870" w:name="_ENREF_303"/>
      <w:r w:rsidRPr="00112D14">
        <w:t xml:space="preserve">Gencsoylu, I, Aksit, T, Ozer, G, Cacamer, A &amp; Baspinar, N 2006, ‘Population dynamics and damages on shoots and fruits caused by of </w:t>
      </w:r>
      <w:r w:rsidRPr="00112D14">
        <w:rPr>
          <w:i/>
        </w:rPr>
        <w:t>Grapholita molesta</w:t>
      </w:r>
      <w:r w:rsidRPr="00112D14">
        <w:t xml:space="preserve"> Busck (Lep.: Tortricidae), </w:t>
      </w:r>
      <w:r w:rsidRPr="00112D14">
        <w:rPr>
          <w:i/>
        </w:rPr>
        <w:t>Anarsia lineatella</w:t>
      </w:r>
      <w:r w:rsidRPr="00112D14">
        <w:t xml:space="preserve"> Zell (Lep.: Gelechiidae) and </w:t>
      </w:r>
      <w:r w:rsidRPr="00112D14">
        <w:rPr>
          <w:i/>
        </w:rPr>
        <w:t>Ceratitis capitata</w:t>
      </w:r>
      <w:r w:rsidRPr="00112D14">
        <w:t xml:space="preserve"> (Wied.)(Dip.: Tephritidae) in some peach varieties’, </w:t>
      </w:r>
      <w:r w:rsidRPr="00112D14">
        <w:rPr>
          <w:i/>
        </w:rPr>
        <w:t>Asian Journal of Plant Sciences</w:t>
      </w:r>
      <w:r w:rsidRPr="00112D14">
        <w:t>, vol. 5, no. 3, pp. 487-91.</w:t>
      </w:r>
      <w:bookmarkEnd w:id="870"/>
    </w:p>
    <w:p w14:paraId="698ACC7B" w14:textId="77777777" w:rsidR="003438A2" w:rsidRPr="00112D14" w:rsidRDefault="003438A2" w:rsidP="00112D14">
      <w:pPr>
        <w:pStyle w:val="EndNoteBibliography"/>
        <w:spacing w:after="0"/>
      </w:pPr>
      <w:bookmarkStart w:id="871" w:name="_ENREF_304"/>
      <w:r w:rsidRPr="00112D14">
        <w:t xml:space="preserve">Gibbs, A &amp; Harrison, B 1976, </w:t>
      </w:r>
      <w:r w:rsidRPr="00112D14">
        <w:rPr>
          <w:i/>
        </w:rPr>
        <w:t>Plant virology: the principles</w:t>
      </w:r>
      <w:r w:rsidRPr="00112D14">
        <w:t>, Edward Arnold, London.</w:t>
      </w:r>
      <w:bookmarkEnd w:id="871"/>
    </w:p>
    <w:p w14:paraId="0CD386FE" w14:textId="77777777" w:rsidR="003438A2" w:rsidRPr="00112D14" w:rsidRDefault="003438A2" w:rsidP="00112D14">
      <w:pPr>
        <w:pStyle w:val="EndNoteBibliography"/>
        <w:spacing w:after="0"/>
      </w:pPr>
      <w:bookmarkStart w:id="872" w:name="_ENREF_305"/>
      <w:r w:rsidRPr="00112D14">
        <w:t xml:space="preserve">Gill, RJ 1988a, </w:t>
      </w:r>
      <w:r w:rsidRPr="00112D14">
        <w:rPr>
          <w:i/>
        </w:rPr>
        <w:t>Parthenolecanium corni</w:t>
      </w:r>
      <w:r w:rsidRPr="00112D14">
        <w:t>, Soft Scales Species List.</w:t>
      </w:r>
      <w:bookmarkEnd w:id="872"/>
    </w:p>
    <w:p w14:paraId="29EE7EDD" w14:textId="77777777" w:rsidR="003438A2" w:rsidRPr="00112D14" w:rsidRDefault="003438A2" w:rsidP="00112D14">
      <w:pPr>
        <w:pStyle w:val="EndNoteBibliography"/>
        <w:spacing w:after="0"/>
      </w:pPr>
      <w:bookmarkStart w:id="873" w:name="_ENREF_306"/>
      <w:r w:rsidRPr="00112D14">
        <w:t xml:space="preserve">-- -- 1988b, </w:t>
      </w:r>
      <w:r w:rsidRPr="00112D14">
        <w:rPr>
          <w:i/>
        </w:rPr>
        <w:t>The scale insects of California Part 1: The soft scales (Homoptera: Coccoidea: Coccidae)</w:t>
      </w:r>
      <w:r w:rsidRPr="00112D14">
        <w:t>, California Department of Food and Agriculture, Sacramento, CA.</w:t>
      </w:r>
      <w:bookmarkEnd w:id="873"/>
    </w:p>
    <w:p w14:paraId="3D85ADCA" w14:textId="13969400" w:rsidR="003438A2" w:rsidRPr="00112D14" w:rsidRDefault="003438A2" w:rsidP="00112D14">
      <w:pPr>
        <w:pStyle w:val="EndNoteBibliography"/>
        <w:spacing w:after="0"/>
      </w:pPr>
      <w:bookmarkStart w:id="874" w:name="_ENREF_307"/>
      <w:r w:rsidRPr="00112D14">
        <w:t>Gilligan, TM, Baixeras, J &amp; Brown, JW 2018, ‘T@RTS: Online World Catalogue of the Tortricidae (ver. 4.0)’, available at</w:t>
      </w:r>
      <w:r w:rsidR="00073EB6">
        <w:t>,</w:t>
      </w:r>
      <w:r w:rsidRPr="00112D14">
        <w:t xml:space="preserve"> </w:t>
      </w:r>
      <w:hyperlink r:id="rId220" w:history="1">
        <w:r w:rsidR="008F1205" w:rsidRPr="009E4A79">
          <w:rPr>
            <w:rStyle w:val="Hyperlink"/>
          </w:rPr>
          <w:t>http://www.tortricidae.com/catalogue.asp</w:t>
        </w:r>
      </w:hyperlink>
      <w:r w:rsidRPr="00112D14">
        <w:t>, accessed 2020.</w:t>
      </w:r>
      <w:bookmarkEnd w:id="874"/>
    </w:p>
    <w:p w14:paraId="4C68FF7D" w14:textId="77777777" w:rsidR="003438A2" w:rsidRPr="00112D14" w:rsidRDefault="003438A2" w:rsidP="00112D14">
      <w:pPr>
        <w:pStyle w:val="EndNoteBibliography"/>
        <w:spacing w:after="0"/>
      </w:pPr>
      <w:bookmarkStart w:id="875" w:name="_ENREF_308"/>
      <w:r w:rsidRPr="00112D14">
        <w:t xml:space="preserve">Gilligan, TM, Brown, JW &amp; Hoddle, MS 2011, ‘A new avocado pest in Central America (Lepidoptera: Tortricidae) with a key to Lepidoptera larvae threating avocados in California’, </w:t>
      </w:r>
      <w:r w:rsidRPr="00112D14">
        <w:rPr>
          <w:i/>
        </w:rPr>
        <w:t>Zootaxa</w:t>
      </w:r>
      <w:r w:rsidRPr="00112D14">
        <w:t>, vol. 3137, pp. 31-45.</w:t>
      </w:r>
      <w:bookmarkEnd w:id="875"/>
    </w:p>
    <w:p w14:paraId="731E47D5" w14:textId="12B87289" w:rsidR="003438A2" w:rsidRPr="00112D14" w:rsidRDefault="003438A2" w:rsidP="00112D14">
      <w:pPr>
        <w:pStyle w:val="EndNoteBibliography"/>
        <w:spacing w:after="0"/>
      </w:pPr>
      <w:bookmarkStart w:id="876" w:name="_ENREF_309"/>
      <w:r w:rsidRPr="00112D14">
        <w:t>Gilligan, TM &amp; Epstein, ME 2014a, ‘TortAI: Tortricids of Agricultural Importance’, Colorado State University, Colorado, USA, available at</w:t>
      </w:r>
      <w:r w:rsidR="00073EB6">
        <w:t>,</w:t>
      </w:r>
      <w:r w:rsidRPr="00112D14">
        <w:t xml:space="preserve"> </w:t>
      </w:r>
      <w:hyperlink r:id="rId221" w:history="1">
        <w:r w:rsidR="008F1205" w:rsidRPr="009E4A79">
          <w:rPr>
            <w:rStyle w:val="Hyperlink"/>
          </w:rPr>
          <w:t>http://idtools.org/id/leps/tortai/index.html</w:t>
        </w:r>
      </w:hyperlink>
      <w:r w:rsidRPr="00112D14">
        <w:t>, accessed 2022.</w:t>
      </w:r>
      <w:bookmarkEnd w:id="876"/>
    </w:p>
    <w:p w14:paraId="6BB6A605" w14:textId="77777777" w:rsidR="003438A2" w:rsidRPr="00112D14" w:rsidRDefault="003438A2" w:rsidP="00112D14">
      <w:pPr>
        <w:pStyle w:val="EndNoteBibliography"/>
        <w:spacing w:after="0"/>
      </w:pPr>
      <w:bookmarkStart w:id="877" w:name="_ENREF_310"/>
      <w:r w:rsidRPr="00112D14">
        <w:t>-- -- 2014b, ‘TortAI: Tortricids of Agricultural Importance</w:t>
      </w:r>
      <w:r w:rsidRPr="00112D14">
        <w:rPr>
          <w:i/>
        </w:rPr>
        <w:t xml:space="preserve"> Choristoneura rosaceana</w:t>
      </w:r>
      <w:r w:rsidRPr="00112D14">
        <w:t>’, Colorado State University, accessed 29 November 2021.</w:t>
      </w:r>
      <w:bookmarkEnd w:id="877"/>
    </w:p>
    <w:p w14:paraId="590C0088" w14:textId="77777777" w:rsidR="003438A2" w:rsidRPr="00112D14" w:rsidRDefault="003438A2" w:rsidP="00112D14">
      <w:pPr>
        <w:pStyle w:val="EndNoteBibliography"/>
        <w:spacing w:after="0"/>
      </w:pPr>
      <w:bookmarkStart w:id="878" w:name="_ENREF_311"/>
      <w:r w:rsidRPr="00112D14">
        <w:t xml:space="preserve">-- -- 2014c, ‘TortAI: Tortricids of Agricultural Importance </w:t>
      </w:r>
      <w:r w:rsidRPr="00112D14">
        <w:rPr>
          <w:i/>
        </w:rPr>
        <w:t>Grapholita packardi</w:t>
      </w:r>
      <w:r w:rsidRPr="00112D14">
        <w:t>’, Colorado State University, accessed 29 November 2021.</w:t>
      </w:r>
      <w:bookmarkEnd w:id="878"/>
    </w:p>
    <w:p w14:paraId="3C7D3ED8" w14:textId="77777777" w:rsidR="003438A2" w:rsidRPr="00112D14" w:rsidRDefault="003438A2" w:rsidP="00112D14">
      <w:pPr>
        <w:pStyle w:val="EndNoteBibliography"/>
        <w:spacing w:after="0"/>
      </w:pPr>
      <w:bookmarkStart w:id="879" w:name="_ENREF_312"/>
      <w:r w:rsidRPr="00112D14">
        <w:t xml:space="preserve">Gimpel, WF, Jr &amp; Miller, DR 1996, ‘Systematic analysis of the mealybugs in the </w:t>
      </w:r>
      <w:r w:rsidRPr="00112D14">
        <w:rPr>
          <w:i/>
        </w:rPr>
        <w:t xml:space="preserve">Pseudococcus maritimus </w:t>
      </w:r>
      <w:r w:rsidRPr="00112D14">
        <w:t xml:space="preserve">complex (Homoptera: Pseudococcidae)’, </w:t>
      </w:r>
      <w:r w:rsidRPr="00112D14">
        <w:rPr>
          <w:i/>
        </w:rPr>
        <w:t>Contributions on Entomology International</w:t>
      </w:r>
      <w:r w:rsidRPr="00112D14">
        <w:t>, vol. 2, no. 1, pp. 7-149.</w:t>
      </w:r>
      <w:bookmarkEnd w:id="879"/>
    </w:p>
    <w:p w14:paraId="2BE0AB5A" w14:textId="77777777" w:rsidR="003438A2" w:rsidRPr="00112D14" w:rsidRDefault="003438A2" w:rsidP="00112D14">
      <w:pPr>
        <w:pStyle w:val="EndNoteBibliography"/>
        <w:spacing w:after="0"/>
      </w:pPr>
      <w:bookmarkStart w:id="880" w:name="_ENREF_313"/>
      <w:r w:rsidRPr="00112D14">
        <w:t xml:space="preserve">Ginns, J &amp; Lefebvre, MNL 1993, </w:t>
      </w:r>
      <w:r w:rsidRPr="00112D14">
        <w:rPr>
          <w:i/>
        </w:rPr>
        <w:t>Lignicolous corticoid fungi (Basidiomycota) of North America - systematics, distribution, and ecology</w:t>
      </w:r>
      <w:r w:rsidRPr="00112D14">
        <w:t>, APS Press, St. Paul, Minnesota.</w:t>
      </w:r>
      <w:bookmarkEnd w:id="880"/>
    </w:p>
    <w:p w14:paraId="651A6F17" w14:textId="77777777" w:rsidR="003438A2" w:rsidRPr="00112D14" w:rsidRDefault="003438A2" w:rsidP="00112D14">
      <w:pPr>
        <w:pStyle w:val="EndNoteBibliography"/>
        <w:spacing w:after="0"/>
      </w:pPr>
      <w:bookmarkStart w:id="881" w:name="_ENREF_314"/>
      <w:r w:rsidRPr="00112D14">
        <w:t xml:space="preserve">Glawe, DA 2008, </w:t>
      </w:r>
      <w:r w:rsidRPr="00112D14">
        <w:rPr>
          <w:i/>
        </w:rPr>
        <w:t>List of fungal pathogens of Malus spp. (Rosaceae) from Pacific Northwest Fungi Database</w:t>
      </w:r>
      <w:r w:rsidRPr="00112D14">
        <w:t>, Pacific Northwest Fungi Database, Department of Plant Pathology, Washington State University.</w:t>
      </w:r>
      <w:bookmarkEnd w:id="881"/>
    </w:p>
    <w:p w14:paraId="4224A590" w14:textId="77777777" w:rsidR="003438A2" w:rsidRPr="00112D14" w:rsidRDefault="003438A2" w:rsidP="00112D14">
      <w:pPr>
        <w:pStyle w:val="EndNoteBibliography"/>
        <w:spacing w:after="0"/>
      </w:pPr>
      <w:bookmarkStart w:id="882" w:name="_ENREF_315"/>
      <w:r w:rsidRPr="00112D14">
        <w:t xml:space="preserve">-- -- 2009, </w:t>
      </w:r>
      <w:r w:rsidRPr="00112D14">
        <w:rPr>
          <w:i/>
        </w:rPr>
        <w:t>Pacific Northwest Fungi Database</w:t>
      </w:r>
      <w:r w:rsidRPr="00112D14">
        <w:t>, Department of Plant Pathology, Washington State University, USA.</w:t>
      </w:r>
      <w:bookmarkEnd w:id="882"/>
    </w:p>
    <w:p w14:paraId="12F067D9" w14:textId="77777777" w:rsidR="003438A2" w:rsidRPr="00112D14" w:rsidRDefault="003438A2" w:rsidP="00112D14">
      <w:pPr>
        <w:pStyle w:val="EndNoteBibliography"/>
        <w:spacing w:after="0"/>
      </w:pPr>
      <w:bookmarkStart w:id="883" w:name="_ENREF_316"/>
      <w:r w:rsidRPr="00112D14">
        <w:t>Goetz, J &amp; Dugan, FM 2006, ‘</w:t>
      </w:r>
      <w:r w:rsidRPr="00112D14">
        <w:rPr>
          <w:i/>
        </w:rPr>
        <w:t>Alternaria malorum</w:t>
      </w:r>
      <w:r w:rsidRPr="00112D14">
        <w:t xml:space="preserve">: a mini-review with new records for hosts and pathogenicity’, </w:t>
      </w:r>
      <w:r w:rsidRPr="00112D14">
        <w:rPr>
          <w:i/>
        </w:rPr>
        <w:t>Pacific Northwest Fungi Database, Department of Plant Pathology, Washington State University</w:t>
      </w:r>
      <w:r w:rsidRPr="00112D14">
        <w:t>, vol. 1, no. 3, pp. 1-8.</w:t>
      </w:r>
      <w:bookmarkEnd w:id="883"/>
    </w:p>
    <w:p w14:paraId="2BCC9DD7" w14:textId="490E9D87" w:rsidR="003438A2" w:rsidRPr="00112D14" w:rsidRDefault="003438A2" w:rsidP="00112D14">
      <w:pPr>
        <w:pStyle w:val="EndNoteBibliography"/>
        <w:spacing w:after="0"/>
      </w:pPr>
      <w:bookmarkStart w:id="884" w:name="_ENREF_317"/>
      <w:r w:rsidRPr="00112D14">
        <w:t xml:space="preserve">Goheen, EM, Hansen, E, Kanaskie, A, Osterbauer, N, Parke, J, Pscheidt, J &amp; Chastagner, G 2006, </w:t>
      </w:r>
      <w:r w:rsidRPr="00112D14">
        <w:rPr>
          <w:i/>
        </w:rPr>
        <w:t>Sudden oak death and Phytophthora ramorum</w:t>
      </w:r>
      <w:r w:rsidRPr="00112D14">
        <w:t>, Oregon State University Extension Service, available at</w:t>
      </w:r>
      <w:r w:rsidR="00073EB6">
        <w:t>,</w:t>
      </w:r>
      <w:r w:rsidRPr="00112D14">
        <w:t xml:space="preserve"> </w:t>
      </w:r>
      <w:hyperlink r:id="rId222" w:history="1">
        <w:r w:rsidR="008F1205" w:rsidRPr="009E4A79">
          <w:rPr>
            <w:rStyle w:val="Hyperlink"/>
          </w:rPr>
          <w:t>https://catalog.extension.oregonstate.edu/sites/catalog/files/project/pdf/em8877.pdf</w:t>
        </w:r>
      </w:hyperlink>
      <w:r w:rsidRPr="00112D14">
        <w:t>.</w:t>
      </w:r>
      <w:bookmarkEnd w:id="884"/>
    </w:p>
    <w:p w14:paraId="63D008CF" w14:textId="3738BC71" w:rsidR="003438A2" w:rsidRPr="00112D14" w:rsidRDefault="003438A2" w:rsidP="00112D14">
      <w:pPr>
        <w:pStyle w:val="EndNoteBibliography"/>
        <w:spacing w:after="0"/>
      </w:pPr>
      <w:bookmarkStart w:id="885" w:name="_ENREF_318"/>
      <w:r w:rsidRPr="00112D14">
        <w:t xml:space="preserve">Gómez-Cortecero, A, Saville, RJ, Scheper, RWA, Bowen, JK, Agripino De Medeiros, H, Kingsnorth, J, Xu, X &amp; Harrison, R 2016, ‘Variation in host and pathogen in the </w:t>
      </w:r>
      <w:r w:rsidRPr="00112D14">
        <w:rPr>
          <w:i/>
        </w:rPr>
        <w:t>Neonectria</w:t>
      </w:r>
      <w:r w:rsidRPr="00112D14">
        <w:t>/</w:t>
      </w:r>
      <w:r w:rsidRPr="00112D14">
        <w:rPr>
          <w:i/>
        </w:rPr>
        <w:t>Malus</w:t>
      </w:r>
      <w:r w:rsidRPr="00112D14">
        <w:t xml:space="preserve"> interaction; toward an understanding of the genetic basis of resistance to European canker’, </w:t>
      </w:r>
      <w:r w:rsidRPr="00112D14">
        <w:rPr>
          <w:i/>
        </w:rPr>
        <w:t>Frontiers in Plant Science</w:t>
      </w:r>
      <w:r w:rsidRPr="00112D14">
        <w:t>, vol. 7, 1365, DOI 10.3389/fpls.2016.01365.</w:t>
      </w:r>
      <w:bookmarkEnd w:id="885"/>
    </w:p>
    <w:p w14:paraId="3EEEE6E2" w14:textId="77777777" w:rsidR="003438A2" w:rsidRPr="00112D14" w:rsidRDefault="003438A2" w:rsidP="00112D14">
      <w:pPr>
        <w:pStyle w:val="EndNoteBibliography"/>
        <w:spacing w:after="0"/>
      </w:pPr>
      <w:bookmarkStart w:id="886" w:name="_ENREF_319"/>
      <w:r w:rsidRPr="00112D14">
        <w:t>Gonsalves, D 1990, ‘</w:t>
      </w:r>
      <w:r w:rsidRPr="00112D14">
        <w:rPr>
          <w:i/>
        </w:rPr>
        <w:t xml:space="preserve">Apple union necrosis </w:t>
      </w:r>
      <w:r w:rsidRPr="00112D14">
        <w:t xml:space="preserve">and decline’, in </w:t>
      </w:r>
      <w:r w:rsidRPr="00112D14">
        <w:rPr>
          <w:i/>
        </w:rPr>
        <w:t>Compendium of apple and pear diseases</w:t>
      </w:r>
      <w:r w:rsidRPr="00112D14">
        <w:t>, Jones, AL &amp; Aldwinckle, HS (eds), The American Phytopathological Society Press, St. Paul, Minnesota.</w:t>
      </w:r>
      <w:bookmarkEnd w:id="886"/>
    </w:p>
    <w:p w14:paraId="6E1C4557" w14:textId="77777777" w:rsidR="003438A2" w:rsidRPr="00112D14" w:rsidRDefault="003438A2" w:rsidP="00112D14">
      <w:pPr>
        <w:pStyle w:val="EndNoteBibliography"/>
        <w:spacing w:after="0"/>
      </w:pPr>
      <w:bookmarkStart w:id="887" w:name="_ENREF_320"/>
      <w:r w:rsidRPr="00112D14">
        <w:t>González, MN 2008, ‘Growth, fruiting body development and laccase production of selected coprini’, PhD Dissertation, Georg-August-Universität zu Göttingen.</w:t>
      </w:r>
      <w:bookmarkEnd w:id="887"/>
    </w:p>
    <w:p w14:paraId="4D9D0142" w14:textId="77777777" w:rsidR="003438A2" w:rsidRPr="00112D14" w:rsidRDefault="003438A2" w:rsidP="00112D14">
      <w:pPr>
        <w:pStyle w:val="EndNoteBibliography"/>
        <w:spacing w:after="0"/>
      </w:pPr>
      <w:bookmarkStart w:id="888" w:name="_ENREF_321"/>
      <w:r w:rsidRPr="00112D14">
        <w:t xml:space="preserve">Gonzalez, RH 1978, ‘Introduction and spread of agricultural pests in Latin America: analysis and prospects’, </w:t>
      </w:r>
      <w:r w:rsidRPr="00112D14">
        <w:rPr>
          <w:i/>
        </w:rPr>
        <w:t>FAO Plant Protection Bulletin</w:t>
      </w:r>
      <w:r w:rsidRPr="00112D14">
        <w:t>, vol. 26, no. 2, pp. 41-52.</w:t>
      </w:r>
      <w:bookmarkEnd w:id="888"/>
    </w:p>
    <w:p w14:paraId="1B461520" w14:textId="502F18C2" w:rsidR="003438A2" w:rsidRPr="00112D14" w:rsidRDefault="003438A2" w:rsidP="00112D14">
      <w:pPr>
        <w:pStyle w:val="EndNoteBibliography"/>
        <w:spacing w:after="0"/>
      </w:pPr>
      <w:bookmarkStart w:id="889" w:name="_ENREF_322"/>
      <w:r w:rsidRPr="00112D14">
        <w:t xml:space="preserve">Good Fruit Grower 2014, ‘How to harvest and store WA 38 (Cosmic Crisp) apples’, </w:t>
      </w:r>
      <w:r w:rsidRPr="00112D14">
        <w:rPr>
          <w:i/>
        </w:rPr>
        <w:t>Good Fruit Grower Magazine</w:t>
      </w:r>
      <w:r w:rsidRPr="00112D14">
        <w:t>, Washington State, USA, available at</w:t>
      </w:r>
      <w:r w:rsidR="00714F4F">
        <w:t>,</w:t>
      </w:r>
      <w:r w:rsidRPr="00112D14">
        <w:t xml:space="preserve"> </w:t>
      </w:r>
      <w:hyperlink r:id="rId223" w:history="1">
        <w:r w:rsidR="008F1205" w:rsidRPr="009E4A79">
          <w:rPr>
            <w:rStyle w:val="Hyperlink"/>
          </w:rPr>
          <w:t>https://www.goodfruit.com/how-to-harvest-and-store-wa-38-cosmic-crisp-apples/</w:t>
        </w:r>
      </w:hyperlink>
      <w:r w:rsidRPr="00112D14">
        <w:t>.</w:t>
      </w:r>
      <w:bookmarkEnd w:id="889"/>
    </w:p>
    <w:p w14:paraId="6AA51F6D" w14:textId="39D5BAA5" w:rsidR="003438A2" w:rsidRPr="00112D14" w:rsidRDefault="003438A2" w:rsidP="00112D14">
      <w:pPr>
        <w:pStyle w:val="EndNoteBibliography"/>
        <w:spacing w:after="0"/>
      </w:pPr>
      <w:bookmarkStart w:id="890" w:name="_ENREF_323"/>
      <w:r w:rsidRPr="00112D14">
        <w:t>Government of Western Australia 2017, ‘Western Australia Organism List (WAOL)’, available at</w:t>
      </w:r>
      <w:r w:rsidR="00714F4F">
        <w:t>,</w:t>
      </w:r>
      <w:r w:rsidRPr="00112D14">
        <w:t xml:space="preserve"> </w:t>
      </w:r>
      <w:hyperlink r:id="rId224" w:history="1">
        <w:r w:rsidR="008F1205" w:rsidRPr="009E4A79">
          <w:rPr>
            <w:rStyle w:val="Hyperlink"/>
          </w:rPr>
          <w:t>https://www.agric.wa.gov.au/bam/western-australian-organism-list-waol</w:t>
        </w:r>
      </w:hyperlink>
      <w:r w:rsidRPr="00112D14">
        <w:t>, accessed 2017.</w:t>
      </w:r>
      <w:bookmarkEnd w:id="890"/>
    </w:p>
    <w:p w14:paraId="5BB37848" w14:textId="06B965B6" w:rsidR="003438A2" w:rsidRPr="00112D14" w:rsidRDefault="003438A2" w:rsidP="00112D14">
      <w:pPr>
        <w:pStyle w:val="EndNoteBibliography"/>
        <w:spacing w:after="0"/>
      </w:pPr>
      <w:bookmarkStart w:id="891" w:name="_ENREF_324"/>
      <w:r w:rsidRPr="00112D14">
        <w:t>-- -- 2018, ‘Western Australia Organism List (WAOL)’, available at</w:t>
      </w:r>
      <w:r w:rsidR="00714F4F">
        <w:t>,</w:t>
      </w:r>
      <w:r w:rsidRPr="00112D14">
        <w:t xml:space="preserve"> </w:t>
      </w:r>
      <w:hyperlink r:id="rId225" w:history="1">
        <w:r w:rsidR="00714F4F" w:rsidRPr="00847402">
          <w:rPr>
            <w:rStyle w:val="Hyperlink"/>
          </w:rPr>
          <w:t>https://www.agric.wa.gov.au/bam/western-australian-organism-list-waol</w:t>
        </w:r>
      </w:hyperlink>
      <w:r w:rsidRPr="00112D14">
        <w:t>, accessed 2018.</w:t>
      </w:r>
      <w:bookmarkEnd w:id="891"/>
    </w:p>
    <w:p w14:paraId="6AE238C7" w14:textId="117F9D09" w:rsidR="008F1205" w:rsidRDefault="003438A2" w:rsidP="00112D14">
      <w:pPr>
        <w:pStyle w:val="EndNoteBibliography"/>
        <w:spacing w:after="0"/>
      </w:pPr>
      <w:bookmarkStart w:id="892" w:name="_ENREF_325"/>
      <w:r w:rsidRPr="00112D14">
        <w:t>-- -- 2020, ‘Western Australia Organism List (WAOL)’, available at</w:t>
      </w:r>
      <w:r w:rsidR="00714F4F">
        <w:t>,</w:t>
      </w:r>
      <w:r w:rsidRPr="00112D14">
        <w:t xml:space="preserve"> </w:t>
      </w:r>
      <w:hyperlink r:id="rId226" w:history="1">
        <w:r w:rsidR="008F1205" w:rsidRPr="009E4A79">
          <w:rPr>
            <w:rStyle w:val="Hyperlink"/>
          </w:rPr>
          <w:t>https://www.agric.wa.gov.au/bam/western-australian-organism-list-waol</w:t>
        </w:r>
      </w:hyperlink>
    </w:p>
    <w:p w14:paraId="0F1A3A46" w14:textId="08E31486" w:rsidR="003438A2" w:rsidRPr="00112D14" w:rsidRDefault="003438A2" w:rsidP="00112D14">
      <w:pPr>
        <w:pStyle w:val="EndNoteBibliography"/>
        <w:spacing w:after="0"/>
      </w:pPr>
      <w:r w:rsidRPr="00112D14">
        <w:t xml:space="preserve"> accessed 2020.</w:t>
      </w:r>
      <w:bookmarkEnd w:id="892"/>
    </w:p>
    <w:p w14:paraId="7C3A5A48" w14:textId="67B8124C" w:rsidR="003438A2" w:rsidRPr="00112D14" w:rsidRDefault="003438A2" w:rsidP="00112D14">
      <w:pPr>
        <w:pStyle w:val="EndNoteBibliography"/>
        <w:spacing w:after="0"/>
      </w:pPr>
      <w:bookmarkStart w:id="893" w:name="_ENREF_326"/>
      <w:r w:rsidRPr="00112D14">
        <w:t>-- -- 2022, ‘Western Australia Organism List (WAOL)’, Department of Primary Industries and Regional Development, Perth, Western Australia, available at</w:t>
      </w:r>
      <w:r w:rsidR="00714F4F">
        <w:t>,</w:t>
      </w:r>
      <w:r w:rsidRPr="00112D14">
        <w:t xml:space="preserve"> </w:t>
      </w:r>
      <w:hyperlink r:id="rId227" w:history="1">
        <w:r w:rsidR="008F1205" w:rsidRPr="009E4A79">
          <w:rPr>
            <w:rStyle w:val="Hyperlink"/>
          </w:rPr>
          <w:t>https://www.agric.wa.gov.au/bam/western-australian-organism-list-waol</w:t>
        </w:r>
      </w:hyperlink>
      <w:r w:rsidRPr="00112D14">
        <w:t xml:space="preserve"> accessed 2022.</w:t>
      </w:r>
      <w:bookmarkEnd w:id="893"/>
    </w:p>
    <w:p w14:paraId="65A6679A" w14:textId="77777777" w:rsidR="003438A2" w:rsidRPr="00112D14" w:rsidRDefault="003438A2" w:rsidP="00112D14">
      <w:pPr>
        <w:pStyle w:val="EndNoteBibliography"/>
        <w:spacing w:after="0"/>
      </w:pPr>
      <w:bookmarkStart w:id="894" w:name="_ENREF_327"/>
      <w:r w:rsidRPr="00112D14">
        <w:t>Graf, B, Höpli, HU &amp; Höhn, H 2001, ‘The apple sawfly,</w:t>
      </w:r>
      <w:r w:rsidRPr="00112D14">
        <w:rPr>
          <w:i/>
        </w:rPr>
        <w:t xml:space="preserve"> Hoplocampa testudinea</w:t>
      </w:r>
      <w:r w:rsidRPr="00112D14">
        <w:t xml:space="preserve">: temperature effects on adult life‐span and reproduction’, </w:t>
      </w:r>
      <w:r w:rsidRPr="00112D14">
        <w:rPr>
          <w:i/>
        </w:rPr>
        <w:t>Entomologia Experimentalis et Applicata</w:t>
      </w:r>
      <w:r w:rsidRPr="00112D14">
        <w:t>, vol. 98, no. 3, pp. 377-80.</w:t>
      </w:r>
      <w:bookmarkEnd w:id="894"/>
    </w:p>
    <w:p w14:paraId="3BE16B11" w14:textId="77777777" w:rsidR="003438A2" w:rsidRPr="00112D14" w:rsidRDefault="003438A2" w:rsidP="00112D14">
      <w:pPr>
        <w:pStyle w:val="EndNoteBibliography"/>
        <w:spacing w:after="0"/>
      </w:pPr>
      <w:bookmarkStart w:id="895" w:name="_ENREF_328"/>
      <w:r w:rsidRPr="00112D14">
        <w:t xml:space="preserve">Graillot, B, Blachère-L.opez, C, Besse, S, Siegwart, M &amp; López-Ferber, M 2016, ‘Host range extension of </w:t>
      </w:r>
      <w:r w:rsidRPr="00112D14">
        <w:rPr>
          <w:i/>
        </w:rPr>
        <w:t>Cydia pomonella</w:t>
      </w:r>
      <w:r w:rsidRPr="00112D14">
        <w:t xml:space="preserve"> granulovirus: adaptation to oriental fruit moth, </w:t>
      </w:r>
      <w:r w:rsidRPr="00112D14">
        <w:rPr>
          <w:i/>
        </w:rPr>
        <w:t>Grapholita molesta</w:t>
      </w:r>
      <w:r w:rsidRPr="00112D14">
        <w:t xml:space="preserve">’, </w:t>
      </w:r>
      <w:r w:rsidRPr="00112D14">
        <w:rPr>
          <w:i/>
        </w:rPr>
        <w:t>BioControl</w:t>
      </w:r>
      <w:r w:rsidRPr="00112D14">
        <w:t>, vol. 62, no. 1, pp. 19-27.</w:t>
      </w:r>
      <w:bookmarkEnd w:id="895"/>
    </w:p>
    <w:p w14:paraId="51D54923" w14:textId="77777777" w:rsidR="003438A2" w:rsidRPr="00112D14" w:rsidRDefault="003438A2" w:rsidP="00112D14">
      <w:pPr>
        <w:pStyle w:val="EndNoteBibliography"/>
        <w:spacing w:after="0"/>
      </w:pPr>
      <w:bookmarkStart w:id="896" w:name="_ENREF_329"/>
      <w:r w:rsidRPr="00112D14">
        <w:t xml:space="preserve">Green, DB 2007, </w:t>
      </w:r>
      <w:r w:rsidRPr="00112D14">
        <w:rPr>
          <w:i/>
        </w:rPr>
        <w:t>Pest, disease and weed incidence report: harvest year 2006</w:t>
      </w:r>
      <w:r w:rsidRPr="00112D14">
        <w:t>, Agricultural Training and Technical Publications, WV6 8TG, ADAS, Wolverhampton UK.</w:t>
      </w:r>
      <w:bookmarkEnd w:id="896"/>
    </w:p>
    <w:p w14:paraId="7E639502" w14:textId="77777777" w:rsidR="003438A2" w:rsidRPr="00112D14" w:rsidRDefault="003438A2" w:rsidP="00112D14">
      <w:pPr>
        <w:pStyle w:val="EndNoteBibliography"/>
        <w:spacing w:after="0"/>
      </w:pPr>
      <w:bookmarkStart w:id="897" w:name="_ENREF_330"/>
      <w:r w:rsidRPr="00112D14">
        <w:t xml:space="preserve">Grove, GG 1990a, ‘Anthracnose and perennial canker’, in </w:t>
      </w:r>
      <w:r w:rsidRPr="00112D14">
        <w:rPr>
          <w:i/>
        </w:rPr>
        <w:t>Compendium of apple and pear diseases</w:t>
      </w:r>
      <w:r w:rsidRPr="00112D14">
        <w:t>, Jones, AL &amp; Aldwinckle, HS (eds), The American Phytopathological Society Press, St. Paul, Minnesota.</w:t>
      </w:r>
      <w:bookmarkEnd w:id="897"/>
    </w:p>
    <w:p w14:paraId="4D587100" w14:textId="77777777" w:rsidR="003438A2" w:rsidRPr="00112D14" w:rsidRDefault="003438A2" w:rsidP="00112D14">
      <w:pPr>
        <w:pStyle w:val="EndNoteBibliography"/>
        <w:spacing w:after="0"/>
      </w:pPr>
      <w:bookmarkStart w:id="898" w:name="_ENREF_331"/>
      <w:r w:rsidRPr="00112D14">
        <w:t xml:space="preserve">-- -- 1990b, ‘Canker and wood rot diseases: </w:t>
      </w:r>
      <w:r w:rsidRPr="00112D14">
        <w:rPr>
          <w:i/>
        </w:rPr>
        <w:t>Nectria</w:t>
      </w:r>
      <w:r w:rsidRPr="00112D14">
        <w:t xml:space="preserve"> canker’, in </w:t>
      </w:r>
      <w:r w:rsidRPr="00112D14">
        <w:rPr>
          <w:i/>
        </w:rPr>
        <w:t>Compendium of apple and pear diseases</w:t>
      </w:r>
      <w:r w:rsidRPr="00112D14">
        <w:t>, Jones, AL &amp; Aldwinckle, HS (eds), The American Phytopathological Society Press, St. Paul, Minnesota.</w:t>
      </w:r>
      <w:bookmarkEnd w:id="898"/>
    </w:p>
    <w:p w14:paraId="54F3EFD4" w14:textId="77777777" w:rsidR="003438A2" w:rsidRPr="00112D14" w:rsidRDefault="003438A2" w:rsidP="00112D14">
      <w:pPr>
        <w:pStyle w:val="EndNoteBibliography"/>
        <w:spacing w:after="0"/>
      </w:pPr>
      <w:bookmarkStart w:id="899" w:name="_ENREF_332"/>
      <w:r w:rsidRPr="00112D14">
        <w:t>-- -- 1990c, ‘</w:t>
      </w:r>
      <w:r w:rsidRPr="00112D14">
        <w:rPr>
          <w:i/>
        </w:rPr>
        <w:t>Nectria canker</w:t>
      </w:r>
      <w:r w:rsidRPr="00112D14">
        <w:t xml:space="preserve">’, in </w:t>
      </w:r>
      <w:r w:rsidRPr="00112D14">
        <w:rPr>
          <w:i/>
        </w:rPr>
        <w:t>Compendium of apple and pear diseases</w:t>
      </w:r>
      <w:r w:rsidRPr="00112D14">
        <w:t>, Jones, AL &amp; Aldwinckle, HS (eds), The American Phytopathological Society Press, St. Paul, Minnesota.</w:t>
      </w:r>
      <w:bookmarkEnd w:id="899"/>
    </w:p>
    <w:p w14:paraId="2D448842" w14:textId="77777777" w:rsidR="003438A2" w:rsidRPr="00112D14" w:rsidRDefault="003438A2" w:rsidP="00112D14">
      <w:pPr>
        <w:pStyle w:val="EndNoteBibliography"/>
        <w:spacing w:after="0"/>
      </w:pPr>
      <w:bookmarkStart w:id="900" w:name="_ENREF_333"/>
      <w:r w:rsidRPr="00112D14">
        <w:t xml:space="preserve">-- -- 1995, ‘Powdery mildew’, in </w:t>
      </w:r>
      <w:r w:rsidRPr="00112D14">
        <w:rPr>
          <w:i/>
        </w:rPr>
        <w:t>Compendium of stonefruit diseases</w:t>
      </w:r>
      <w:r w:rsidRPr="00112D14">
        <w:t>, Jones, AL &amp; Aldwinckle, HS (eds), The American Phytopathological Society Press, St. Paul, Minnesota.</w:t>
      </w:r>
      <w:bookmarkEnd w:id="900"/>
    </w:p>
    <w:p w14:paraId="392C2990" w14:textId="77777777" w:rsidR="003438A2" w:rsidRPr="00112D14" w:rsidRDefault="003438A2" w:rsidP="00112D14">
      <w:pPr>
        <w:pStyle w:val="EndNoteBibliography"/>
        <w:spacing w:after="0"/>
      </w:pPr>
      <w:bookmarkStart w:id="901" w:name="_ENREF_334"/>
      <w:r w:rsidRPr="00112D14">
        <w:t xml:space="preserve">Grove, GG, Dugan, FM &amp; Boal, RJ 1992, ‘Perennial canker of apple: seasonal host suceptibility, spore production, and perennation of </w:t>
      </w:r>
      <w:r w:rsidRPr="00112D14">
        <w:rPr>
          <w:i/>
        </w:rPr>
        <w:t>Cryptosporiopsis perennans</w:t>
      </w:r>
      <w:r w:rsidRPr="00112D14">
        <w:t xml:space="preserve"> in infected fruit in eastern Washington’, </w:t>
      </w:r>
      <w:r w:rsidRPr="00112D14">
        <w:rPr>
          <w:i/>
        </w:rPr>
        <w:t>Plant Disease</w:t>
      </w:r>
      <w:r w:rsidRPr="00112D14">
        <w:t>, vol. 76, no. 11, pp. 1109-14.</w:t>
      </w:r>
      <w:bookmarkEnd w:id="901"/>
    </w:p>
    <w:p w14:paraId="6E434E21" w14:textId="77777777" w:rsidR="003438A2" w:rsidRPr="00112D14" w:rsidRDefault="003438A2" w:rsidP="00112D14">
      <w:pPr>
        <w:pStyle w:val="EndNoteBibliography"/>
        <w:spacing w:after="0"/>
      </w:pPr>
      <w:bookmarkStart w:id="902" w:name="_ENREF_335"/>
      <w:r w:rsidRPr="00112D14">
        <w:t xml:space="preserve">Grove, GG, Eastwell, KC, Jones, AL &amp; Sutton, TB 2003, ‘Diseases of apple’, in </w:t>
      </w:r>
      <w:r w:rsidRPr="00112D14">
        <w:rPr>
          <w:i/>
        </w:rPr>
        <w:t>Apples: botany, production and uses</w:t>
      </w:r>
      <w:r w:rsidRPr="00112D14">
        <w:t>, Ferree, DC &amp; Warringtong, IJ (eds), CAB International, Wallingford.</w:t>
      </w:r>
      <w:bookmarkEnd w:id="902"/>
    </w:p>
    <w:p w14:paraId="27193982" w14:textId="1F6CE7B0" w:rsidR="003438A2" w:rsidRPr="00112D14" w:rsidRDefault="003438A2" w:rsidP="00112D14">
      <w:pPr>
        <w:pStyle w:val="EndNoteBibliography"/>
        <w:spacing w:after="0"/>
      </w:pPr>
      <w:bookmarkStart w:id="903" w:name="_ENREF_336"/>
      <w:r w:rsidRPr="00112D14">
        <w:t xml:space="preserve">Gubler, WD, Smith, RJ, Varela, LG, Vasquez, S, Stapleton, JJ &amp; Purcell, AH 2009, </w:t>
      </w:r>
      <w:r w:rsidRPr="00112D14">
        <w:rPr>
          <w:i/>
        </w:rPr>
        <w:t>Diseases. In UC IPM Pest management guidelines: grape</w:t>
      </w:r>
      <w:r w:rsidRPr="00112D14">
        <w:t>, UC IPM Online: Statewide Integrated Pest Management Program, available at</w:t>
      </w:r>
      <w:r w:rsidR="00695CA3">
        <w:t>,</w:t>
      </w:r>
      <w:r w:rsidRPr="00112D14">
        <w:t xml:space="preserve"> </w:t>
      </w:r>
      <w:hyperlink r:id="rId228" w:history="1">
        <w:r w:rsidR="008F1205" w:rsidRPr="009E4A79">
          <w:rPr>
            <w:rStyle w:val="Hyperlink"/>
          </w:rPr>
          <w:t>http://www.ipm.ucdavis.edu/PDF/PMG/pmggrape.pdf</w:t>
        </w:r>
      </w:hyperlink>
      <w:r w:rsidRPr="00112D14">
        <w:t>.</w:t>
      </w:r>
      <w:bookmarkEnd w:id="903"/>
    </w:p>
    <w:p w14:paraId="0DBFEAE6" w14:textId="30010130" w:rsidR="003438A2" w:rsidRPr="00112D14" w:rsidRDefault="003438A2" w:rsidP="00112D14">
      <w:pPr>
        <w:pStyle w:val="EndNoteBibliography"/>
        <w:spacing w:after="0"/>
      </w:pPr>
      <w:bookmarkStart w:id="904" w:name="_ENREF_337"/>
      <w:r w:rsidRPr="00112D14">
        <w:t xml:space="preserve">Gyeltshen, J, Bernon, G &amp; Hodges, A 2010, </w:t>
      </w:r>
      <w:r w:rsidRPr="00112D14">
        <w:rPr>
          <w:i/>
        </w:rPr>
        <w:t>Brown marmorated stink bug, Halyomorpha halys Stål (Insecta: Hemiptera: Pentatomidae)</w:t>
      </w:r>
      <w:r w:rsidRPr="00112D14">
        <w:t>, University of Florida, USA, available at</w:t>
      </w:r>
      <w:r w:rsidR="00695CA3">
        <w:t>,</w:t>
      </w:r>
      <w:r w:rsidRPr="00112D14">
        <w:t xml:space="preserve"> </w:t>
      </w:r>
      <w:hyperlink r:id="rId229" w:history="1">
        <w:r w:rsidR="008F1205" w:rsidRPr="009E4A79">
          <w:rPr>
            <w:rStyle w:val="Hyperlink"/>
          </w:rPr>
          <w:t>https://entnemdept.ufl.edu/creatures/veg/bean/brown_marmorated_stink_bug.htm</w:t>
        </w:r>
      </w:hyperlink>
      <w:r w:rsidRPr="00112D14">
        <w:t>.</w:t>
      </w:r>
      <w:bookmarkEnd w:id="904"/>
    </w:p>
    <w:p w14:paraId="16A335A6" w14:textId="77777777" w:rsidR="003438A2" w:rsidRPr="00112D14" w:rsidRDefault="003438A2" w:rsidP="00112D14">
      <w:pPr>
        <w:pStyle w:val="EndNoteBibliography"/>
        <w:spacing w:after="0"/>
      </w:pPr>
      <w:bookmarkStart w:id="905" w:name="_ENREF_338"/>
      <w:r w:rsidRPr="00112D14">
        <w:t xml:space="preserve">Hadidi, A, Barba, M, Candresse, T &amp; Jelkmann, W 2011, </w:t>
      </w:r>
      <w:r w:rsidRPr="00112D14">
        <w:rPr>
          <w:i/>
        </w:rPr>
        <w:t>Virus and virus-like diseases of pome and stone fruits</w:t>
      </w:r>
      <w:r w:rsidRPr="00112D14">
        <w:t>, APS Press, St. Paul, Minnesota, USA.</w:t>
      </w:r>
      <w:bookmarkEnd w:id="905"/>
    </w:p>
    <w:p w14:paraId="0E4DEEB5" w14:textId="77777777" w:rsidR="003438A2" w:rsidRPr="00112D14" w:rsidRDefault="003438A2" w:rsidP="00112D14">
      <w:pPr>
        <w:pStyle w:val="EndNoteBibliography"/>
        <w:spacing w:after="0"/>
      </w:pPr>
      <w:bookmarkStart w:id="906" w:name="_ENREF_339"/>
      <w:r w:rsidRPr="00112D14">
        <w:t>Hadidi, A, Barba, M, Hong, N &amp; Hallan, V 2017, ‘</w:t>
      </w:r>
      <w:r w:rsidRPr="00112D14">
        <w:rPr>
          <w:i/>
        </w:rPr>
        <w:t>Apple scar skin viroid</w:t>
      </w:r>
      <w:r w:rsidRPr="00112D14">
        <w:t xml:space="preserve">’, in </w:t>
      </w:r>
      <w:r w:rsidRPr="00112D14">
        <w:rPr>
          <w:i/>
        </w:rPr>
        <w:t>Viroids and satellites</w:t>
      </w:r>
      <w:r w:rsidRPr="00112D14">
        <w:t>, Hadidi, A, Flores, R, Randles, J &amp; Palukaitis, P (eds), Academic Press.</w:t>
      </w:r>
      <w:bookmarkEnd w:id="906"/>
    </w:p>
    <w:p w14:paraId="5ECB6194" w14:textId="77777777" w:rsidR="003438A2" w:rsidRPr="00112D14" w:rsidRDefault="003438A2" w:rsidP="00112D14">
      <w:pPr>
        <w:pStyle w:val="EndNoteBibliography"/>
        <w:spacing w:after="0"/>
      </w:pPr>
      <w:bookmarkStart w:id="907" w:name="_ENREF_340"/>
      <w:r w:rsidRPr="00112D14">
        <w:t xml:space="preserve">Hadidi, A, Hansen, AJ, Parish, CL &amp; Yang, X 1991, ‘Scar skin and dapple apple viroids are seed-borne and persistent in infected apple trees’, </w:t>
      </w:r>
      <w:r w:rsidRPr="00112D14">
        <w:rPr>
          <w:i/>
        </w:rPr>
        <w:t>Research Virology</w:t>
      </w:r>
      <w:r w:rsidRPr="00112D14">
        <w:t>, vol. 142, pp. 289-96.</w:t>
      </w:r>
      <w:bookmarkEnd w:id="907"/>
    </w:p>
    <w:p w14:paraId="3B6B6413" w14:textId="3307A1EF" w:rsidR="003438A2" w:rsidRPr="00112D14" w:rsidRDefault="003438A2" w:rsidP="00112D14">
      <w:pPr>
        <w:pStyle w:val="EndNoteBibliography"/>
        <w:spacing w:after="0"/>
      </w:pPr>
      <w:bookmarkStart w:id="908" w:name="_ENREF_341"/>
      <w:r w:rsidRPr="00112D14">
        <w:t xml:space="preserve">Hagler, JR, Jackson, CG &amp; Blackmer, JL 2010, ‘Diet selection exhibited by juvenile and adult lifestages of the omnivores western tarnished plant bug, </w:t>
      </w:r>
      <w:r w:rsidRPr="00112D14">
        <w:rPr>
          <w:i/>
        </w:rPr>
        <w:t>Lygus hesperus</w:t>
      </w:r>
      <w:r w:rsidRPr="00112D14">
        <w:t xml:space="preserve"> and tarnished plant bug, </w:t>
      </w:r>
      <w:r w:rsidRPr="00112D14">
        <w:rPr>
          <w:i/>
        </w:rPr>
        <w:t>Lygus lineolaris</w:t>
      </w:r>
      <w:r w:rsidRPr="00112D14">
        <w:t xml:space="preserve">’, </w:t>
      </w:r>
      <w:r w:rsidRPr="00112D14">
        <w:rPr>
          <w:i/>
        </w:rPr>
        <w:t>Journal of Insect Science</w:t>
      </w:r>
      <w:r w:rsidRPr="00112D14">
        <w:t xml:space="preserve">, vol. 10, no. 1, </w:t>
      </w:r>
      <w:r w:rsidR="00695CA3">
        <w:t xml:space="preserve">availsble at, </w:t>
      </w:r>
      <w:hyperlink r:id="rId230" w:history="1">
        <w:r w:rsidR="00695CA3" w:rsidRPr="00847402">
          <w:rPr>
            <w:rStyle w:val="Hyperlink"/>
          </w:rPr>
          <w:t>https://doi.org/10.1673/031.010.12701</w:t>
        </w:r>
      </w:hyperlink>
      <w:r w:rsidRPr="00112D14">
        <w:t>.</w:t>
      </w:r>
      <w:bookmarkEnd w:id="908"/>
    </w:p>
    <w:p w14:paraId="21EB09AA" w14:textId="77777777" w:rsidR="003438A2" w:rsidRPr="00112D14" w:rsidRDefault="003438A2" w:rsidP="00112D14">
      <w:pPr>
        <w:pStyle w:val="EndNoteBibliography"/>
        <w:spacing w:after="0"/>
      </w:pPr>
      <w:bookmarkStart w:id="909" w:name="_ENREF_342"/>
      <w:r w:rsidRPr="00112D14">
        <w:t xml:space="preserve">Hale, CN, McRae, EM &amp; Thomson, SV 1987, ‘Occurrence of </w:t>
      </w:r>
      <w:r w:rsidRPr="00112D14">
        <w:rPr>
          <w:i/>
        </w:rPr>
        <w:t>Erwinia amylovora</w:t>
      </w:r>
      <w:r w:rsidRPr="00112D14">
        <w:t xml:space="preserve"> on apple fruit in New Zealand’, </w:t>
      </w:r>
      <w:r w:rsidRPr="00112D14">
        <w:rPr>
          <w:i/>
        </w:rPr>
        <w:t>Acta Horticulturae (ISHS)</w:t>
      </w:r>
      <w:r w:rsidRPr="00112D14">
        <w:t>, vol. 217, pp. 33-40.</w:t>
      </w:r>
      <w:bookmarkEnd w:id="909"/>
    </w:p>
    <w:p w14:paraId="50DE93A7" w14:textId="77777777" w:rsidR="003438A2" w:rsidRPr="00112D14" w:rsidRDefault="003438A2" w:rsidP="00112D14">
      <w:pPr>
        <w:pStyle w:val="EndNoteBibliography"/>
        <w:spacing w:after="0"/>
      </w:pPr>
      <w:bookmarkStart w:id="910" w:name="_ENREF_343"/>
      <w:r w:rsidRPr="00112D14">
        <w:t xml:space="preserve">Hale, CN &amp; Taylor, RK 1999, </w:t>
      </w:r>
      <w:r w:rsidRPr="00112D14">
        <w:rPr>
          <w:i/>
        </w:rPr>
        <w:t>Effect of cool storage on the survival of Erwinia amylovora in apple calyxes</w:t>
      </w:r>
      <w:r w:rsidRPr="00112D14">
        <w:t>, The Horticulture and Food Research Institute of New Zealand Limited, Palmerston North.</w:t>
      </w:r>
      <w:bookmarkEnd w:id="910"/>
    </w:p>
    <w:p w14:paraId="05D33FCB" w14:textId="77777777" w:rsidR="003438A2" w:rsidRPr="00112D14" w:rsidRDefault="003438A2" w:rsidP="00112D14">
      <w:pPr>
        <w:pStyle w:val="EndNoteBibliography"/>
        <w:spacing w:after="0"/>
      </w:pPr>
      <w:bookmarkStart w:id="911" w:name="_ENREF_344"/>
      <w:r w:rsidRPr="00112D14">
        <w:t xml:space="preserve">Hale, CN, Taylor, RK &amp; Clark, RG 1996, ‘Ecology and epidemiology of fire blight in New Zealand’, </w:t>
      </w:r>
      <w:r w:rsidRPr="00112D14">
        <w:rPr>
          <w:i/>
        </w:rPr>
        <w:t>Acta Horticulturae (ISHS)</w:t>
      </w:r>
      <w:r w:rsidRPr="00112D14">
        <w:t>, vol. 411, pp. 79-85.</w:t>
      </w:r>
      <w:bookmarkEnd w:id="911"/>
    </w:p>
    <w:p w14:paraId="14430539" w14:textId="77777777" w:rsidR="003438A2" w:rsidRPr="00112D14" w:rsidRDefault="003438A2" w:rsidP="00112D14">
      <w:pPr>
        <w:pStyle w:val="EndNoteBibliography"/>
        <w:spacing w:after="0"/>
      </w:pPr>
      <w:bookmarkStart w:id="912" w:name="_ENREF_345"/>
      <w:r w:rsidRPr="00112D14">
        <w:t xml:space="preserve">Hall-Stoodley, L, Costerton, JW &amp; Stoodley, P 2004, ‘Bacterial biofilms: from the natural environment to infectious diseases’, </w:t>
      </w:r>
      <w:r w:rsidRPr="00112D14">
        <w:rPr>
          <w:i/>
        </w:rPr>
        <w:t>Nature Reviews: Microbiology</w:t>
      </w:r>
      <w:r w:rsidRPr="00112D14">
        <w:t>, vol. 2, pp. 95-106.</w:t>
      </w:r>
      <w:bookmarkEnd w:id="912"/>
    </w:p>
    <w:p w14:paraId="6A2C1134" w14:textId="77777777" w:rsidR="003438A2" w:rsidRPr="00112D14" w:rsidRDefault="003438A2" w:rsidP="00112D14">
      <w:pPr>
        <w:pStyle w:val="EndNoteBibliography"/>
        <w:spacing w:after="0"/>
      </w:pPr>
      <w:bookmarkStart w:id="913" w:name="_ENREF_346"/>
      <w:r w:rsidRPr="00112D14">
        <w:t xml:space="preserve">Halliday, RB 1998, </w:t>
      </w:r>
      <w:r w:rsidRPr="00112D14">
        <w:rPr>
          <w:i/>
        </w:rPr>
        <w:t>Mites of Australia: a checklist and bibliography</w:t>
      </w:r>
      <w:r w:rsidRPr="00112D14">
        <w:t>, vol. 5, Commonwealth Scientific and Industrial Research Organisation, Collingwood.</w:t>
      </w:r>
      <w:bookmarkEnd w:id="913"/>
    </w:p>
    <w:p w14:paraId="379CEC41" w14:textId="77777777" w:rsidR="003438A2" w:rsidRPr="00112D14" w:rsidRDefault="003438A2" w:rsidP="00112D14">
      <w:pPr>
        <w:pStyle w:val="EndNoteBibliography"/>
        <w:spacing w:after="0"/>
      </w:pPr>
      <w:bookmarkStart w:id="914" w:name="_ENREF_347"/>
      <w:r w:rsidRPr="00112D14">
        <w:t xml:space="preserve">Hallman, GJ 2004, ‘Irradiation disinfestation of apple maggot (Diptera: Tephritidae) in hypoxic and low-temperature storage’, </w:t>
      </w:r>
      <w:r w:rsidRPr="00112D14">
        <w:rPr>
          <w:i/>
        </w:rPr>
        <w:t>Journal of Economic Entomology</w:t>
      </w:r>
      <w:r w:rsidRPr="00112D14">
        <w:t>, vol. 97, pp. 1245-8.</w:t>
      </w:r>
      <w:bookmarkEnd w:id="914"/>
    </w:p>
    <w:p w14:paraId="1A2056D4" w14:textId="77777777" w:rsidR="003438A2" w:rsidRPr="00112D14" w:rsidRDefault="003438A2" w:rsidP="00112D14">
      <w:pPr>
        <w:pStyle w:val="EndNoteBibliography"/>
        <w:spacing w:after="0"/>
      </w:pPr>
      <w:bookmarkStart w:id="915" w:name="_ENREF_348"/>
      <w:r w:rsidRPr="00112D14">
        <w:t xml:space="preserve">Hammer, OH 1936, ‘The biology of the apple curculio </w:t>
      </w:r>
      <w:r w:rsidRPr="00112D14">
        <w:rPr>
          <w:i/>
        </w:rPr>
        <w:t>(Tachypterellus quadrigibbus</w:t>
      </w:r>
      <w:r w:rsidRPr="00112D14">
        <w:t xml:space="preserve"> Say)’, </w:t>
      </w:r>
      <w:r w:rsidRPr="00112D14">
        <w:rPr>
          <w:i/>
        </w:rPr>
        <w:t>Technical Bulletin of the New York State Agricultural Experiment Station</w:t>
      </w:r>
      <w:r w:rsidRPr="00112D14">
        <w:t>, vol. 240, pp. 1-50.</w:t>
      </w:r>
      <w:bookmarkEnd w:id="915"/>
    </w:p>
    <w:p w14:paraId="65AFB4FE" w14:textId="77777777" w:rsidR="003438A2" w:rsidRPr="00112D14" w:rsidRDefault="003438A2" w:rsidP="00112D14">
      <w:pPr>
        <w:pStyle w:val="EndNoteBibliography"/>
        <w:spacing w:after="0"/>
      </w:pPr>
      <w:bookmarkStart w:id="916" w:name="_ENREF_349"/>
      <w:r w:rsidRPr="00112D14">
        <w:t xml:space="preserve">Han, L, Wang, G, Yang, X, Zhu, SF &amp; Hadidi, A 2003, ‘Viroids in China’, in </w:t>
      </w:r>
      <w:r w:rsidRPr="00112D14">
        <w:rPr>
          <w:i/>
        </w:rPr>
        <w:t>Viroids</w:t>
      </w:r>
      <w:r w:rsidRPr="00112D14">
        <w:t>, Hadidi, A, Flores, R, Randles, JW &amp; Semancik, JS (eds), Commonwealth Scientific and Industrial Research Organisation, Collingwood.</w:t>
      </w:r>
      <w:bookmarkEnd w:id="916"/>
    </w:p>
    <w:p w14:paraId="20BF5409" w14:textId="77777777" w:rsidR="003438A2" w:rsidRPr="00112D14" w:rsidRDefault="003438A2" w:rsidP="00112D14">
      <w:pPr>
        <w:pStyle w:val="EndNoteBibliography"/>
        <w:spacing w:after="0"/>
      </w:pPr>
      <w:bookmarkStart w:id="917" w:name="_ENREF_350"/>
      <w:r w:rsidRPr="00112D14">
        <w:t xml:space="preserve">Hansen, AJ &amp; Parish, CL 1990, ‘Transmissible fruit disorders’, in </w:t>
      </w:r>
      <w:r w:rsidRPr="00112D14">
        <w:rPr>
          <w:i/>
        </w:rPr>
        <w:t>Compendium of apple and pear diseases</w:t>
      </w:r>
      <w:r w:rsidRPr="00112D14">
        <w:t>, Jones, AL &amp; Aldwinckle, HS (eds), The American Phytopathological Society Press, St. Paul, Minnesota.</w:t>
      </w:r>
      <w:bookmarkEnd w:id="917"/>
    </w:p>
    <w:p w14:paraId="670795FD" w14:textId="77777777" w:rsidR="003438A2" w:rsidRPr="00112D14" w:rsidRDefault="003438A2" w:rsidP="00112D14">
      <w:pPr>
        <w:pStyle w:val="EndNoteBibliography"/>
        <w:spacing w:after="0"/>
      </w:pPr>
      <w:bookmarkStart w:id="918" w:name="_ENREF_351"/>
      <w:r w:rsidRPr="00112D14">
        <w:t xml:space="preserve">Hansen, JD 2002, ‘Effect of cold temperature treatments on the mortality of eggs and feeding larvae of the oriental fruit moth’, </w:t>
      </w:r>
      <w:r w:rsidRPr="00112D14">
        <w:rPr>
          <w:i/>
        </w:rPr>
        <w:t>HortTechnology</w:t>
      </w:r>
      <w:r w:rsidRPr="00112D14">
        <w:t>, vol. 12, no. 2, pp. 203-5.</w:t>
      </w:r>
      <w:bookmarkEnd w:id="918"/>
    </w:p>
    <w:p w14:paraId="2911F802" w14:textId="77777777" w:rsidR="003438A2" w:rsidRPr="00112D14" w:rsidRDefault="003438A2" w:rsidP="00112D14">
      <w:pPr>
        <w:pStyle w:val="EndNoteBibliography"/>
        <w:spacing w:after="0"/>
      </w:pPr>
      <w:bookmarkStart w:id="919" w:name="_ENREF_352"/>
      <w:r w:rsidRPr="00112D14">
        <w:t xml:space="preserve">Harrison, JJ, Turner, RJ, Marques, LLR &amp; Ceri, H 2005, ‘Biofilms: a new understanding of these microbial communities is driving a revolution that may transform the science of microbiology’, </w:t>
      </w:r>
      <w:r w:rsidRPr="00112D14">
        <w:rPr>
          <w:i/>
        </w:rPr>
        <w:t>American Scientist</w:t>
      </w:r>
      <w:r w:rsidRPr="00112D14">
        <w:t>, vol. 93, no. 6, pp. 508-15.</w:t>
      </w:r>
      <w:bookmarkEnd w:id="919"/>
    </w:p>
    <w:p w14:paraId="31642A30" w14:textId="77777777" w:rsidR="003438A2" w:rsidRPr="00112D14" w:rsidRDefault="003438A2" w:rsidP="00112D14">
      <w:pPr>
        <w:pStyle w:val="EndNoteBibliography"/>
        <w:spacing w:after="0"/>
      </w:pPr>
      <w:bookmarkStart w:id="920" w:name="_ENREF_353"/>
      <w:r w:rsidRPr="00112D14">
        <w:t xml:space="preserve">Hartman, JR 1990, ‘Thread blight’, in </w:t>
      </w:r>
      <w:r w:rsidRPr="00112D14">
        <w:rPr>
          <w:i/>
        </w:rPr>
        <w:t>Compendium of apple and pear diseases</w:t>
      </w:r>
      <w:r w:rsidRPr="00112D14">
        <w:t>, Jones, AL &amp; Aldwinckle, HS (eds), The American Phytopathological Society Press, St. Paul, Minnesota.</w:t>
      </w:r>
      <w:bookmarkEnd w:id="920"/>
    </w:p>
    <w:p w14:paraId="6AB33586" w14:textId="77777777" w:rsidR="003438A2" w:rsidRPr="00112D14" w:rsidRDefault="003438A2" w:rsidP="00112D14">
      <w:pPr>
        <w:pStyle w:val="EndNoteBibliography"/>
        <w:spacing w:after="0"/>
      </w:pPr>
      <w:bookmarkStart w:id="921" w:name="_ENREF_354"/>
      <w:r w:rsidRPr="00112D14">
        <w:t xml:space="preserve">Hauser, M 2011, ‘A historic account of the invasion of </w:t>
      </w:r>
      <w:r w:rsidRPr="00112D14">
        <w:rPr>
          <w:i/>
        </w:rPr>
        <w:t xml:space="preserve">Drosophila suzukii </w:t>
      </w:r>
      <w:r w:rsidRPr="00112D14">
        <w:t xml:space="preserve">(Matsumura) (Diptera: Drosophilidae) in the continental United States, with remarks on their identification’, </w:t>
      </w:r>
      <w:r w:rsidRPr="00112D14">
        <w:rPr>
          <w:i/>
        </w:rPr>
        <w:t>Pest Management Science</w:t>
      </w:r>
      <w:r w:rsidRPr="00112D14">
        <w:t>, vol. Unpublished, pp. 1-6.</w:t>
      </w:r>
      <w:bookmarkEnd w:id="921"/>
    </w:p>
    <w:p w14:paraId="78193775" w14:textId="77777777" w:rsidR="003438A2" w:rsidRPr="00112D14" w:rsidRDefault="003438A2" w:rsidP="00112D14">
      <w:pPr>
        <w:pStyle w:val="EndNoteBibliography"/>
        <w:spacing w:after="0"/>
      </w:pPr>
      <w:bookmarkStart w:id="922" w:name="_ENREF_355"/>
      <w:r w:rsidRPr="00112D14">
        <w:t xml:space="preserve">He, XZ &amp; Wang, Q 2015, ‘Ability of </w:t>
      </w:r>
      <w:r w:rsidRPr="00112D14">
        <w:rPr>
          <w:i/>
        </w:rPr>
        <w:t>Platygaster demades</w:t>
      </w:r>
      <w:r w:rsidRPr="00112D14">
        <w:t xml:space="preserve"> (Hymenoptera: Platygastridae) to parasitize both eggs and larvae makes it an effective natural enemy of </w:t>
      </w:r>
      <w:r w:rsidRPr="00112D14">
        <w:rPr>
          <w:i/>
        </w:rPr>
        <w:t>Dasineura mali</w:t>
      </w:r>
      <w:r w:rsidRPr="00112D14">
        <w:t xml:space="preserve"> (Diptera: Cecidomyiidae)’, </w:t>
      </w:r>
      <w:r w:rsidRPr="00112D14">
        <w:rPr>
          <w:i/>
        </w:rPr>
        <w:t>Journal of Economic Entomology</w:t>
      </w:r>
      <w:r w:rsidRPr="00112D14">
        <w:t>, vol. 108, no. 4, pp. 1884-9.</w:t>
      </w:r>
      <w:bookmarkEnd w:id="922"/>
    </w:p>
    <w:p w14:paraId="7A718547" w14:textId="77777777" w:rsidR="003438A2" w:rsidRPr="00112D14" w:rsidRDefault="003438A2" w:rsidP="00112D14">
      <w:pPr>
        <w:pStyle w:val="EndNoteBibliography"/>
        <w:spacing w:after="0"/>
      </w:pPr>
      <w:bookmarkStart w:id="923" w:name="_ENREF_356"/>
      <w:r w:rsidRPr="00112D14">
        <w:t xml:space="preserve">Heald, FD &amp; Ruehle, GD 1931, ‘The rots of Washington apples in cold storage’, </w:t>
      </w:r>
      <w:r w:rsidRPr="00112D14">
        <w:rPr>
          <w:i/>
        </w:rPr>
        <w:t>Washington Agricultural Experimental Station Bulletin</w:t>
      </w:r>
      <w:r w:rsidRPr="00112D14">
        <w:t>, vol. 253, pp. 48-.</w:t>
      </w:r>
      <w:bookmarkEnd w:id="923"/>
    </w:p>
    <w:p w14:paraId="7012E5B5" w14:textId="77777777" w:rsidR="003438A2" w:rsidRPr="00112D14" w:rsidRDefault="003438A2" w:rsidP="00112D14">
      <w:pPr>
        <w:pStyle w:val="EndNoteBibliography"/>
        <w:spacing w:after="0"/>
      </w:pPr>
      <w:bookmarkStart w:id="924" w:name="_ENREF_357"/>
      <w:r w:rsidRPr="00112D14">
        <w:t xml:space="preserve">Helle, W &amp; Pijnacker, LP 1985, ‘Parthenogenesis, chromosomes and sex’, in </w:t>
      </w:r>
      <w:r w:rsidRPr="00112D14">
        <w:rPr>
          <w:i/>
        </w:rPr>
        <w:t>Spider mites: their biology, natural enemies and control. Vol. 1A</w:t>
      </w:r>
      <w:r w:rsidRPr="00112D14">
        <w:t>, Helle, W &amp; Sabelis, MW (eds), Elsevier Science Publishers B.V., Amsterdam.</w:t>
      </w:r>
      <w:bookmarkEnd w:id="924"/>
    </w:p>
    <w:p w14:paraId="200346C5" w14:textId="14FFA2F4" w:rsidR="003438A2" w:rsidRPr="00112D14" w:rsidRDefault="003438A2" w:rsidP="00112D14">
      <w:pPr>
        <w:pStyle w:val="EndNoteBibliography"/>
        <w:spacing w:after="0"/>
      </w:pPr>
      <w:bookmarkStart w:id="925" w:name="_ENREF_358"/>
      <w:r w:rsidRPr="00112D14">
        <w:t xml:space="preserve">Henderson, RC 2001, </w:t>
      </w:r>
      <w:r w:rsidRPr="00112D14">
        <w:rPr>
          <w:i/>
        </w:rPr>
        <w:t>Habitats of New Zealand soft scales</w:t>
      </w:r>
      <w:r w:rsidRPr="00112D14">
        <w:t>, Landcare Research: Manaaki Whenua, available at</w:t>
      </w:r>
      <w:r w:rsidR="00943460">
        <w:t>,</w:t>
      </w:r>
      <w:r w:rsidRPr="00112D14">
        <w:t xml:space="preserve"> </w:t>
      </w:r>
      <w:hyperlink r:id="rId231" w:history="1">
        <w:r w:rsidR="008F1205" w:rsidRPr="009E4A79">
          <w:rPr>
            <w:rStyle w:val="Hyperlink"/>
          </w:rPr>
          <w:t>https://www.landcareresearch.co.nz/discover-our-research/biodiversity/plants-invertebrates-fungi-and-bacteria/invertebrate-systematics/scale-insects/factsheets/parthenolacanium-corni/</w:t>
        </w:r>
      </w:hyperlink>
      <w:r w:rsidRPr="00112D14">
        <w:t>.</w:t>
      </w:r>
      <w:bookmarkEnd w:id="925"/>
    </w:p>
    <w:p w14:paraId="38BEAA57" w14:textId="77777777" w:rsidR="003438A2" w:rsidRPr="00112D14" w:rsidRDefault="003438A2" w:rsidP="00112D14">
      <w:pPr>
        <w:pStyle w:val="EndNoteBibliography"/>
        <w:spacing w:after="0"/>
      </w:pPr>
      <w:bookmarkStart w:id="926" w:name="_ENREF_359"/>
      <w:r w:rsidRPr="00112D14">
        <w:t xml:space="preserve">Henriquez, JL, Sugar, DL &amp; Spotts, RA 2008, ‘Effects of environmental factors and cultural practices on Bull's eye rot of pear’, </w:t>
      </w:r>
      <w:r w:rsidRPr="00112D14">
        <w:rPr>
          <w:i/>
        </w:rPr>
        <w:t>Plant Disease</w:t>
      </w:r>
      <w:r w:rsidRPr="00112D14">
        <w:t>, vol. 92, pp. 421-4.</w:t>
      </w:r>
      <w:bookmarkEnd w:id="926"/>
    </w:p>
    <w:p w14:paraId="05999CFB" w14:textId="77777777" w:rsidR="003438A2" w:rsidRPr="00112D14" w:rsidRDefault="003438A2" w:rsidP="00112D14">
      <w:pPr>
        <w:pStyle w:val="EndNoteBibliography"/>
        <w:spacing w:after="0"/>
      </w:pPr>
      <w:bookmarkStart w:id="927" w:name="_ENREF_360"/>
      <w:r w:rsidRPr="00112D14">
        <w:t xml:space="preserve">Heppner, JB 2004, ‘Orange tortrix, </w:t>
      </w:r>
      <w:r w:rsidRPr="00112D14">
        <w:rPr>
          <w:i/>
        </w:rPr>
        <w:t>Argyrotaenia citrana:</w:t>
      </w:r>
      <w:r w:rsidRPr="00112D14">
        <w:t xml:space="preserve"> a western species not in Florida (Lepidoptera: Tortricidae)’, </w:t>
      </w:r>
      <w:r w:rsidRPr="00112D14">
        <w:rPr>
          <w:i/>
        </w:rPr>
        <w:t>Florida Entomologist</w:t>
      </w:r>
      <w:r w:rsidRPr="00112D14">
        <w:t>, vol. 87, no. 2, pp. 235-6.</w:t>
      </w:r>
      <w:bookmarkEnd w:id="927"/>
    </w:p>
    <w:p w14:paraId="712806B2" w14:textId="77777777" w:rsidR="003438A2" w:rsidRPr="00112D14" w:rsidRDefault="003438A2" w:rsidP="00112D14">
      <w:pPr>
        <w:pStyle w:val="EndNoteBibliography"/>
        <w:spacing w:after="0"/>
      </w:pPr>
      <w:bookmarkStart w:id="928" w:name="_ENREF_361"/>
      <w:r w:rsidRPr="00112D14">
        <w:t xml:space="preserve">Hill, DS 1987, </w:t>
      </w:r>
      <w:r w:rsidRPr="00112D14">
        <w:rPr>
          <w:i/>
        </w:rPr>
        <w:t>Agricultural insect pests of temperate regions and their control</w:t>
      </w:r>
      <w:r w:rsidRPr="00112D14">
        <w:t>, University of Cambridge, Cambridge.</w:t>
      </w:r>
      <w:bookmarkEnd w:id="928"/>
    </w:p>
    <w:p w14:paraId="2795DFBD" w14:textId="77777777" w:rsidR="003438A2" w:rsidRPr="00112D14" w:rsidRDefault="003438A2" w:rsidP="00112D14">
      <w:pPr>
        <w:pStyle w:val="EndNoteBibliography"/>
        <w:spacing w:after="0"/>
      </w:pPr>
      <w:bookmarkStart w:id="929" w:name="_ENREF_362"/>
      <w:r w:rsidRPr="00112D14">
        <w:t xml:space="preserve">Hnatiuk, RJ 1990, </w:t>
      </w:r>
      <w:r w:rsidRPr="00112D14">
        <w:rPr>
          <w:i/>
        </w:rPr>
        <w:t>Census of Australian vascular plants</w:t>
      </w:r>
      <w:r w:rsidRPr="00112D14">
        <w:t>, vol. 11, Australian Government Publishing Service, Canberra.</w:t>
      </w:r>
      <w:bookmarkEnd w:id="929"/>
    </w:p>
    <w:p w14:paraId="3BB51FEA" w14:textId="77777777" w:rsidR="003438A2" w:rsidRPr="00112D14" w:rsidRDefault="003438A2" w:rsidP="00112D14">
      <w:pPr>
        <w:pStyle w:val="EndNoteBibliography"/>
        <w:spacing w:after="0"/>
      </w:pPr>
      <w:bookmarkStart w:id="930" w:name="_ENREF_363"/>
      <w:r w:rsidRPr="00112D14">
        <w:t xml:space="preserve">Hoerner, JL &amp; List, GM 1952, ‘Controlling cherry fruitworm in Colorado’, </w:t>
      </w:r>
      <w:r w:rsidRPr="00112D14">
        <w:rPr>
          <w:i/>
        </w:rPr>
        <w:t>Journal of Economic Entomology</w:t>
      </w:r>
      <w:r w:rsidRPr="00112D14">
        <w:t>, vol. 45, no. 5, pp. 800-5.</w:t>
      </w:r>
      <w:bookmarkEnd w:id="930"/>
    </w:p>
    <w:p w14:paraId="2E962E13" w14:textId="2E1B39FE" w:rsidR="003438A2" w:rsidRPr="00112D14" w:rsidRDefault="003438A2" w:rsidP="00FA6FFE">
      <w:pPr>
        <w:pStyle w:val="EndNoteBibliography"/>
        <w:spacing w:after="0"/>
      </w:pPr>
      <w:bookmarkStart w:id="931" w:name="_ENREF_365"/>
      <w:bookmarkStart w:id="932" w:name="_ENREF_364"/>
      <w:r w:rsidRPr="00112D14">
        <w:t xml:space="preserve">Hollingsworth, CS 2008, </w:t>
      </w:r>
      <w:r w:rsidRPr="00112D14">
        <w:rPr>
          <w:i/>
        </w:rPr>
        <w:t>Pacific Northwest insect management handbook</w:t>
      </w:r>
      <w:r w:rsidRPr="00112D14">
        <w:t>, Oregon State University, Corvallis, available at</w:t>
      </w:r>
      <w:r w:rsidR="00943460">
        <w:t>,</w:t>
      </w:r>
      <w:r w:rsidRPr="00112D14">
        <w:t xml:space="preserve"> </w:t>
      </w:r>
      <w:hyperlink r:id="rId232" w:history="1">
        <w:r w:rsidR="008F1205" w:rsidRPr="009E4A79">
          <w:rPr>
            <w:rStyle w:val="Hyperlink"/>
          </w:rPr>
          <w:t>http://pnwpest.org/pnw/insects</w:t>
        </w:r>
      </w:hyperlink>
      <w:r w:rsidRPr="00112D14">
        <w:t>.</w:t>
      </w:r>
      <w:bookmarkEnd w:id="931"/>
    </w:p>
    <w:p w14:paraId="52724F1D" w14:textId="77777777" w:rsidR="003438A2" w:rsidRPr="00112D14" w:rsidRDefault="003438A2" w:rsidP="00112D14">
      <w:pPr>
        <w:pStyle w:val="EndNoteBibliography"/>
        <w:spacing w:after="0"/>
      </w:pPr>
      <w:r w:rsidRPr="00112D14">
        <w:t>-- -- 2018, ‘Grape-Spider mite’, Oregon State University, accessed 06 Nov 2018.</w:t>
      </w:r>
      <w:bookmarkEnd w:id="932"/>
    </w:p>
    <w:p w14:paraId="0651FEEE" w14:textId="7416B420" w:rsidR="003438A2" w:rsidRPr="00112D14" w:rsidRDefault="003438A2" w:rsidP="00112D14">
      <w:pPr>
        <w:pStyle w:val="EndNoteBibliography"/>
        <w:spacing w:after="0"/>
      </w:pPr>
      <w:bookmarkStart w:id="933" w:name="_ENREF_366"/>
      <w:r w:rsidRPr="00112D14">
        <w:t xml:space="preserve">-- -- 2019, </w:t>
      </w:r>
      <w:r w:rsidRPr="00112D14">
        <w:rPr>
          <w:i/>
        </w:rPr>
        <w:t>Pacific Northwest Insect Management Handbook</w:t>
      </w:r>
      <w:r w:rsidRPr="00112D14">
        <w:t xml:space="preserve">, Oregon State University, Corvallis, Oregon, USA, </w:t>
      </w:r>
      <w:r w:rsidR="00943460">
        <w:t xml:space="preserve">available at, </w:t>
      </w:r>
      <w:hyperlink r:id="rId233" w:history="1">
        <w:r w:rsidR="003F779D" w:rsidRPr="00847402">
          <w:rPr>
            <w:rStyle w:val="Hyperlink"/>
          </w:rPr>
          <w:t>http://pnwhandbooks.org/insect</w:t>
        </w:r>
      </w:hyperlink>
      <w:r w:rsidRPr="00112D14">
        <w:t>.</w:t>
      </w:r>
      <w:bookmarkEnd w:id="933"/>
    </w:p>
    <w:p w14:paraId="12AD9973" w14:textId="77777777" w:rsidR="003438A2" w:rsidRPr="00112D14" w:rsidRDefault="003438A2" w:rsidP="00112D14">
      <w:pPr>
        <w:pStyle w:val="EndNoteBibliography"/>
        <w:spacing w:after="0"/>
      </w:pPr>
      <w:bookmarkStart w:id="934" w:name="_ENREF_367"/>
      <w:r w:rsidRPr="00112D14">
        <w:t xml:space="preserve">Hollis, D &amp; Eastop, VF 2005, </w:t>
      </w:r>
      <w:r w:rsidRPr="00112D14">
        <w:rPr>
          <w:i/>
        </w:rPr>
        <w:t>Superfamily Aphidoidea</w:t>
      </w:r>
      <w:r w:rsidRPr="00112D14">
        <w:t>, Australian Faunal Directory, Australian Biological Resources Study.</w:t>
      </w:r>
      <w:bookmarkEnd w:id="934"/>
    </w:p>
    <w:p w14:paraId="28E491F7" w14:textId="77777777" w:rsidR="003438A2" w:rsidRPr="00112D14" w:rsidRDefault="003438A2" w:rsidP="00112D14">
      <w:pPr>
        <w:pStyle w:val="EndNoteBibliography"/>
        <w:spacing w:after="0"/>
      </w:pPr>
      <w:bookmarkStart w:id="935" w:name="_ENREF_368"/>
      <w:r w:rsidRPr="00112D14">
        <w:t xml:space="preserve">Horne, AS &amp; Horne, EV 1920, ‘Mycological studies. I. On the "spotting" of apples in Great Britain’, </w:t>
      </w:r>
      <w:r w:rsidRPr="00112D14">
        <w:rPr>
          <w:i/>
        </w:rPr>
        <w:t>Annals of Applied Biology</w:t>
      </w:r>
      <w:r w:rsidRPr="00112D14">
        <w:t>, vol. 7, no. 2-3, pp. 183-201.</w:t>
      </w:r>
      <w:bookmarkEnd w:id="935"/>
    </w:p>
    <w:p w14:paraId="63C08B9E" w14:textId="77777777" w:rsidR="003438A2" w:rsidRPr="00112D14" w:rsidRDefault="003438A2" w:rsidP="00112D14">
      <w:pPr>
        <w:pStyle w:val="EndNoteBibliography"/>
        <w:spacing w:after="0"/>
      </w:pPr>
      <w:bookmarkStart w:id="936" w:name="_ENREF_369"/>
      <w:r w:rsidRPr="00112D14">
        <w:t xml:space="preserve">Howell, JF 1979, ‘Phenology of the adult spotted cutworm in the Yakima Valley’, </w:t>
      </w:r>
      <w:r w:rsidRPr="00112D14">
        <w:rPr>
          <w:i/>
        </w:rPr>
        <w:t>Environmental Entomology</w:t>
      </w:r>
      <w:r w:rsidRPr="00112D14">
        <w:t>, vol. 8, no. 6, pp. 1065-9.</w:t>
      </w:r>
      <w:bookmarkEnd w:id="936"/>
    </w:p>
    <w:p w14:paraId="6CB912E6" w14:textId="6C5671DD" w:rsidR="003438A2" w:rsidRPr="00112D14" w:rsidRDefault="003438A2" w:rsidP="00112D14">
      <w:pPr>
        <w:pStyle w:val="EndNoteBibliography"/>
        <w:spacing w:after="0"/>
      </w:pPr>
      <w:bookmarkStart w:id="937" w:name="_ENREF_370"/>
      <w:r w:rsidRPr="00112D14">
        <w:t xml:space="preserve">-- -- 1993, </w:t>
      </w:r>
      <w:r w:rsidRPr="00112D14">
        <w:rPr>
          <w:i/>
        </w:rPr>
        <w:t>Fruitworms and climbing cutworms</w:t>
      </w:r>
      <w:r w:rsidRPr="00112D14">
        <w:t>, Washington State University, available at</w:t>
      </w:r>
      <w:r w:rsidR="003F779D">
        <w:t>,</w:t>
      </w:r>
      <w:r w:rsidRPr="00112D14">
        <w:t xml:space="preserve"> </w:t>
      </w:r>
      <w:hyperlink r:id="rId234" w:history="1">
        <w:r w:rsidR="008F1205" w:rsidRPr="009E4A79">
          <w:rPr>
            <w:rStyle w:val="Hyperlink"/>
          </w:rPr>
          <w:t>http://treefruit.wsu.edu/crop-protection/opm/fruitworms/</w:t>
        </w:r>
      </w:hyperlink>
      <w:r w:rsidRPr="00112D14">
        <w:t>.</w:t>
      </w:r>
      <w:bookmarkEnd w:id="937"/>
    </w:p>
    <w:p w14:paraId="1316EDFB" w14:textId="77777777" w:rsidR="003438A2" w:rsidRPr="00112D14" w:rsidRDefault="003438A2" w:rsidP="00112D14">
      <w:pPr>
        <w:pStyle w:val="EndNoteBibliography"/>
        <w:spacing w:after="0"/>
      </w:pPr>
      <w:bookmarkStart w:id="938" w:name="_ENREF_371"/>
      <w:r w:rsidRPr="00112D14">
        <w:t xml:space="preserve">Howell, JF &amp; George, DA 1979, ‘Spotted cutworm: control in apple orchards with chlorpyrifos’, </w:t>
      </w:r>
      <w:r w:rsidRPr="00112D14">
        <w:rPr>
          <w:i/>
        </w:rPr>
        <w:t>Journal of Economic Entomology</w:t>
      </w:r>
      <w:r w:rsidRPr="00112D14">
        <w:t>, vol. 72, pp. 27-9.</w:t>
      </w:r>
      <w:bookmarkEnd w:id="938"/>
    </w:p>
    <w:p w14:paraId="71B4635D" w14:textId="77777777" w:rsidR="003438A2" w:rsidRPr="00112D14" w:rsidRDefault="003438A2" w:rsidP="00112D14">
      <w:pPr>
        <w:pStyle w:val="EndNoteBibliography"/>
        <w:spacing w:after="0"/>
      </w:pPr>
      <w:bookmarkStart w:id="939" w:name="_ENREF_372"/>
      <w:r w:rsidRPr="00112D14">
        <w:t>Howell, WE, Parish, CL &amp; Mink, GI 1990, ‘</w:t>
      </w:r>
      <w:r w:rsidRPr="00112D14">
        <w:rPr>
          <w:i/>
        </w:rPr>
        <w:t>Apple mosaic</w:t>
      </w:r>
      <w:r w:rsidRPr="00112D14">
        <w:t xml:space="preserve">’, in </w:t>
      </w:r>
      <w:r w:rsidRPr="00112D14">
        <w:rPr>
          <w:i/>
        </w:rPr>
        <w:t>Compendium of apple and pear diseases</w:t>
      </w:r>
      <w:r w:rsidRPr="00112D14">
        <w:t>, Jones, AL &amp; Aldwinckle, HS (eds), The American Phytopathological Society Press, St. Paul, Minnesota.</w:t>
      </w:r>
      <w:bookmarkEnd w:id="939"/>
    </w:p>
    <w:p w14:paraId="3054D4EE" w14:textId="4B5B1BE7" w:rsidR="003438A2" w:rsidRPr="00112D14" w:rsidRDefault="003438A2" w:rsidP="00112D14">
      <w:pPr>
        <w:pStyle w:val="EndNoteBibliography"/>
        <w:spacing w:after="0"/>
      </w:pPr>
      <w:bookmarkStart w:id="940" w:name="_ENREF_373"/>
      <w:r w:rsidRPr="00112D14">
        <w:t xml:space="preserve">Hoyt, SC &amp; Beers, EH 1993, </w:t>
      </w:r>
      <w:r w:rsidRPr="00112D14">
        <w:rPr>
          <w:i/>
        </w:rPr>
        <w:t>McDaniel spidermite</w:t>
      </w:r>
      <w:r w:rsidRPr="00112D14">
        <w:t>, Orchard Pest Management Online, Washington State University, available at</w:t>
      </w:r>
      <w:r w:rsidR="003F779D">
        <w:t>,</w:t>
      </w:r>
      <w:r w:rsidRPr="00112D14">
        <w:t xml:space="preserve"> </w:t>
      </w:r>
      <w:hyperlink r:id="rId235" w:history="1">
        <w:r w:rsidR="008F1205" w:rsidRPr="009E4A79">
          <w:rPr>
            <w:rStyle w:val="Hyperlink"/>
          </w:rPr>
          <w:t>http://treefruit.wsu.edu/crop-protection/opm/spider-mites</w:t>
        </w:r>
      </w:hyperlink>
      <w:r w:rsidRPr="003438A2">
        <w:t>/</w:t>
      </w:r>
      <w:r w:rsidRPr="00112D14">
        <w:t>.</w:t>
      </w:r>
      <w:bookmarkEnd w:id="940"/>
    </w:p>
    <w:p w14:paraId="417988E6" w14:textId="77777777" w:rsidR="003438A2" w:rsidRPr="00112D14" w:rsidRDefault="003438A2" w:rsidP="00112D14">
      <w:pPr>
        <w:pStyle w:val="EndNoteBibliography"/>
        <w:spacing w:after="0"/>
      </w:pPr>
      <w:bookmarkStart w:id="941" w:name="_ENREF_374"/>
      <w:r w:rsidRPr="00112D14">
        <w:t>Huber, GA 1933, ‘</w:t>
      </w:r>
      <w:r w:rsidRPr="00112D14">
        <w:rPr>
          <w:i/>
        </w:rPr>
        <w:t>Aspergillus sclerotiorum</w:t>
      </w:r>
      <w:r w:rsidRPr="00112D14">
        <w:t xml:space="preserve">, N. sp., and its relation to decay of apples’, </w:t>
      </w:r>
      <w:r w:rsidRPr="00112D14">
        <w:rPr>
          <w:i/>
        </w:rPr>
        <w:t>Phytopathology</w:t>
      </w:r>
      <w:r w:rsidRPr="00112D14">
        <w:t>, vol. 23, pp. 306-8.</w:t>
      </w:r>
      <w:bookmarkEnd w:id="941"/>
    </w:p>
    <w:p w14:paraId="6E85C29B" w14:textId="014A4710" w:rsidR="003438A2" w:rsidRPr="00112D14" w:rsidRDefault="003438A2" w:rsidP="00112D14">
      <w:pPr>
        <w:pStyle w:val="EndNoteBibliography"/>
        <w:spacing w:after="0"/>
      </w:pPr>
      <w:bookmarkStart w:id="942" w:name="_ENREF_375"/>
      <w:r w:rsidRPr="00112D14">
        <w:t xml:space="preserve">Hudelson, B 2019, ‘Gymnosporangium Rusts’, </w:t>
      </w:r>
      <w:r w:rsidRPr="00112D14">
        <w:rPr>
          <w:i/>
        </w:rPr>
        <w:t>XHT1009</w:t>
      </w:r>
      <w:r w:rsidRPr="00112D14">
        <w:t>, Division of Extension, University of Wisconsin-Madison, available at</w:t>
      </w:r>
      <w:r w:rsidR="003F779D">
        <w:t>,</w:t>
      </w:r>
      <w:r w:rsidRPr="00112D14">
        <w:t xml:space="preserve"> </w:t>
      </w:r>
      <w:hyperlink r:id="rId236" w:history="1">
        <w:r w:rsidR="004A146D" w:rsidRPr="009E4A79">
          <w:rPr>
            <w:rStyle w:val="Hyperlink"/>
          </w:rPr>
          <w:t>https://hort.extension.wisc.edu/articles/cedar-apple-rust/</w:t>
        </w:r>
      </w:hyperlink>
      <w:r w:rsidRPr="00112D14">
        <w:t>.</w:t>
      </w:r>
      <w:bookmarkEnd w:id="942"/>
    </w:p>
    <w:p w14:paraId="1C87B975" w14:textId="77777777" w:rsidR="003438A2" w:rsidRPr="00112D14" w:rsidRDefault="003438A2" w:rsidP="00112D14">
      <w:pPr>
        <w:pStyle w:val="EndNoteBibliography"/>
        <w:spacing w:after="0"/>
      </w:pPr>
      <w:bookmarkStart w:id="943" w:name="_ENREF_376"/>
      <w:r w:rsidRPr="00112D14">
        <w:t>Hurtt, SS &amp; Podleckis, EV 1995, ‘</w:t>
      </w:r>
      <w:r w:rsidRPr="00112D14">
        <w:rPr>
          <w:i/>
        </w:rPr>
        <w:t>Apple scar skin viroid</w:t>
      </w:r>
      <w:r w:rsidRPr="00112D14">
        <w:t xml:space="preserve"> is not seed transmitted or transmitted at a low rate in Oriental pear’, </w:t>
      </w:r>
      <w:r w:rsidRPr="00112D14">
        <w:rPr>
          <w:i/>
        </w:rPr>
        <w:t>Acta Horticulturae (ISHS)</w:t>
      </w:r>
      <w:r w:rsidRPr="00112D14">
        <w:t>, vol. 386, pp. 544-50.</w:t>
      </w:r>
      <w:bookmarkEnd w:id="943"/>
    </w:p>
    <w:p w14:paraId="1DE28ECE" w14:textId="77777777" w:rsidR="003438A2" w:rsidRPr="00112D14" w:rsidRDefault="003438A2" w:rsidP="00112D14">
      <w:pPr>
        <w:pStyle w:val="EndNoteBibliography"/>
        <w:spacing w:after="0"/>
      </w:pPr>
      <w:bookmarkStart w:id="944" w:name="_ENREF_377"/>
      <w:r w:rsidRPr="00112D14">
        <w:t>ICTV 2020, ‘International committee on taxonomy of viruses’, International Committee on Taxonomy of Viruses (ICTV), London</w:t>
      </w:r>
      <w:r>
        <w:t>.</w:t>
      </w:r>
      <w:bookmarkEnd w:id="944"/>
    </w:p>
    <w:p w14:paraId="178D2B63" w14:textId="77777777" w:rsidR="003438A2" w:rsidRPr="00112D14" w:rsidRDefault="003438A2" w:rsidP="00112D14">
      <w:pPr>
        <w:pStyle w:val="EndNoteBibliography"/>
        <w:spacing w:after="0"/>
      </w:pPr>
      <w:bookmarkStart w:id="945" w:name="_ENREF_378"/>
      <w:r w:rsidRPr="00112D14">
        <w:t xml:space="preserve">Idaho Department of Agriculture 2021, </w:t>
      </w:r>
      <w:r w:rsidRPr="00112D14">
        <w:rPr>
          <w:i/>
        </w:rPr>
        <w:t>02.06.05 – Rules governing plant disease and quarantines</w:t>
      </w:r>
      <w:r w:rsidRPr="00112D14">
        <w:t>, Idaho Administrative code, Idaho Government, Idaho, USA.</w:t>
      </w:r>
      <w:bookmarkEnd w:id="945"/>
    </w:p>
    <w:p w14:paraId="1DC6316F" w14:textId="1B437C92" w:rsidR="003438A2" w:rsidRPr="00112D14" w:rsidRDefault="003438A2" w:rsidP="00112D14">
      <w:pPr>
        <w:pStyle w:val="EndNoteBibliography"/>
        <w:spacing w:after="0"/>
      </w:pPr>
      <w:bookmarkStart w:id="946" w:name="_ENREF_379"/>
      <w:r w:rsidRPr="00112D14">
        <w:t xml:space="preserve">Idaho Department of Fish and Game 2020, ‘Speckled Cutworm Moth’, </w:t>
      </w:r>
      <w:r w:rsidRPr="00112D14">
        <w:rPr>
          <w:i/>
        </w:rPr>
        <w:t>Data and Apps, Idaho Fish and Wildlife Information System</w:t>
      </w:r>
      <w:r w:rsidRPr="00112D14">
        <w:t>, Idaho, USA, available at</w:t>
      </w:r>
      <w:r w:rsidR="00A12117">
        <w:t>,</w:t>
      </w:r>
      <w:r w:rsidRPr="00112D14">
        <w:t xml:space="preserve"> </w:t>
      </w:r>
      <w:hyperlink r:id="rId237" w:history="1">
        <w:r w:rsidR="00A12117" w:rsidRPr="00847402">
          <w:rPr>
            <w:rStyle w:val="Hyperlink"/>
          </w:rPr>
          <w:t>https://idfg.idaho.gov/species/taxa/22742</w:t>
        </w:r>
      </w:hyperlink>
      <w:r w:rsidRPr="00112D14">
        <w:t>.</w:t>
      </w:r>
      <w:bookmarkEnd w:id="946"/>
    </w:p>
    <w:p w14:paraId="57633934" w14:textId="070EBCD7" w:rsidR="003438A2" w:rsidRPr="00112D14" w:rsidRDefault="003438A2" w:rsidP="00112D14">
      <w:pPr>
        <w:pStyle w:val="EndNoteBibliography"/>
        <w:spacing w:after="0"/>
      </w:pPr>
      <w:bookmarkStart w:id="947" w:name="_ENREF_380"/>
      <w:r w:rsidRPr="00112D14">
        <w:t xml:space="preserve">Iowa State University Extension and Outreach 2008, </w:t>
      </w:r>
      <w:r w:rsidRPr="00112D14">
        <w:rPr>
          <w:i/>
        </w:rPr>
        <w:t>Harvesting and storing apples</w:t>
      </w:r>
      <w:r w:rsidRPr="00112D14">
        <w:t>, Iowa State University, available at</w:t>
      </w:r>
      <w:r w:rsidR="00A12117">
        <w:t>,</w:t>
      </w:r>
      <w:r w:rsidRPr="00112D14">
        <w:t xml:space="preserve"> </w:t>
      </w:r>
      <w:hyperlink r:id="rId238" w:history="1">
        <w:r w:rsidR="004A146D" w:rsidRPr="009E4A79">
          <w:rPr>
            <w:rStyle w:val="Hyperlink"/>
          </w:rPr>
          <w:t>https://store.extension.iastate.edu/Product/4409</w:t>
        </w:r>
      </w:hyperlink>
      <w:r w:rsidRPr="00112D14">
        <w:t>.</w:t>
      </w:r>
      <w:bookmarkEnd w:id="947"/>
    </w:p>
    <w:p w14:paraId="14965D7B" w14:textId="5B6F48BD" w:rsidR="003438A2" w:rsidRPr="00112D14" w:rsidRDefault="003438A2" w:rsidP="00112D14">
      <w:pPr>
        <w:pStyle w:val="EndNoteBibliography"/>
        <w:spacing w:after="0"/>
      </w:pPr>
      <w:bookmarkStart w:id="948" w:name="_ENREF_381"/>
      <w:r w:rsidRPr="00112D14">
        <w:t xml:space="preserve">IPPC 2016a, </w:t>
      </w:r>
      <w:r w:rsidRPr="00112D14">
        <w:rPr>
          <w:i/>
        </w:rPr>
        <w:t>Absence of Cherry rasp leaf virus from Australia</w:t>
      </w:r>
      <w:r w:rsidRPr="00112D14">
        <w:t>, International Plant Protection Convention, AUS-72/1, Food and Agriculture Organization of the United Nations, Rome, Italy, available at</w:t>
      </w:r>
      <w:r w:rsidR="00A12117">
        <w:t>,</w:t>
      </w:r>
      <w:r w:rsidRPr="00112D14">
        <w:t xml:space="preserve"> </w:t>
      </w:r>
      <w:hyperlink r:id="rId239" w:history="1">
        <w:r w:rsidR="004A146D" w:rsidRPr="009E4A79">
          <w:rPr>
            <w:rStyle w:val="Hyperlink"/>
          </w:rPr>
          <w:t>https://www.ippc.int/en/countries/australia/pestreports/2016/05/absence-of-cherry-rasp-leaf-virus-from-australia/</w:t>
        </w:r>
      </w:hyperlink>
      <w:r w:rsidRPr="00112D14">
        <w:t>.</w:t>
      </w:r>
      <w:bookmarkEnd w:id="948"/>
    </w:p>
    <w:p w14:paraId="678CE623" w14:textId="5746632F" w:rsidR="003438A2" w:rsidRPr="00112D14" w:rsidRDefault="003438A2" w:rsidP="00112D14">
      <w:pPr>
        <w:pStyle w:val="EndNoteBibliography"/>
        <w:spacing w:after="0"/>
      </w:pPr>
      <w:bookmarkStart w:id="949" w:name="_ENREF_382"/>
      <w:r w:rsidRPr="00112D14">
        <w:t xml:space="preserve">-- -- 2016b, </w:t>
      </w:r>
      <w:r w:rsidRPr="00112D14">
        <w:rPr>
          <w:i/>
        </w:rPr>
        <w:t>International Standard for Phytosanitary Measures (ISPM) no. 27: Diagnostic protocols for regulated pests, DP 13: Erwinia amylovora</w:t>
      </w:r>
      <w:r w:rsidRPr="00112D14">
        <w:t>, International Plant Protection Convention (IPPC), Rome, Italy, available at</w:t>
      </w:r>
      <w:r w:rsidR="00A12117">
        <w:t>,</w:t>
      </w:r>
      <w:r w:rsidRPr="00112D14">
        <w:t xml:space="preserve"> </w:t>
      </w:r>
      <w:hyperlink r:id="rId240" w:history="1">
        <w:r w:rsidR="004A146D" w:rsidRPr="009E4A79">
          <w:rPr>
            <w:rStyle w:val="Hyperlink"/>
          </w:rPr>
          <w:t>https://www.ippc.int/static/media/files/publication/en/2016/11/DP_13_2016_En_2016-11-01_cQFAHo4.pdf</w:t>
        </w:r>
      </w:hyperlink>
      <w:r w:rsidRPr="00112D14">
        <w:t>.</w:t>
      </w:r>
      <w:bookmarkEnd w:id="949"/>
    </w:p>
    <w:p w14:paraId="2365BE3C" w14:textId="77777777" w:rsidR="003438A2" w:rsidRPr="00112D14" w:rsidRDefault="003438A2" w:rsidP="00112D14">
      <w:pPr>
        <w:pStyle w:val="EndNoteBibliography"/>
        <w:spacing w:after="0"/>
      </w:pPr>
      <w:bookmarkStart w:id="950" w:name="_ENREF_383"/>
      <w:r w:rsidRPr="00112D14">
        <w:t xml:space="preserve">Ivanová, H 2016, ‘Comparison of the fungi </w:t>
      </w:r>
      <w:r w:rsidRPr="00112D14">
        <w:rPr>
          <w:i/>
        </w:rPr>
        <w:t>Pestalotiopsis funerea</w:t>
      </w:r>
      <w:r w:rsidRPr="00112D14">
        <w:t xml:space="preserve"> (Desm.) Steyaert and </w:t>
      </w:r>
      <w:r w:rsidRPr="00112D14">
        <w:rPr>
          <w:i/>
        </w:rPr>
        <w:t>Truncatella hartigii</w:t>
      </w:r>
      <w:r w:rsidRPr="00112D14">
        <w:t xml:space="preserve"> (Tubeuf) Steyaert isolated from some species of the genus </w:t>
      </w:r>
      <w:r w:rsidRPr="00112D14">
        <w:rPr>
          <w:i/>
        </w:rPr>
        <w:t>Pinus</w:t>
      </w:r>
      <w:r w:rsidRPr="00112D14">
        <w:t xml:space="preserve"> L. in morphological characteristics of conidia and appendages’, </w:t>
      </w:r>
      <w:r w:rsidRPr="00112D14">
        <w:rPr>
          <w:i/>
        </w:rPr>
        <w:t>Journal of Forest Science</w:t>
      </w:r>
      <w:r w:rsidRPr="00112D14">
        <w:t>, vol. 62, no. 6, pp. 279-84.</w:t>
      </w:r>
      <w:bookmarkEnd w:id="950"/>
    </w:p>
    <w:p w14:paraId="113FBE65" w14:textId="77777777" w:rsidR="003438A2" w:rsidRPr="00112D14" w:rsidRDefault="003438A2" w:rsidP="00112D14">
      <w:pPr>
        <w:pStyle w:val="EndNoteBibliography"/>
        <w:spacing w:after="0"/>
      </w:pPr>
      <w:bookmarkStart w:id="951" w:name="_ENREF_384"/>
      <w:r w:rsidRPr="00112D14">
        <w:t xml:space="preserve">Jamieson, LE, Page-Weir, NEM, Chhagan, A, Olsson, S, Connolly, PG, McDonald, RM &amp; Woolf, A 2010, ‘High pressure water-washing to remove pests from capsicums’, </w:t>
      </w:r>
      <w:r w:rsidRPr="00112D14">
        <w:rPr>
          <w:i/>
        </w:rPr>
        <w:t>New Zealand Plant Protection</w:t>
      </w:r>
      <w:r w:rsidRPr="00112D14">
        <w:t>, vol. 63, pp. 118-22.</w:t>
      </w:r>
      <w:bookmarkEnd w:id="951"/>
    </w:p>
    <w:p w14:paraId="5577DDD1" w14:textId="77777777" w:rsidR="003438A2" w:rsidRPr="00112D14" w:rsidRDefault="003438A2" w:rsidP="00112D14">
      <w:pPr>
        <w:pStyle w:val="EndNoteBibliography"/>
        <w:spacing w:after="0"/>
      </w:pPr>
      <w:bookmarkStart w:id="952" w:name="_ENREF_385"/>
      <w:r w:rsidRPr="00112D14">
        <w:t xml:space="preserve">Jeger, M, Bragard, C, Cafﬁer, D, Candresse, T, Chatzivassiliou, E, Dehnen-Schmutz, K, Gilioli, G, Grégoire, JC, Jaques-Miret, JA, Navarro, MN, Niere, B, Parnell, S, Potting, R, Rafoss, T, Rossi, V, Urek, G, Van Bruggen, A, Van der Werf, W, West, J, Winter, S, Gardi, C &amp; MacLeod, A 2018, ‘Scientiﬁc opinion on the pest categorisation of </w:t>
      </w:r>
      <w:r w:rsidRPr="00112D14">
        <w:rPr>
          <w:i/>
        </w:rPr>
        <w:t>Anthonomus quadrigibbus</w:t>
      </w:r>
      <w:r w:rsidRPr="00112D14">
        <w:t xml:space="preserve">’, </w:t>
      </w:r>
      <w:r w:rsidRPr="00112D14">
        <w:rPr>
          <w:i/>
        </w:rPr>
        <w:t>EFSA Journal</w:t>
      </w:r>
      <w:r w:rsidRPr="00112D14">
        <w:t>, vol. 16, no. 4, 5245</w:t>
      </w:r>
      <w:r>
        <w:t>.</w:t>
      </w:r>
      <w:bookmarkEnd w:id="952"/>
    </w:p>
    <w:p w14:paraId="72856C72" w14:textId="77777777" w:rsidR="003438A2" w:rsidRPr="00112D14" w:rsidRDefault="003438A2" w:rsidP="00112D14">
      <w:pPr>
        <w:pStyle w:val="EndNoteBibliography"/>
        <w:spacing w:after="0"/>
      </w:pPr>
      <w:bookmarkStart w:id="953" w:name="_ENREF_386"/>
      <w:r w:rsidRPr="00112D14">
        <w:t xml:space="preserve">Jeppson, LR, Keifer, HH &amp; Baker, EW 1975, </w:t>
      </w:r>
      <w:r w:rsidRPr="00112D14">
        <w:rPr>
          <w:i/>
        </w:rPr>
        <w:t>Mites injurious to economic plants</w:t>
      </w:r>
      <w:r w:rsidRPr="00112D14">
        <w:t>, University of California, Berkeley.</w:t>
      </w:r>
      <w:bookmarkEnd w:id="953"/>
    </w:p>
    <w:p w14:paraId="039E433C" w14:textId="77777777" w:rsidR="003438A2" w:rsidRPr="00112D14" w:rsidRDefault="003438A2" w:rsidP="00112D14">
      <w:pPr>
        <w:pStyle w:val="EndNoteBibliography"/>
        <w:spacing w:after="0"/>
      </w:pPr>
      <w:bookmarkStart w:id="954" w:name="_ENREF_387"/>
      <w:r w:rsidRPr="00112D14">
        <w:t>Jiang, D, Chen, S, Hao, MM, Fu, JY &amp; Ding, FY 2018, ‘Mapping the potential global codling moth (</w:t>
      </w:r>
      <w:r w:rsidRPr="00112D14">
        <w:rPr>
          <w:i/>
        </w:rPr>
        <w:t>Cydia pomonella</w:t>
      </w:r>
      <w:r w:rsidRPr="00112D14">
        <w:t xml:space="preserve"> L.) distribution based on a machine learning method’, </w:t>
      </w:r>
      <w:r w:rsidRPr="00112D14">
        <w:rPr>
          <w:i/>
        </w:rPr>
        <w:t>Scientific Reports</w:t>
      </w:r>
      <w:r w:rsidRPr="00112D14">
        <w:t>, vol. 8, 13093, DOI 10.1038/s41598-018-31478-3.</w:t>
      </w:r>
      <w:bookmarkEnd w:id="954"/>
    </w:p>
    <w:p w14:paraId="698604F9" w14:textId="77777777" w:rsidR="003438A2" w:rsidRPr="00112D14" w:rsidRDefault="003438A2" w:rsidP="00112D14">
      <w:pPr>
        <w:pStyle w:val="EndNoteBibliography"/>
        <w:spacing w:after="0"/>
      </w:pPr>
      <w:bookmarkStart w:id="955" w:name="_ENREF_388"/>
      <w:r w:rsidRPr="00112D14">
        <w:t xml:space="preserve">Jock, S, Langlotz, C &amp; Geider, K 2005, ‘Survival and possible spread of </w:t>
      </w:r>
      <w:r w:rsidRPr="00112D14">
        <w:rPr>
          <w:i/>
        </w:rPr>
        <w:t>Erwinia amylovora</w:t>
      </w:r>
      <w:r w:rsidRPr="00112D14">
        <w:t xml:space="preserve"> and related plant-pathogenic bacteria exposed to environmental stress conditions’, </w:t>
      </w:r>
      <w:r w:rsidRPr="00112D14">
        <w:rPr>
          <w:i/>
        </w:rPr>
        <w:t>Journal of Phytopathology</w:t>
      </w:r>
      <w:r w:rsidRPr="00112D14">
        <w:t>, vol. 153, no. 2, pp. 87-93.</w:t>
      </w:r>
      <w:bookmarkEnd w:id="955"/>
    </w:p>
    <w:p w14:paraId="5579BCCA" w14:textId="77777777" w:rsidR="003438A2" w:rsidRPr="00112D14" w:rsidRDefault="003438A2" w:rsidP="00112D14">
      <w:pPr>
        <w:pStyle w:val="EndNoteBibliography"/>
        <w:spacing w:after="0"/>
      </w:pPr>
      <w:bookmarkStart w:id="956" w:name="_ENREF_389"/>
      <w:r w:rsidRPr="00112D14">
        <w:t xml:space="preserve">Jock, S, Rodoni, B, Gillings, M, Kim, W, Copes, C, Merriman, P &amp; Geider, K 2000, ‘Screening of ornamental plants from the botanic gardens of Melbourne and Adelaide for the occurrence of </w:t>
      </w:r>
      <w:r w:rsidRPr="00112D14">
        <w:rPr>
          <w:i/>
        </w:rPr>
        <w:t>Erwinia amylovora</w:t>
      </w:r>
      <w:r w:rsidRPr="00112D14">
        <w:t xml:space="preserve">’, </w:t>
      </w:r>
      <w:r w:rsidRPr="00112D14">
        <w:rPr>
          <w:i/>
        </w:rPr>
        <w:t>Australasian Plant Pathology</w:t>
      </w:r>
      <w:r w:rsidRPr="00112D14">
        <w:t>, vol. 29, no. 2, pp. 120-8.</w:t>
      </w:r>
      <w:bookmarkEnd w:id="956"/>
    </w:p>
    <w:p w14:paraId="3A4C86A5" w14:textId="77777777" w:rsidR="003438A2" w:rsidRPr="00112D14" w:rsidRDefault="003438A2" w:rsidP="00112D14">
      <w:pPr>
        <w:pStyle w:val="EndNoteBibliography"/>
        <w:spacing w:after="0"/>
      </w:pPr>
      <w:bookmarkStart w:id="957" w:name="_ENREF_390"/>
      <w:r w:rsidRPr="00112D14">
        <w:t>Johnson, K 2014, ‘Non-antibiotic control of fire blight for organic orchards’, paper presented at Wilbur-Ellis Organic Grower Meeting, Benton City, Washington, 23 January.</w:t>
      </w:r>
      <w:bookmarkEnd w:id="957"/>
    </w:p>
    <w:p w14:paraId="24D64C0C" w14:textId="77777777" w:rsidR="003438A2" w:rsidRPr="00112D14" w:rsidRDefault="003438A2" w:rsidP="00112D14">
      <w:pPr>
        <w:pStyle w:val="EndNoteBibliography"/>
        <w:spacing w:after="0"/>
      </w:pPr>
      <w:bookmarkStart w:id="958" w:name="_ENREF_391"/>
      <w:r w:rsidRPr="00112D14">
        <w:t>Jones, AL 1990, ‘</w:t>
      </w:r>
      <w:r w:rsidRPr="00112D14">
        <w:rPr>
          <w:i/>
        </w:rPr>
        <w:t>Leucostoma canker</w:t>
      </w:r>
      <w:r w:rsidRPr="00112D14">
        <w:t xml:space="preserve">’, in </w:t>
      </w:r>
      <w:r w:rsidRPr="00112D14">
        <w:rPr>
          <w:i/>
        </w:rPr>
        <w:t>Compendium of apple and pear diseases</w:t>
      </w:r>
      <w:r w:rsidRPr="00112D14">
        <w:t>, Jones, AL &amp; Aldwinckle, HS (eds), The American Phytopathological Society Press, St. Paul, Minnesota.</w:t>
      </w:r>
      <w:bookmarkEnd w:id="958"/>
    </w:p>
    <w:p w14:paraId="4C30359C" w14:textId="77777777" w:rsidR="003438A2" w:rsidRPr="00112D14" w:rsidRDefault="003438A2" w:rsidP="00112D14">
      <w:pPr>
        <w:pStyle w:val="EndNoteBibliography"/>
        <w:spacing w:after="0"/>
      </w:pPr>
      <w:bookmarkStart w:id="959" w:name="_ENREF_392"/>
      <w:r w:rsidRPr="00112D14">
        <w:t xml:space="preserve">Jones, AL &amp; Aldwinckle, HS 1990, </w:t>
      </w:r>
      <w:r w:rsidRPr="00112D14">
        <w:rPr>
          <w:i/>
        </w:rPr>
        <w:t>Compendium of apple and pear diseases</w:t>
      </w:r>
      <w:r w:rsidRPr="00112D14">
        <w:t>, Jones, AL &amp; Aldwinckle, HS (eds), The American Phytopathological Society Press, St. Paul, Minnesota.</w:t>
      </w:r>
      <w:bookmarkEnd w:id="959"/>
    </w:p>
    <w:p w14:paraId="708585EC" w14:textId="77777777" w:rsidR="003438A2" w:rsidRPr="00112D14" w:rsidRDefault="003438A2" w:rsidP="00112D14">
      <w:pPr>
        <w:pStyle w:val="EndNoteBibliography"/>
        <w:spacing w:after="0"/>
      </w:pPr>
      <w:bookmarkStart w:id="960" w:name="_ENREF_393"/>
      <w:r w:rsidRPr="00112D14">
        <w:t xml:space="preserve">Jones, AL &amp; Sutton, TB 1996, </w:t>
      </w:r>
      <w:r w:rsidRPr="00112D14">
        <w:rPr>
          <w:i/>
        </w:rPr>
        <w:t>Diseases of tree fruits in the east</w:t>
      </w:r>
      <w:r w:rsidRPr="00112D14">
        <w:t>, Michigan State University, Michigan.</w:t>
      </w:r>
      <w:bookmarkEnd w:id="960"/>
    </w:p>
    <w:p w14:paraId="4D6FB049" w14:textId="77777777" w:rsidR="003438A2" w:rsidRPr="00112D14" w:rsidRDefault="003438A2" w:rsidP="00112D14">
      <w:pPr>
        <w:pStyle w:val="EndNoteBibliography"/>
        <w:spacing w:after="0"/>
      </w:pPr>
      <w:bookmarkStart w:id="961" w:name="_ENREF_394"/>
      <w:r w:rsidRPr="00112D14">
        <w:t xml:space="preserve">Jones, VP, Eastburn, CC, Wilburn, TD &amp; Brunner, JF 2005, ‘Instar-specific phenology of </w:t>
      </w:r>
      <w:r w:rsidRPr="00112D14">
        <w:rPr>
          <w:i/>
        </w:rPr>
        <w:t>Pandemis pyrusana</w:t>
      </w:r>
      <w:r w:rsidRPr="00112D14">
        <w:t xml:space="preserve"> and C</w:t>
      </w:r>
      <w:r w:rsidRPr="00112D14">
        <w:rPr>
          <w:i/>
        </w:rPr>
        <w:t xml:space="preserve">hroristoneura rosaceana </w:t>
      </w:r>
      <w:r w:rsidRPr="00112D14">
        <w:t xml:space="preserve">(Lepidoptera: Tortricidae) in Washington apple orchards’, </w:t>
      </w:r>
      <w:r w:rsidRPr="00112D14">
        <w:rPr>
          <w:i/>
        </w:rPr>
        <w:t>Journal of Economic Entomology</w:t>
      </w:r>
      <w:r w:rsidRPr="00112D14">
        <w:t>, vol. 98, no. 3, pp. 875-83.</w:t>
      </w:r>
      <w:bookmarkEnd w:id="961"/>
    </w:p>
    <w:p w14:paraId="50CABC9B" w14:textId="77777777" w:rsidR="003438A2" w:rsidRPr="00112D14" w:rsidRDefault="003438A2" w:rsidP="00112D14">
      <w:pPr>
        <w:pStyle w:val="EndNoteBibliography"/>
        <w:spacing w:after="0"/>
      </w:pPr>
      <w:bookmarkStart w:id="962" w:name="_ENREF_395"/>
      <w:r w:rsidRPr="00112D14">
        <w:t>Juszczak, R, Kuchar, L, Lesny, J &amp; Olejnik, J 2013, ‘Climate change impact on development rates of the codling moth (</w:t>
      </w:r>
      <w:r w:rsidRPr="00112D14">
        <w:rPr>
          <w:i/>
        </w:rPr>
        <w:t>Cydia pomonella</w:t>
      </w:r>
      <w:r w:rsidRPr="00112D14">
        <w:t xml:space="preserve"> L.) in the Wielkopolska region, Poland’, </w:t>
      </w:r>
      <w:r w:rsidRPr="00112D14">
        <w:rPr>
          <w:i/>
        </w:rPr>
        <w:t>International Journal of Biometeorology</w:t>
      </w:r>
      <w:r w:rsidRPr="00112D14">
        <w:t>, vol. 57, no. 1, pp. 31-44.</w:t>
      </w:r>
      <w:bookmarkEnd w:id="962"/>
    </w:p>
    <w:p w14:paraId="0CB26938" w14:textId="77777777" w:rsidR="003438A2" w:rsidRPr="00112D14" w:rsidRDefault="003438A2" w:rsidP="00112D14">
      <w:pPr>
        <w:pStyle w:val="EndNoteBibliography"/>
        <w:spacing w:after="0"/>
      </w:pPr>
      <w:bookmarkStart w:id="963" w:name="_ENREF_396"/>
      <w:r w:rsidRPr="00112D14">
        <w:t xml:space="preserve">Kanzawa, T 1939, </w:t>
      </w:r>
      <w:r w:rsidRPr="00112D14">
        <w:rPr>
          <w:i/>
        </w:rPr>
        <w:t>Studies on Drosophila suzukii Mats (in Japanese)</w:t>
      </w:r>
      <w:r w:rsidRPr="00112D14">
        <w:t>, Yamanashi Agricultural Experimental Station, Japan.</w:t>
      </w:r>
      <w:bookmarkEnd w:id="963"/>
    </w:p>
    <w:p w14:paraId="337B33D4" w14:textId="5A718F2A" w:rsidR="003438A2" w:rsidRPr="00112D14" w:rsidRDefault="003438A2" w:rsidP="00112D14">
      <w:pPr>
        <w:pStyle w:val="EndNoteBibliography"/>
        <w:spacing w:after="0"/>
      </w:pPr>
      <w:bookmarkStart w:id="964" w:name="_ENREF_397"/>
      <w:r w:rsidRPr="00112D14">
        <w:t>Kassanis, B 1970, ‘</w:t>
      </w:r>
      <w:r w:rsidRPr="00112D14">
        <w:rPr>
          <w:i/>
        </w:rPr>
        <w:t>Tobacco necrosis virus</w:t>
      </w:r>
      <w:r w:rsidRPr="00112D14">
        <w:t xml:space="preserve">’, </w:t>
      </w:r>
      <w:r w:rsidRPr="00112D14">
        <w:rPr>
          <w:i/>
        </w:rPr>
        <w:t>Descriptions of Plant Viruses</w:t>
      </w:r>
      <w:r w:rsidRPr="00112D14">
        <w:t>, Association of Applied Biologists, Warwick, England, available at</w:t>
      </w:r>
      <w:r w:rsidR="008B75FC">
        <w:t>,</w:t>
      </w:r>
      <w:r w:rsidRPr="00112D14">
        <w:t xml:space="preserve"> </w:t>
      </w:r>
      <w:hyperlink r:id="rId241" w:history="1">
        <w:r w:rsidR="008B75FC" w:rsidRPr="00847402">
          <w:rPr>
            <w:rStyle w:val="Hyperlink"/>
          </w:rPr>
          <w:t>https://www.dpvweb.net/dpv/showdpv/?dpvno=14</w:t>
        </w:r>
      </w:hyperlink>
      <w:r w:rsidR="008B75FC">
        <w:t>.</w:t>
      </w:r>
      <w:r w:rsidRPr="00112D14">
        <w:t xml:space="preserve"> </w:t>
      </w:r>
      <w:bookmarkEnd w:id="964"/>
    </w:p>
    <w:p w14:paraId="1880257C" w14:textId="77777777" w:rsidR="003438A2" w:rsidRPr="00112D14" w:rsidRDefault="003438A2" w:rsidP="00112D14">
      <w:pPr>
        <w:pStyle w:val="EndNoteBibliography"/>
        <w:spacing w:after="0"/>
      </w:pPr>
      <w:bookmarkStart w:id="965" w:name="_ENREF_398"/>
      <w:r w:rsidRPr="00112D14">
        <w:t xml:space="preserve">Kassanis, B &amp; MacFarlane, I 1964, ‘Transmission of </w:t>
      </w:r>
      <w:r w:rsidRPr="00112D14">
        <w:rPr>
          <w:i/>
        </w:rPr>
        <w:t>Tobacco necrosis virus</w:t>
      </w:r>
      <w:r w:rsidRPr="00112D14">
        <w:t xml:space="preserve"> by zoospores of </w:t>
      </w:r>
      <w:r w:rsidRPr="00112D14">
        <w:rPr>
          <w:i/>
        </w:rPr>
        <w:t>Olpidium brassicae</w:t>
      </w:r>
      <w:r w:rsidRPr="00112D14">
        <w:t xml:space="preserve">’, </w:t>
      </w:r>
      <w:r w:rsidRPr="00112D14">
        <w:rPr>
          <w:i/>
        </w:rPr>
        <w:t>Journal of General Microbiology</w:t>
      </w:r>
      <w:r w:rsidRPr="00112D14">
        <w:t>, vol. 36, pp. 79-93.</w:t>
      </w:r>
      <w:bookmarkEnd w:id="965"/>
    </w:p>
    <w:p w14:paraId="072AB4E1" w14:textId="77777777" w:rsidR="003438A2" w:rsidRPr="00112D14" w:rsidRDefault="003438A2" w:rsidP="00112D14">
      <w:pPr>
        <w:pStyle w:val="EndNoteBibliography"/>
        <w:spacing w:after="0"/>
      </w:pPr>
      <w:bookmarkStart w:id="966" w:name="_ENREF_399"/>
      <w:r w:rsidRPr="00112D14">
        <w:t xml:space="preserve">Kaur, </w:t>
      </w:r>
      <w:r>
        <w:t>N</w:t>
      </w:r>
      <w:r w:rsidRPr="00112D14">
        <w:t xml:space="preserve"> 2021, </w:t>
      </w:r>
      <w:r w:rsidRPr="00112D14">
        <w:rPr>
          <w:i/>
        </w:rPr>
        <w:t>Apple-lesser appleworm, Grapholita prunivora</w:t>
      </w:r>
      <w:r w:rsidRPr="00112D14">
        <w:t>, Pacific Northwest insect management handbook, Oregon State University, Oregon.</w:t>
      </w:r>
      <w:bookmarkEnd w:id="966"/>
    </w:p>
    <w:p w14:paraId="0C69E360" w14:textId="77777777" w:rsidR="003438A2" w:rsidRPr="00112D14" w:rsidRDefault="003438A2" w:rsidP="00112D14">
      <w:pPr>
        <w:pStyle w:val="EndNoteBibliography"/>
        <w:spacing w:after="0"/>
      </w:pPr>
      <w:bookmarkStart w:id="967" w:name="_ENREF_400"/>
      <w:r w:rsidRPr="00112D14">
        <w:t xml:space="preserve">-- -- 2022, ‘Apple-Codling moth’, in </w:t>
      </w:r>
      <w:r w:rsidRPr="00112D14">
        <w:rPr>
          <w:i/>
        </w:rPr>
        <w:t>Pacific Northwest Insect Handbook</w:t>
      </w:r>
      <w:r w:rsidRPr="00112D14">
        <w:t>, Kaur, N (ed), Oregon State University, Oregon, USA.</w:t>
      </w:r>
      <w:bookmarkEnd w:id="967"/>
    </w:p>
    <w:p w14:paraId="55447FDD" w14:textId="77777777" w:rsidR="003438A2" w:rsidRPr="00112D14" w:rsidRDefault="003438A2" w:rsidP="00112D14">
      <w:pPr>
        <w:pStyle w:val="EndNoteBibliography"/>
        <w:spacing w:after="0"/>
      </w:pPr>
      <w:bookmarkStart w:id="968" w:name="_ENREF_401"/>
      <w:r w:rsidRPr="00112D14">
        <w:t xml:space="preserve">Keifer, HH 1952, </w:t>
      </w:r>
      <w:r w:rsidRPr="00112D14">
        <w:rPr>
          <w:i/>
        </w:rPr>
        <w:t>Bulletin of the California Insect Survey volume 2. The eriophyid mites of California</w:t>
      </w:r>
      <w:r w:rsidRPr="00112D14">
        <w:t>, vol. 2, University of California Press, Berkeley and Los Angeles.</w:t>
      </w:r>
      <w:bookmarkEnd w:id="968"/>
    </w:p>
    <w:p w14:paraId="3FEA1EA5" w14:textId="77777777" w:rsidR="003438A2" w:rsidRPr="00112D14" w:rsidRDefault="003438A2" w:rsidP="00112D14">
      <w:pPr>
        <w:pStyle w:val="EndNoteBibliography"/>
        <w:spacing w:after="0"/>
      </w:pPr>
      <w:bookmarkStart w:id="969" w:name="_ENREF_402"/>
      <w:r w:rsidRPr="00112D14">
        <w:t xml:space="preserve">Kienholz, JR 1939, ‘Comparative study of the apple anthracnose and perennial canker fungi’, </w:t>
      </w:r>
      <w:r w:rsidRPr="00112D14">
        <w:rPr>
          <w:i/>
        </w:rPr>
        <w:t>Journal of Agricultural Research</w:t>
      </w:r>
      <w:r w:rsidRPr="00112D14">
        <w:t>, vol. 59, pp. 635-65.</w:t>
      </w:r>
      <w:bookmarkEnd w:id="969"/>
    </w:p>
    <w:p w14:paraId="13A68639" w14:textId="77777777" w:rsidR="003438A2" w:rsidRPr="00112D14" w:rsidRDefault="003438A2" w:rsidP="00112D14">
      <w:pPr>
        <w:pStyle w:val="EndNoteBibliography"/>
        <w:spacing w:after="0"/>
      </w:pPr>
      <w:bookmarkStart w:id="970" w:name="_ENREF_403"/>
      <w:r w:rsidRPr="00112D14">
        <w:t xml:space="preserve">Kim, HR, Lee, SH, Lee, DH, Kim, JS &amp; Park, JW 2006, ‘Transmission of </w:t>
      </w:r>
      <w:r w:rsidRPr="00112D14">
        <w:rPr>
          <w:i/>
        </w:rPr>
        <w:t>Apple scar skin viroid</w:t>
      </w:r>
      <w:r w:rsidRPr="00112D14">
        <w:t xml:space="preserve"> by grafting, using contaminated pruning equipment, and planting infected seeds’, </w:t>
      </w:r>
      <w:r w:rsidRPr="00112D14">
        <w:rPr>
          <w:i/>
        </w:rPr>
        <w:t>Journal of Plant Pathology</w:t>
      </w:r>
      <w:r w:rsidRPr="00112D14">
        <w:t>, vol. 22, no. 1, pp. 63-7.</w:t>
      </w:r>
      <w:bookmarkEnd w:id="970"/>
    </w:p>
    <w:p w14:paraId="7677E9DB" w14:textId="77777777" w:rsidR="003438A2" w:rsidRPr="00112D14" w:rsidRDefault="003438A2" w:rsidP="00112D14">
      <w:pPr>
        <w:pStyle w:val="EndNoteBibliography"/>
        <w:spacing w:after="0"/>
      </w:pPr>
      <w:bookmarkStart w:id="971" w:name="_ENREF_404"/>
      <w:r w:rsidRPr="00112D14">
        <w:t xml:space="preserve">Kim, </w:t>
      </w:r>
      <w:r>
        <w:t>Y</w:t>
      </w:r>
      <w:r w:rsidRPr="00112D14">
        <w:t>K &amp; Beresford, R 2012, ‘Use of a climatic rule and fuzzy sets to model geographic distribution of climatic risk for European canker (</w:t>
      </w:r>
      <w:r w:rsidRPr="00112D14">
        <w:rPr>
          <w:i/>
        </w:rPr>
        <w:t>Neonectria galligena</w:t>
      </w:r>
      <w:r w:rsidRPr="00112D14">
        <w:t xml:space="preserve">) of apple’, </w:t>
      </w:r>
      <w:r w:rsidRPr="00112D14">
        <w:rPr>
          <w:i/>
        </w:rPr>
        <w:t>Phytopathology</w:t>
      </w:r>
      <w:r w:rsidRPr="00112D14">
        <w:t>, vol. 102, no. 2, pp. 147-57.</w:t>
      </w:r>
      <w:bookmarkEnd w:id="971"/>
    </w:p>
    <w:p w14:paraId="71537CC1" w14:textId="77777777" w:rsidR="003438A2" w:rsidRPr="00112D14" w:rsidRDefault="003438A2" w:rsidP="00112D14">
      <w:pPr>
        <w:pStyle w:val="EndNoteBibliography"/>
        <w:spacing w:after="0"/>
      </w:pPr>
      <w:bookmarkStart w:id="972" w:name="_ENREF_405"/>
      <w:r w:rsidRPr="00112D14">
        <w:t xml:space="preserve">Kim, YK, Curry, EA &amp; Xiao, CL 2014, ‘Infection of apple fruit by </w:t>
      </w:r>
      <w:r w:rsidRPr="00112D14">
        <w:rPr>
          <w:i/>
        </w:rPr>
        <w:t>Sphaeropsis pyriputrescens</w:t>
      </w:r>
      <w:r w:rsidRPr="00112D14">
        <w:t xml:space="preserve"> in the orchard in relation to Sphaeropsis rot in storage’, </w:t>
      </w:r>
      <w:r w:rsidRPr="00112D14">
        <w:rPr>
          <w:i/>
        </w:rPr>
        <w:t>European Journal of Plant Pathology</w:t>
      </w:r>
      <w:r w:rsidRPr="00112D14">
        <w:t>, vol. 140, pp. 133-43.</w:t>
      </w:r>
      <w:bookmarkEnd w:id="972"/>
    </w:p>
    <w:p w14:paraId="2AE5DE3E" w14:textId="77777777" w:rsidR="003438A2" w:rsidRPr="00112D14" w:rsidRDefault="003438A2" w:rsidP="00112D14">
      <w:pPr>
        <w:pStyle w:val="EndNoteBibliography"/>
        <w:spacing w:after="0"/>
      </w:pPr>
      <w:bookmarkStart w:id="973" w:name="_ENREF_406"/>
      <w:r w:rsidRPr="00112D14">
        <w:t xml:space="preserve">Kim, YK &amp; Xiao, CL 2006, ‘A postharvest fruit rot in apple caused by </w:t>
      </w:r>
      <w:r w:rsidRPr="00112D14">
        <w:rPr>
          <w:i/>
        </w:rPr>
        <w:t>Phacidiopycnis washingtonensis</w:t>
      </w:r>
      <w:r w:rsidRPr="00112D14">
        <w:t xml:space="preserve">’, </w:t>
      </w:r>
      <w:r w:rsidRPr="00112D14">
        <w:rPr>
          <w:i/>
        </w:rPr>
        <w:t>Plant Disease</w:t>
      </w:r>
      <w:r w:rsidRPr="00112D14">
        <w:t>, vol. 90, pp. 1376-81.</w:t>
      </w:r>
      <w:bookmarkEnd w:id="973"/>
    </w:p>
    <w:p w14:paraId="4F8BBA2D" w14:textId="77777777" w:rsidR="003438A2" w:rsidRPr="00112D14" w:rsidRDefault="003438A2" w:rsidP="00112D14">
      <w:pPr>
        <w:pStyle w:val="EndNoteBibliography"/>
        <w:spacing w:after="0"/>
      </w:pPr>
      <w:bookmarkStart w:id="974" w:name="_ENREF_407"/>
      <w:r w:rsidRPr="00112D14">
        <w:t xml:space="preserve">-- -- 2008, ‘Distribution and incidence of Sphaeropsis rot in apple in Washington State’, </w:t>
      </w:r>
      <w:r w:rsidRPr="00112D14">
        <w:rPr>
          <w:i/>
        </w:rPr>
        <w:t>Plant Disease</w:t>
      </w:r>
      <w:r w:rsidRPr="00112D14">
        <w:t>, vol. 92, pp. 940-6.</w:t>
      </w:r>
      <w:bookmarkEnd w:id="974"/>
    </w:p>
    <w:p w14:paraId="3E723F64" w14:textId="77777777" w:rsidR="003438A2" w:rsidRPr="00112D14" w:rsidRDefault="003438A2" w:rsidP="00112D14">
      <w:pPr>
        <w:pStyle w:val="EndNoteBibliography"/>
        <w:spacing w:after="0"/>
      </w:pPr>
      <w:bookmarkStart w:id="975" w:name="_ENREF_408"/>
      <w:r w:rsidRPr="00112D14">
        <w:t xml:space="preserve">Kim, YK, Xiao, CL &amp; Rogers, JD 2005, ‘Influence of culture media and environmental factors on mycelial growth and pycnidial production of </w:t>
      </w:r>
      <w:r w:rsidRPr="00112D14">
        <w:rPr>
          <w:i/>
        </w:rPr>
        <w:t>Sphaeropsis pyriputrescens</w:t>
      </w:r>
      <w:r w:rsidRPr="00112D14">
        <w:t xml:space="preserve">’, </w:t>
      </w:r>
      <w:r w:rsidRPr="00112D14">
        <w:rPr>
          <w:i/>
        </w:rPr>
        <w:t>Mycologia</w:t>
      </w:r>
      <w:r w:rsidRPr="00112D14">
        <w:t>, vol. 97, no. 1, pp. 25-32.</w:t>
      </w:r>
      <w:bookmarkEnd w:id="975"/>
    </w:p>
    <w:p w14:paraId="3FF6C083" w14:textId="72A46B34" w:rsidR="003438A2" w:rsidRPr="00112D14" w:rsidRDefault="003438A2" w:rsidP="00112D14">
      <w:pPr>
        <w:pStyle w:val="EndNoteBibliography"/>
        <w:spacing w:after="0"/>
      </w:pPr>
      <w:bookmarkStart w:id="976" w:name="_ENREF_409"/>
      <w:r w:rsidRPr="00112D14">
        <w:t xml:space="preserve">Kimber, I 2009, </w:t>
      </w:r>
      <w:r w:rsidRPr="00112D14">
        <w:rPr>
          <w:i/>
        </w:rPr>
        <w:t>UK moths</w:t>
      </w:r>
      <w:r w:rsidRPr="00112D14">
        <w:t>, available at</w:t>
      </w:r>
      <w:r w:rsidR="00E60C10">
        <w:t>,</w:t>
      </w:r>
      <w:r w:rsidRPr="00112D14">
        <w:t xml:space="preserve"> </w:t>
      </w:r>
      <w:hyperlink r:id="rId242" w:history="1">
        <w:r w:rsidR="00CC6F12" w:rsidRPr="009E4A79">
          <w:rPr>
            <w:rStyle w:val="Hyperlink"/>
          </w:rPr>
          <w:t>https://www.ukmoths.org.uk/</w:t>
        </w:r>
      </w:hyperlink>
      <w:bookmarkEnd w:id="976"/>
      <w:r w:rsidR="00830816">
        <w:rPr>
          <w:rStyle w:val="Hyperlink"/>
        </w:rPr>
        <w:t>,</w:t>
      </w:r>
      <w:r>
        <w:t xml:space="preserve"> </w:t>
      </w:r>
      <w:r w:rsidRPr="00112D14">
        <w:t>accessed 20</w:t>
      </w:r>
      <w:r>
        <w:t>09</w:t>
      </w:r>
      <w:r w:rsidRPr="00112D14">
        <w:t>.</w:t>
      </w:r>
    </w:p>
    <w:p w14:paraId="78442B9E" w14:textId="28B1975D" w:rsidR="003438A2" w:rsidRPr="00112D14" w:rsidRDefault="003438A2" w:rsidP="00112D14">
      <w:pPr>
        <w:pStyle w:val="EndNoteBibliography"/>
        <w:spacing w:after="0"/>
      </w:pPr>
      <w:bookmarkStart w:id="977" w:name="_ENREF_410"/>
      <w:r w:rsidRPr="00112D14">
        <w:t>-- -- 2022, ‘UKMoths’, available at</w:t>
      </w:r>
      <w:r w:rsidR="00E60C10">
        <w:t>,</w:t>
      </w:r>
      <w:r w:rsidRPr="00112D14">
        <w:t xml:space="preserve"> </w:t>
      </w:r>
      <w:hyperlink r:id="rId243" w:history="1">
        <w:r w:rsidR="00CC6F12" w:rsidRPr="009E4A79">
          <w:rPr>
            <w:rStyle w:val="Hyperlink"/>
          </w:rPr>
          <w:t>https://ukmoths.org.uk/</w:t>
        </w:r>
      </w:hyperlink>
      <w:r w:rsidRPr="00112D14">
        <w:t>, accessed 2022.</w:t>
      </w:r>
      <w:bookmarkEnd w:id="977"/>
    </w:p>
    <w:p w14:paraId="6A4A37EB" w14:textId="77777777" w:rsidR="003438A2" w:rsidRPr="00112D14" w:rsidRDefault="003438A2" w:rsidP="00112D14">
      <w:pPr>
        <w:pStyle w:val="EndNoteBibliography"/>
        <w:spacing w:after="0"/>
      </w:pPr>
      <w:bookmarkStart w:id="978" w:name="_ENREF_411"/>
      <w:r w:rsidRPr="00112D14">
        <w:t xml:space="preserve">Kimberling, DN, Miler, JC &amp; Penrose, RL 1986, ‘Distribution and parasitism of winter moth </w:t>
      </w:r>
      <w:r w:rsidRPr="00112D14">
        <w:rPr>
          <w:i/>
        </w:rPr>
        <w:t>Operophtera brumata</w:t>
      </w:r>
      <w:r w:rsidRPr="00112D14">
        <w:t xml:space="preserve"> (Lepidoptera: Geometridae) in western Oregon’, </w:t>
      </w:r>
      <w:r w:rsidRPr="00112D14">
        <w:rPr>
          <w:i/>
        </w:rPr>
        <w:t>Environmental Entomology</w:t>
      </w:r>
      <w:r w:rsidRPr="00112D14">
        <w:t>, vol. 15, pp. 1042-6.</w:t>
      </w:r>
      <w:bookmarkEnd w:id="978"/>
    </w:p>
    <w:p w14:paraId="3C502563" w14:textId="77777777" w:rsidR="003438A2" w:rsidRPr="00112D14" w:rsidRDefault="003438A2" w:rsidP="00112D14">
      <w:pPr>
        <w:pStyle w:val="EndNoteBibliography"/>
        <w:spacing w:after="0"/>
      </w:pPr>
      <w:bookmarkStart w:id="979" w:name="_ENREF_412"/>
      <w:r w:rsidRPr="00112D14">
        <w:t xml:space="preserve">Kingsnorth, J, Perrine, J, Berrie, A &amp; Saville, R 2017, ‘First report of </w:t>
      </w:r>
      <w:r w:rsidRPr="00112D14">
        <w:rPr>
          <w:i/>
        </w:rPr>
        <w:t>Neofabraea kienholzii</w:t>
      </w:r>
      <w:r w:rsidRPr="00112D14">
        <w:t xml:space="preserve"> causing bull's eye rot of apple in the UK’, </w:t>
      </w:r>
      <w:r w:rsidRPr="00112D14">
        <w:rPr>
          <w:i/>
        </w:rPr>
        <w:t>New Disease Reports</w:t>
      </w:r>
      <w:r w:rsidRPr="00112D14">
        <w:t>, vol. 36, 15</w:t>
      </w:r>
      <w:r>
        <w:t>.</w:t>
      </w:r>
      <w:bookmarkEnd w:id="979"/>
    </w:p>
    <w:p w14:paraId="69B719D5" w14:textId="77777777" w:rsidR="003438A2" w:rsidRPr="00112D14" w:rsidRDefault="003438A2" w:rsidP="00112D14">
      <w:pPr>
        <w:pStyle w:val="EndNoteBibliography"/>
        <w:spacing w:after="0"/>
      </w:pPr>
      <w:bookmarkStart w:id="980" w:name="_ENREF_413"/>
      <w:r w:rsidRPr="00112D14">
        <w:t xml:space="preserve">Klem, CC &amp; Zaspel, J 2019, ‘Pest injury guilds, Lepidoptera, and placing fruit-piercing moths in context: a review’, </w:t>
      </w:r>
      <w:r w:rsidRPr="00112D14">
        <w:rPr>
          <w:i/>
        </w:rPr>
        <w:t>Annals of the Entomological Society of America</w:t>
      </w:r>
      <w:r w:rsidRPr="00112D14">
        <w:t>, vol. 112, no. 5, pp. 421-32.</w:t>
      </w:r>
      <w:bookmarkEnd w:id="980"/>
    </w:p>
    <w:p w14:paraId="3066FC89" w14:textId="77777777" w:rsidR="003438A2" w:rsidRPr="00112D14" w:rsidRDefault="003438A2" w:rsidP="00112D14">
      <w:pPr>
        <w:pStyle w:val="EndNoteBibliography"/>
        <w:spacing w:after="0"/>
      </w:pPr>
      <w:bookmarkStart w:id="981" w:name="_ENREF_414"/>
      <w:r w:rsidRPr="00112D14">
        <w:t xml:space="preserve">Knudsen, GK, Bengtsson, M, Kobro, S, Jaastad, G, Hofsvang, T &amp; Witzgall, P 2008, ‘Discrepancy in laboratory and field attraction of apple fruit moth </w:t>
      </w:r>
      <w:r w:rsidRPr="00112D14">
        <w:rPr>
          <w:i/>
        </w:rPr>
        <w:t>Argyresthia conjugella</w:t>
      </w:r>
      <w:r w:rsidRPr="00112D14">
        <w:t xml:space="preserve"> to host plant volatiles’, </w:t>
      </w:r>
      <w:r w:rsidRPr="00112D14">
        <w:rPr>
          <w:i/>
        </w:rPr>
        <w:t>Physiological Entomology</w:t>
      </w:r>
      <w:r w:rsidRPr="00112D14">
        <w:t>, vol. 33, no. 1, pp. 1-6.</w:t>
      </w:r>
      <w:bookmarkEnd w:id="981"/>
    </w:p>
    <w:p w14:paraId="79F2ECC8" w14:textId="77777777" w:rsidR="003438A2" w:rsidRPr="00112D14" w:rsidRDefault="003438A2" w:rsidP="00112D14">
      <w:pPr>
        <w:pStyle w:val="EndNoteBibliography"/>
        <w:spacing w:after="0"/>
      </w:pPr>
      <w:bookmarkStart w:id="982" w:name="_ENREF_415"/>
      <w:r w:rsidRPr="00112D14">
        <w:t xml:space="preserve">Kobro, S, Søreide, L, Djønne, E, Rafoss, T, Jaastad, G &amp; Witzgall, P 2003, ‘Masting of rowan </w:t>
      </w:r>
      <w:r w:rsidRPr="00112D14">
        <w:rPr>
          <w:i/>
        </w:rPr>
        <w:t>Sorbus aucuparia</w:t>
      </w:r>
      <w:r w:rsidRPr="00112D14">
        <w:t xml:space="preserve"> L. and consequences for the apple fruit moth </w:t>
      </w:r>
      <w:r w:rsidRPr="00112D14">
        <w:rPr>
          <w:i/>
        </w:rPr>
        <w:t xml:space="preserve">Argyresthia conjugella </w:t>
      </w:r>
      <w:r w:rsidRPr="00112D14">
        <w:t xml:space="preserve">Zeller’, </w:t>
      </w:r>
      <w:r w:rsidRPr="00112D14">
        <w:rPr>
          <w:i/>
        </w:rPr>
        <w:t>Population Ecology</w:t>
      </w:r>
      <w:r w:rsidRPr="00112D14">
        <w:t>, vol. 45, pp. 25-40.</w:t>
      </w:r>
      <w:bookmarkEnd w:id="982"/>
    </w:p>
    <w:p w14:paraId="7772ACC3" w14:textId="77777777" w:rsidR="003438A2" w:rsidRPr="00112D14" w:rsidRDefault="003438A2" w:rsidP="00112D14">
      <w:pPr>
        <w:pStyle w:val="EndNoteBibliography"/>
        <w:spacing w:after="0"/>
      </w:pPr>
      <w:bookmarkStart w:id="983" w:name="_ENREF_416"/>
      <w:r w:rsidRPr="00112D14">
        <w:t xml:space="preserve">Koganezawa, H 2001, ‘Studies on apple viroid diseases’, </w:t>
      </w:r>
      <w:r w:rsidRPr="00112D14">
        <w:rPr>
          <w:i/>
        </w:rPr>
        <w:t>Journal of General Plant Pathology</w:t>
      </w:r>
      <w:r w:rsidRPr="00112D14">
        <w:t>, vol. 67, pp. 241-3.</w:t>
      </w:r>
      <w:bookmarkEnd w:id="983"/>
    </w:p>
    <w:p w14:paraId="055ABBA4" w14:textId="77777777" w:rsidR="003438A2" w:rsidRPr="00112D14" w:rsidRDefault="003438A2" w:rsidP="00112D14">
      <w:pPr>
        <w:pStyle w:val="EndNoteBibliography"/>
        <w:spacing w:after="0"/>
      </w:pPr>
      <w:bookmarkStart w:id="984" w:name="_ENREF_417"/>
      <w:r w:rsidRPr="00112D14">
        <w:t>Koganezawa, H, Yang, X, Zhu, SF, Hashimoto, J &amp; Hadidi, A 2003, ‘</w:t>
      </w:r>
      <w:r w:rsidRPr="00112D14">
        <w:rPr>
          <w:i/>
        </w:rPr>
        <w:t>Apple scar skin viroid</w:t>
      </w:r>
      <w:r w:rsidRPr="00112D14">
        <w:t xml:space="preserve"> in apple’, in </w:t>
      </w:r>
      <w:r w:rsidRPr="00112D14">
        <w:rPr>
          <w:i/>
        </w:rPr>
        <w:t>Viroids</w:t>
      </w:r>
      <w:r w:rsidRPr="00112D14">
        <w:t>, Hadidi, A, Flores, R, Randles, JW &amp; Semancik, JS (eds), Commonwealth Scientific and Industrial Research Organisation, Collingwood.</w:t>
      </w:r>
      <w:bookmarkEnd w:id="984"/>
    </w:p>
    <w:p w14:paraId="04DD2D5E" w14:textId="77777777" w:rsidR="003438A2" w:rsidRPr="00112D14" w:rsidRDefault="003438A2" w:rsidP="00112D14">
      <w:pPr>
        <w:pStyle w:val="EndNoteBibliography"/>
        <w:spacing w:after="0"/>
      </w:pPr>
      <w:bookmarkStart w:id="985" w:name="_ENREF_418"/>
      <w:r w:rsidRPr="00112D14">
        <w:t xml:space="preserve">Kolbe, W 1982, ‘Occurrence and control of pear leaf-curling midge and apple leaf-curling midge’, </w:t>
      </w:r>
      <w:r w:rsidRPr="00112D14">
        <w:rPr>
          <w:i/>
        </w:rPr>
        <w:t>Pflanzenschutz Nachrichten Bayer</w:t>
      </w:r>
      <w:r w:rsidRPr="00112D14">
        <w:t>, vol. 35, no. 3, pp. 291-308.</w:t>
      </w:r>
      <w:bookmarkEnd w:id="985"/>
    </w:p>
    <w:p w14:paraId="342217C3" w14:textId="77777777" w:rsidR="003438A2" w:rsidRPr="00112D14" w:rsidRDefault="003438A2" w:rsidP="00112D14">
      <w:pPr>
        <w:pStyle w:val="EndNoteBibliography"/>
        <w:spacing w:after="0"/>
      </w:pPr>
      <w:bookmarkStart w:id="986" w:name="_ENREF_419"/>
      <w:r w:rsidRPr="00112D14">
        <w:t xml:space="preserve">Kontschán, J &amp; Ripka, G 2017, ‘Checklist of the Hungarian spider mites and flat mites (Acari: Tetranychidae and Tenuipalpidae)’, </w:t>
      </w:r>
      <w:r w:rsidRPr="00112D14">
        <w:rPr>
          <w:i/>
        </w:rPr>
        <w:t>Systematic and Applied Acarology</w:t>
      </w:r>
      <w:r w:rsidRPr="00112D14">
        <w:t>, vol. 22, no. 8, pp. 1199-225.</w:t>
      </w:r>
      <w:bookmarkEnd w:id="986"/>
    </w:p>
    <w:p w14:paraId="1AF6588D" w14:textId="77777777" w:rsidR="003438A2" w:rsidRPr="00112D14" w:rsidRDefault="003438A2" w:rsidP="00112D14">
      <w:pPr>
        <w:pStyle w:val="EndNoteBibliography"/>
        <w:spacing w:after="0"/>
      </w:pPr>
      <w:bookmarkStart w:id="987" w:name="_ENREF_420"/>
      <w:r w:rsidRPr="00112D14">
        <w:t xml:space="preserve">Korycinska, A &amp; Eyre, D 2013, </w:t>
      </w:r>
      <w:r w:rsidRPr="00112D14">
        <w:rPr>
          <w:i/>
        </w:rPr>
        <w:t>Omnivorus leafroller Platynota stultana</w:t>
      </w:r>
      <w:r w:rsidRPr="00112D14">
        <w:t>, Department for Envrionment, Food and Rural Affairs (UK), Plant Pest Factsheet.</w:t>
      </w:r>
      <w:bookmarkEnd w:id="987"/>
    </w:p>
    <w:p w14:paraId="77AFE259" w14:textId="515013C3" w:rsidR="003438A2" w:rsidRPr="00112D14" w:rsidRDefault="003438A2" w:rsidP="00112D14">
      <w:pPr>
        <w:pStyle w:val="EndNoteBibliography"/>
        <w:spacing w:after="0"/>
      </w:pPr>
      <w:bookmarkStart w:id="988" w:name="_ENREF_421"/>
      <w:r w:rsidRPr="00112D14">
        <w:t>Krawczyk, G 2016, ‘Tree fruit insect pest- Lesser appleworm’, Pennsylvannia State University (PSU), Pennsylvannia, USA, available at</w:t>
      </w:r>
      <w:r w:rsidR="00823974">
        <w:t>,</w:t>
      </w:r>
      <w:r w:rsidRPr="00112D14">
        <w:t xml:space="preserve"> </w:t>
      </w:r>
      <w:hyperlink r:id="rId244" w:history="1">
        <w:r w:rsidR="00FC49CE" w:rsidRPr="009E4A79">
          <w:rPr>
            <w:rStyle w:val="Hyperlink"/>
          </w:rPr>
          <w:t>https://extension.psu.edu/tree-fruit-insect-pest-lesser-appleworm</w:t>
        </w:r>
      </w:hyperlink>
      <w:r w:rsidRPr="00112D14">
        <w:t>.</w:t>
      </w:r>
      <w:bookmarkEnd w:id="988"/>
    </w:p>
    <w:p w14:paraId="318B7B53" w14:textId="77777777" w:rsidR="003438A2" w:rsidRPr="00112D14" w:rsidRDefault="003438A2" w:rsidP="00112D14">
      <w:pPr>
        <w:pStyle w:val="EndNoteBibliography"/>
        <w:spacing w:after="0"/>
      </w:pPr>
      <w:bookmarkStart w:id="989" w:name="_ENREF_422"/>
      <w:r w:rsidRPr="00112D14">
        <w:t xml:space="preserve">Krawczyk, G &amp; Johnson, JW 1996, ‘Occurence and pest status of lesser apple worm </w:t>
      </w:r>
      <w:r w:rsidRPr="00112D14">
        <w:rPr>
          <w:i/>
        </w:rPr>
        <w:t>Grapholita prunivora</w:t>
      </w:r>
      <w:r w:rsidRPr="00112D14">
        <w:t xml:space="preserve"> Walsh in Michigan apple orchards’, </w:t>
      </w:r>
      <w:r w:rsidRPr="00112D14">
        <w:rPr>
          <w:i/>
        </w:rPr>
        <w:t>Acta Horticulturae</w:t>
      </w:r>
      <w:r w:rsidRPr="00112D14">
        <w:t>, vol. 422, no. 78, pp. 356-7.</w:t>
      </w:r>
      <w:bookmarkEnd w:id="989"/>
    </w:p>
    <w:p w14:paraId="4F06F6E5" w14:textId="0812F99C" w:rsidR="003438A2" w:rsidRPr="00112D14" w:rsidRDefault="003438A2" w:rsidP="00112D14">
      <w:pPr>
        <w:pStyle w:val="EndNoteBibliography"/>
        <w:spacing w:after="0"/>
      </w:pPr>
      <w:bookmarkStart w:id="990" w:name="_ENREF_423"/>
      <w:r w:rsidRPr="00112D14">
        <w:t xml:space="preserve">Krupke, C 2007, </w:t>
      </w:r>
      <w:r w:rsidRPr="00112D14">
        <w:rPr>
          <w:i/>
        </w:rPr>
        <w:t>Stink bugs: consperse stink bug and Green stink bug or Green solider bug</w:t>
      </w:r>
      <w:r w:rsidRPr="00112D14">
        <w:t>, Orchard Pest Management Online, Washington State University, available at</w:t>
      </w:r>
      <w:r w:rsidR="00823974">
        <w:t>,</w:t>
      </w:r>
      <w:r w:rsidRPr="00112D14">
        <w:t xml:space="preserve"> </w:t>
      </w:r>
      <w:hyperlink r:id="rId245" w:history="1">
        <w:r w:rsidR="00FC49CE" w:rsidRPr="009E4A79">
          <w:rPr>
            <w:rStyle w:val="Hyperlink"/>
          </w:rPr>
          <w:t>http://treefruit.wsu.edu/crop-protection/opm/stink-bugs/</w:t>
        </w:r>
      </w:hyperlink>
      <w:r w:rsidRPr="00112D14">
        <w:t>.</w:t>
      </w:r>
      <w:bookmarkEnd w:id="990"/>
    </w:p>
    <w:p w14:paraId="593A7D91" w14:textId="77777777" w:rsidR="003438A2" w:rsidRPr="00112D14" w:rsidRDefault="003438A2" w:rsidP="00112D14">
      <w:pPr>
        <w:pStyle w:val="EndNoteBibliography"/>
        <w:spacing w:after="0"/>
      </w:pPr>
      <w:bookmarkStart w:id="991" w:name="_ENREF_424"/>
      <w:r w:rsidRPr="00112D14">
        <w:t xml:space="preserve">Krupke, C &amp; Brunner, JF 2008, </w:t>
      </w:r>
      <w:r w:rsidRPr="00112D14">
        <w:rPr>
          <w:i/>
        </w:rPr>
        <w:t>Biology and management of the consperse stink bug Euschistus conspersus</w:t>
      </w:r>
      <w:r w:rsidRPr="00112D14">
        <w:t>, Washington State University.</w:t>
      </w:r>
      <w:bookmarkEnd w:id="991"/>
    </w:p>
    <w:p w14:paraId="33EFFD5E" w14:textId="77777777" w:rsidR="003438A2" w:rsidRPr="00112D14" w:rsidRDefault="003438A2" w:rsidP="00112D14">
      <w:pPr>
        <w:pStyle w:val="EndNoteBibliography"/>
        <w:spacing w:after="0"/>
      </w:pPr>
      <w:bookmarkStart w:id="992" w:name="_ENREF_425"/>
      <w:r w:rsidRPr="00112D14">
        <w:t xml:space="preserve">Kupferman, E 1984, ‘Using chlorine in the packinghouse’, </w:t>
      </w:r>
      <w:r w:rsidRPr="00112D14">
        <w:rPr>
          <w:i/>
        </w:rPr>
        <w:t>Post Harvest Pomology Newsletter</w:t>
      </w:r>
      <w:r w:rsidRPr="00112D14">
        <w:t>, vol. 2, no. 4, pp. 5-9.</w:t>
      </w:r>
      <w:bookmarkEnd w:id="992"/>
    </w:p>
    <w:p w14:paraId="18D7C2E3" w14:textId="77777777" w:rsidR="003438A2" w:rsidRPr="00112D14" w:rsidRDefault="003438A2" w:rsidP="00112D14">
      <w:pPr>
        <w:pStyle w:val="EndNoteBibliography"/>
        <w:spacing w:after="0"/>
      </w:pPr>
      <w:bookmarkStart w:id="993" w:name="_ENREF_426"/>
      <w:r w:rsidRPr="00112D14">
        <w:t xml:space="preserve">-- -- 1996, </w:t>
      </w:r>
      <w:r w:rsidRPr="00112D14">
        <w:rPr>
          <w:i/>
        </w:rPr>
        <w:t>Packinghouse primer: maturity, storage and handling of Washington apples</w:t>
      </w:r>
      <w:r w:rsidRPr="00112D14">
        <w:t>, Postharvest Information Network, Washington State University.</w:t>
      </w:r>
      <w:bookmarkEnd w:id="993"/>
    </w:p>
    <w:p w14:paraId="285C39BC" w14:textId="77777777" w:rsidR="003438A2" w:rsidRPr="00112D14" w:rsidRDefault="003438A2" w:rsidP="00112D14">
      <w:pPr>
        <w:pStyle w:val="EndNoteBibliography"/>
        <w:spacing w:after="0"/>
      </w:pPr>
      <w:bookmarkStart w:id="994" w:name="_ENREF_427"/>
      <w:r w:rsidRPr="00112D14">
        <w:t xml:space="preserve">-- -- 1999, </w:t>
      </w:r>
      <w:r w:rsidRPr="00112D14">
        <w:rPr>
          <w:i/>
        </w:rPr>
        <w:t>How to prevent diseases of fruit in storage</w:t>
      </w:r>
      <w:r w:rsidRPr="00112D14">
        <w:t>, Good Fruit Grower, Mar 1-99, Goodfruit, Yakima (WA) USA.</w:t>
      </w:r>
      <w:bookmarkEnd w:id="994"/>
    </w:p>
    <w:p w14:paraId="751FAEC5" w14:textId="77777777" w:rsidR="003438A2" w:rsidRPr="00112D14" w:rsidRDefault="003438A2" w:rsidP="00112D14">
      <w:pPr>
        <w:pStyle w:val="EndNoteBibliography"/>
        <w:spacing w:after="0"/>
      </w:pPr>
      <w:bookmarkStart w:id="995" w:name="_ENREF_428"/>
      <w:r w:rsidRPr="00112D14">
        <w:t xml:space="preserve">-- -- 2001, </w:t>
      </w:r>
      <w:r w:rsidRPr="00112D14">
        <w:rPr>
          <w:i/>
        </w:rPr>
        <w:t>Controlled atmosphere storage of apples and pears</w:t>
      </w:r>
      <w:r w:rsidRPr="00112D14">
        <w:t>, December 2001 article, Postharvest Information Network, Tree Fruit Research and Extension Center, Washington State University.</w:t>
      </w:r>
      <w:bookmarkEnd w:id="995"/>
    </w:p>
    <w:p w14:paraId="5B80B4B9" w14:textId="77777777" w:rsidR="003438A2" w:rsidRPr="00112D14" w:rsidRDefault="003438A2" w:rsidP="00112D14">
      <w:pPr>
        <w:pStyle w:val="EndNoteBibliography"/>
        <w:spacing w:after="0"/>
      </w:pPr>
      <w:bookmarkStart w:id="996" w:name="_ENREF_429"/>
      <w:r w:rsidRPr="00112D14">
        <w:t xml:space="preserve">Kwon, MJ, Hwang, SL, Lee, SJ, Lee, DH &amp; Lee, JY 2002, ‘Detection and distribution of </w:t>
      </w:r>
      <w:r w:rsidRPr="00112D14">
        <w:rPr>
          <w:i/>
        </w:rPr>
        <w:t>Apple scar skin viroid</w:t>
      </w:r>
      <w:r w:rsidRPr="00112D14">
        <w:t xml:space="preserve">-Korean strain (ASSVd-K) from apples cultivated in Korea’, </w:t>
      </w:r>
      <w:r w:rsidRPr="00112D14">
        <w:rPr>
          <w:i/>
        </w:rPr>
        <w:t>Plant Pathology Journal</w:t>
      </w:r>
      <w:r w:rsidRPr="00112D14">
        <w:t>, vol. 18, pp. 342-4.</w:t>
      </w:r>
      <w:bookmarkEnd w:id="996"/>
    </w:p>
    <w:p w14:paraId="73A21278" w14:textId="77777777" w:rsidR="003438A2" w:rsidRPr="00112D14" w:rsidRDefault="003438A2" w:rsidP="00112D14">
      <w:pPr>
        <w:pStyle w:val="EndNoteBibliography"/>
        <w:spacing w:after="0"/>
      </w:pPr>
      <w:bookmarkStart w:id="997" w:name="_ENREF_430"/>
      <w:r w:rsidRPr="00112D14">
        <w:t xml:space="preserve">Kyriakopoulou, PE &amp; Hadidi, A 1998, ‘Natural infection of wild and cultivated pears with </w:t>
      </w:r>
      <w:r w:rsidRPr="00112D14">
        <w:rPr>
          <w:i/>
        </w:rPr>
        <w:t>Apple scar skin viroid</w:t>
      </w:r>
      <w:r w:rsidRPr="00112D14">
        <w:t xml:space="preserve"> in Greece’, </w:t>
      </w:r>
      <w:r w:rsidRPr="00112D14">
        <w:rPr>
          <w:i/>
        </w:rPr>
        <w:t>Acta Horticulturae (ISHS)</w:t>
      </w:r>
      <w:r w:rsidRPr="00112D14">
        <w:t>, vol. 472, pp. 617-25.</w:t>
      </w:r>
      <w:bookmarkEnd w:id="997"/>
    </w:p>
    <w:p w14:paraId="2BAB69B3" w14:textId="77777777" w:rsidR="003438A2" w:rsidRPr="00112D14" w:rsidRDefault="003438A2" w:rsidP="00112D14">
      <w:pPr>
        <w:pStyle w:val="EndNoteBibliography"/>
        <w:spacing w:after="0"/>
      </w:pPr>
      <w:bookmarkStart w:id="998" w:name="_ENREF_431"/>
      <w:r w:rsidRPr="00112D14">
        <w:t xml:space="preserve">LaBonte, JR, Mudge, AD &amp; Johnson, KJR 2005, ‘Nonindigenous woodboring Coleoptera (Cerambycidae: Curculionidae: Scolytinae) new to Oregon and Washington, 1999-2002: consequences of the intracontinental movement of raw wood products and solid wood packing materials’, </w:t>
      </w:r>
      <w:r w:rsidRPr="00112D14">
        <w:rPr>
          <w:i/>
        </w:rPr>
        <w:t>Proceedings of the Entomological Society of Washington</w:t>
      </w:r>
      <w:r w:rsidRPr="00112D14">
        <w:t>, vol. 107, no. 3, pp. 554-64.</w:t>
      </w:r>
      <w:bookmarkEnd w:id="998"/>
    </w:p>
    <w:p w14:paraId="6A02C547" w14:textId="77777777" w:rsidR="003438A2" w:rsidRPr="00112D14" w:rsidRDefault="003438A2" w:rsidP="00112D14">
      <w:pPr>
        <w:pStyle w:val="EndNoteBibliography"/>
        <w:spacing w:after="0"/>
      </w:pPr>
      <w:bookmarkStart w:id="999" w:name="_ENREF_432"/>
      <w:r w:rsidRPr="00112D14">
        <w:t>Lāce, B 2017, ‘</w:t>
      </w:r>
      <w:r w:rsidRPr="00112D14">
        <w:rPr>
          <w:i/>
        </w:rPr>
        <w:t>Gymnosporangium</w:t>
      </w:r>
      <w:r w:rsidRPr="00112D14">
        <w:t xml:space="preserve"> species - an important issue of plant protection’, </w:t>
      </w:r>
      <w:r w:rsidRPr="00112D14">
        <w:rPr>
          <w:i/>
        </w:rPr>
        <w:t>Proceedings of the Latvian Academy of Sciences. Section B</w:t>
      </w:r>
      <w:r w:rsidRPr="00112D14">
        <w:t>, vol. 71, no. 3, pp. 95-102.</w:t>
      </w:r>
      <w:bookmarkEnd w:id="999"/>
    </w:p>
    <w:p w14:paraId="0757190D" w14:textId="77777777" w:rsidR="003438A2" w:rsidRPr="00112D14" w:rsidRDefault="003438A2" w:rsidP="00112D14">
      <w:pPr>
        <w:pStyle w:val="EndNoteBibliography"/>
        <w:spacing w:after="0"/>
      </w:pPr>
      <w:bookmarkStart w:id="1000" w:name="_ENREF_433"/>
      <w:r w:rsidRPr="00112D14">
        <w:t xml:space="preserve">Lacey, LA, S.P, A, Unruh, TR, Headrick, H &amp; Fritts, R, Jr 2006, ‘Entomopathogenic nematodes for control of codling moth (Lepidoptera: Tortricidae) in apple and pear orchards: effect of nematode species and seasonal temperatures adjuvants application equipment and post application irrigation’, </w:t>
      </w:r>
      <w:r w:rsidRPr="00112D14">
        <w:rPr>
          <w:i/>
        </w:rPr>
        <w:t>Biological control: a guide to natural enemies in North America</w:t>
      </w:r>
      <w:r w:rsidRPr="00112D14">
        <w:t>, vol. 37, pp. 214-23.</w:t>
      </w:r>
      <w:bookmarkEnd w:id="1000"/>
    </w:p>
    <w:p w14:paraId="3368BC8C" w14:textId="77777777" w:rsidR="003438A2" w:rsidRPr="00112D14" w:rsidRDefault="003438A2" w:rsidP="00112D14">
      <w:pPr>
        <w:pStyle w:val="EndNoteBibliography"/>
        <w:spacing w:after="0"/>
      </w:pPr>
      <w:bookmarkStart w:id="1001" w:name="_ENREF_434"/>
      <w:r w:rsidRPr="00112D14">
        <w:t xml:space="preserve">LaGasa, EH 1996, ‘Exotic fruit tree pests in Whatcom County, Washington’, </w:t>
      </w:r>
      <w:r w:rsidRPr="00112D14">
        <w:rPr>
          <w:i/>
        </w:rPr>
        <w:t>Proceedings of the 70th Annual Western Orchard Pest and Disease Management Conference, Imperial Hotel, Portland, 10-12 January 1996</w:t>
      </w:r>
      <w:r w:rsidRPr="00112D14">
        <w:t>, Washington State University, Pullman, pp. 55-7.</w:t>
      </w:r>
      <w:bookmarkEnd w:id="1001"/>
    </w:p>
    <w:p w14:paraId="541622DF" w14:textId="77777777" w:rsidR="003438A2" w:rsidRPr="00112D14" w:rsidRDefault="003438A2" w:rsidP="00112D14">
      <w:pPr>
        <w:pStyle w:val="EndNoteBibliography"/>
        <w:spacing w:after="0"/>
      </w:pPr>
      <w:bookmarkStart w:id="1002" w:name="_ENREF_435"/>
      <w:r w:rsidRPr="00112D14">
        <w:t xml:space="preserve">-- -- 2007, </w:t>
      </w:r>
      <w:r w:rsidRPr="00112D14">
        <w:rPr>
          <w:i/>
        </w:rPr>
        <w:t>Apple leafcurling midge</w:t>
      </w:r>
      <w:r w:rsidRPr="00112D14">
        <w:t>, Orchard Pest Management Online, Washington State University.</w:t>
      </w:r>
      <w:bookmarkEnd w:id="1002"/>
    </w:p>
    <w:p w14:paraId="7044A0F2" w14:textId="77777777" w:rsidR="003438A2" w:rsidRPr="00112D14" w:rsidRDefault="003438A2" w:rsidP="00112D14">
      <w:pPr>
        <w:pStyle w:val="EndNoteBibliography"/>
        <w:spacing w:after="0"/>
      </w:pPr>
      <w:bookmarkStart w:id="1003" w:name="_ENREF_436"/>
      <w:r w:rsidRPr="00112D14">
        <w:t xml:space="preserve">-- -- 2008, </w:t>
      </w:r>
      <w:r w:rsidRPr="00112D14">
        <w:rPr>
          <w:i/>
        </w:rPr>
        <w:t>Appendix Q: exotic plant pests established in Washington State since 1985</w:t>
      </w:r>
      <w:r w:rsidRPr="00112D14">
        <w:t>, Plant Protection Division, Washington State Department of Agriculture.</w:t>
      </w:r>
      <w:bookmarkEnd w:id="1003"/>
    </w:p>
    <w:p w14:paraId="110D3E1B" w14:textId="339632C6" w:rsidR="00FB3527" w:rsidRDefault="003438A2" w:rsidP="00112D14">
      <w:pPr>
        <w:pStyle w:val="EndNoteBibliography"/>
        <w:spacing w:after="0"/>
      </w:pPr>
      <w:bookmarkStart w:id="1004" w:name="_ENREF_437"/>
      <w:r w:rsidRPr="00112D14">
        <w:t xml:space="preserve">LaGasa, EH, Hertzog, P, Bowden, D &amp; Fair, B 2003, </w:t>
      </w:r>
      <w:r w:rsidRPr="00112D14">
        <w:rPr>
          <w:i/>
        </w:rPr>
        <w:t>Archips podana (Scopoli) (Lepidoptera: Tortricidae) host survey 2002: Northwest Washington occurrence of an old world tree-fruit pest new to the United States</w:t>
      </w:r>
      <w:r w:rsidRPr="00112D14">
        <w:t>, Entomology project report: WSDA PUB 080 (N/02/03), Department of Agriculture, Washington, D.C., available at</w:t>
      </w:r>
      <w:r w:rsidR="005373D3">
        <w:t>,</w:t>
      </w:r>
      <w:r w:rsidRPr="00112D14">
        <w:t xml:space="preserve"> </w:t>
      </w:r>
      <w:hyperlink r:id="rId246" w:history="1">
        <w:r w:rsidR="00FB3527" w:rsidRPr="00F75888">
          <w:rPr>
            <w:rStyle w:val="Hyperlink"/>
          </w:rPr>
          <w:t>http://www.whatcom.wsu.edu/pestsurvey/2002%20Archips%20podana%20Host%20Survey%20Report.pdf</w:t>
        </w:r>
      </w:hyperlink>
      <w:r w:rsidR="00FB3527">
        <w:t>.</w:t>
      </w:r>
    </w:p>
    <w:p w14:paraId="7B55CD1F" w14:textId="77777777" w:rsidR="003438A2" w:rsidRPr="00112D14" w:rsidRDefault="003438A2" w:rsidP="00112D14">
      <w:pPr>
        <w:pStyle w:val="EndNoteBibliography"/>
        <w:spacing w:after="0"/>
      </w:pPr>
      <w:bookmarkStart w:id="1005" w:name="_ENREF_438"/>
      <w:bookmarkEnd w:id="1004"/>
      <w:r w:rsidRPr="00112D14">
        <w:t xml:space="preserve">Landolt, PJ 1997, ‘Cutworm on organic apples is identified as new’, </w:t>
      </w:r>
      <w:r w:rsidRPr="00112D14">
        <w:rPr>
          <w:i/>
        </w:rPr>
        <w:t>The Good Fruit Grower, Yakima</w:t>
      </w:r>
      <w:r w:rsidRPr="00112D14">
        <w:t>, vol. 1, pp. 28-9.</w:t>
      </w:r>
      <w:bookmarkEnd w:id="1005"/>
    </w:p>
    <w:p w14:paraId="25AB2B47" w14:textId="77777777" w:rsidR="003438A2" w:rsidRPr="00112D14" w:rsidRDefault="003438A2" w:rsidP="00112D14">
      <w:pPr>
        <w:pStyle w:val="EndNoteBibliography"/>
        <w:spacing w:after="0"/>
      </w:pPr>
      <w:bookmarkStart w:id="1006" w:name="_ENREF_439"/>
      <w:r w:rsidRPr="00112D14">
        <w:t>-- -- 1998, ‘</w:t>
      </w:r>
      <w:r w:rsidRPr="00112D14">
        <w:rPr>
          <w:i/>
        </w:rPr>
        <w:t>Lacanobia subjuncta</w:t>
      </w:r>
      <w:r w:rsidRPr="00112D14">
        <w:t xml:space="preserve"> (Leoidoptera: Noctuidae) on tree fruits in the Pacific northwest’, </w:t>
      </w:r>
      <w:r w:rsidRPr="00112D14">
        <w:rPr>
          <w:i/>
        </w:rPr>
        <w:t>Pan-Pacific Entomologist</w:t>
      </w:r>
      <w:r w:rsidRPr="00112D14">
        <w:t>, vol. 74, no. 1, pp. 32-8.</w:t>
      </w:r>
      <w:bookmarkEnd w:id="1006"/>
    </w:p>
    <w:p w14:paraId="32A816F0" w14:textId="77777777" w:rsidR="003438A2" w:rsidRPr="00112D14" w:rsidRDefault="003438A2" w:rsidP="00112D14">
      <w:pPr>
        <w:pStyle w:val="EndNoteBibliography"/>
        <w:spacing w:after="0"/>
      </w:pPr>
      <w:bookmarkStart w:id="1007" w:name="_ENREF_440"/>
      <w:r w:rsidRPr="00112D14">
        <w:t xml:space="preserve">-- -- 2000, ‘New chemical attractants for trapping </w:t>
      </w:r>
      <w:r w:rsidRPr="00112D14">
        <w:rPr>
          <w:i/>
        </w:rPr>
        <w:t>Lacanobia subjuncta</w:t>
      </w:r>
      <w:r w:rsidRPr="00112D14">
        <w:t xml:space="preserve">, </w:t>
      </w:r>
      <w:r w:rsidRPr="00112D14">
        <w:rPr>
          <w:i/>
        </w:rPr>
        <w:t>Mamestra configurata</w:t>
      </w:r>
      <w:r w:rsidRPr="00112D14">
        <w:t xml:space="preserve"> and </w:t>
      </w:r>
      <w:r w:rsidRPr="00112D14">
        <w:rPr>
          <w:i/>
        </w:rPr>
        <w:t xml:space="preserve">Xestia c-nigrum </w:t>
      </w:r>
      <w:r w:rsidRPr="00112D14">
        <w:t xml:space="preserve">(Lepidoptera: Noctuidae)’, </w:t>
      </w:r>
      <w:r w:rsidRPr="00112D14">
        <w:rPr>
          <w:i/>
        </w:rPr>
        <w:t>Journal of Economic Entomology</w:t>
      </w:r>
      <w:r w:rsidRPr="00112D14">
        <w:t>, vol. 93, no. 1, pp. 101-6.</w:t>
      </w:r>
      <w:bookmarkEnd w:id="1007"/>
    </w:p>
    <w:p w14:paraId="7584CE59" w14:textId="77777777" w:rsidR="003438A2" w:rsidRPr="00112D14" w:rsidRDefault="003438A2" w:rsidP="00112D14">
      <w:pPr>
        <w:pStyle w:val="EndNoteBibliography"/>
        <w:spacing w:after="0"/>
      </w:pPr>
      <w:bookmarkStart w:id="1008" w:name="_ENREF_441"/>
      <w:r w:rsidRPr="00112D14">
        <w:t xml:space="preserve">-- -- 2002, ‘Survival and development of </w:t>
      </w:r>
      <w:r w:rsidRPr="00112D14">
        <w:rPr>
          <w:i/>
        </w:rPr>
        <w:t>Lacanobia subjuncta</w:t>
      </w:r>
      <w:r w:rsidRPr="00112D14">
        <w:t xml:space="preserve"> (Grote &amp; Robinson) (Lepidoptera: Noctuidae) larvae on common weeds and crop plants of eastern Washington State’, </w:t>
      </w:r>
      <w:r w:rsidRPr="00112D14">
        <w:rPr>
          <w:i/>
        </w:rPr>
        <w:t>Pan-Pacific Entomologist</w:t>
      </w:r>
      <w:r w:rsidRPr="00112D14">
        <w:t>, vol. 78, no. 1, pp. 1-6.</w:t>
      </w:r>
      <w:bookmarkEnd w:id="1008"/>
    </w:p>
    <w:p w14:paraId="02ED3262" w14:textId="77777777" w:rsidR="003438A2" w:rsidRPr="00112D14" w:rsidRDefault="003438A2" w:rsidP="00112D14">
      <w:pPr>
        <w:pStyle w:val="EndNoteBibliography"/>
        <w:spacing w:after="0"/>
      </w:pPr>
      <w:bookmarkStart w:id="1009" w:name="_ENREF_442"/>
      <w:r w:rsidRPr="00112D14">
        <w:t xml:space="preserve">Landolt, PJ &amp; Hammond, PC 2001, ‘Species composition of moths captured in traps baited with acetic acid and 3 methyl-1-butanol, in Yakima County, Washington’, </w:t>
      </w:r>
      <w:r w:rsidRPr="00112D14">
        <w:rPr>
          <w:i/>
        </w:rPr>
        <w:t>Journal of the Lepidopterists' Society</w:t>
      </w:r>
      <w:r w:rsidRPr="00112D14">
        <w:t>, vol. 55, no. 2, pp. 53-8.</w:t>
      </w:r>
      <w:bookmarkEnd w:id="1009"/>
    </w:p>
    <w:p w14:paraId="60B28B6D" w14:textId="77777777" w:rsidR="003438A2" w:rsidRPr="00112D14" w:rsidRDefault="003438A2" w:rsidP="00112D14">
      <w:pPr>
        <w:pStyle w:val="EndNoteBibliography"/>
        <w:spacing w:after="0"/>
      </w:pPr>
      <w:bookmarkStart w:id="1010" w:name="_ENREF_443"/>
      <w:r w:rsidRPr="00112D14">
        <w:t xml:space="preserve">Landolt, PJ, Roberts, D, Corp, M &amp; Rondon, SI 2011, ‘Trap response of </w:t>
      </w:r>
      <w:r w:rsidRPr="00112D14">
        <w:rPr>
          <w:i/>
        </w:rPr>
        <w:t xml:space="preserve">Dargida terrapictalis </w:t>
      </w:r>
      <w:r w:rsidRPr="00112D14">
        <w:t xml:space="preserve">(Buckett) (Lepidoptera: Noctuidae) to a sex attractant in wheat-growing areas of eastern Washington and neighboring Oregon’, </w:t>
      </w:r>
      <w:r w:rsidRPr="00112D14">
        <w:rPr>
          <w:i/>
        </w:rPr>
        <w:t>Journal of the Kansas Entomological Society</w:t>
      </w:r>
      <w:r w:rsidRPr="00112D14">
        <w:t>, vol. 84, no. 2, pp. 139-47.</w:t>
      </w:r>
      <w:bookmarkEnd w:id="1010"/>
    </w:p>
    <w:p w14:paraId="3C9BCCC9" w14:textId="77777777" w:rsidR="003438A2" w:rsidRPr="00112D14" w:rsidRDefault="003438A2" w:rsidP="00112D14">
      <w:pPr>
        <w:pStyle w:val="EndNoteBibliography"/>
        <w:spacing w:after="0"/>
      </w:pPr>
      <w:bookmarkStart w:id="1011" w:name="_ENREF_444"/>
      <w:r w:rsidRPr="00112D14">
        <w:t xml:space="preserve">Landry, B, Powell, JA &amp; Sperling, FAH 1999, ‘Systematics of the </w:t>
      </w:r>
      <w:r w:rsidRPr="00112D14">
        <w:rPr>
          <w:i/>
        </w:rPr>
        <w:t xml:space="preserve">Argyrotaenia franciscana </w:t>
      </w:r>
      <w:r w:rsidRPr="00112D14">
        <w:t xml:space="preserve">(Lepidoptera: Tortricidae) species group: evidence from mitochondrial DNA’, </w:t>
      </w:r>
      <w:r w:rsidRPr="00112D14">
        <w:rPr>
          <w:i/>
        </w:rPr>
        <w:t>Annals of the Entomological Society of America</w:t>
      </w:r>
      <w:r w:rsidRPr="00112D14">
        <w:t>, vol. 92, no. 1, pp. 40-6.</w:t>
      </w:r>
      <w:bookmarkEnd w:id="1011"/>
    </w:p>
    <w:p w14:paraId="400C12FC" w14:textId="77777777" w:rsidR="003438A2" w:rsidRPr="00112D14" w:rsidRDefault="003438A2" w:rsidP="00112D14">
      <w:pPr>
        <w:pStyle w:val="EndNoteBibliography"/>
        <w:spacing w:after="0"/>
      </w:pPr>
      <w:bookmarkStart w:id="1012" w:name="_ENREF_445"/>
      <w:r w:rsidRPr="00112D14">
        <w:t xml:space="preserve">Landry, JF &amp; Wagner, DL 1995, ‘Taxonomic review of apple-feeding species of </w:t>
      </w:r>
      <w:r w:rsidRPr="00112D14">
        <w:rPr>
          <w:i/>
        </w:rPr>
        <w:t xml:space="preserve">Phyllonorycter </w:t>
      </w:r>
      <w:r w:rsidRPr="00112D14">
        <w:t xml:space="preserve">Hubner (Lepidoptera: Gracillariidae) in North America’, </w:t>
      </w:r>
      <w:r w:rsidRPr="00112D14">
        <w:rPr>
          <w:i/>
        </w:rPr>
        <w:t>Proceedings of the Entomological Society of Washington</w:t>
      </w:r>
      <w:r w:rsidRPr="00112D14">
        <w:t>, vol. 97, pp. 603-25.</w:t>
      </w:r>
      <w:bookmarkEnd w:id="1012"/>
    </w:p>
    <w:p w14:paraId="2A4130D4" w14:textId="77777777" w:rsidR="003438A2" w:rsidRPr="00112D14" w:rsidRDefault="003438A2" w:rsidP="00112D14">
      <w:pPr>
        <w:pStyle w:val="EndNoteBibliography"/>
        <w:spacing w:after="0"/>
      </w:pPr>
      <w:bookmarkStart w:id="1013" w:name="_ENREF_446"/>
      <w:r w:rsidRPr="00112D14">
        <w:t>Latorre, BA, Rioja, ME, Lillo, C &amp; Munoz, M 2002, ‘The effect of temperature and wetness duration on infection and a warning system for European canker (</w:t>
      </w:r>
      <w:r w:rsidRPr="00112D14">
        <w:rPr>
          <w:i/>
        </w:rPr>
        <w:t>Nectria galligena</w:t>
      </w:r>
      <w:r w:rsidRPr="00112D14">
        <w:t xml:space="preserve">) of apple in Chile’, </w:t>
      </w:r>
      <w:r w:rsidRPr="00112D14">
        <w:rPr>
          <w:i/>
        </w:rPr>
        <w:t>Crop Protection</w:t>
      </w:r>
      <w:r w:rsidRPr="00112D14">
        <w:t>, vol. 21, no. 4, pp. 285-91.</w:t>
      </w:r>
      <w:bookmarkEnd w:id="1013"/>
    </w:p>
    <w:p w14:paraId="21FB0258" w14:textId="77777777" w:rsidR="003438A2" w:rsidRPr="00112D14" w:rsidRDefault="003438A2" w:rsidP="00112D14">
      <w:pPr>
        <w:pStyle w:val="EndNoteBibliography"/>
        <w:spacing w:after="0"/>
      </w:pPr>
      <w:bookmarkStart w:id="1014" w:name="_ENREF_447"/>
      <w:r w:rsidRPr="00112D14">
        <w:t>Laundon, G 1977, ‘</w:t>
      </w:r>
      <w:r w:rsidRPr="00112D14">
        <w:rPr>
          <w:i/>
        </w:rPr>
        <w:t>Gymnosporangium juniperi-virginianae</w:t>
      </w:r>
      <w:r w:rsidRPr="00112D14">
        <w:t xml:space="preserve">’, </w:t>
      </w:r>
      <w:r w:rsidRPr="00112D14">
        <w:rPr>
          <w:i/>
        </w:rPr>
        <w:t>CMI Descriptions of Pathogenic Fungi and Bacteria</w:t>
      </w:r>
      <w:r w:rsidRPr="00112D14">
        <w:t>, vol. 55, no. 547.</w:t>
      </w:r>
      <w:bookmarkEnd w:id="1014"/>
    </w:p>
    <w:p w14:paraId="3595AED4" w14:textId="77777777" w:rsidR="003438A2" w:rsidRPr="00112D14" w:rsidRDefault="003438A2" w:rsidP="00112D14">
      <w:pPr>
        <w:pStyle w:val="EndNoteBibliography"/>
        <w:spacing w:after="0"/>
      </w:pPr>
      <w:bookmarkStart w:id="1015" w:name="_ENREF_448"/>
      <w:r w:rsidRPr="00112D14">
        <w:t xml:space="preserve">Lee, S, Crous, PW &amp; Wingfield, MJ 2006, ‘Pestalotioid fungi from </w:t>
      </w:r>
      <w:r w:rsidRPr="00112D14">
        <w:rPr>
          <w:i/>
        </w:rPr>
        <w:t>Restionaceae</w:t>
      </w:r>
      <w:r w:rsidRPr="00112D14">
        <w:t xml:space="preserve"> in the Cape floral kingdom’, </w:t>
      </w:r>
      <w:r w:rsidRPr="00112D14">
        <w:rPr>
          <w:i/>
        </w:rPr>
        <w:t>Studies in Mycology</w:t>
      </w:r>
      <w:r w:rsidRPr="00112D14">
        <w:t>, vol. 55, pp. 175-87.</w:t>
      </w:r>
      <w:bookmarkEnd w:id="1015"/>
    </w:p>
    <w:p w14:paraId="4A60D215" w14:textId="77777777" w:rsidR="003438A2" w:rsidRPr="00112D14" w:rsidRDefault="003438A2" w:rsidP="00112D14">
      <w:pPr>
        <w:pStyle w:val="EndNoteBibliography"/>
        <w:spacing w:after="0"/>
      </w:pPr>
      <w:bookmarkStart w:id="1016" w:name="_ENREF_449"/>
      <w:r w:rsidRPr="00112D14">
        <w:t xml:space="preserve">Letham, DB 1995, </w:t>
      </w:r>
      <w:r w:rsidRPr="00112D14">
        <w:rPr>
          <w:i/>
        </w:rPr>
        <w:t>Host-pathogen index of plant diseases in New South Wales</w:t>
      </w:r>
      <w:r w:rsidRPr="00112D14">
        <w:t>, New South Wales Agriculture, Rydalmere.</w:t>
      </w:r>
      <w:bookmarkEnd w:id="1016"/>
    </w:p>
    <w:p w14:paraId="7F684C03" w14:textId="77777777" w:rsidR="003438A2" w:rsidRPr="00112D14" w:rsidRDefault="003438A2" w:rsidP="00112D14">
      <w:pPr>
        <w:pStyle w:val="EndNoteBibliography"/>
        <w:spacing w:after="0"/>
      </w:pPr>
      <w:bookmarkStart w:id="1017" w:name="_ENREF_450"/>
      <w:r w:rsidRPr="00112D14">
        <w:t xml:space="preserve">Linn Jr, CE, Yee, WL, Sim, SB, Cha, DH, Powell, THQ, Goughnour, RB &amp; Feder, JL 2012, ‘Behavioral evidence for fruit odor discrimination and sympatric host races of </w:t>
      </w:r>
      <w:r w:rsidRPr="00112D14">
        <w:rPr>
          <w:i/>
        </w:rPr>
        <w:t>Rhagoletis pomonella</w:t>
      </w:r>
      <w:r w:rsidRPr="00112D14">
        <w:t xml:space="preserve"> flies in the Western United States’, </w:t>
      </w:r>
      <w:r w:rsidRPr="00112D14">
        <w:rPr>
          <w:i/>
        </w:rPr>
        <w:t>Evolution</w:t>
      </w:r>
      <w:r w:rsidRPr="00112D14">
        <w:t>, vol. 66, no. 11, pp. 3632-41.</w:t>
      </w:r>
      <w:bookmarkEnd w:id="1017"/>
    </w:p>
    <w:p w14:paraId="5F390DDE" w14:textId="77777777" w:rsidR="003438A2" w:rsidRPr="00112D14" w:rsidRDefault="003438A2" w:rsidP="00112D14">
      <w:pPr>
        <w:pStyle w:val="EndNoteBibliography"/>
        <w:spacing w:after="0"/>
      </w:pPr>
      <w:bookmarkStart w:id="1018" w:name="_ENREF_451"/>
      <w:r w:rsidRPr="00112D14">
        <w:t xml:space="preserve">Liu, Q &amp; Xiao, CL 2005, ‘Influence of nutrient and environmental factors on conidial germination of </w:t>
      </w:r>
      <w:r w:rsidRPr="00112D14">
        <w:rPr>
          <w:i/>
        </w:rPr>
        <w:t>Potebniamyces pyri</w:t>
      </w:r>
      <w:r w:rsidRPr="00112D14">
        <w:t xml:space="preserve">’, </w:t>
      </w:r>
      <w:r w:rsidRPr="00112D14">
        <w:rPr>
          <w:i/>
        </w:rPr>
        <w:t>Phytopathology</w:t>
      </w:r>
      <w:r w:rsidRPr="00112D14">
        <w:t>, vol. 95, pp. 572-80.</w:t>
      </w:r>
      <w:bookmarkEnd w:id="1018"/>
    </w:p>
    <w:p w14:paraId="2AD5E460" w14:textId="77777777" w:rsidR="003438A2" w:rsidRPr="00112D14" w:rsidRDefault="003438A2" w:rsidP="00112D14">
      <w:pPr>
        <w:pStyle w:val="EndNoteBibliography"/>
        <w:spacing w:after="0"/>
      </w:pPr>
      <w:bookmarkStart w:id="1019" w:name="_ENREF_452"/>
      <w:r w:rsidRPr="00112D14">
        <w:t>Lo, P</w:t>
      </w:r>
      <w:r>
        <w:t>L</w:t>
      </w:r>
      <w:r w:rsidRPr="00112D14">
        <w:t xml:space="preserve"> &amp; Walker, J</w:t>
      </w:r>
      <w:r>
        <w:t>TS</w:t>
      </w:r>
      <w:r w:rsidRPr="00112D14">
        <w:t xml:space="preserve"> 2017, ‘Annual and regional variability in adult </w:t>
      </w:r>
      <w:r w:rsidRPr="00112D14">
        <w:rPr>
          <w:i/>
        </w:rPr>
        <w:t>Dasineura mali</w:t>
      </w:r>
      <w:r w:rsidRPr="00112D14">
        <w:t xml:space="preserve"> (apple leafcurling midge) emergence in New Zealand’, </w:t>
      </w:r>
      <w:r w:rsidRPr="00112D14">
        <w:rPr>
          <w:i/>
        </w:rPr>
        <w:t>New Zealand Plant Protection</w:t>
      </w:r>
      <w:r w:rsidRPr="00112D14">
        <w:t>, vol. 70, pp. 131-6.</w:t>
      </w:r>
      <w:bookmarkEnd w:id="1019"/>
    </w:p>
    <w:p w14:paraId="6AA711D6" w14:textId="77777777" w:rsidR="003438A2" w:rsidRPr="00112D14" w:rsidRDefault="003438A2" w:rsidP="00112D14">
      <w:pPr>
        <w:pStyle w:val="EndNoteBibliography"/>
        <w:spacing w:after="0"/>
      </w:pPr>
      <w:bookmarkStart w:id="1020" w:name="_ENREF_453"/>
      <w:r w:rsidRPr="00112D14">
        <w:t xml:space="preserve">Lo, PL, Walker, JTS &amp; Suckling, DM 2015, ‘Prospects for the control of apple leaf midge </w:t>
      </w:r>
      <w:r w:rsidRPr="00112D14">
        <w:rPr>
          <w:i/>
        </w:rPr>
        <w:t>Dasineura mali</w:t>
      </w:r>
      <w:r w:rsidRPr="00112D14">
        <w:t xml:space="preserve"> (Diptera: Cecidomyiidae) by mass trapping with pheromone lures’, </w:t>
      </w:r>
      <w:r w:rsidRPr="00112D14">
        <w:rPr>
          <w:i/>
        </w:rPr>
        <w:t>Pest Management Science</w:t>
      </w:r>
      <w:r w:rsidRPr="00112D14">
        <w:t>, vol. 71, no. 7, pp. 907-13. (Abstract only)</w:t>
      </w:r>
      <w:bookmarkEnd w:id="1020"/>
    </w:p>
    <w:p w14:paraId="26642C37" w14:textId="77777777" w:rsidR="003438A2" w:rsidRPr="00112D14" w:rsidRDefault="003438A2" w:rsidP="00112D14">
      <w:pPr>
        <w:pStyle w:val="EndNoteBibliography"/>
        <w:spacing w:after="0"/>
      </w:pPr>
      <w:bookmarkStart w:id="1021" w:name="_ENREF_454"/>
      <w:r w:rsidRPr="00112D14">
        <w:t xml:space="preserve">Loggers, C &amp; Shepard, J 2010, </w:t>
      </w:r>
      <w:r w:rsidRPr="00112D14">
        <w:rPr>
          <w:i/>
        </w:rPr>
        <w:t>Surveys for Lepidopterans on the west side of the Colville National Forest Northeast Washington Summer 2010 ISSSP Project</w:t>
      </w:r>
      <w:r w:rsidRPr="00112D14">
        <w:t>.</w:t>
      </w:r>
      <w:bookmarkEnd w:id="1021"/>
    </w:p>
    <w:p w14:paraId="6C00FBEA" w14:textId="77777777" w:rsidR="003438A2" w:rsidRPr="00112D14" w:rsidRDefault="003438A2" w:rsidP="00112D14">
      <w:pPr>
        <w:pStyle w:val="EndNoteBibliography"/>
        <w:spacing w:after="0"/>
      </w:pPr>
      <w:bookmarkStart w:id="1022" w:name="_ENREF_455"/>
      <w:r w:rsidRPr="00112D14">
        <w:t xml:space="preserve">Lommel, SA, Martelli, GP, Rubino, L &amp; Russo, M 2005, ‘Family Tombusviridae’, in </w:t>
      </w:r>
      <w:r w:rsidRPr="00112D14">
        <w:rPr>
          <w:i/>
        </w:rPr>
        <w:t>Virus taxonomy classification and nomenclature: eighth report of the International Committee on Taxonomy of Viruses</w:t>
      </w:r>
      <w:r w:rsidRPr="00112D14">
        <w:t>, Fauquet, CM, Mayo, MA, Maniloff, J, Desselberger, U &amp; Ball, LA (eds), Elsevier Academic Press, San Diego.</w:t>
      </w:r>
      <w:bookmarkEnd w:id="1022"/>
    </w:p>
    <w:p w14:paraId="7CCD3A36" w14:textId="77777777" w:rsidR="003438A2" w:rsidRPr="00112D14" w:rsidRDefault="003438A2" w:rsidP="00112D14">
      <w:pPr>
        <w:pStyle w:val="EndNoteBibliography"/>
        <w:spacing w:after="0"/>
      </w:pPr>
      <w:bookmarkStart w:id="1023" w:name="_ENREF_456"/>
      <w:r w:rsidRPr="00112D14">
        <w:t xml:space="preserve">Looney, C &amp; LaGasa, E 2013, </w:t>
      </w:r>
      <w:r w:rsidRPr="00112D14">
        <w:rPr>
          <w:i/>
        </w:rPr>
        <w:t>New sawfly species detected in Washington State results from (mostly) the 21</w:t>
      </w:r>
      <w:r w:rsidRPr="00112D14">
        <w:rPr>
          <w:i/>
          <w:vertAlign w:val="superscript"/>
        </w:rPr>
        <w:t>st</w:t>
      </w:r>
      <w:r w:rsidRPr="00112D14">
        <w:rPr>
          <w:i/>
        </w:rPr>
        <w:t xml:space="preserve"> century</w:t>
      </w:r>
      <w:r w:rsidRPr="00112D14">
        <w:t>, Section I: Invasive and emerging pests, Washington State Department of Agriculture, Washington.</w:t>
      </w:r>
      <w:bookmarkEnd w:id="1023"/>
    </w:p>
    <w:p w14:paraId="683F33B5" w14:textId="77777777" w:rsidR="003438A2" w:rsidRPr="00112D14" w:rsidRDefault="003438A2" w:rsidP="00112D14">
      <w:pPr>
        <w:pStyle w:val="EndNoteBibliography"/>
        <w:spacing w:after="0"/>
      </w:pPr>
      <w:bookmarkStart w:id="1024" w:name="_ENREF_457"/>
      <w:r w:rsidRPr="00112D14">
        <w:t xml:space="preserve">Lowery, DT, Smirle, MJ, Foottit, RG &amp; Beers, EH 2006, ‘Susceptibilities of apple aphid and spirea aphid collected from apple in the Pacific northwest to selected insecticides’, </w:t>
      </w:r>
      <w:r w:rsidRPr="00112D14">
        <w:rPr>
          <w:i/>
        </w:rPr>
        <w:t>Journal of Economic Entomology</w:t>
      </w:r>
      <w:r w:rsidRPr="00112D14">
        <w:t>, vol. 99, no. 4, pp. 1369-74.</w:t>
      </w:r>
      <w:bookmarkEnd w:id="1024"/>
    </w:p>
    <w:p w14:paraId="5BAF9DF7" w14:textId="77777777" w:rsidR="003438A2" w:rsidRPr="00112D14" w:rsidRDefault="003438A2" w:rsidP="00112D14">
      <w:pPr>
        <w:pStyle w:val="EndNoteBibliography"/>
        <w:spacing w:after="0"/>
      </w:pPr>
      <w:bookmarkStart w:id="1025" w:name="_ENREF_458"/>
      <w:r w:rsidRPr="00112D14">
        <w:t xml:space="preserve">Maas Geesteranus, HP &amp; de Vries, PM 1984, ‘Survival of </w:t>
      </w:r>
      <w:r w:rsidRPr="00112D14">
        <w:rPr>
          <w:i/>
        </w:rPr>
        <w:t>Erwinia amylovora</w:t>
      </w:r>
      <w:r w:rsidRPr="00112D14">
        <w:t xml:space="preserve"> bacteria on plant surfaces and their role in epidemiology’, </w:t>
      </w:r>
      <w:r w:rsidRPr="00112D14">
        <w:rPr>
          <w:i/>
        </w:rPr>
        <w:t>Acta Horticulturae (ISHS)</w:t>
      </w:r>
      <w:r w:rsidRPr="00112D14">
        <w:t>, vol. 151, pp. 55-61.</w:t>
      </w:r>
      <w:bookmarkEnd w:id="1025"/>
    </w:p>
    <w:p w14:paraId="7B4BE631" w14:textId="77777777" w:rsidR="003438A2" w:rsidRPr="00112D14" w:rsidRDefault="003438A2" w:rsidP="00112D14">
      <w:pPr>
        <w:pStyle w:val="EndNoteBibliography"/>
        <w:spacing w:after="0"/>
      </w:pPr>
      <w:bookmarkStart w:id="1026" w:name="_ENREF_459"/>
      <w:r w:rsidRPr="00112D14">
        <w:t xml:space="preserve">Maccarone, LD, Sivasithamparam, K, Barbetti, MJ &amp; Jones, RAC 2008, ‘Phylogenetic analysis of </w:t>
      </w:r>
      <w:r w:rsidRPr="00112D14">
        <w:rPr>
          <w:i/>
        </w:rPr>
        <w:t>Olpidium virulentus,</w:t>
      </w:r>
      <w:r w:rsidRPr="00112D14">
        <w:t xml:space="preserve"> </w:t>
      </w:r>
      <w:r w:rsidRPr="00112D14">
        <w:rPr>
          <w:i/>
        </w:rPr>
        <w:t>Lettuce big-vein associated virus</w:t>
      </w:r>
      <w:r w:rsidRPr="00112D14">
        <w:t xml:space="preserve"> and </w:t>
      </w:r>
      <w:r w:rsidRPr="00112D14">
        <w:rPr>
          <w:i/>
        </w:rPr>
        <w:t>Mirafiori lettuce big-vein virus</w:t>
      </w:r>
      <w:r w:rsidRPr="00112D14">
        <w:t xml:space="preserve"> isolates from Western Australia’, </w:t>
      </w:r>
      <w:r w:rsidRPr="00112D14">
        <w:rPr>
          <w:i/>
        </w:rPr>
        <w:t>Plant Health Research Symposium 2008, 24 October 2008</w:t>
      </w:r>
      <w:r w:rsidRPr="00112D14">
        <w:t>, Australian Plant Pathology Society, Western Australia, pp. 1-6.</w:t>
      </w:r>
      <w:bookmarkEnd w:id="1026"/>
    </w:p>
    <w:p w14:paraId="29CAE15C" w14:textId="77777777" w:rsidR="003438A2" w:rsidRPr="00112D14" w:rsidRDefault="003438A2" w:rsidP="00112D14">
      <w:pPr>
        <w:pStyle w:val="EndNoteBibliography"/>
        <w:spacing w:after="0"/>
      </w:pPr>
      <w:bookmarkStart w:id="1027" w:name="_ENREF_460"/>
      <w:r w:rsidRPr="00112D14">
        <w:t xml:space="preserve">MacNay, CG 1953, ‘Summary of important insect infestations, occurrences, and damage in Canada in 1953’, </w:t>
      </w:r>
      <w:r w:rsidRPr="00112D14">
        <w:rPr>
          <w:i/>
        </w:rPr>
        <w:t>Annual Report of the Entomological Society of Ontario</w:t>
      </w:r>
      <w:r w:rsidRPr="00112D14">
        <w:t>, vol. 84, pp. 118-50.</w:t>
      </w:r>
      <w:bookmarkEnd w:id="1027"/>
    </w:p>
    <w:p w14:paraId="67344E20" w14:textId="77777777" w:rsidR="003438A2" w:rsidRPr="00112D14" w:rsidRDefault="003438A2" w:rsidP="00112D14">
      <w:pPr>
        <w:pStyle w:val="EndNoteBibliography"/>
        <w:spacing w:after="0"/>
      </w:pPr>
      <w:bookmarkStart w:id="1028" w:name="_ENREF_461"/>
      <w:r w:rsidRPr="00112D14">
        <w:t xml:space="preserve">MAF Biosecurity New Zealand 1999, </w:t>
      </w:r>
      <w:r w:rsidRPr="00112D14">
        <w:rPr>
          <w:i/>
        </w:rPr>
        <w:t>Import health standard commodity sub-class: fresh fruit/vegetables, pear, Pyrus communis from the United States of America: State of Oregon</w:t>
      </w:r>
      <w:r w:rsidRPr="00112D14">
        <w:t>, Ministry of Agriculture and Forestry, Wellington.</w:t>
      </w:r>
      <w:bookmarkEnd w:id="1028"/>
    </w:p>
    <w:p w14:paraId="5CA61B4F" w14:textId="77777777" w:rsidR="003438A2" w:rsidRPr="00112D14" w:rsidRDefault="003438A2" w:rsidP="00112D14">
      <w:pPr>
        <w:pStyle w:val="EndNoteBibliography"/>
        <w:spacing w:after="0"/>
      </w:pPr>
      <w:bookmarkStart w:id="1029" w:name="_ENREF_462"/>
      <w:r w:rsidRPr="00112D14">
        <w:t xml:space="preserve">-- -- 2000, </w:t>
      </w:r>
      <w:r w:rsidRPr="00112D14">
        <w:rPr>
          <w:i/>
        </w:rPr>
        <w:t>The list of organisms recorded in New Zealand associated with apple fruit (Malus sylvestris var. domestica) as categorised by Australia</w:t>
      </w:r>
      <w:r w:rsidRPr="00112D14">
        <w:t>, Ministry of Agriculture and Forestry, Wellington.</w:t>
      </w:r>
      <w:bookmarkEnd w:id="1029"/>
    </w:p>
    <w:p w14:paraId="6B727EF0" w14:textId="6315FFE9" w:rsidR="003438A2" w:rsidRPr="00112D14" w:rsidRDefault="003438A2" w:rsidP="00112D14">
      <w:pPr>
        <w:pStyle w:val="EndNoteBibliography"/>
        <w:spacing w:after="0"/>
      </w:pPr>
      <w:bookmarkStart w:id="1030" w:name="_ENREF_463"/>
      <w:r w:rsidRPr="00112D14">
        <w:t xml:space="preserve">MAFRI 2008, </w:t>
      </w:r>
      <w:r w:rsidRPr="00112D14">
        <w:rPr>
          <w:i/>
        </w:rPr>
        <w:t>Apple curculio (Anthonomus quadrigibbus)</w:t>
      </w:r>
      <w:r w:rsidRPr="00112D14">
        <w:t>, Manitoba Agriculture Food and Rural Initiatives, available at</w:t>
      </w:r>
      <w:r w:rsidR="002B62E3">
        <w:t>,</w:t>
      </w:r>
      <w:r w:rsidRPr="00112D14">
        <w:t xml:space="preserve"> </w:t>
      </w:r>
      <w:hyperlink r:id="rId247" w:history="1">
        <w:r w:rsidR="008A02EF" w:rsidRPr="009E4A79">
          <w:rPr>
            <w:rStyle w:val="Hyperlink"/>
          </w:rPr>
          <w:t>https://www.gov.mb.ca/agriculture/crops/insects/print,apple-curculio.html</w:t>
        </w:r>
      </w:hyperlink>
      <w:r w:rsidRPr="00112D14">
        <w:t>.</w:t>
      </w:r>
      <w:bookmarkEnd w:id="1030"/>
    </w:p>
    <w:p w14:paraId="227CA3D7" w14:textId="77777777" w:rsidR="003438A2" w:rsidRPr="00112D14" w:rsidRDefault="003438A2" w:rsidP="00112D14">
      <w:pPr>
        <w:pStyle w:val="EndNoteBibliography"/>
        <w:spacing w:after="0"/>
      </w:pPr>
      <w:bookmarkStart w:id="1031" w:name="_ENREF_464"/>
      <w:r w:rsidRPr="00112D14">
        <w:t xml:space="preserve">Maier, CT 2003, ‘Distributon, hosts, abundance, and seasonal flight of the exotic leafroller </w:t>
      </w:r>
      <w:r w:rsidRPr="00112D14">
        <w:rPr>
          <w:i/>
        </w:rPr>
        <w:t xml:space="preserve">Archips fuscocupreanus </w:t>
      </w:r>
      <w:r w:rsidRPr="00112D14">
        <w:t xml:space="preserve">Walsingham (Lepidoptera: Tortricidae) in the Northeastern United States’, </w:t>
      </w:r>
      <w:r w:rsidRPr="00112D14">
        <w:rPr>
          <w:i/>
        </w:rPr>
        <w:t>Annals of Entomological Society of America</w:t>
      </w:r>
      <w:r w:rsidRPr="00112D14">
        <w:t>, vol. 96, no. 5, pp. 660-6.</w:t>
      </w:r>
      <w:bookmarkEnd w:id="1031"/>
    </w:p>
    <w:p w14:paraId="22A64341" w14:textId="5E077246" w:rsidR="003438A2" w:rsidRPr="00112D14" w:rsidRDefault="003438A2" w:rsidP="00112D14">
      <w:pPr>
        <w:pStyle w:val="EndNoteBibliography"/>
        <w:spacing w:after="0"/>
      </w:pPr>
      <w:bookmarkStart w:id="1032" w:name="_ENREF_465"/>
      <w:r w:rsidRPr="00112D14">
        <w:t xml:space="preserve">-- -- 2007a, </w:t>
      </w:r>
      <w:r w:rsidRPr="00112D14">
        <w:rPr>
          <w:i/>
        </w:rPr>
        <w:t>Apple Tortrix: Archips fuscocupreanus</w:t>
      </w:r>
      <w:r w:rsidRPr="00112D14">
        <w:t>, The Connecticut Agricultural Experiment Station, available at</w:t>
      </w:r>
      <w:r w:rsidR="002B62E3">
        <w:t>,</w:t>
      </w:r>
      <w:r w:rsidRPr="00112D14">
        <w:t xml:space="preserve"> </w:t>
      </w:r>
      <w:hyperlink r:id="rId248" w:history="1">
        <w:r w:rsidR="008A02EF" w:rsidRPr="009E4A79">
          <w:rPr>
            <w:rStyle w:val="Hyperlink"/>
          </w:rPr>
          <w:t>http://www.ct.gov/caes/cwp/view.asp?a=2815&amp;Q=376728</w:t>
        </w:r>
      </w:hyperlink>
      <w:r w:rsidRPr="00112D14">
        <w:t>.</w:t>
      </w:r>
      <w:bookmarkEnd w:id="1032"/>
    </w:p>
    <w:p w14:paraId="5F6EC76A" w14:textId="5EB7BF18" w:rsidR="003438A2" w:rsidRPr="00112D14" w:rsidRDefault="003438A2" w:rsidP="00112D14">
      <w:pPr>
        <w:pStyle w:val="EndNoteBibliography"/>
        <w:spacing w:after="0"/>
      </w:pPr>
      <w:bookmarkStart w:id="1033" w:name="_ENREF_466"/>
      <w:r w:rsidRPr="00112D14">
        <w:t xml:space="preserve">-- -- 2007b, </w:t>
      </w:r>
      <w:r w:rsidRPr="00112D14">
        <w:rPr>
          <w:i/>
        </w:rPr>
        <w:t>Green pug: Chloroclystis rectangulata</w:t>
      </w:r>
      <w:r w:rsidRPr="00112D14">
        <w:t>, The Connecticut Agricultural Experiment Station, available at</w:t>
      </w:r>
      <w:r w:rsidR="002B62E3">
        <w:t>,</w:t>
      </w:r>
      <w:r w:rsidRPr="00112D14">
        <w:t xml:space="preserve"> </w:t>
      </w:r>
      <w:hyperlink r:id="rId249" w:history="1">
        <w:r w:rsidR="008A02EF" w:rsidRPr="009E4A79">
          <w:rPr>
            <w:rStyle w:val="Hyperlink"/>
          </w:rPr>
          <w:t>https://portal.ct.gov/CAES/Fact-Sheets/Entomology/Green-Pug</w:t>
        </w:r>
      </w:hyperlink>
      <w:r w:rsidRPr="00112D14">
        <w:t xml:space="preserve"> </w:t>
      </w:r>
      <w:bookmarkEnd w:id="1033"/>
    </w:p>
    <w:p w14:paraId="37E50D31" w14:textId="77777777" w:rsidR="003438A2" w:rsidRPr="00112D14" w:rsidRDefault="003438A2" w:rsidP="00112D14">
      <w:pPr>
        <w:pStyle w:val="EndNoteBibliography"/>
        <w:spacing w:after="0"/>
      </w:pPr>
      <w:bookmarkStart w:id="1034" w:name="_ENREF_467"/>
      <w:r w:rsidRPr="00112D14">
        <w:t xml:space="preserve">MAL 2006, </w:t>
      </w:r>
      <w:r w:rsidRPr="00112D14">
        <w:rPr>
          <w:i/>
        </w:rPr>
        <w:t>Apple curculio (Anthonomus quadrigibbus)</w:t>
      </w:r>
      <w:r w:rsidRPr="00112D14">
        <w:t>, Ministry of Agriculture and Lands, British Columbia.</w:t>
      </w:r>
      <w:bookmarkEnd w:id="1034"/>
    </w:p>
    <w:p w14:paraId="6937E8EA" w14:textId="77777777" w:rsidR="003438A2" w:rsidRPr="00112D14" w:rsidRDefault="003438A2" w:rsidP="00112D14">
      <w:pPr>
        <w:pStyle w:val="EndNoteBibliography"/>
        <w:spacing w:after="0"/>
      </w:pPr>
      <w:bookmarkStart w:id="1035" w:name="_ENREF_468"/>
      <w:r w:rsidRPr="00112D14">
        <w:t xml:space="preserve">-- -- 2007, </w:t>
      </w:r>
      <w:r w:rsidRPr="00112D14">
        <w:rPr>
          <w:i/>
        </w:rPr>
        <w:t>Anthracnose and perennial canker of apple</w:t>
      </w:r>
      <w:r w:rsidRPr="00112D14">
        <w:t>, Ministry of Agriculture and Lands, British Columbia.</w:t>
      </w:r>
      <w:bookmarkEnd w:id="1035"/>
    </w:p>
    <w:p w14:paraId="20EF4A3A" w14:textId="77777777" w:rsidR="003438A2" w:rsidRPr="00112D14" w:rsidRDefault="003438A2" w:rsidP="00112D14">
      <w:pPr>
        <w:pStyle w:val="EndNoteBibliography"/>
        <w:spacing w:after="0"/>
      </w:pPr>
      <w:bookmarkStart w:id="1036" w:name="_ENREF_469"/>
      <w:r w:rsidRPr="00112D14">
        <w:t xml:space="preserve">Malipatil, MB, Naumann, ID &amp; Williams, DG 1995, ‘First record of dock sawfly </w:t>
      </w:r>
      <w:r w:rsidRPr="00112D14">
        <w:rPr>
          <w:i/>
        </w:rPr>
        <w:t>Ametastegia glabrata</w:t>
      </w:r>
      <w:r w:rsidRPr="00112D14">
        <w:t xml:space="preserve"> (Fallen) in Australia (Hymenoptera: Tenthredinidae)’, </w:t>
      </w:r>
      <w:r w:rsidRPr="00112D14">
        <w:rPr>
          <w:i/>
        </w:rPr>
        <w:t>Journal of the Australian Entomological Society</w:t>
      </w:r>
      <w:r w:rsidRPr="00112D14">
        <w:t>, vol. 34, pp. 95-6.</w:t>
      </w:r>
      <w:bookmarkEnd w:id="1036"/>
    </w:p>
    <w:p w14:paraId="16FF5828" w14:textId="77777777" w:rsidR="003438A2" w:rsidRPr="00112D14" w:rsidRDefault="003438A2" w:rsidP="00112D14">
      <w:pPr>
        <w:pStyle w:val="EndNoteBibliography"/>
        <w:spacing w:after="0"/>
      </w:pPr>
      <w:bookmarkStart w:id="1037" w:name="_ENREF_470"/>
      <w:r w:rsidRPr="00112D14">
        <w:t xml:space="preserve">Manceau, C, Lalande, J, Lachaud, G, Chartier, R &amp; Paulin, J-P 1990, ‘Bacterial colonization of flowers and leaf surface of pear trees’, </w:t>
      </w:r>
      <w:r w:rsidRPr="00112D14">
        <w:rPr>
          <w:i/>
        </w:rPr>
        <w:t>Acta Horticulturae (ISHS)</w:t>
      </w:r>
      <w:r w:rsidRPr="00112D14">
        <w:t>, vol. 273, pp. 73-82.</w:t>
      </w:r>
      <w:bookmarkEnd w:id="1037"/>
    </w:p>
    <w:p w14:paraId="5CE5BC23" w14:textId="4A2AE97D" w:rsidR="003438A2" w:rsidRPr="00112D14" w:rsidRDefault="003438A2" w:rsidP="00112D14">
      <w:pPr>
        <w:pStyle w:val="EndNoteBibliography"/>
        <w:spacing w:after="0"/>
      </w:pPr>
      <w:bookmarkStart w:id="1038" w:name="_ENREF_471"/>
      <w:r w:rsidRPr="00112D14">
        <w:t xml:space="preserve">Manners, A 2016, </w:t>
      </w:r>
      <w:r w:rsidRPr="00112D14">
        <w:rPr>
          <w:i/>
        </w:rPr>
        <w:t>Scale insects: a difficult problem that can be managed</w:t>
      </w:r>
      <w:r w:rsidRPr="00112D14">
        <w:t>, Nursery levy at work: Nursery production Plant Health &amp; Biosecurity Project, Agriscience Queensland, Department of Agriculture and Fisheries, Brisbane, QLD., available at</w:t>
      </w:r>
      <w:r w:rsidR="002B62E3">
        <w:t>,</w:t>
      </w:r>
      <w:r w:rsidRPr="00112D14">
        <w:t xml:space="preserve"> </w:t>
      </w:r>
      <w:hyperlink r:id="rId250" w:history="1">
        <w:r w:rsidR="000A58D3" w:rsidRPr="009E4A79">
          <w:rPr>
            <w:rStyle w:val="Hyperlink"/>
          </w:rPr>
          <w:t>https://www.horticulture.com.au/globalassets/hort-innovation/resource-assets/ny15002-scale-insects-pest-mgmt-plan.pdf</w:t>
        </w:r>
      </w:hyperlink>
      <w:r w:rsidRPr="00112D14">
        <w:t>.</w:t>
      </w:r>
      <w:bookmarkEnd w:id="1038"/>
    </w:p>
    <w:p w14:paraId="746F8119" w14:textId="77777777" w:rsidR="003438A2" w:rsidRPr="00112D14" w:rsidRDefault="003438A2" w:rsidP="00112D14">
      <w:pPr>
        <w:pStyle w:val="EndNoteBibliography"/>
        <w:spacing w:after="0"/>
      </w:pPr>
      <w:bookmarkStart w:id="1039" w:name="_ENREF_472"/>
      <w:r w:rsidRPr="00112D14">
        <w:t xml:space="preserve">Marić, I, Marčić, D, Petanović, R &amp; Auger, P 2018, ‘Biodiversity of spider mites (Acari: Tetranychidae) in Serbia: a review, new records and key to all known species’, </w:t>
      </w:r>
      <w:r w:rsidRPr="00112D14">
        <w:rPr>
          <w:i/>
        </w:rPr>
        <w:t>Acarologia</w:t>
      </w:r>
      <w:r w:rsidRPr="00112D14">
        <w:t>, vol. 58, no. 1, pp. 3-14.</w:t>
      </w:r>
      <w:bookmarkEnd w:id="1039"/>
    </w:p>
    <w:p w14:paraId="74B89BFB" w14:textId="77777777" w:rsidR="003438A2" w:rsidRPr="00112D14" w:rsidRDefault="003438A2" w:rsidP="00112D14">
      <w:pPr>
        <w:pStyle w:val="EndNoteBibliography"/>
        <w:spacing w:after="0"/>
      </w:pPr>
      <w:bookmarkStart w:id="1040" w:name="_ENREF_473"/>
      <w:r w:rsidRPr="00112D14">
        <w:t xml:space="preserve">Martin, RR &amp; Tzanetakis, IE 2006, ‘Characterization and recent advances in detection of strawberry viruses’, </w:t>
      </w:r>
      <w:r w:rsidRPr="00112D14">
        <w:rPr>
          <w:i/>
        </w:rPr>
        <w:t>Plant Disease</w:t>
      </w:r>
      <w:r w:rsidRPr="00112D14">
        <w:t>, vol. 90, no. 4, pp. 384-96.</w:t>
      </w:r>
      <w:bookmarkEnd w:id="1040"/>
    </w:p>
    <w:p w14:paraId="6944EEC8" w14:textId="77777777" w:rsidR="003438A2" w:rsidRPr="00112D14" w:rsidRDefault="003438A2" w:rsidP="00112D14">
      <w:pPr>
        <w:pStyle w:val="EndNoteBibliography"/>
        <w:spacing w:after="0"/>
      </w:pPr>
      <w:bookmarkStart w:id="1041" w:name="_ENREF_474"/>
      <w:r w:rsidRPr="00112D14">
        <w:t xml:space="preserve">Mateo, E, Torija, MJ, Mas, A &amp; Bartowsky, EJ 2014, ‘Acetic acid bacteria isolated from grapes of South Australian vineyards’, </w:t>
      </w:r>
      <w:r w:rsidRPr="00112D14">
        <w:rPr>
          <w:i/>
        </w:rPr>
        <w:t>International Journal of Food Microbiology</w:t>
      </w:r>
      <w:r w:rsidRPr="00112D14">
        <w:t>, vol. 178, pp. 98-106.</w:t>
      </w:r>
      <w:bookmarkEnd w:id="1041"/>
    </w:p>
    <w:p w14:paraId="14895F93" w14:textId="77777777" w:rsidR="003438A2" w:rsidRPr="00112D14" w:rsidRDefault="003438A2" w:rsidP="00112D14">
      <w:pPr>
        <w:pStyle w:val="EndNoteBibliography"/>
        <w:spacing w:after="0"/>
      </w:pPr>
      <w:bookmarkStart w:id="1042" w:name="_ENREF_475"/>
      <w:r w:rsidRPr="00112D14">
        <w:t xml:space="preserve">Mattsson, M, Hood, GR, Feder, JL &amp; Ruedas, LA 2015, ‘Rapid and repeatable shifts in life-history timing of </w:t>
      </w:r>
      <w:r w:rsidRPr="00112D14">
        <w:rPr>
          <w:i/>
        </w:rPr>
        <w:t>Rhagoletis pomonella</w:t>
      </w:r>
      <w:r w:rsidRPr="00112D14">
        <w:t xml:space="preserve"> (Diptera: Tephritidae) following colonization of novel host plants in the Pacific Northwestern United States’, </w:t>
      </w:r>
      <w:r w:rsidRPr="00112D14">
        <w:rPr>
          <w:i/>
        </w:rPr>
        <w:t>Ecology and Evolution</w:t>
      </w:r>
      <w:r w:rsidRPr="00112D14">
        <w:t>, vol. 5, no. 24, pp. 5823-37.</w:t>
      </w:r>
      <w:bookmarkEnd w:id="1042"/>
    </w:p>
    <w:p w14:paraId="752459F9" w14:textId="068B4B49" w:rsidR="003438A2" w:rsidRPr="00112D14" w:rsidRDefault="003438A2" w:rsidP="00112D14">
      <w:pPr>
        <w:pStyle w:val="EndNoteBibliography"/>
        <w:spacing w:after="0"/>
      </w:pPr>
      <w:bookmarkStart w:id="1043" w:name="_ENREF_476"/>
      <w:r w:rsidRPr="00112D14">
        <w:t xml:space="preserve">Mau, RFL &amp; Martin Kessing, JL 2007, </w:t>
      </w:r>
      <w:r w:rsidRPr="00112D14">
        <w:rPr>
          <w:i/>
        </w:rPr>
        <w:t>Peridroma saucia (Hubner)</w:t>
      </w:r>
      <w:r w:rsidRPr="00112D14">
        <w:t>, Crop Knowledge Master, available at</w:t>
      </w:r>
      <w:r w:rsidR="002F4468">
        <w:t>,</w:t>
      </w:r>
      <w:r w:rsidRPr="00112D14">
        <w:t xml:space="preserve"> </w:t>
      </w:r>
      <w:hyperlink r:id="rId251" w:history="1">
        <w:r w:rsidR="000A58D3" w:rsidRPr="009E4A79">
          <w:rPr>
            <w:rStyle w:val="Hyperlink"/>
          </w:rPr>
          <w:t>http://www.extento.hawaii.edu/kbase/crop/Type/peridrom.htm</w:t>
        </w:r>
      </w:hyperlink>
      <w:r w:rsidR="000A58D3">
        <w:t>.</w:t>
      </w:r>
      <w:bookmarkEnd w:id="1043"/>
    </w:p>
    <w:p w14:paraId="0E9CA1EB" w14:textId="28D3E40C" w:rsidR="003438A2" w:rsidRPr="00112D14" w:rsidRDefault="003438A2" w:rsidP="00112D14">
      <w:pPr>
        <w:pStyle w:val="EndNoteBibliography"/>
        <w:spacing w:after="0"/>
      </w:pPr>
      <w:bookmarkStart w:id="1044" w:name="_ENREF_477"/>
      <w:r w:rsidRPr="00112D14">
        <w:t xml:space="preserve">Mazzei, M, Reggianti, D &amp; Pimpinelli, I 2008, </w:t>
      </w:r>
      <w:r w:rsidRPr="00112D14">
        <w:rPr>
          <w:i/>
        </w:rPr>
        <w:t>Graphiphora augur (Fabricius, 1775) double dart</w:t>
      </w:r>
      <w:r w:rsidRPr="00112D14">
        <w:t>, Moths and butterflies of Europe and North Africa, available at</w:t>
      </w:r>
      <w:r w:rsidR="002F4468">
        <w:t>,</w:t>
      </w:r>
      <w:r w:rsidRPr="00112D14">
        <w:t xml:space="preserve"> </w:t>
      </w:r>
      <w:hyperlink r:id="rId252" w:history="1">
        <w:r w:rsidR="000A58D3" w:rsidRPr="009E4A79">
          <w:rPr>
            <w:rStyle w:val="Hyperlink"/>
          </w:rPr>
          <w:t>http://www.leps.it/indexjs.htm?speciespages/graphAugur.htm</w:t>
        </w:r>
      </w:hyperlink>
      <w:r w:rsidRPr="00112D14">
        <w:t>.</w:t>
      </w:r>
      <w:bookmarkEnd w:id="1044"/>
    </w:p>
    <w:p w14:paraId="29FC5C9C" w14:textId="77777777" w:rsidR="003438A2" w:rsidRPr="00112D14" w:rsidRDefault="003438A2" w:rsidP="00112D14">
      <w:pPr>
        <w:pStyle w:val="EndNoteBibliography"/>
        <w:spacing w:after="0"/>
      </w:pPr>
      <w:bookmarkStart w:id="1045" w:name="_ENREF_478"/>
      <w:r w:rsidRPr="00112D14">
        <w:t xml:space="preserve">McCabe, TL 1980, </w:t>
      </w:r>
      <w:r w:rsidRPr="00112D14">
        <w:rPr>
          <w:i/>
        </w:rPr>
        <w:t>A reclassification of the Polia complex for North America (Lepidoptera: Noctuidae)</w:t>
      </w:r>
      <w:r w:rsidRPr="00112D14">
        <w:t>, New York State Museum, New York.</w:t>
      </w:r>
      <w:bookmarkEnd w:id="1045"/>
    </w:p>
    <w:p w14:paraId="517994E7" w14:textId="77777777" w:rsidR="003438A2" w:rsidRPr="00112D14" w:rsidRDefault="003438A2" w:rsidP="00112D14">
      <w:pPr>
        <w:pStyle w:val="EndNoteBibliography"/>
        <w:spacing w:after="0"/>
      </w:pPr>
      <w:bookmarkStart w:id="1046" w:name="_ENREF_479"/>
      <w:r w:rsidRPr="00112D14">
        <w:t xml:space="preserve">McCartney, WO 1967, ‘An unusual occurrence of eye rot of apple in California due to </w:t>
      </w:r>
      <w:r w:rsidRPr="00112D14">
        <w:rPr>
          <w:i/>
        </w:rPr>
        <w:t>Nectria galligena</w:t>
      </w:r>
      <w:r w:rsidRPr="00112D14">
        <w:t xml:space="preserve">’, </w:t>
      </w:r>
      <w:r w:rsidRPr="00112D14">
        <w:rPr>
          <w:i/>
        </w:rPr>
        <w:t>Plant Disease Reporter</w:t>
      </w:r>
      <w:r w:rsidRPr="00112D14">
        <w:t>, vol. 51, no. 4, pp. 278-81.</w:t>
      </w:r>
      <w:bookmarkEnd w:id="1046"/>
    </w:p>
    <w:p w14:paraId="40523FA7" w14:textId="77777777" w:rsidR="003438A2" w:rsidRPr="00112D14" w:rsidRDefault="003438A2" w:rsidP="00112D14">
      <w:pPr>
        <w:pStyle w:val="EndNoteBibliography"/>
        <w:spacing w:after="0"/>
      </w:pPr>
      <w:bookmarkStart w:id="1047" w:name="_ENREF_480"/>
      <w:r w:rsidRPr="00112D14">
        <w:t xml:space="preserve">McClintock, JA 1930, ‘The longevity of </w:t>
      </w:r>
      <w:r w:rsidRPr="00112D14">
        <w:rPr>
          <w:i/>
        </w:rPr>
        <w:t xml:space="preserve">Phyllosticta solitaria </w:t>
      </w:r>
      <w:r w:rsidRPr="00112D14">
        <w:t xml:space="preserve">on apple seedlings held in cold storage’, </w:t>
      </w:r>
      <w:r w:rsidRPr="00112D14">
        <w:rPr>
          <w:i/>
        </w:rPr>
        <w:t>Phytopathology</w:t>
      </w:r>
      <w:r w:rsidRPr="00112D14">
        <w:t>, vol. 20, pp. 841-3.</w:t>
      </w:r>
      <w:bookmarkEnd w:id="1047"/>
    </w:p>
    <w:p w14:paraId="2E60CC6D" w14:textId="77777777" w:rsidR="003438A2" w:rsidRPr="00112D14" w:rsidRDefault="003438A2" w:rsidP="00112D14">
      <w:pPr>
        <w:pStyle w:val="EndNoteBibliography"/>
        <w:spacing w:after="0"/>
      </w:pPr>
      <w:bookmarkStart w:id="1048" w:name="_ENREF_481"/>
      <w:r w:rsidRPr="00112D14">
        <w:t xml:space="preserve">McDonald, JR, Bale, JS &amp; Walters, KFA 1998, ‘Effect of temperature on development of the Western flower thrips, </w:t>
      </w:r>
      <w:r w:rsidRPr="00112D14">
        <w:rPr>
          <w:i/>
        </w:rPr>
        <w:t>Frankliniella occidentalis</w:t>
      </w:r>
      <w:r w:rsidRPr="00112D14">
        <w:t xml:space="preserve"> [Thysanoptera: Thripidae]’, </w:t>
      </w:r>
      <w:r w:rsidRPr="00112D14">
        <w:rPr>
          <w:i/>
        </w:rPr>
        <w:t>European Journal of Entomology</w:t>
      </w:r>
      <w:r w:rsidRPr="00112D14">
        <w:t>, vol. 95, pp. 301-6.</w:t>
      </w:r>
      <w:bookmarkEnd w:id="1048"/>
    </w:p>
    <w:p w14:paraId="528F3482" w14:textId="77777777" w:rsidR="003438A2" w:rsidRPr="00112D14" w:rsidRDefault="003438A2" w:rsidP="00112D14">
      <w:pPr>
        <w:pStyle w:val="EndNoteBibliography"/>
        <w:spacing w:after="0"/>
      </w:pPr>
      <w:bookmarkStart w:id="1049" w:name="_ENREF_482"/>
      <w:r w:rsidRPr="00112D14">
        <w:t xml:space="preserve">McDougall, S 2006, ‘Lettuce IPM’, </w:t>
      </w:r>
      <w:r w:rsidRPr="00112D14">
        <w:rPr>
          <w:i/>
        </w:rPr>
        <w:t>Primefacts: Profitable and Sustainable Primary Industries</w:t>
      </w:r>
      <w:r w:rsidRPr="00112D14">
        <w:t>, vol. 154, pp. 1-5.</w:t>
      </w:r>
      <w:bookmarkEnd w:id="1049"/>
    </w:p>
    <w:p w14:paraId="5ADE40EF" w14:textId="77777777" w:rsidR="003438A2" w:rsidRPr="00112D14" w:rsidRDefault="003438A2" w:rsidP="00112D14">
      <w:pPr>
        <w:pStyle w:val="EndNoteBibliography"/>
        <w:spacing w:after="0"/>
      </w:pPr>
      <w:bookmarkStart w:id="1050" w:name="_ENREF_483"/>
      <w:r w:rsidRPr="00112D14">
        <w:t xml:space="preserve">McKay, R 1947, ‘Observations on the development of apple canker’, </w:t>
      </w:r>
      <w:r w:rsidRPr="00112D14">
        <w:rPr>
          <w:i/>
        </w:rPr>
        <w:t>The Gardeners' Chronicle</w:t>
      </w:r>
      <w:r w:rsidRPr="00112D14">
        <w:t>, vol. 121, no. 3136, pp. 53-4.</w:t>
      </w:r>
      <w:bookmarkEnd w:id="1050"/>
    </w:p>
    <w:p w14:paraId="1B6DE545" w14:textId="77777777" w:rsidR="003438A2" w:rsidRPr="00112D14" w:rsidRDefault="003438A2" w:rsidP="00112D14">
      <w:pPr>
        <w:pStyle w:val="EndNoteBibliography"/>
        <w:spacing w:after="0"/>
      </w:pPr>
      <w:bookmarkStart w:id="1051" w:name="_ENREF_484"/>
      <w:r w:rsidRPr="00112D14">
        <w:t xml:space="preserve">McLean, GD &amp; Price, LK 1984, ‘Virus, viroid, mycoplasma and rickettsial diseases of plants in Western Australia’, </w:t>
      </w:r>
      <w:r w:rsidRPr="00112D14">
        <w:rPr>
          <w:i/>
        </w:rPr>
        <w:t>Western Australia Department of Agriculture Technical Bulletin</w:t>
      </w:r>
      <w:r w:rsidRPr="00112D14">
        <w:t>, vol. 68, pp. 1-22.</w:t>
      </w:r>
      <w:bookmarkEnd w:id="1051"/>
    </w:p>
    <w:p w14:paraId="620156BD" w14:textId="77777777" w:rsidR="003438A2" w:rsidRPr="00112D14" w:rsidRDefault="003438A2" w:rsidP="00112D14">
      <w:pPr>
        <w:pStyle w:val="EndNoteBibliography"/>
        <w:spacing w:after="0"/>
      </w:pPr>
      <w:bookmarkStart w:id="1052" w:name="_ENREF_485"/>
      <w:r w:rsidRPr="00112D14">
        <w:t xml:space="preserve">McPheron, BA, Smith, DC &amp; Berlocher, SH 1988, ‘Microgeographic genetic variation in the apple maggot </w:t>
      </w:r>
      <w:r w:rsidRPr="00112D14">
        <w:rPr>
          <w:i/>
        </w:rPr>
        <w:t>Rhagoletis pornonella</w:t>
      </w:r>
      <w:r w:rsidRPr="00112D14">
        <w:t xml:space="preserve">’, </w:t>
      </w:r>
      <w:r w:rsidRPr="00112D14">
        <w:rPr>
          <w:i/>
        </w:rPr>
        <w:t>Genetics</w:t>
      </w:r>
      <w:r w:rsidRPr="00112D14">
        <w:t>, vol. 119, pp. 445-51.</w:t>
      </w:r>
      <w:bookmarkEnd w:id="1052"/>
    </w:p>
    <w:p w14:paraId="68698638" w14:textId="77777777" w:rsidR="003438A2" w:rsidRPr="00112D14" w:rsidRDefault="003438A2" w:rsidP="00112D14">
      <w:pPr>
        <w:pStyle w:val="EndNoteBibliography"/>
        <w:spacing w:after="0"/>
      </w:pPr>
      <w:bookmarkStart w:id="1053" w:name="_ENREF_486"/>
      <w:r w:rsidRPr="00112D14">
        <w:t xml:space="preserve">McPherson, JE &amp; McPherson, RM 2000, </w:t>
      </w:r>
      <w:r w:rsidRPr="00112D14">
        <w:rPr>
          <w:i/>
        </w:rPr>
        <w:t>Stink bugs of economic importance in America north of Mexico</w:t>
      </w:r>
      <w:r w:rsidRPr="00112D14">
        <w:t>, Cooperative Research Centre Press, Boca Raton.</w:t>
      </w:r>
      <w:bookmarkEnd w:id="1053"/>
    </w:p>
    <w:p w14:paraId="334F1253" w14:textId="500550E8" w:rsidR="003438A2" w:rsidRPr="00112D14" w:rsidRDefault="003438A2" w:rsidP="00112D14">
      <w:pPr>
        <w:pStyle w:val="EndNoteBibliography"/>
        <w:spacing w:after="0"/>
      </w:pPr>
      <w:bookmarkStart w:id="1054" w:name="_ENREF_487"/>
      <w:r w:rsidRPr="00112D14">
        <w:t xml:space="preserve">Meeker, JR 2020, ‘Forest tent caterpillar, </w:t>
      </w:r>
      <w:r w:rsidRPr="00112D14">
        <w:rPr>
          <w:i/>
        </w:rPr>
        <w:t>Malacosoma disstria</w:t>
      </w:r>
      <w:r w:rsidRPr="00112D14">
        <w:t xml:space="preserve"> Hübner’, </w:t>
      </w:r>
      <w:r w:rsidRPr="00112D14">
        <w:rPr>
          <w:i/>
        </w:rPr>
        <w:t>Featured creatures</w:t>
      </w:r>
      <w:r w:rsidRPr="00112D14">
        <w:t>, available at</w:t>
      </w:r>
      <w:r w:rsidR="002E6CF2">
        <w:t>,</w:t>
      </w:r>
      <w:r w:rsidRPr="00112D14">
        <w:t xml:space="preserve"> </w:t>
      </w:r>
      <w:hyperlink r:id="rId253" w:history="1">
        <w:r w:rsidR="000A58D3" w:rsidRPr="009E4A79">
          <w:rPr>
            <w:rStyle w:val="Hyperlink"/>
          </w:rPr>
          <w:t>https://entnemdept.ufl.edu/creatures/trees/forest_tent_caterpillar.htm</w:t>
        </w:r>
      </w:hyperlink>
      <w:r w:rsidRPr="00112D14">
        <w:t xml:space="preserve"> </w:t>
      </w:r>
      <w:bookmarkEnd w:id="1054"/>
    </w:p>
    <w:p w14:paraId="7B7EB6EA" w14:textId="77777777" w:rsidR="003438A2" w:rsidRPr="00112D14" w:rsidRDefault="003438A2" w:rsidP="00112D14">
      <w:pPr>
        <w:pStyle w:val="EndNoteBibliography"/>
        <w:spacing w:after="0"/>
      </w:pPr>
      <w:bookmarkStart w:id="1055" w:name="_ENREF_488"/>
      <w:r w:rsidRPr="00112D14">
        <w:t xml:space="preserve">Meheriuk, M &amp; McPhee, WJ 1984, </w:t>
      </w:r>
      <w:r w:rsidRPr="00112D14">
        <w:rPr>
          <w:i/>
        </w:rPr>
        <w:t>Postharvest handling of pome fruits, soft fruits, and grapes</w:t>
      </w:r>
      <w:r w:rsidRPr="00112D14">
        <w:t>, Agriculture Canada, Ottawa.</w:t>
      </w:r>
      <w:bookmarkEnd w:id="1055"/>
    </w:p>
    <w:p w14:paraId="473C3B20" w14:textId="77777777" w:rsidR="003438A2" w:rsidRPr="00112D14" w:rsidRDefault="003438A2" w:rsidP="00112D14">
      <w:pPr>
        <w:pStyle w:val="EndNoteBibliography"/>
        <w:spacing w:after="0"/>
      </w:pPr>
      <w:bookmarkStart w:id="1056" w:name="_ENREF_489"/>
      <w:r w:rsidRPr="00112D14">
        <w:t xml:space="preserve">Meijerman, L &amp; Ulenberg, SA 2000, </w:t>
      </w:r>
      <w:r w:rsidRPr="00112D14">
        <w:rPr>
          <w:i/>
        </w:rPr>
        <w:t>Arthropods of economic importance - Eurasian Tortricidae</w:t>
      </w:r>
      <w:r>
        <w:rPr>
          <w:i/>
        </w:rPr>
        <w:t>.</w:t>
      </w:r>
      <w:bookmarkEnd w:id="1056"/>
    </w:p>
    <w:p w14:paraId="6CB507E0" w14:textId="28448A7C" w:rsidR="003438A2" w:rsidRPr="00112D14" w:rsidRDefault="003438A2" w:rsidP="00112D14">
      <w:pPr>
        <w:pStyle w:val="EndNoteBibliography"/>
        <w:spacing w:after="0"/>
      </w:pPr>
      <w:bookmarkStart w:id="1057" w:name="_ENREF_490"/>
      <w:r w:rsidRPr="00112D14">
        <w:t xml:space="preserve">Mellott, J 2021, </w:t>
      </w:r>
      <w:r w:rsidRPr="00112D14">
        <w:rPr>
          <w:i/>
        </w:rPr>
        <w:t>Field Characteristics of Fruit-Tree-Attacking Spider Mites in the Pacific Northwest</w:t>
      </w:r>
      <w:r w:rsidRPr="00112D14">
        <w:t xml:space="preserve">, Pacific Northwest Handbooks, </w:t>
      </w:r>
      <w:r w:rsidR="002E6CF2">
        <w:t xml:space="preserve">available at, </w:t>
      </w:r>
      <w:hyperlink r:id="rId254" w:history="1">
        <w:r w:rsidR="000D4090" w:rsidRPr="00847402">
          <w:rPr>
            <w:rStyle w:val="Hyperlink"/>
          </w:rPr>
          <w:t>https://pnwhandbooks.org/sites/pnwhandbooks/files/insect/chapterpdf/tree-fruit.pdf</w:t>
        </w:r>
      </w:hyperlink>
      <w:r w:rsidRPr="00112D14">
        <w:t>.</w:t>
      </w:r>
      <w:bookmarkEnd w:id="1057"/>
    </w:p>
    <w:p w14:paraId="77FC00A0" w14:textId="77777777" w:rsidR="003438A2" w:rsidRPr="00112D14" w:rsidRDefault="003438A2" w:rsidP="00112D14">
      <w:pPr>
        <w:pStyle w:val="EndNoteBibliography"/>
        <w:spacing w:after="0"/>
      </w:pPr>
      <w:bookmarkStart w:id="1058" w:name="_ENREF_491"/>
      <w:r w:rsidRPr="00112D14">
        <w:t>Men, QL, Chen, MH, Zhang, YL &amp; Feng, JN 2013, ‘Genetic structure and diversity of a newly invasive species, the codling moth,</w:t>
      </w:r>
      <w:r w:rsidRPr="00112D14">
        <w:rPr>
          <w:i/>
        </w:rPr>
        <w:t xml:space="preserve"> Cydia pomonella</w:t>
      </w:r>
      <w:r w:rsidRPr="00112D14">
        <w:t xml:space="preserve"> (L.) (Lepidoptera: Tortricidae) in China’, </w:t>
      </w:r>
      <w:r w:rsidRPr="00112D14">
        <w:rPr>
          <w:i/>
        </w:rPr>
        <w:t>Biological Invasions</w:t>
      </w:r>
      <w:r w:rsidRPr="00112D14">
        <w:t>, vol. 15, no. 2, pp. 447-58.</w:t>
      </w:r>
      <w:bookmarkEnd w:id="1058"/>
    </w:p>
    <w:p w14:paraId="19B0FBD4" w14:textId="77777777" w:rsidR="003438A2" w:rsidRPr="00112D14" w:rsidRDefault="003438A2" w:rsidP="00112D14">
      <w:pPr>
        <w:pStyle w:val="EndNoteBibliography"/>
        <w:spacing w:after="0"/>
      </w:pPr>
      <w:bookmarkStart w:id="1059" w:name="_ENREF_492"/>
      <w:r w:rsidRPr="00112D14">
        <w:t xml:space="preserve">Menon, MGR, Ghai, S &amp; Katiyar, KN 1971, ‘Two new records of false spider mites from India (Acarina: Tenuipalpidae)’, </w:t>
      </w:r>
      <w:r w:rsidRPr="00112D14">
        <w:rPr>
          <w:i/>
        </w:rPr>
        <w:t>The Indian Journal of Entomology</w:t>
      </w:r>
      <w:r w:rsidRPr="00112D14">
        <w:t>, vol. 33, no. 4, pp. 469-70.</w:t>
      </w:r>
      <w:bookmarkEnd w:id="1059"/>
    </w:p>
    <w:p w14:paraId="35B9B7AD" w14:textId="07981DA3" w:rsidR="003438A2" w:rsidRPr="00112D14" w:rsidRDefault="003438A2" w:rsidP="00112D14">
      <w:pPr>
        <w:pStyle w:val="EndNoteBibliography"/>
        <w:spacing w:after="0"/>
      </w:pPr>
      <w:bookmarkStart w:id="1060" w:name="_ENREF_493"/>
      <w:r w:rsidRPr="00112D14">
        <w:t xml:space="preserve">Meristem Land and Science 2002, </w:t>
      </w:r>
      <w:r w:rsidRPr="00112D14">
        <w:rPr>
          <w:i/>
        </w:rPr>
        <w:t>Integrated pest management: parasitic wasps help B.C. apple growers limit pesticide use</w:t>
      </w:r>
      <w:r w:rsidRPr="00112D14">
        <w:t>, Meristem Land and Science, available at</w:t>
      </w:r>
      <w:r w:rsidR="000D4090">
        <w:t>,</w:t>
      </w:r>
      <w:r w:rsidRPr="00112D14">
        <w:t xml:space="preserve"> </w:t>
      </w:r>
      <w:hyperlink r:id="rId255" w:history="1">
        <w:r w:rsidR="000A58D3" w:rsidRPr="009E4A79">
          <w:rPr>
            <w:rStyle w:val="Hyperlink"/>
          </w:rPr>
          <w:t>http://www.meristem.com/ipm/ipm02_03.html</w:t>
        </w:r>
      </w:hyperlink>
      <w:r w:rsidRPr="00112D14">
        <w:t>.</w:t>
      </w:r>
      <w:bookmarkEnd w:id="1060"/>
    </w:p>
    <w:p w14:paraId="30C84283" w14:textId="77777777" w:rsidR="003438A2" w:rsidRPr="00112D14" w:rsidRDefault="003438A2" w:rsidP="00112D14">
      <w:pPr>
        <w:pStyle w:val="EndNoteBibliography"/>
        <w:spacing w:after="0"/>
      </w:pPr>
      <w:bookmarkStart w:id="1061" w:name="_ENREF_494"/>
      <w:r w:rsidRPr="00112D14">
        <w:t xml:space="preserve">Metcalf, CL, Flint, WP &amp; Metcalf, RL 1962, </w:t>
      </w:r>
      <w:r w:rsidRPr="00112D14">
        <w:rPr>
          <w:i/>
        </w:rPr>
        <w:t>Destructive and useful insects: their habits and control</w:t>
      </w:r>
      <w:r w:rsidRPr="00112D14">
        <w:t>, 4th edn, McGraw-Hill, New York.</w:t>
      </w:r>
      <w:bookmarkEnd w:id="1061"/>
    </w:p>
    <w:p w14:paraId="0DAC6D31" w14:textId="77777777" w:rsidR="003438A2" w:rsidRPr="00112D14" w:rsidRDefault="003438A2" w:rsidP="00112D14">
      <w:pPr>
        <w:pStyle w:val="EndNoteBibliography"/>
        <w:spacing w:after="0"/>
      </w:pPr>
      <w:bookmarkStart w:id="1062" w:name="_ENREF_495"/>
      <w:r w:rsidRPr="00112D14">
        <w:t xml:space="preserve">Meulewaeter, F, Seurinck, J &amp; Van Emmelo, J 1990, ‘Genome structure of tobacco necrosis virus strain A’, </w:t>
      </w:r>
      <w:r w:rsidRPr="00112D14">
        <w:rPr>
          <w:i/>
        </w:rPr>
        <w:t>Virology</w:t>
      </w:r>
      <w:r w:rsidRPr="00112D14">
        <w:t>, vol. 177, pp. 699-709.</w:t>
      </w:r>
      <w:bookmarkEnd w:id="1062"/>
    </w:p>
    <w:p w14:paraId="2AE59CDC" w14:textId="77777777" w:rsidR="003438A2" w:rsidRPr="00112D14" w:rsidRDefault="003438A2" w:rsidP="00112D14">
      <w:pPr>
        <w:pStyle w:val="EndNoteBibliography"/>
        <w:spacing w:after="0"/>
      </w:pPr>
      <w:bookmarkStart w:id="1063" w:name="_ENREF_496"/>
      <w:r w:rsidRPr="00112D14">
        <w:t xml:space="preserve">Michailides, TJ &amp; Spotts, RA 1990, ‘Postharvest diseases of pome and stone fruits caused by </w:t>
      </w:r>
      <w:r w:rsidRPr="00112D14">
        <w:rPr>
          <w:i/>
        </w:rPr>
        <w:t>Mucor piriformis</w:t>
      </w:r>
      <w:r w:rsidRPr="00112D14">
        <w:t xml:space="preserve"> in the Pacific northwest and California’, </w:t>
      </w:r>
      <w:r w:rsidRPr="00112D14">
        <w:rPr>
          <w:i/>
        </w:rPr>
        <w:t>Plant Disease</w:t>
      </w:r>
      <w:r w:rsidRPr="00112D14">
        <w:t>, vol. 74, pp. 537-43.</w:t>
      </w:r>
      <w:bookmarkEnd w:id="1063"/>
    </w:p>
    <w:p w14:paraId="45BF7645" w14:textId="77777777" w:rsidR="003438A2" w:rsidRPr="00112D14" w:rsidRDefault="003438A2" w:rsidP="00112D14">
      <w:pPr>
        <w:pStyle w:val="EndNoteBibliography"/>
        <w:spacing w:after="0"/>
      </w:pPr>
      <w:bookmarkStart w:id="1064" w:name="_ENREF_497"/>
      <w:r w:rsidRPr="00112D14">
        <w:t xml:space="preserve">Michigan State University 2019, </w:t>
      </w:r>
      <w:r w:rsidRPr="00112D14">
        <w:rPr>
          <w:i/>
        </w:rPr>
        <w:t>Apple maggot</w:t>
      </w:r>
      <w:r w:rsidRPr="00112D14">
        <w:t>, Michigan State University, Michigan, USA</w:t>
      </w:r>
      <w:r>
        <w:t xml:space="preserve">. </w:t>
      </w:r>
      <w:bookmarkEnd w:id="1064"/>
    </w:p>
    <w:p w14:paraId="5D290071" w14:textId="77777777" w:rsidR="003438A2" w:rsidRPr="00112D14" w:rsidRDefault="003438A2" w:rsidP="00112D14">
      <w:pPr>
        <w:pStyle w:val="EndNoteBibliography"/>
        <w:spacing w:after="0"/>
      </w:pPr>
      <w:bookmarkStart w:id="1065" w:name="_ENREF_498"/>
      <w:r w:rsidRPr="00112D14">
        <w:t xml:space="preserve">-- -- 2020, ‘Cherry fruitworm </w:t>
      </w:r>
      <w:r w:rsidRPr="00112D14">
        <w:rPr>
          <w:i/>
        </w:rPr>
        <w:t>Grapholita packardi</w:t>
      </w:r>
      <w:r w:rsidRPr="00112D14">
        <w:t xml:space="preserve">’, </w:t>
      </w:r>
      <w:r w:rsidRPr="00112D14">
        <w:rPr>
          <w:i/>
        </w:rPr>
        <w:t>Michigan State University Extension Pest Management, USA</w:t>
      </w:r>
      <w:r w:rsidRPr="00112D14">
        <w:t>, Michigan State University, Michigan, USA</w:t>
      </w:r>
      <w:r>
        <w:t xml:space="preserve">. </w:t>
      </w:r>
      <w:bookmarkEnd w:id="1065"/>
    </w:p>
    <w:p w14:paraId="0902E4EB" w14:textId="77777777" w:rsidR="003438A2" w:rsidRPr="00112D14" w:rsidRDefault="003438A2" w:rsidP="00112D14">
      <w:pPr>
        <w:pStyle w:val="EndNoteBibliography"/>
        <w:spacing w:after="0"/>
      </w:pPr>
      <w:bookmarkStart w:id="1066" w:name="_ENREF_499"/>
      <w:r w:rsidRPr="00112D14">
        <w:t>Migeon, A &amp; Dorkeld, F 2017, ‘Spider Mites Web: a comprehensive database for the Tetranychidae’</w:t>
      </w:r>
      <w:r>
        <w:t>.</w:t>
      </w:r>
      <w:bookmarkEnd w:id="1066"/>
    </w:p>
    <w:p w14:paraId="4F14B422" w14:textId="77777777" w:rsidR="003438A2" w:rsidRPr="00112D14" w:rsidRDefault="003438A2" w:rsidP="00112D14">
      <w:pPr>
        <w:pStyle w:val="EndNoteBibliography"/>
        <w:spacing w:after="0"/>
      </w:pPr>
      <w:bookmarkStart w:id="1067" w:name="_ENREF_500"/>
      <w:r w:rsidRPr="00112D14">
        <w:t xml:space="preserve">Miller, DR &amp; Davidson, JA 1990, ‘Armored scale insects as pests’, in </w:t>
      </w:r>
      <w:r w:rsidRPr="00112D14">
        <w:rPr>
          <w:i/>
        </w:rPr>
        <w:t>Armored scale insects: their biology, natural enemies and control. Vol. 4B</w:t>
      </w:r>
      <w:r w:rsidRPr="00112D14">
        <w:t>, Rosen, D (ed), Elsevier Science Publishers B.V., Amsterdam.</w:t>
      </w:r>
      <w:bookmarkEnd w:id="1067"/>
    </w:p>
    <w:p w14:paraId="684F4EFF" w14:textId="77777777" w:rsidR="003438A2" w:rsidRPr="00112D14" w:rsidRDefault="003438A2" w:rsidP="00112D14">
      <w:pPr>
        <w:pStyle w:val="EndNoteBibliography"/>
        <w:spacing w:after="0"/>
      </w:pPr>
      <w:bookmarkStart w:id="1068" w:name="_ENREF_501"/>
      <w:r w:rsidRPr="00112D14">
        <w:t xml:space="preserve">-- -- 2005, </w:t>
      </w:r>
      <w:r w:rsidRPr="00112D14">
        <w:rPr>
          <w:i/>
        </w:rPr>
        <w:t>Armored scale insect pests of trees and shrubs (Hemiptera: Diaspididae)</w:t>
      </w:r>
      <w:r w:rsidRPr="00112D14">
        <w:t>, Cornell University Press, Ithaca &amp; London.</w:t>
      </w:r>
      <w:bookmarkEnd w:id="1068"/>
    </w:p>
    <w:p w14:paraId="459673E3" w14:textId="77777777" w:rsidR="003438A2" w:rsidRPr="00112D14" w:rsidRDefault="003438A2" w:rsidP="00112D14">
      <w:pPr>
        <w:pStyle w:val="EndNoteBibliography"/>
        <w:spacing w:after="0"/>
      </w:pPr>
      <w:bookmarkStart w:id="1069" w:name="_ENREF_502"/>
      <w:r w:rsidRPr="00112D14">
        <w:t xml:space="preserve">Miller, DR &amp; Gimpel, ME 2009, </w:t>
      </w:r>
      <w:r w:rsidRPr="00112D14">
        <w:rPr>
          <w:i/>
        </w:rPr>
        <w:t>Parlatoria pergandii Comstock</w:t>
      </w:r>
      <w:r w:rsidRPr="00112D14">
        <w:t>, Catalogue Query Results, Systematic Entomology Laboratory, Beltsville Agricultural Research Center, United States Department of Agriculture.</w:t>
      </w:r>
      <w:bookmarkEnd w:id="1069"/>
    </w:p>
    <w:p w14:paraId="37E8B0D8" w14:textId="77777777" w:rsidR="003438A2" w:rsidRPr="00112D14" w:rsidRDefault="003438A2" w:rsidP="00112D14">
      <w:pPr>
        <w:pStyle w:val="EndNoteBibliography"/>
        <w:spacing w:after="0"/>
      </w:pPr>
      <w:bookmarkStart w:id="1070" w:name="_ENREF_503"/>
      <w:r w:rsidRPr="00112D14">
        <w:t xml:space="preserve">Millikan, DF &amp; Marting, WR, Jr 1956, ‘An unusual fruit symptom in apple’, </w:t>
      </w:r>
      <w:r w:rsidRPr="00112D14">
        <w:rPr>
          <w:i/>
        </w:rPr>
        <w:t>Plant Disease Reporter</w:t>
      </w:r>
      <w:r w:rsidRPr="00112D14">
        <w:t>, vol. 40, pp. 229-30.</w:t>
      </w:r>
      <w:bookmarkEnd w:id="1070"/>
    </w:p>
    <w:p w14:paraId="74D51F17" w14:textId="0954D214" w:rsidR="003438A2" w:rsidRPr="00112D14" w:rsidRDefault="003438A2" w:rsidP="00112D14">
      <w:pPr>
        <w:pStyle w:val="EndNoteBibliography"/>
        <w:spacing w:after="0"/>
      </w:pPr>
      <w:bookmarkStart w:id="1071" w:name="_ENREF_504"/>
      <w:r w:rsidRPr="00112D14">
        <w:t>Ministry of Agriculture 2016, ‘Apple leaf curling midge (</w:t>
      </w:r>
      <w:r w:rsidRPr="00112D14">
        <w:rPr>
          <w:i/>
        </w:rPr>
        <w:t>Dasineura mali</w:t>
      </w:r>
      <w:r w:rsidRPr="00112D14">
        <w:t xml:space="preserve">)’, </w:t>
      </w:r>
      <w:r w:rsidRPr="00112D14">
        <w:rPr>
          <w:i/>
        </w:rPr>
        <w:t>British Columbia Ministry of Agriculture</w:t>
      </w:r>
      <w:r w:rsidRPr="00112D14">
        <w:t>, British Columbia, available at</w:t>
      </w:r>
      <w:r w:rsidR="001457C7">
        <w:t xml:space="preserve">, </w:t>
      </w:r>
      <w:hyperlink r:id="rId256" w:history="1">
        <w:r w:rsidR="00BE7FBA" w:rsidRPr="00E9221C">
          <w:rPr>
            <w:rStyle w:val="Hyperlink"/>
          </w:rPr>
          <w:t>https://www2.gov.bc.ca/assets/gov/farming-natural-resources-and-industry/agriculture-and-seafood/animal-and-crops/plant-health/phu-apple-leafcurling-midge.pdf</w:t>
        </w:r>
      </w:hyperlink>
      <w:r w:rsidRPr="00112D14">
        <w:t xml:space="preserve"> (pdf 343 kb).</w:t>
      </w:r>
      <w:bookmarkEnd w:id="1071"/>
    </w:p>
    <w:p w14:paraId="2F16A048" w14:textId="77777777" w:rsidR="003438A2" w:rsidRPr="00112D14" w:rsidRDefault="003438A2" w:rsidP="00112D14">
      <w:pPr>
        <w:pStyle w:val="EndNoteBibliography"/>
        <w:spacing w:after="0"/>
      </w:pPr>
      <w:bookmarkStart w:id="1072" w:name="_ENREF_505"/>
      <w:r w:rsidRPr="00112D14">
        <w:t xml:space="preserve">Mirab-balou, M &amp; Khanjani, M 2008, ‘Harmful Hemiptera of </w:t>
      </w:r>
      <w:r w:rsidRPr="00112D14">
        <w:rPr>
          <w:i/>
        </w:rPr>
        <w:t>Lygus</w:t>
      </w:r>
      <w:r w:rsidRPr="00112D14">
        <w:t xml:space="preserve"> genus (Miridae, Hemiptera) on alfalfa (</w:t>
      </w:r>
      <w:r w:rsidRPr="00112D14">
        <w:rPr>
          <w:i/>
        </w:rPr>
        <w:t>Medicago sativa</w:t>
      </w:r>
      <w:r w:rsidRPr="00112D14">
        <w:t xml:space="preserve"> L.) in Hamedan province (western Iran)’, </w:t>
      </w:r>
      <w:r w:rsidRPr="00112D14">
        <w:rPr>
          <w:i/>
        </w:rPr>
        <w:t>Journal of plant protection research</w:t>
      </w:r>
      <w:r w:rsidRPr="00112D14">
        <w:t>, vol. 48, no. 3, pp. 313-22.</w:t>
      </w:r>
      <w:bookmarkEnd w:id="1072"/>
    </w:p>
    <w:p w14:paraId="120FA56D" w14:textId="12C5E608" w:rsidR="003438A2" w:rsidRPr="00112D14" w:rsidRDefault="003438A2" w:rsidP="00112D14">
      <w:pPr>
        <w:pStyle w:val="EndNoteBibliography"/>
        <w:spacing w:after="0"/>
      </w:pPr>
      <w:bookmarkStart w:id="1073" w:name="_ENREF_506"/>
      <w:r w:rsidRPr="00112D14">
        <w:t>MOA BC 2016, ‘Apple Curculio (</w:t>
      </w:r>
      <w:r w:rsidRPr="00112D14">
        <w:rPr>
          <w:i/>
        </w:rPr>
        <w:t>Anthonomus quadrigibbus</w:t>
      </w:r>
      <w:r w:rsidRPr="00112D14">
        <w:t xml:space="preserve">)’, </w:t>
      </w:r>
      <w:r w:rsidRPr="00112D14">
        <w:rPr>
          <w:i/>
        </w:rPr>
        <w:t>Ministry of Agriculture, British Columbia</w:t>
      </w:r>
      <w:r w:rsidRPr="00112D14">
        <w:t>, Canada, available at</w:t>
      </w:r>
      <w:r w:rsidR="001457C7">
        <w:t xml:space="preserve"> </w:t>
      </w:r>
      <w:r w:rsidRPr="00112D14">
        <w:t xml:space="preserve"> </w:t>
      </w:r>
      <w:hyperlink r:id="rId257" w:history="1">
        <w:r w:rsidR="000A58D3" w:rsidRPr="009E4A79">
          <w:rPr>
            <w:rStyle w:val="Hyperlink"/>
          </w:rPr>
          <w:t>https://www2.gov.bc.ca/assets/gov/farming-natural-resources-and-industry/agriculture-and-seafood/animal-and-crops/plant-health/phu-apple-curculio2.pdf</w:t>
        </w:r>
      </w:hyperlink>
      <w:r w:rsidRPr="00112D14">
        <w:t>.</w:t>
      </w:r>
      <w:bookmarkEnd w:id="1073"/>
    </w:p>
    <w:p w14:paraId="7D4A1412" w14:textId="77777777" w:rsidR="003438A2" w:rsidRPr="00112D14" w:rsidRDefault="003438A2" w:rsidP="00112D14">
      <w:pPr>
        <w:pStyle w:val="EndNoteBibliography"/>
        <w:spacing w:after="0"/>
      </w:pPr>
      <w:bookmarkStart w:id="1074" w:name="_ENREF_507"/>
      <w:r w:rsidRPr="00112D14">
        <w:t xml:space="preserve">Moffitt, HR &amp; Albano, DJ 1972, ‘Effects of commercial fruit storage on stages of the codling moth’, </w:t>
      </w:r>
      <w:r w:rsidRPr="00112D14">
        <w:rPr>
          <w:i/>
        </w:rPr>
        <w:t>Journal of Economic Entomology</w:t>
      </w:r>
      <w:r w:rsidRPr="00112D14">
        <w:t>, vol. 65, no. 3, pp. 770-3.</w:t>
      </w:r>
      <w:bookmarkEnd w:id="1074"/>
    </w:p>
    <w:p w14:paraId="1DF0EFB3" w14:textId="77777777" w:rsidR="003438A2" w:rsidRPr="00112D14" w:rsidRDefault="003438A2" w:rsidP="00112D14">
      <w:pPr>
        <w:pStyle w:val="EndNoteBibliography"/>
        <w:spacing w:after="0"/>
      </w:pPr>
      <w:bookmarkStart w:id="1075" w:name="_ENREF_508"/>
      <w:r w:rsidRPr="00112D14">
        <w:t xml:space="preserve">Moline, HE &amp; Kuti, JO 1984, ‘Comparative studies of two </w:t>
      </w:r>
      <w:r w:rsidRPr="00112D14">
        <w:rPr>
          <w:i/>
        </w:rPr>
        <w:t>Mucor</w:t>
      </w:r>
      <w:r w:rsidRPr="00112D14">
        <w:t xml:space="preserve"> species causing postharvest decay of tomato and their control’, </w:t>
      </w:r>
      <w:r w:rsidRPr="00112D14">
        <w:rPr>
          <w:i/>
        </w:rPr>
        <w:t>Plant Disease</w:t>
      </w:r>
      <w:r w:rsidRPr="00112D14">
        <w:t>, vol. 68, pp. 524-6.</w:t>
      </w:r>
      <w:bookmarkEnd w:id="1075"/>
    </w:p>
    <w:p w14:paraId="3F2874ED" w14:textId="77777777" w:rsidR="003438A2" w:rsidRPr="00112D14" w:rsidRDefault="003438A2" w:rsidP="00112D14">
      <w:pPr>
        <w:pStyle w:val="EndNoteBibliography"/>
        <w:spacing w:after="0"/>
      </w:pPr>
      <w:bookmarkStart w:id="1076" w:name="_ENREF_509"/>
      <w:r w:rsidRPr="00112D14">
        <w:t xml:space="preserve">Mound, LA 2008, </w:t>
      </w:r>
      <w:r w:rsidRPr="00112D14">
        <w:rPr>
          <w:i/>
        </w:rPr>
        <w:t>Thysanoptera</w:t>
      </w:r>
      <w:r w:rsidRPr="00112D14">
        <w:t>, Australian Biological Resources Study: Australian Faunal Directory</w:t>
      </w:r>
      <w:r>
        <w:t>.</w:t>
      </w:r>
      <w:bookmarkEnd w:id="1076"/>
    </w:p>
    <w:p w14:paraId="0E1A8C35" w14:textId="77777777" w:rsidR="003438A2" w:rsidRPr="00112D14" w:rsidRDefault="003438A2" w:rsidP="00112D14">
      <w:pPr>
        <w:pStyle w:val="EndNoteBibliography"/>
        <w:spacing w:after="0"/>
      </w:pPr>
      <w:bookmarkStart w:id="1077" w:name="_ENREF_510"/>
      <w:r w:rsidRPr="00112D14">
        <w:t xml:space="preserve">Mundinger, FG &amp; Chapman, PJ 1932, ‘Plant bugs as pests of pear and other fruits in the Hudson Valley’, </w:t>
      </w:r>
      <w:r w:rsidRPr="00112D14">
        <w:rPr>
          <w:i/>
        </w:rPr>
        <w:t>Journal of Economic Entomology</w:t>
      </w:r>
      <w:r w:rsidRPr="00112D14">
        <w:t>, vol. 25, no. 3, pp. 655-8.</w:t>
      </w:r>
      <w:bookmarkEnd w:id="1077"/>
    </w:p>
    <w:p w14:paraId="2B817425" w14:textId="77777777" w:rsidR="003438A2" w:rsidRPr="00112D14" w:rsidRDefault="003438A2" w:rsidP="00112D14">
      <w:pPr>
        <w:pStyle w:val="EndNoteBibliography"/>
        <w:spacing w:after="0"/>
      </w:pPr>
      <w:bookmarkStart w:id="1078" w:name="_ENREF_511"/>
      <w:r w:rsidRPr="00112D14">
        <w:t xml:space="preserve">Murrell, VC &amp; Lo, PL 1998, ‘Control of Oriental fruit moth </w:t>
      </w:r>
      <w:r w:rsidRPr="00112D14">
        <w:rPr>
          <w:i/>
        </w:rPr>
        <w:t>(Grapholita molesta)</w:t>
      </w:r>
      <w:r w:rsidRPr="00112D14">
        <w:t xml:space="preserve"> on golden queen peaches’, </w:t>
      </w:r>
      <w:r w:rsidRPr="00112D14">
        <w:rPr>
          <w:i/>
        </w:rPr>
        <w:t>Proceedings of the 51st New Zealand Plant Protection Conference, Quality Hotel, Hamilton, New Zealand, 11-13 August, 1998</w:t>
      </w:r>
      <w:r w:rsidRPr="00112D14">
        <w:t>, New Zealand Plant Protection Society, Wellington, pp. 189-94.</w:t>
      </w:r>
      <w:bookmarkEnd w:id="1078"/>
    </w:p>
    <w:p w14:paraId="20516D56" w14:textId="77777777" w:rsidR="003438A2" w:rsidRPr="00112D14" w:rsidRDefault="003438A2" w:rsidP="00112D14">
      <w:pPr>
        <w:pStyle w:val="EndNoteBibliography"/>
        <w:spacing w:after="0"/>
      </w:pPr>
      <w:bookmarkStart w:id="1079" w:name="_ENREF_512"/>
      <w:r w:rsidRPr="00112D14">
        <w:t xml:space="preserve">Myers, CT, Hull, LA &amp; Krawczyk, G 2006a, ‘Comparative survival rates of Oriental fruit moth (Lepidoptera: Tortricidae) larvae on shoots and fruit of apple and peach’, </w:t>
      </w:r>
      <w:r w:rsidRPr="00112D14">
        <w:rPr>
          <w:i/>
        </w:rPr>
        <w:t>Journal of Economic Entomology</w:t>
      </w:r>
      <w:r w:rsidRPr="00112D14">
        <w:t>, vol. 99, no. 4, pp. 1299-309.</w:t>
      </w:r>
      <w:bookmarkEnd w:id="1079"/>
    </w:p>
    <w:p w14:paraId="6EDC3110" w14:textId="77777777" w:rsidR="003438A2" w:rsidRPr="00112D14" w:rsidRDefault="003438A2" w:rsidP="00112D14">
      <w:pPr>
        <w:pStyle w:val="EndNoteBibliography"/>
        <w:spacing w:after="0"/>
      </w:pPr>
      <w:bookmarkStart w:id="1080" w:name="_ENREF_513"/>
      <w:r w:rsidRPr="00112D14">
        <w:t xml:space="preserve">-- -- 2006b, ‘Effects of orchard host plants on the oviposition preference of the Oriental fruit moth (Lepidoptera: Tortricidae)’, </w:t>
      </w:r>
      <w:r w:rsidRPr="00112D14">
        <w:rPr>
          <w:i/>
        </w:rPr>
        <w:t>Journal of Economic Entomology</w:t>
      </w:r>
      <w:r w:rsidRPr="00112D14">
        <w:t>, vol. 99, no. 4, pp. 1176-83.</w:t>
      </w:r>
      <w:bookmarkEnd w:id="1080"/>
    </w:p>
    <w:p w14:paraId="10533531" w14:textId="77777777" w:rsidR="003438A2" w:rsidRPr="00112D14" w:rsidRDefault="003438A2" w:rsidP="00112D14">
      <w:pPr>
        <w:pStyle w:val="EndNoteBibliography"/>
        <w:spacing w:after="0"/>
      </w:pPr>
      <w:bookmarkStart w:id="1081" w:name="_ENREF_514"/>
      <w:r w:rsidRPr="00112D14">
        <w:t xml:space="preserve">-- -- 2006c, ‘Seasonal and cultivar-associated variation in oviposition preference of Oriental fruit moth (Lepidoptera: Tortricidae) adults and feeding behavior of neonate larvae in apples’, </w:t>
      </w:r>
      <w:r w:rsidRPr="00112D14">
        <w:rPr>
          <w:i/>
        </w:rPr>
        <w:t>Journal of Economic Entomology</w:t>
      </w:r>
      <w:r w:rsidRPr="00112D14">
        <w:t>, vol. 99, no. 2, pp. 349-58.</w:t>
      </w:r>
      <w:bookmarkEnd w:id="1081"/>
    </w:p>
    <w:p w14:paraId="632C4E5F" w14:textId="77777777" w:rsidR="003438A2" w:rsidRPr="00112D14" w:rsidRDefault="003438A2" w:rsidP="00112D14">
      <w:pPr>
        <w:pStyle w:val="EndNoteBibliography"/>
        <w:spacing w:after="0"/>
      </w:pPr>
      <w:bookmarkStart w:id="1082" w:name="_ENREF_515"/>
      <w:r w:rsidRPr="00112D14">
        <w:t xml:space="preserve">-- -- 2007, ‘Effects of orchard host plants (apple and peach) on development of Oriental fruit moth (Lepidoptera: Tortricidae)’, </w:t>
      </w:r>
      <w:r w:rsidRPr="00112D14">
        <w:rPr>
          <w:i/>
        </w:rPr>
        <w:t>Journal of Economic Entomology</w:t>
      </w:r>
      <w:r w:rsidRPr="00112D14">
        <w:t>, vol. 100, no. 2, pp. 421-30.</w:t>
      </w:r>
      <w:bookmarkEnd w:id="1082"/>
    </w:p>
    <w:p w14:paraId="35C78DD8" w14:textId="77777777" w:rsidR="003438A2" w:rsidRPr="00112D14" w:rsidRDefault="003438A2" w:rsidP="00112D14">
      <w:pPr>
        <w:pStyle w:val="EndNoteBibliography"/>
        <w:spacing w:after="0"/>
      </w:pPr>
      <w:bookmarkStart w:id="1083" w:name="_ENREF_516"/>
      <w:r w:rsidRPr="00112D14">
        <w:t xml:space="preserve">Najar-Rodriguez, A, Bellutti, N &amp; Dorn, S 2013, ‘Larval performance of the Oriental fruit moth across fruits from primary and secondary hosts’, </w:t>
      </w:r>
      <w:r w:rsidRPr="00112D14">
        <w:rPr>
          <w:i/>
        </w:rPr>
        <w:t>Physiological Entomology</w:t>
      </w:r>
      <w:r w:rsidRPr="00112D14">
        <w:t>, vol. 38, pp. 63-70.</w:t>
      </w:r>
      <w:bookmarkEnd w:id="1083"/>
    </w:p>
    <w:p w14:paraId="4399708F" w14:textId="77777777" w:rsidR="003438A2" w:rsidRPr="00112D14" w:rsidRDefault="003438A2" w:rsidP="00112D14">
      <w:pPr>
        <w:pStyle w:val="EndNoteBibliography"/>
        <w:spacing w:after="0"/>
      </w:pPr>
      <w:bookmarkStart w:id="1084" w:name="_ENREF_517"/>
      <w:r w:rsidRPr="00112D14">
        <w:t xml:space="preserve">Nakahara, S 1997, ‘Annotated list of the </w:t>
      </w:r>
      <w:r w:rsidRPr="00112D14">
        <w:rPr>
          <w:i/>
        </w:rPr>
        <w:t>Frankliniella</w:t>
      </w:r>
      <w:r w:rsidRPr="00112D14">
        <w:t xml:space="preserve"> species of the world (Thysanoptera: Thripidae)’, </w:t>
      </w:r>
      <w:r w:rsidRPr="00112D14">
        <w:rPr>
          <w:i/>
        </w:rPr>
        <w:t>Contributions on Entomology International</w:t>
      </w:r>
      <w:r w:rsidRPr="00112D14">
        <w:t>, vol. 2, no. 4, pp. 355-89.</w:t>
      </w:r>
      <w:bookmarkEnd w:id="1084"/>
    </w:p>
    <w:p w14:paraId="707FF6A9" w14:textId="77777777" w:rsidR="003438A2" w:rsidRPr="00112D14" w:rsidRDefault="003438A2" w:rsidP="00112D14">
      <w:pPr>
        <w:pStyle w:val="EndNoteBibliography"/>
        <w:spacing w:after="0"/>
      </w:pPr>
      <w:bookmarkStart w:id="1085" w:name="_ENREF_518"/>
      <w:r w:rsidRPr="00112D14">
        <w:t xml:space="preserve">NAPPO 2008, </w:t>
      </w:r>
      <w:r w:rsidRPr="00112D14">
        <w:rPr>
          <w:i/>
        </w:rPr>
        <w:t>Cenopalpus pulcher (Canestrini and Fanzago)</w:t>
      </w:r>
      <w:r w:rsidRPr="00112D14">
        <w:t>, Pestalerts, Phytosanitary Alert System, North American Plant Protection Organization, North America.</w:t>
      </w:r>
      <w:bookmarkEnd w:id="1085"/>
    </w:p>
    <w:p w14:paraId="7826B3FE" w14:textId="77777777" w:rsidR="003438A2" w:rsidRPr="00112D14" w:rsidRDefault="003438A2" w:rsidP="00112D14">
      <w:pPr>
        <w:pStyle w:val="EndNoteBibliography"/>
        <w:spacing w:after="0"/>
      </w:pPr>
      <w:bookmarkStart w:id="1086" w:name="_ENREF_519"/>
      <w:r w:rsidRPr="00112D14">
        <w:t xml:space="preserve">Narayanasamy, P 2011, </w:t>
      </w:r>
      <w:r w:rsidRPr="00112D14">
        <w:rPr>
          <w:i/>
        </w:rPr>
        <w:t>Microbial plant pathogens - detection and disease diagnosis: fungal pathogens, Vol. 1</w:t>
      </w:r>
      <w:r w:rsidRPr="00112D14">
        <w:t>, vol. 1, Springer, Dordrecht, Netherlands.</w:t>
      </w:r>
      <w:bookmarkEnd w:id="1086"/>
    </w:p>
    <w:p w14:paraId="7FD40830" w14:textId="7397314B" w:rsidR="003438A2" w:rsidRPr="00112D14" w:rsidRDefault="003438A2" w:rsidP="00112D14">
      <w:pPr>
        <w:pStyle w:val="EndNoteBibliography"/>
        <w:spacing w:after="0"/>
      </w:pPr>
      <w:bookmarkStart w:id="1087" w:name="_ENREF_520"/>
      <w:r w:rsidRPr="00112D14">
        <w:t xml:space="preserve">National Weather Service 2008, </w:t>
      </w:r>
      <w:r w:rsidRPr="00112D14">
        <w:rPr>
          <w:i/>
        </w:rPr>
        <w:t>Seattle temperature graphs for 2008</w:t>
      </w:r>
      <w:r w:rsidRPr="00112D14">
        <w:t>, Seattle Weather Forecast Office, US Department of Commerce: National Oceanic and Atmospheric Administration</w:t>
      </w:r>
      <w:r w:rsidR="00463054">
        <w:t>.</w:t>
      </w:r>
      <w:r w:rsidRPr="00112D14">
        <w:t xml:space="preserve"> </w:t>
      </w:r>
      <w:bookmarkEnd w:id="1087"/>
    </w:p>
    <w:p w14:paraId="044B0F74" w14:textId="77777777" w:rsidR="003438A2" w:rsidRPr="00112D14" w:rsidRDefault="003438A2" w:rsidP="00112D14">
      <w:pPr>
        <w:pStyle w:val="EndNoteBibliography"/>
        <w:spacing w:after="0"/>
      </w:pPr>
      <w:bookmarkStart w:id="1088" w:name="_ENREF_521"/>
      <w:r w:rsidRPr="00112D14">
        <w:t xml:space="preserve">Navarro, B, Minutolo, M, De Stradis, A, Palmisano, F, Alioto, D &amp; Di Serio, F 2018, ‘The first phlebo-like virus infecting plants: a case study on the adaptation of negative-stranded RNA viruses to new hosts’, </w:t>
      </w:r>
      <w:r w:rsidRPr="00112D14">
        <w:rPr>
          <w:i/>
        </w:rPr>
        <w:t>Molecular Plant Pathology</w:t>
      </w:r>
      <w:r w:rsidRPr="00112D14">
        <w:t>, vol. 19, no. 5, pp. 1075-89.</w:t>
      </w:r>
      <w:bookmarkEnd w:id="1088"/>
    </w:p>
    <w:p w14:paraId="4E9C8BEA" w14:textId="104E254C" w:rsidR="003438A2" w:rsidRPr="00112D14" w:rsidRDefault="003438A2" w:rsidP="00112D14">
      <w:pPr>
        <w:pStyle w:val="EndNoteBibliography"/>
        <w:spacing w:after="0"/>
      </w:pPr>
      <w:bookmarkStart w:id="1089" w:name="_ENREF_522"/>
      <w:r w:rsidRPr="00112D14">
        <w:t>Nazari, V 2003, ‘</w:t>
      </w:r>
      <w:r w:rsidRPr="00112D14">
        <w:rPr>
          <w:i/>
        </w:rPr>
        <w:t>Argyresthia conjugella</w:t>
      </w:r>
      <w:r w:rsidRPr="00112D14">
        <w:t xml:space="preserve"> Zeller: Apple fruit moth’, University of Alberta, Edmonton, Canada, available at</w:t>
      </w:r>
      <w:r w:rsidR="00F87A8F">
        <w:t>,</w:t>
      </w:r>
      <w:r w:rsidRPr="00112D14">
        <w:t xml:space="preserve"> </w:t>
      </w:r>
      <w:hyperlink r:id="rId258" w:history="1">
        <w:r w:rsidR="00F87A8F" w:rsidRPr="00847402">
          <w:rPr>
            <w:rStyle w:val="Hyperlink"/>
          </w:rPr>
          <w:t>https://search.museums.ualberta.ca/g/2-4693</w:t>
        </w:r>
      </w:hyperlink>
      <w:r w:rsidRPr="00112D14">
        <w:t>.</w:t>
      </w:r>
      <w:bookmarkEnd w:id="1089"/>
    </w:p>
    <w:p w14:paraId="66B06161" w14:textId="5227992F" w:rsidR="003438A2" w:rsidRPr="00112D14" w:rsidRDefault="003438A2" w:rsidP="00112D14">
      <w:pPr>
        <w:pStyle w:val="EndNoteBibliography"/>
        <w:spacing w:after="0"/>
      </w:pPr>
      <w:bookmarkStart w:id="1090" w:name="_ENREF_523"/>
      <w:r w:rsidRPr="00112D14">
        <w:t>NCBI 2009, ‘</w:t>
      </w:r>
      <w:r w:rsidRPr="00112D14">
        <w:rPr>
          <w:i/>
        </w:rPr>
        <w:t>Necrovirus</w:t>
      </w:r>
      <w:r w:rsidRPr="00112D14">
        <w:t>’, available at</w:t>
      </w:r>
      <w:r w:rsidR="00F87A8F">
        <w:t>,</w:t>
      </w:r>
      <w:r w:rsidRPr="00112D14">
        <w:t xml:space="preserve"> </w:t>
      </w:r>
      <w:hyperlink r:id="rId259" w:history="1">
        <w:r w:rsidR="00AE6E8F" w:rsidRPr="009E4A79">
          <w:rPr>
            <w:rStyle w:val="Hyperlink"/>
          </w:rPr>
          <w:t>http://www.ncbi.nlm.nih.gov/Taxonomy/Browser/wwwtax.cgi?id=12052</w:t>
        </w:r>
      </w:hyperlink>
      <w:r w:rsidRPr="00112D14">
        <w:t>, accessed 2009.</w:t>
      </w:r>
      <w:bookmarkEnd w:id="1090"/>
    </w:p>
    <w:p w14:paraId="1794AA1F" w14:textId="2C221A3D" w:rsidR="003438A2" w:rsidRPr="00112D14" w:rsidRDefault="003438A2" w:rsidP="00112D14">
      <w:pPr>
        <w:pStyle w:val="EndNoteBibliography"/>
        <w:spacing w:after="0"/>
      </w:pPr>
      <w:bookmarkStart w:id="1091" w:name="_ENREF_524"/>
      <w:r w:rsidRPr="00112D14">
        <w:t>-- -- 2020, ‘NCBI Taxonomy Database’, National Centre for Biotechnology Information, U.S. National Library of Medicine, available at</w:t>
      </w:r>
      <w:r w:rsidR="00871033">
        <w:t>,</w:t>
      </w:r>
      <w:r w:rsidRPr="00112D14">
        <w:t xml:space="preserve"> </w:t>
      </w:r>
      <w:hyperlink r:id="rId260" w:history="1">
        <w:r w:rsidR="00AE6E8F" w:rsidRPr="009E4A79">
          <w:rPr>
            <w:rStyle w:val="Hyperlink"/>
          </w:rPr>
          <w:t>https://www.ncbi.nlm.nih.gov/taxonomy</w:t>
        </w:r>
      </w:hyperlink>
      <w:r w:rsidRPr="00112D14">
        <w:t>, accessed 2020.</w:t>
      </w:r>
      <w:bookmarkEnd w:id="1091"/>
    </w:p>
    <w:p w14:paraId="3D4F1F9C" w14:textId="542C909E" w:rsidR="003438A2" w:rsidRPr="00112D14" w:rsidRDefault="003438A2" w:rsidP="00112D14">
      <w:pPr>
        <w:pStyle w:val="EndNoteBibliography"/>
        <w:spacing w:after="0"/>
      </w:pPr>
      <w:bookmarkStart w:id="1092" w:name="_ENREF_525"/>
      <w:r w:rsidRPr="00112D14">
        <w:t>NCDC 2022, ‘Climate Data Online: Global summary of 2021-2022 for Washington’, National Oceanic and Atmospheric Administration, available at</w:t>
      </w:r>
      <w:r w:rsidR="00F87A8F">
        <w:t>,</w:t>
      </w:r>
      <w:r w:rsidRPr="00112D14">
        <w:t xml:space="preserve"> </w:t>
      </w:r>
      <w:hyperlink r:id="rId261" w:history="1">
        <w:r w:rsidR="00AE6E8F" w:rsidRPr="009E4A79">
          <w:rPr>
            <w:rStyle w:val="Hyperlink"/>
          </w:rPr>
          <w:t>https://www.ncdc.noaa.gov/cdo-web/datasets/GSOY/locations/FIPS:53/detail</w:t>
        </w:r>
      </w:hyperlink>
      <w:r w:rsidRPr="00112D14">
        <w:t>.</w:t>
      </w:r>
      <w:bookmarkEnd w:id="1092"/>
    </w:p>
    <w:p w14:paraId="1F7C6DEE" w14:textId="77777777" w:rsidR="003438A2" w:rsidRPr="00112D14" w:rsidRDefault="003438A2" w:rsidP="00112D14">
      <w:pPr>
        <w:pStyle w:val="EndNoteBibliography"/>
        <w:spacing w:after="0"/>
      </w:pPr>
      <w:bookmarkStart w:id="1093" w:name="_ENREF_526"/>
      <w:r w:rsidRPr="00112D14">
        <w:t xml:space="preserve">NCSU 1982, </w:t>
      </w:r>
      <w:r w:rsidRPr="00112D14">
        <w:rPr>
          <w:i/>
        </w:rPr>
        <w:t>Variegated cutworm: Peridroma saucia (Hubner), Noctuidae, Lepidoptera</w:t>
      </w:r>
      <w:r w:rsidRPr="00112D14">
        <w:t>, Insect and related pests of field crops, Integrated Pest Management, NC State Extension, North Carolina State University.</w:t>
      </w:r>
      <w:bookmarkEnd w:id="1093"/>
    </w:p>
    <w:p w14:paraId="0391F72A" w14:textId="77777777" w:rsidR="003438A2" w:rsidRPr="00112D14" w:rsidRDefault="003438A2" w:rsidP="00112D14">
      <w:pPr>
        <w:pStyle w:val="EndNoteBibliography"/>
        <w:spacing w:after="0"/>
      </w:pPr>
      <w:bookmarkStart w:id="1094" w:name="_ENREF_527"/>
      <w:r w:rsidRPr="00112D14">
        <w:t>Nemeth, M 1986a, ‘</w:t>
      </w:r>
      <w:r w:rsidRPr="00112D14">
        <w:rPr>
          <w:i/>
        </w:rPr>
        <w:t>Tobacco necrosis virus</w:t>
      </w:r>
      <w:r w:rsidRPr="00112D14">
        <w:t xml:space="preserve">’, in </w:t>
      </w:r>
      <w:r w:rsidRPr="00112D14">
        <w:rPr>
          <w:i/>
        </w:rPr>
        <w:t>Virus, mycoplasma and rickettsia diseases of fruit trees</w:t>
      </w:r>
      <w:r w:rsidRPr="00112D14">
        <w:t>, Martinus Nijhoff Publishers, Dordrecht.</w:t>
      </w:r>
      <w:bookmarkEnd w:id="1094"/>
    </w:p>
    <w:p w14:paraId="11C3C679" w14:textId="77777777" w:rsidR="003438A2" w:rsidRPr="00112D14" w:rsidRDefault="003438A2" w:rsidP="00112D14">
      <w:pPr>
        <w:pStyle w:val="EndNoteBibliography"/>
        <w:spacing w:after="0"/>
      </w:pPr>
      <w:bookmarkStart w:id="1095" w:name="_ENREF_528"/>
      <w:r w:rsidRPr="00112D14">
        <w:t xml:space="preserve">-- -- 1986b, </w:t>
      </w:r>
      <w:r w:rsidRPr="00112D14">
        <w:rPr>
          <w:i/>
        </w:rPr>
        <w:t>Virus, mycoplasma and rickettsia diseases of fruit trees</w:t>
      </w:r>
      <w:r w:rsidRPr="00112D14">
        <w:t>, Martinus Nijhoff Publishers, Dordrecht.</w:t>
      </w:r>
      <w:bookmarkEnd w:id="1095"/>
    </w:p>
    <w:p w14:paraId="1EA1DCFC" w14:textId="77777777" w:rsidR="003438A2" w:rsidRPr="00112D14" w:rsidRDefault="003438A2" w:rsidP="00112D14">
      <w:pPr>
        <w:pStyle w:val="EndNoteBibliography"/>
        <w:spacing w:after="0"/>
      </w:pPr>
      <w:bookmarkStart w:id="1096" w:name="_ENREF_529"/>
      <w:r w:rsidRPr="00112D14">
        <w:t xml:space="preserve">Neven, L, Kumar, S, Yee, W &amp; Wakie, T 2018, ‘Current and future potential risk of establishment of </w:t>
      </w:r>
      <w:r w:rsidRPr="00112D14">
        <w:rPr>
          <w:i/>
        </w:rPr>
        <w:t>Grapholita molesta</w:t>
      </w:r>
      <w:r w:rsidRPr="00112D14">
        <w:t xml:space="preserve"> (Lepidoptera: Tortricidae) in Washington State’, </w:t>
      </w:r>
      <w:r w:rsidRPr="00112D14">
        <w:rPr>
          <w:i/>
        </w:rPr>
        <w:t>Environmental Entomology</w:t>
      </w:r>
      <w:r w:rsidRPr="00112D14">
        <w:t>, vol. 47, no. 2, pp. 448-56.</w:t>
      </w:r>
      <w:bookmarkEnd w:id="1096"/>
    </w:p>
    <w:p w14:paraId="42A77EE5" w14:textId="77777777" w:rsidR="003438A2" w:rsidRPr="00112D14" w:rsidRDefault="003438A2" w:rsidP="00112D14">
      <w:pPr>
        <w:pStyle w:val="EndNoteBibliography"/>
        <w:spacing w:after="0"/>
      </w:pPr>
      <w:bookmarkStart w:id="1097" w:name="_ENREF_530"/>
      <w:r w:rsidRPr="00112D14">
        <w:t xml:space="preserve">Neven, L 1999, ‘Cold hardiness adaptations of codling moth, </w:t>
      </w:r>
      <w:r w:rsidRPr="00112D14">
        <w:rPr>
          <w:i/>
        </w:rPr>
        <w:t>Cydia pomonella</w:t>
      </w:r>
      <w:r w:rsidRPr="00112D14">
        <w:t xml:space="preserve">’, </w:t>
      </w:r>
      <w:r w:rsidRPr="00112D14">
        <w:rPr>
          <w:i/>
        </w:rPr>
        <w:t>Cryobiology</w:t>
      </w:r>
      <w:r w:rsidRPr="00112D14">
        <w:t>, vol. 38, pp. 43-50.</w:t>
      </w:r>
      <w:bookmarkEnd w:id="1097"/>
    </w:p>
    <w:p w14:paraId="2EBBFEBE" w14:textId="77777777" w:rsidR="003438A2" w:rsidRPr="00112D14" w:rsidRDefault="003438A2" w:rsidP="00112D14">
      <w:pPr>
        <w:pStyle w:val="EndNoteBibliography"/>
        <w:spacing w:after="0"/>
      </w:pPr>
      <w:bookmarkStart w:id="1098" w:name="_ENREF_531"/>
      <w:r w:rsidRPr="00112D14">
        <w:t xml:space="preserve">Newburn, L &amp; White, K 2017, ‘Atypical RNA elements modulate translational readthrough in Tobacco necrosis virus-D’, </w:t>
      </w:r>
      <w:r w:rsidRPr="00112D14">
        <w:rPr>
          <w:i/>
        </w:rPr>
        <w:t>Journal of Virology</w:t>
      </w:r>
      <w:r w:rsidRPr="00112D14">
        <w:t>, vol. 91, no. 8, pp. 1-36.</w:t>
      </w:r>
      <w:bookmarkEnd w:id="1098"/>
    </w:p>
    <w:p w14:paraId="7D2899E8" w14:textId="77777777" w:rsidR="003438A2" w:rsidRPr="00112D14" w:rsidRDefault="003438A2" w:rsidP="00112D14">
      <w:pPr>
        <w:pStyle w:val="EndNoteBibliography"/>
        <w:spacing w:after="0"/>
      </w:pPr>
      <w:bookmarkStart w:id="1099" w:name="_ENREF_532"/>
      <w:r w:rsidRPr="00112D14">
        <w:t xml:space="preserve">Newton, GA 1928, ‘Some fungi of the </w:t>
      </w:r>
      <w:r w:rsidRPr="00112D14">
        <w:rPr>
          <w:i/>
        </w:rPr>
        <w:t>Stemphylium</w:t>
      </w:r>
      <w:r w:rsidRPr="00112D14">
        <w:t xml:space="preserve"> type and their relation to apple rots’, </w:t>
      </w:r>
      <w:r w:rsidRPr="00112D14">
        <w:rPr>
          <w:i/>
        </w:rPr>
        <w:t>Phytopathology</w:t>
      </w:r>
      <w:r w:rsidRPr="00112D14">
        <w:t>, vol. 18, pp. 565-78.</w:t>
      </w:r>
      <w:bookmarkEnd w:id="1099"/>
    </w:p>
    <w:p w14:paraId="19A56626" w14:textId="77777777" w:rsidR="003438A2" w:rsidRPr="00112D14" w:rsidRDefault="003438A2" w:rsidP="00112D14">
      <w:pPr>
        <w:pStyle w:val="EndNoteBibliography"/>
        <w:spacing w:after="0"/>
      </w:pPr>
      <w:bookmarkStart w:id="1100" w:name="_ENREF_533"/>
      <w:r w:rsidRPr="00112D14">
        <w:t xml:space="preserve">Nielsen, AL &amp; Hamilton, GC 2009, ‘Seasonal occurrence and impact of </w:t>
      </w:r>
      <w:r w:rsidRPr="00112D14">
        <w:rPr>
          <w:i/>
        </w:rPr>
        <w:t>Halyomorpha halys</w:t>
      </w:r>
      <w:r w:rsidRPr="00112D14">
        <w:t xml:space="preserve"> (Hemiptera: Pentatomidae) in tree fruit’, </w:t>
      </w:r>
      <w:r w:rsidRPr="00112D14">
        <w:rPr>
          <w:i/>
        </w:rPr>
        <w:t>Journal of Economic Entomology</w:t>
      </w:r>
      <w:r w:rsidRPr="00112D14">
        <w:t>, vol. 102, no. 3, pp. 1133-40.</w:t>
      </w:r>
      <w:bookmarkEnd w:id="1100"/>
    </w:p>
    <w:p w14:paraId="794C85DC" w14:textId="77777777" w:rsidR="003438A2" w:rsidRPr="00112D14" w:rsidRDefault="003438A2" w:rsidP="00112D14">
      <w:pPr>
        <w:pStyle w:val="EndNoteBibliography"/>
        <w:spacing w:after="0"/>
      </w:pPr>
      <w:bookmarkStart w:id="1101" w:name="_ENREF_534"/>
      <w:r w:rsidRPr="00112D14">
        <w:t xml:space="preserve">Nielsen, ES, Edwards, ED &amp; Rangsi, TV 1996, </w:t>
      </w:r>
      <w:r w:rsidRPr="00112D14">
        <w:rPr>
          <w:i/>
        </w:rPr>
        <w:t>Checklist of the Lepidoptera of Australia</w:t>
      </w:r>
      <w:r w:rsidRPr="00112D14">
        <w:t>, vol. 4, Commonwealth Scientific and Industrial Research Organisation, Collingwood.</w:t>
      </w:r>
      <w:bookmarkEnd w:id="1101"/>
    </w:p>
    <w:p w14:paraId="07B842C2" w14:textId="77777777" w:rsidR="003438A2" w:rsidRPr="00112D14" w:rsidRDefault="003438A2" w:rsidP="00112D14">
      <w:pPr>
        <w:pStyle w:val="EndNoteBibliography"/>
        <w:spacing w:after="0"/>
      </w:pPr>
      <w:bookmarkStart w:id="1102" w:name="_ENREF_535"/>
      <w:r w:rsidRPr="00112D14">
        <w:t xml:space="preserve">Noma, T, Colunga-Garcia, M, Brewer, M, Landis, J &amp; Gooch, A 2010, </w:t>
      </w:r>
      <w:r w:rsidRPr="00112D14">
        <w:rPr>
          <w:i/>
        </w:rPr>
        <w:t>Cherry ermine moth Yponomeuta padella</w:t>
      </w:r>
      <w:r w:rsidRPr="00112D14">
        <w:t xml:space="preserve">, Michigan State University, Michigan </w:t>
      </w:r>
      <w:bookmarkEnd w:id="1102"/>
    </w:p>
    <w:p w14:paraId="42E5CD71" w14:textId="77777777" w:rsidR="003438A2" w:rsidRPr="00112D14" w:rsidRDefault="003438A2" w:rsidP="00112D14">
      <w:pPr>
        <w:pStyle w:val="EndNoteBibliography"/>
        <w:spacing w:after="0"/>
      </w:pPr>
      <w:bookmarkStart w:id="1103" w:name="_ENREF_536"/>
      <w:r w:rsidRPr="00112D14">
        <w:t>Norelli, JL &amp; Brandi, MT 2006, ‘Survival and growth of</w:t>
      </w:r>
      <w:r w:rsidRPr="00112D14">
        <w:rPr>
          <w:i/>
        </w:rPr>
        <w:t xml:space="preserve"> Erwinia amylovora</w:t>
      </w:r>
      <w:r w:rsidRPr="00112D14">
        <w:t xml:space="preserve"> on apple leaves’, </w:t>
      </w:r>
      <w:r w:rsidRPr="00112D14">
        <w:rPr>
          <w:i/>
        </w:rPr>
        <w:t>Acta Horticulturae (ISHS)</w:t>
      </w:r>
      <w:r w:rsidRPr="00112D14">
        <w:t>, vol. 704, pp. 121-6.</w:t>
      </w:r>
      <w:bookmarkEnd w:id="1103"/>
    </w:p>
    <w:p w14:paraId="05072E0A" w14:textId="77777777" w:rsidR="003438A2" w:rsidRPr="00112D14" w:rsidRDefault="003438A2" w:rsidP="00112D14">
      <w:pPr>
        <w:pStyle w:val="EndNoteBibliography"/>
        <w:spacing w:after="0"/>
      </w:pPr>
      <w:bookmarkStart w:id="1104" w:name="_ENREF_537"/>
      <w:r w:rsidRPr="00112D14">
        <w:t xml:space="preserve">NRC 2009, </w:t>
      </w:r>
      <w:r w:rsidRPr="00112D14">
        <w:rPr>
          <w:i/>
        </w:rPr>
        <w:t>Biology of the Rusty tussock moth (Orgyia antiqua)</w:t>
      </w:r>
      <w:r w:rsidRPr="00112D14">
        <w:t>, Great Lakes Forestry Centre, Canadian Forest Service, Natural Resources Canada, Government of Canada.</w:t>
      </w:r>
      <w:bookmarkEnd w:id="1104"/>
    </w:p>
    <w:p w14:paraId="7F7DDBC5" w14:textId="77777777" w:rsidR="003438A2" w:rsidRPr="00112D14" w:rsidRDefault="003438A2" w:rsidP="00112D14">
      <w:pPr>
        <w:pStyle w:val="EndNoteBibliography"/>
        <w:spacing w:after="0"/>
      </w:pPr>
      <w:bookmarkStart w:id="1105" w:name="_ENREF_538"/>
      <w:r w:rsidRPr="00112D14">
        <w:t xml:space="preserve">O'Brien, CW &amp; Wibmer, GJ 1982, ‘Annotated checklist of the weevils </w:t>
      </w:r>
      <w:r w:rsidRPr="00112D14">
        <w:rPr>
          <w:i/>
        </w:rPr>
        <w:t>(Curculioidae sensu lato)</w:t>
      </w:r>
      <w:r w:rsidRPr="00112D14">
        <w:t xml:space="preserve"> of North America, Central America and the West Indies (Coleoptera: Curculionoidae)’, </w:t>
      </w:r>
      <w:r w:rsidRPr="00112D14">
        <w:rPr>
          <w:i/>
        </w:rPr>
        <w:t>Memoirs, American Entomological Institute</w:t>
      </w:r>
      <w:r w:rsidRPr="00112D14">
        <w:t>, vol. 34, pp. 1-382.</w:t>
      </w:r>
      <w:bookmarkEnd w:id="1105"/>
    </w:p>
    <w:p w14:paraId="1A64FFDE" w14:textId="77777777" w:rsidR="003438A2" w:rsidRPr="00112D14" w:rsidRDefault="003438A2" w:rsidP="00112D14">
      <w:pPr>
        <w:pStyle w:val="EndNoteBibliography"/>
        <w:spacing w:after="0"/>
      </w:pPr>
      <w:bookmarkStart w:id="1106" w:name="_ENREF_539"/>
      <w:r w:rsidRPr="00112D14">
        <w:t xml:space="preserve">Ohlendorf, BLP 1991, </w:t>
      </w:r>
      <w:r w:rsidRPr="00112D14">
        <w:rPr>
          <w:i/>
        </w:rPr>
        <w:t>Integrated pest management for apples and pears</w:t>
      </w:r>
      <w:r w:rsidRPr="00112D14">
        <w:t>, University of California, Oakland.</w:t>
      </w:r>
      <w:bookmarkEnd w:id="1106"/>
    </w:p>
    <w:p w14:paraId="2FB89F52" w14:textId="77777777" w:rsidR="003438A2" w:rsidRPr="00112D14" w:rsidRDefault="003438A2" w:rsidP="00112D14">
      <w:pPr>
        <w:pStyle w:val="EndNoteBibliography"/>
        <w:spacing w:after="0"/>
      </w:pPr>
      <w:bookmarkStart w:id="1107" w:name="_ENREF_540"/>
      <w:r w:rsidRPr="00112D14">
        <w:t xml:space="preserve">Oman, P 1969, ‘Criteria of specificity in virus-vector relationships’, in </w:t>
      </w:r>
      <w:r w:rsidRPr="00112D14">
        <w:rPr>
          <w:i/>
        </w:rPr>
        <w:t>Viruses, vectors, and vegetation</w:t>
      </w:r>
      <w:r w:rsidRPr="00112D14">
        <w:t>, Maramorosch, K (ed), Interscience Publishers, United States of America.</w:t>
      </w:r>
      <w:bookmarkEnd w:id="1107"/>
    </w:p>
    <w:p w14:paraId="58C4E50E" w14:textId="77777777" w:rsidR="003438A2" w:rsidRPr="00112D14" w:rsidRDefault="003438A2" w:rsidP="00112D14">
      <w:pPr>
        <w:pStyle w:val="EndNoteBibliography"/>
        <w:spacing w:after="0"/>
      </w:pPr>
      <w:bookmarkStart w:id="1108" w:name="_ENREF_541"/>
      <w:r w:rsidRPr="00112D14">
        <w:t xml:space="preserve">Opler, PA, Lotts, K &amp; Naberhaus, T 2009, </w:t>
      </w:r>
      <w:r w:rsidRPr="00112D14">
        <w:rPr>
          <w:i/>
        </w:rPr>
        <w:t>Cecropia silkmoth, Hyalophora cecropia (Linnaeus, 1758)</w:t>
      </w:r>
      <w:r w:rsidRPr="00112D14">
        <w:t>, Butterflies and Moths of North America</w:t>
      </w:r>
      <w:r>
        <w:t>.</w:t>
      </w:r>
      <w:bookmarkEnd w:id="1108"/>
    </w:p>
    <w:p w14:paraId="149422E1" w14:textId="77777777" w:rsidR="003438A2" w:rsidRPr="00112D14" w:rsidRDefault="003438A2" w:rsidP="00112D14">
      <w:pPr>
        <w:pStyle w:val="EndNoteBibliography"/>
        <w:spacing w:after="0"/>
      </w:pPr>
      <w:bookmarkStart w:id="1109" w:name="_ENREF_542"/>
      <w:r w:rsidRPr="00112D14">
        <w:t xml:space="preserve">Ordax, M, Biosca, EG, Wimalajeewa, SC, López, MM &amp; Marco-Noales, E 2009, ‘Survival of </w:t>
      </w:r>
      <w:r w:rsidRPr="00112D14">
        <w:rPr>
          <w:i/>
        </w:rPr>
        <w:t>Erwinia amylovora</w:t>
      </w:r>
      <w:r w:rsidRPr="00112D14">
        <w:t xml:space="preserve"> in mature apple fruit calyces through the viable but nonculturable (VBNC) state’, </w:t>
      </w:r>
      <w:r w:rsidRPr="00112D14">
        <w:rPr>
          <w:i/>
        </w:rPr>
        <w:t>Journal of Applied Microbiology</w:t>
      </w:r>
      <w:r w:rsidRPr="00112D14">
        <w:t>, vol. 107, no. 1, pp. 106-16.</w:t>
      </w:r>
      <w:bookmarkEnd w:id="1109"/>
    </w:p>
    <w:p w14:paraId="120ACE95" w14:textId="77777777" w:rsidR="003438A2" w:rsidRPr="00112D14" w:rsidRDefault="003438A2" w:rsidP="00112D14">
      <w:pPr>
        <w:pStyle w:val="EndNoteBibliography"/>
        <w:spacing w:after="0"/>
      </w:pPr>
      <w:bookmarkStart w:id="1110" w:name="_ENREF_543"/>
      <w:r w:rsidRPr="00112D14">
        <w:t xml:space="preserve">Ordax, M, Marco-Noales, E, López, MM &amp; Biosca, EG 2006a, ‘Copper induces a viable but nonculturable (VBNC) state in </w:t>
      </w:r>
      <w:r w:rsidRPr="00112D14">
        <w:rPr>
          <w:i/>
        </w:rPr>
        <w:t>Erwinia amylovora</w:t>
      </w:r>
      <w:r w:rsidRPr="00112D14">
        <w:t xml:space="preserve">’, </w:t>
      </w:r>
      <w:r w:rsidRPr="00112D14">
        <w:rPr>
          <w:i/>
        </w:rPr>
        <w:t>Acta Horticulturae (ISHS)</w:t>
      </w:r>
      <w:r w:rsidRPr="00112D14">
        <w:t>, vol. 704, pp. 205-10.</w:t>
      </w:r>
      <w:bookmarkEnd w:id="1110"/>
    </w:p>
    <w:p w14:paraId="43A3F07D" w14:textId="77777777" w:rsidR="003438A2" w:rsidRPr="00112D14" w:rsidRDefault="003438A2" w:rsidP="00112D14">
      <w:pPr>
        <w:pStyle w:val="EndNoteBibliography"/>
        <w:spacing w:after="0"/>
      </w:pPr>
      <w:bookmarkStart w:id="1111" w:name="_ENREF_544"/>
      <w:r w:rsidRPr="00112D14">
        <w:t xml:space="preserve">-- -- 2006b, ‘Survival strategy of </w:t>
      </w:r>
      <w:r w:rsidRPr="00112D14">
        <w:rPr>
          <w:i/>
        </w:rPr>
        <w:t>Erwinia amylovora</w:t>
      </w:r>
      <w:r w:rsidRPr="00112D14">
        <w:t xml:space="preserve"> against copper: induction of the viable but nonculturable state’, </w:t>
      </w:r>
      <w:r w:rsidRPr="00112D14">
        <w:rPr>
          <w:i/>
        </w:rPr>
        <w:t>Applied and Environmental Microbiology</w:t>
      </w:r>
      <w:r w:rsidRPr="00112D14">
        <w:t>, vol. 72, no. 5, pp. 3482-8.</w:t>
      </w:r>
      <w:bookmarkEnd w:id="1111"/>
    </w:p>
    <w:p w14:paraId="034DB465" w14:textId="77777777" w:rsidR="003438A2" w:rsidRPr="00112D14" w:rsidRDefault="003438A2" w:rsidP="00112D14">
      <w:pPr>
        <w:pStyle w:val="EndNoteBibliography"/>
        <w:spacing w:after="0"/>
      </w:pPr>
      <w:bookmarkStart w:id="1112" w:name="_ENREF_545"/>
      <w:r w:rsidRPr="00112D14">
        <w:t xml:space="preserve">-- -- 2010a, ‘Exopolysaccharides favor the survival of </w:t>
      </w:r>
      <w:r w:rsidRPr="00112D14">
        <w:rPr>
          <w:i/>
        </w:rPr>
        <w:t xml:space="preserve">Erwinia amylovora </w:t>
      </w:r>
      <w:r w:rsidRPr="00112D14">
        <w:t xml:space="preserve">under copper stress through different strategies’, </w:t>
      </w:r>
      <w:r w:rsidRPr="00112D14">
        <w:rPr>
          <w:i/>
        </w:rPr>
        <w:t>Research in Microbiology</w:t>
      </w:r>
      <w:r w:rsidRPr="00112D14">
        <w:t>, vol. 161, pp. 549-55.</w:t>
      </w:r>
      <w:bookmarkEnd w:id="1112"/>
    </w:p>
    <w:p w14:paraId="570E3705" w14:textId="77777777" w:rsidR="003438A2" w:rsidRPr="00112D14" w:rsidRDefault="003438A2" w:rsidP="00112D14">
      <w:pPr>
        <w:pStyle w:val="EndNoteBibliography"/>
        <w:spacing w:after="0"/>
      </w:pPr>
      <w:bookmarkStart w:id="1113" w:name="_ENREF_546"/>
      <w:r w:rsidRPr="00112D14">
        <w:t xml:space="preserve">Ordax, M, Piquer-Salcedo, JE, Santander, RD, Sabater-Munoz, B, Biosca, EG, López, MM &amp; Marco-Noales, E 2015, ‘Medfly </w:t>
      </w:r>
      <w:r w:rsidRPr="00112D14">
        <w:rPr>
          <w:i/>
        </w:rPr>
        <w:t>Ceratitis capitata</w:t>
      </w:r>
      <w:r w:rsidRPr="00112D14">
        <w:t xml:space="preserve"> as potential vector for fire blight pathogen </w:t>
      </w:r>
      <w:r w:rsidRPr="00112D14">
        <w:rPr>
          <w:i/>
        </w:rPr>
        <w:t>Erwinia amylovora</w:t>
      </w:r>
      <w:r w:rsidRPr="00112D14">
        <w:t xml:space="preserve">: survival and transmission’, </w:t>
      </w:r>
      <w:r w:rsidRPr="00112D14">
        <w:rPr>
          <w:i/>
        </w:rPr>
        <w:t>PLoS ONE</w:t>
      </w:r>
      <w:r w:rsidRPr="00112D14">
        <w:t>, vol. 10., no. 5.</w:t>
      </w:r>
      <w:bookmarkEnd w:id="1113"/>
    </w:p>
    <w:p w14:paraId="57619ABA" w14:textId="77777777" w:rsidR="003438A2" w:rsidRPr="00112D14" w:rsidRDefault="003438A2" w:rsidP="00112D14">
      <w:pPr>
        <w:pStyle w:val="EndNoteBibliography"/>
        <w:spacing w:after="0"/>
      </w:pPr>
      <w:bookmarkStart w:id="1114" w:name="_ENREF_547"/>
      <w:r w:rsidRPr="00112D14">
        <w:t xml:space="preserve">Ordax, M, Piquer Salcedo, JE, Sabater-Muñoz, B, Biosca, EG &amp; Marco-Noales, E 2010b, </w:t>
      </w:r>
      <w:r w:rsidRPr="00112D14">
        <w:rPr>
          <w:i/>
        </w:rPr>
        <w:t>Identification of the transfer pathway for Erwinia amylovora on fruit - Milestone 109, June 2010</w:t>
      </w:r>
      <w:r w:rsidRPr="00112D14">
        <w:t>, Final Report Project AP07051, Instituto Valenciano de Investigaciones Agrarias (IVIA) for Horticulture Australia Limited, Valencia, Spain.</w:t>
      </w:r>
      <w:bookmarkEnd w:id="1114"/>
    </w:p>
    <w:p w14:paraId="5679AF3B" w14:textId="77777777" w:rsidR="003438A2" w:rsidRPr="00112D14" w:rsidRDefault="003438A2" w:rsidP="00112D14">
      <w:pPr>
        <w:pStyle w:val="EndNoteBibliography"/>
        <w:spacing w:after="0"/>
      </w:pPr>
      <w:bookmarkStart w:id="1115" w:name="_ENREF_548"/>
      <w:r w:rsidRPr="00112D14">
        <w:t xml:space="preserve">Oregon Department of Agriculture 2007, </w:t>
      </w:r>
      <w:r w:rsidRPr="00112D14">
        <w:rPr>
          <w:i/>
        </w:rPr>
        <w:t>Apple chlorotic leafspot virus (ACLSV)</w:t>
      </w:r>
      <w:r w:rsidRPr="00112D14">
        <w:t>, ODA Commodity Inspection Division, Plant Health, Oregon Department of Agriculture</w:t>
      </w:r>
      <w:r>
        <w:t xml:space="preserve">, </w:t>
      </w:r>
      <w:r w:rsidRPr="00112D14">
        <w:t>Oregon, USA.</w:t>
      </w:r>
      <w:bookmarkEnd w:id="1115"/>
    </w:p>
    <w:p w14:paraId="15444639" w14:textId="56A04DDB" w:rsidR="003438A2" w:rsidRPr="00112D14" w:rsidRDefault="003438A2" w:rsidP="00112D14">
      <w:pPr>
        <w:pStyle w:val="EndNoteBibliography"/>
        <w:spacing w:after="0"/>
      </w:pPr>
      <w:bookmarkStart w:id="1116" w:name="_ENREF_549"/>
      <w:r w:rsidRPr="00112D14">
        <w:t xml:space="preserve">Oregon Secretary of State 2019, </w:t>
      </w:r>
      <w:r w:rsidRPr="00112D14">
        <w:rPr>
          <w:i/>
        </w:rPr>
        <w:t>Apple maggot</w:t>
      </w:r>
      <w:r w:rsidRPr="00112D14">
        <w:t xml:space="preserve">, Oregon State Department of Agriculture, Oregon, USA, </w:t>
      </w:r>
      <w:r w:rsidR="00EC51DC" w:rsidRPr="00112D14">
        <w:t>available at</w:t>
      </w:r>
      <w:r w:rsidR="00EC51DC">
        <w:t xml:space="preserve">, </w:t>
      </w:r>
      <w:hyperlink r:id="rId262" w:history="1">
        <w:r w:rsidR="00C82C0D" w:rsidRPr="00A23D73">
          <w:rPr>
            <w:rStyle w:val="Hyperlink"/>
          </w:rPr>
          <w:t>https://secure.sos.state.or.us/oard/viewSingleRule.action?ruleVrsnRsn=158012</w:t>
        </w:r>
      </w:hyperlink>
      <w:r w:rsidR="006D73C9">
        <w:t>.</w:t>
      </w:r>
      <w:bookmarkEnd w:id="1116"/>
    </w:p>
    <w:p w14:paraId="7746BFBC" w14:textId="2763D96B" w:rsidR="003438A2" w:rsidRPr="00112D14" w:rsidRDefault="003438A2" w:rsidP="00112D14">
      <w:pPr>
        <w:pStyle w:val="EndNoteBibliography"/>
        <w:spacing w:after="0"/>
      </w:pPr>
      <w:bookmarkStart w:id="1117" w:name="_ENREF_550"/>
      <w:r w:rsidRPr="00112D14">
        <w:t xml:space="preserve">Oregon State University 2020, ‘Apple Production in Oregon’, </w:t>
      </w:r>
      <w:r w:rsidRPr="00112D14">
        <w:rPr>
          <w:i/>
        </w:rPr>
        <w:t>Oregon State University</w:t>
      </w:r>
      <w:r w:rsidRPr="00112D14">
        <w:t>, Oregon, USA, available at</w:t>
      </w:r>
      <w:r w:rsidR="003E0B67">
        <w:t>,</w:t>
      </w:r>
      <w:r w:rsidRPr="00112D14">
        <w:t xml:space="preserve"> </w:t>
      </w:r>
      <w:hyperlink r:id="rId263" w:history="1">
        <w:r w:rsidR="00CB6ACE" w:rsidRPr="009E4A79">
          <w:rPr>
            <w:rStyle w:val="Hyperlink"/>
          </w:rPr>
          <w:t>https://agsci.oregonstate.edu/tree-fruits-and-nuts/apple-production-oregon</w:t>
        </w:r>
      </w:hyperlink>
      <w:r w:rsidRPr="00112D14">
        <w:t>.</w:t>
      </w:r>
      <w:bookmarkEnd w:id="1117"/>
    </w:p>
    <w:p w14:paraId="703696FD" w14:textId="4E121A85" w:rsidR="003438A2" w:rsidRPr="00112D14" w:rsidRDefault="003438A2" w:rsidP="00112D14">
      <w:pPr>
        <w:pStyle w:val="EndNoteBibliography"/>
        <w:spacing w:after="0"/>
      </w:pPr>
      <w:bookmarkStart w:id="1118" w:name="_ENREF_551"/>
      <w:r w:rsidRPr="00112D14">
        <w:t xml:space="preserve">Ovsyannikova, EI &amp; Grichanov, IY 2005a, </w:t>
      </w:r>
      <w:r w:rsidRPr="00112D14">
        <w:rPr>
          <w:i/>
        </w:rPr>
        <w:t>Hedya nubiferana Haworth: green budworm moth, green budworth, marbled orchard tortrix</w:t>
      </w:r>
      <w:r w:rsidRPr="00112D14">
        <w:t>, Interactive Agricultural Ecological Atlas of Russia and Neighbouring Countries: Economic Plants and their Diseases, Pests and Weeds, available at</w:t>
      </w:r>
      <w:r w:rsidR="0088374A">
        <w:t>,</w:t>
      </w:r>
      <w:r w:rsidRPr="00112D14">
        <w:t xml:space="preserve"> </w:t>
      </w:r>
      <w:hyperlink r:id="rId264" w:history="1">
        <w:r w:rsidR="00CB6ACE" w:rsidRPr="009E4A79">
          <w:rPr>
            <w:rStyle w:val="Hyperlink"/>
          </w:rPr>
          <w:t>http://www.agroatlas.ru/en/content/pests/Hedya_nubiferana/index.html</w:t>
        </w:r>
      </w:hyperlink>
      <w:r w:rsidRPr="00112D14">
        <w:t xml:space="preserve">  </w:t>
      </w:r>
      <w:bookmarkEnd w:id="1118"/>
    </w:p>
    <w:p w14:paraId="6DC3F88F" w14:textId="279050DC" w:rsidR="00CB6ACE" w:rsidRDefault="003438A2" w:rsidP="00112D14">
      <w:pPr>
        <w:pStyle w:val="EndNoteBibliography"/>
        <w:spacing w:after="0"/>
      </w:pPr>
      <w:bookmarkStart w:id="1119" w:name="_ENREF_552"/>
      <w:r w:rsidRPr="00112D14">
        <w:t xml:space="preserve">-- -- 2005b, </w:t>
      </w:r>
      <w:r w:rsidRPr="00112D14">
        <w:rPr>
          <w:i/>
        </w:rPr>
        <w:t>Pandemis heparana Den. et Schiff.: dark fruit-tree tortrix</w:t>
      </w:r>
      <w:r w:rsidRPr="00112D14">
        <w:t>, Interactive Agricultural Ecological Atlas of Russia and Neighbouring Countries: Economic Plants and their Diseases, Pests and Weeds, available at</w:t>
      </w:r>
      <w:r w:rsidR="0088374A">
        <w:t>,</w:t>
      </w:r>
      <w:r w:rsidRPr="00112D14">
        <w:t xml:space="preserve"> </w:t>
      </w:r>
      <w:hyperlink r:id="rId265" w:history="1">
        <w:r w:rsidR="00CB6ACE" w:rsidRPr="009E4A79">
          <w:rPr>
            <w:rStyle w:val="Hyperlink"/>
          </w:rPr>
          <w:t>http://www.agroatlas.ru/en/content/pests/Pandemis_heparana/index.html</w:t>
        </w:r>
      </w:hyperlink>
      <w:r w:rsidR="00CB6ACE">
        <w:t>.</w:t>
      </w:r>
    </w:p>
    <w:p w14:paraId="5CA0F562" w14:textId="667ADB04" w:rsidR="003438A2" w:rsidRPr="00112D14" w:rsidRDefault="003438A2" w:rsidP="00112D14">
      <w:pPr>
        <w:pStyle w:val="EndNoteBibliography"/>
        <w:spacing w:after="0"/>
      </w:pPr>
      <w:bookmarkStart w:id="1120" w:name="_ENREF_553"/>
      <w:bookmarkEnd w:id="1119"/>
      <w:r w:rsidRPr="00112D14">
        <w:t xml:space="preserve">-- -- 2008, </w:t>
      </w:r>
      <w:r w:rsidRPr="00112D14">
        <w:rPr>
          <w:i/>
        </w:rPr>
        <w:t>Argyresthia conjugella Zeller: apple fruit miner</w:t>
      </w:r>
      <w:r w:rsidRPr="00112D14">
        <w:t>, Interactive Agricultural Ecological Atlas of Russia and Neighbouring Countries: Economic Plants and their Diseases, Pests and Weeds, available at</w:t>
      </w:r>
      <w:r w:rsidR="0088374A">
        <w:t>,</w:t>
      </w:r>
      <w:r w:rsidRPr="00112D14">
        <w:t xml:space="preserve"> </w:t>
      </w:r>
      <w:hyperlink r:id="rId266" w:history="1">
        <w:r w:rsidR="00A55146" w:rsidRPr="009E4A79">
          <w:rPr>
            <w:rStyle w:val="Hyperlink"/>
          </w:rPr>
          <w:t>http://www.agroatlas.ru/en/content/pests/Argyresthia_conjugella/index.html</w:t>
        </w:r>
      </w:hyperlink>
      <w:r w:rsidRPr="00112D14">
        <w:t>.</w:t>
      </w:r>
      <w:bookmarkEnd w:id="1120"/>
    </w:p>
    <w:p w14:paraId="25F2A737" w14:textId="77777777" w:rsidR="003438A2" w:rsidRPr="00112D14" w:rsidRDefault="003438A2" w:rsidP="00112D14">
      <w:pPr>
        <w:pStyle w:val="EndNoteBibliography"/>
        <w:spacing w:after="0"/>
      </w:pPr>
      <w:bookmarkStart w:id="1121" w:name="_ENREF_554"/>
      <w:r w:rsidRPr="00112D14">
        <w:t xml:space="preserve">PaDIL 2018, </w:t>
      </w:r>
      <w:r w:rsidRPr="000F3290">
        <w:rPr>
          <w:rFonts w:eastAsia="Calibri" w:cs="Times New Roman"/>
          <w:i/>
          <w:iCs/>
        </w:rPr>
        <w:t xml:space="preserve">Eulecanium tiliae </w:t>
      </w:r>
      <w:r w:rsidRPr="00112D14">
        <w:t>‘PaDIL website’, accessed 2018.</w:t>
      </w:r>
      <w:bookmarkEnd w:id="1121"/>
    </w:p>
    <w:p w14:paraId="6905B10F" w14:textId="77777777" w:rsidR="003438A2" w:rsidRPr="00112D14" w:rsidRDefault="003438A2" w:rsidP="00112D14">
      <w:pPr>
        <w:pStyle w:val="EndNoteBibliography"/>
        <w:spacing w:after="0"/>
      </w:pPr>
      <w:bookmarkStart w:id="1122" w:name="_ENREF_555"/>
      <w:r w:rsidRPr="00112D14">
        <w:t>Page-Weir, N, Jamieson, L, Hawthorne, A, Wilkinson, R, Hartnett, D, Redpath, S, Chhagan, A, Woolf, A &amp; Guo, L 2018, ‘Effect of various heat treatments to target apple leafcurling midge (</w:t>
      </w:r>
      <w:r w:rsidRPr="00112D14">
        <w:rPr>
          <w:i/>
        </w:rPr>
        <w:t>Dasineura mali</w:t>
      </w:r>
      <w:r w:rsidRPr="00112D14">
        <w:t xml:space="preserve">) cocoons on apples’, </w:t>
      </w:r>
      <w:r w:rsidRPr="00112D14">
        <w:rPr>
          <w:i/>
        </w:rPr>
        <w:t>New Zealand Plant Protection</w:t>
      </w:r>
      <w:r w:rsidRPr="00112D14">
        <w:t>, vol. 71, pp. 299-305.</w:t>
      </w:r>
      <w:bookmarkEnd w:id="1122"/>
    </w:p>
    <w:p w14:paraId="1A66829D" w14:textId="77777777" w:rsidR="003438A2" w:rsidRPr="00112D14" w:rsidRDefault="003438A2" w:rsidP="00112D14">
      <w:pPr>
        <w:pStyle w:val="EndNoteBibliography"/>
        <w:spacing w:after="0"/>
      </w:pPr>
      <w:bookmarkStart w:id="1123" w:name="_ENREF_556"/>
      <w:r w:rsidRPr="00112D14">
        <w:t xml:space="preserve">Parish, CL 1990, ‘Dead spur’, in </w:t>
      </w:r>
      <w:r w:rsidRPr="00112D14">
        <w:rPr>
          <w:i/>
        </w:rPr>
        <w:t>Compendium of apple and pear diseases</w:t>
      </w:r>
      <w:r w:rsidRPr="00112D14">
        <w:t>, Jones, AL &amp; Aldwinckle, HS (eds), The American Phytopathological Society Press, St. Paul, Minnesota.</w:t>
      </w:r>
      <w:bookmarkEnd w:id="1123"/>
    </w:p>
    <w:p w14:paraId="69AD85AB" w14:textId="77777777" w:rsidR="003438A2" w:rsidRPr="00112D14" w:rsidRDefault="003438A2" w:rsidP="00112D14">
      <w:pPr>
        <w:pStyle w:val="EndNoteBibliography"/>
        <w:spacing w:after="0"/>
      </w:pPr>
      <w:bookmarkStart w:id="1124" w:name="_ENREF_557"/>
      <w:r w:rsidRPr="00112D14">
        <w:t xml:space="preserve">Parish, CL &amp; Hansen, AJ 1990, ‘Transmissible bark disorders’, in </w:t>
      </w:r>
      <w:r w:rsidRPr="00112D14">
        <w:rPr>
          <w:i/>
        </w:rPr>
        <w:t>Compendium of apple and pear diseases</w:t>
      </w:r>
      <w:r w:rsidRPr="00112D14">
        <w:t>, Jones, AL &amp; Aldwinckle, HS (eds), The American Phytopathological Society Press, St. Paul, Minnesota.</w:t>
      </w:r>
      <w:bookmarkEnd w:id="1124"/>
    </w:p>
    <w:p w14:paraId="40EDD9A5" w14:textId="77777777" w:rsidR="003438A2" w:rsidRPr="00112D14" w:rsidRDefault="003438A2" w:rsidP="00112D14">
      <w:pPr>
        <w:pStyle w:val="EndNoteBibliography"/>
        <w:spacing w:after="0"/>
      </w:pPr>
      <w:bookmarkStart w:id="1125" w:name="_ENREF_558"/>
      <w:r w:rsidRPr="00112D14">
        <w:t xml:space="preserve">Parish, CL, Stahly, EA, Florance, ER &amp; Williams, MW 1982, ‘Dead spur of red delicious apple’, </w:t>
      </w:r>
      <w:r w:rsidRPr="00112D14">
        <w:rPr>
          <w:i/>
        </w:rPr>
        <w:t>Acta Horticulturae (ISHS)</w:t>
      </w:r>
      <w:r w:rsidRPr="00112D14">
        <w:t>, vol. 130, pp. 59-66.</w:t>
      </w:r>
      <w:bookmarkEnd w:id="1125"/>
    </w:p>
    <w:p w14:paraId="7FC377B0" w14:textId="77777777" w:rsidR="003438A2" w:rsidRPr="00112D14" w:rsidRDefault="003438A2" w:rsidP="00112D14">
      <w:pPr>
        <w:pStyle w:val="EndNoteBibliography"/>
        <w:spacing w:after="0"/>
      </w:pPr>
      <w:bookmarkStart w:id="1126" w:name="_ENREF_559"/>
      <w:r w:rsidRPr="00112D14">
        <w:t xml:space="preserve">Parrott, PJ &amp; Glassgow, H 1916, ‘The leaf-weevil </w:t>
      </w:r>
      <w:r w:rsidRPr="00112D14">
        <w:rPr>
          <w:i/>
        </w:rPr>
        <w:t>(Polydrusus impressifrons</w:t>
      </w:r>
      <w:r w:rsidRPr="00112D14">
        <w:t xml:space="preserve"> Gyll.) in New York’, </w:t>
      </w:r>
      <w:r w:rsidRPr="00112D14">
        <w:rPr>
          <w:i/>
        </w:rPr>
        <w:t>Report of the Entomological Society of Ontario</w:t>
      </w:r>
      <w:r w:rsidRPr="00112D14">
        <w:t>, vol. 36, pp. 60-5.</w:t>
      </w:r>
      <w:bookmarkEnd w:id="1126"/>
    </w:p>
    <w:p w14:paraId="08D39899" w14:textId="77777777" w:rsidR="003438A2" w:rsidRPr="00112D14" w:rsidRDefault="003438A2" w:rsidP="00112D14">
      <w:pPr>
        <w:pStyle w:val="EndNoteBibliography"/>
        <w:spacing w:after="0"/>
      </w:pPr>
      <w:bookmarkStart w:id="1127" w:name="_ENREF_560"/>
      <w:r w:rsidRPr="00112D14">
        <w:t>Pasini, D 2015, ‘Closer to the field: a laboratory bioassay to assess the effect of a background odour on the attraction to host-volatiles’, Corso di Laurea Magistrale in Scienze e Tecnologie Agrarie, Università Degli Studi di Padova.</w:t>
      </w:r>
      <w:bookmarkEnd w:id="1127"/>
    </w:p>
    <w:p w14:paraId="3891CA39" w14:textId="77777777" w:rsidR="003438A2" w:rsidRPr="00112D14" w:rsidRDefault="003438A2" w:rsidP="00112D14">
      <w:pPr>
        <w:pStyle w:val="EndNoteBibliography"/>
        <w:spacing w:after="0"/>
      </w:pPr>
      <w:bookmarkStart w:id="1128" w:name="_ENREF_561"/>
      <w:r w:rsidRPr="00112D14">
        <w:t>Pattemore, DE, Goodwin, RM, McBrydie, HM, Hoyte, SM &amp; Vanneste, JL 2014, ‘Evidence of the role of honey bees (</w:t>
      </w:r>
      <w:r w:rsidRPr="00112D14">
        <w:rPr>
          <w:i/>
        </w:rPr>
        <w:t>Apis mellifera</w:t>
      </w:r>
      <w:r w:rsidRPr="00112D14">
        <w:t xml:space="preserve">) as vectors of the bacterial plant pathogen </w:t>
      </w:r>
      <w:r w:rsidRPr="00112D14">
        <w:rPr>
          <w:i/>
        </w:rPr>
        <w:t>Pseudomonas syringae</w:t>
      </w:r>
      <w:r w:rsidRPr="00112D14">
        <w:t xml:space="preserve">’, </w:t>
      </w:r>
      <w:r w:rsidRPr="00112D14">
        <w:rPr>
          <w:i/>
        </w:rPr>
        <w:t>Australasian Plant Pathology</w:t>
      </w:r>
      <w:r w:rsidRPr="00112D14">
        <w:t>, vol. 43, no. 5, pp. 571-5.</w:t>
      </w:r>
      <w:bookmarkEnd w:id="1128"/>
    </w:p>
    <w:p w14:paraId="4C07BFBA" w14:textId="3C42E034" w:rsidR="003438A2" w:rsidRPr="00112D14" w:rsidRDefault="003438A2" w:rsidP="00112D14">
      <w:pPr>
        <w:pStyle w:val="EndNoteBibliography"/>
        <w:spacing w:after="0"/>
      </w:pPr>
      <w:bookmarkStart w:id="1129" w:name="_ENREF_562"/>
      <w:r w:rsidRPr="00112D14">
        <w:t xml:space="preserve">Paulin, J 2010, ‘DS367: Australia - Measures affecting the importation of apples from New Zealand’, </w:t>
      </w:r>
      <w:r w:rsidRPr="00112D14">
        <w:rPr>
          <w:i/>
        </w:rPr>
        <w:t>World Trade Organisation</w:t>
      </w:r>
      <w:r w:rsidRPr="00112D14">
        <w:t>, World Trade Organisation, Rome, Italy, available at</w:t>
      </w:r>
      <w:r w:rsidR="00534599">
        <w:t>,</w:t>
      </w:r>
      <w:r w:rsidRPr="00112D14">
        <w:t xml:space="preserve"> </w:t>
      </w:r>
      <w:hyperlink r:id="rId267" w:history="1">
        <w:r w:rsidR="00A55146" w:rsidRPr="009E4A79">
          <w:rPr>
            <w:rStyle w:val="Hyperlink"/>
          </w:rPr>
          <w:t>https://www.wto.org/english/tratop_e/dispu_e/cases_e/ds367_e.htm</w:t>
        </w:r>
      </w:hyperlink>
      <w:r w:rsidRPr="00112D14">
        <w:t>.</w:t>
      </w:r>
      <w:bookmarkEnd w:id="1129"/>
    </w:p>
    <w:p w14:paraId="6053264C" w14:textId="77777777" w:rsidR="003438A2" w:rsidRPr="00112D14" w:rsidRDefault="003438A2" w:rsidP="00112D14">
      <w:pPr>
        <w:pStyle w:val="EndNoteBibliography"/>
        <w:spacing w:after="0"/>
      </w:pPr>
      <w:bookmarkStart w:id="1130" w:name="_ENREF_563"/>
      <w:r w:rsidRPr="00112D14">
        <w:t xml:space="preserve">Pearsall, IA 2002, ‘Daily flight activity of the Western flower thrips (Thysanoptera: Thripidae) in nectarine orchards in British Columbia, Canada’, </w:t>
      </w:r>
      <w:r w:rsidRPr="00112D14">
        <w:rPr>
          <w:i/>
        </w:rPr>
        <w:t>Journal of Applied Entomology-Zeitschrift fur Angewandte Entomologie</w:t>
      </w:r>
      <w:r w:rsidRPr="00112D14">
        <w:t>, vol. 126, no. 6, pp. 293-302.</w:t>
      </w:r>
      <w:bookmarkEnd w:id="1130"/>
    </w:p>
    <w:p w14:paraId="70F128BE" w14:textId="77777777" w:rsidR="003438A2" w:rsidRPr="00112D14" w:rsidRDefault="003438A2" w:rsidP="00112D14">
      <w:pPr>
        <w:pStyle w:val="EndNoteBibliography"/>
        <w:spacing w:after="0"/>
      </w:pPr>
      <w:bookmarkStart w:id="1131" w:name="_ENREF_564"/>
      <w:r w:rsidRPr="00112D14">
        <w:t xml:space="preserve">Pearson, RC, Aldwinckle, HS &amp; Seem, RC 1977, ‘Teliospore germination and basidiospore formation in </w:t>
      </w:r>
      <w:r w:rsidRPr="00112D14">
        <w:rPr>
          <w:i/>
        </w:rPr>
        <w:t>Gymnosporangium juniperi-virginianae</w:t>
      </w:r>
      <w:r w:rsidRPr="00112D14">
        <w:t xml:space="preserve">: a regression model of temperature and time effects’, </w:t>
      </w:r>
      <w:r w:rsidRPr="00112D14">
        <w:rPr>
          <w:i/>
        </w:rPr>
        <w:t>Canadian Journal of Botany</w:t>
      </w:r>
      <w:r w:rsidRPr="00112D14">
        <w:t>, vol. 55, pp. 2832-7.</w:t>
      </w:r>
      <w:bookmarkEnd w:id="1131"/>
    </w:p>
    <w:p w14:paraId="6EB4F9E1" w14:textId="77777777" w:rsidR="003438A2" w:rsidRPr="00112D14" w:rsidRDefault="003438A2" w:rsidP="00112D14">
      <w:pPr>
        <w:pStyle w:val="EndNoteBibliography"/>
        <w:spacing w:after="0"/>
      </w:pPr>
      <w:bookmarkStart w:id="1132" w:name="_ENREF_565"/>
      <w:r w:rsidRPr="00112D14">
        <w:t xml:space="preserve">Peel, MC, Finlayson, BL &amp; McMahon, TA 2007, ‘Updated world map of the Köppen-Geiger climate classification’, </w:t>
      </w:r>
      <w:r w:rsidRPr="00112D14">
        <w:rPr>
          <w:i/>
        </w:rPr>
        <w:t>Hydrology and Earth System Sciences Discussions</w:t>
      </w:r>
      <w:r w:rsidRPr="00112D14">
        <w:t>, vol. 4, pp. 439-73.</w:t>
      </w:r>
      <w:bookmarkEnd w:id="1132"/>
    </w:p>
    <w:p w14:paraId="2FE32C7E" w14:textId="77777777" w:rsidR="003438A2" w:rsidRPr="00112D14" w:rsidRDefault="003438A2" w:rsidP="00112D14">
      <w:pPr>
        <w:pStyle w:val="EndNoteBibliography"/>
        <w:spacing w:after="0"/>
      </w:pPr>
      <w:bookmarkStart w:id="1133" w:name="_ENREF_567"/>
      <w:r w:rsidRPr="00112D14">
        <w:t xml:space="preserve">Perry, C 2014, ‘Common </w:t>
      </w:r>
      <w:r w:rsidRPr="00112D14">
        <w:rPr>
          <w:i/>
        </w:rPr>
        <w:t>Vitis vinifera</w:t>
      </w:r>
      <w:r w:rsidRPr="00112D14">
        <w:t xml:space="preserve"> mite pests (</w:t>
      </w:r>
      <w:r w:rsidRPr="00112D14">
        <w:rPr>
          <w:i/>
        </w:rPr>
        <w:t>Tetranychus pacificus</w:t>
      </w:r>
      <w:r w:rsidRPr="00112D14">
        <w:t xml:space="preserve"> and </w:t>
      </w:r>
      <w:r w:rsidRPr="00112D14">
        <w:rPr>
          <w:i/>
        </w:rPr>
        <w:t>Eotetranychus willamettei</w:t>
      </w:r>
      <w:r w:rsidRPr="00112D14">
        <w:t>) reaction to fungicides and water stress on chardonnay’, Bachelor of Science in Wine and Viticulture Senior Project, California Polytechnic State University.</w:t>
      </w:r>
      <w:bookmarkEnd w:id="1133"/>
    </w:p>
    <w:p w14:paraId="392EAC13" w14:textId="77777777" w:rsidR="003438A2" w:rsidRPr="00112D14" w:rsidRDefault="003438A2" w:rsidP="00112D14">
      <w:pPr>
        <w:pStyle w:val="EndNoteBibliography"/>
        <w:spacing w:after="0"/>
      </w:pPr>
      <w:bookmarkStart w:id="1134" w:name="_ENREF_568"/>
      <w:r w:rsidRPr="00112D14">
        <w:t>Pešicová, K, Kolařík, M, Hortová, B &amp; Novotný, D 2017, ‘Diversity and identification of</w:t>
      </w:r>
      <w:r w:rsidRPr="00112D14">
        <w:rPr>
          <w:i/>
        </w:rPr>
        <w:t xml:space="preserve"> Neofabraea</w:t>
      </w:r>
      <w:r w:rsidRPr="00112D14">
        <w:t xml:space="preserve"> species causing bull’s eye rot in the Czech Republic’, </w:t>
      </w:r>
      <w:r w:rsidRPr="00112D14">
        <w:rPr>
          <w:i/>
        </w:rPr>
        <w:t>European Journal of Plant Pathology</w:t>
      </w:r>
      <w:r w:rsidRPr="00112D14">
        <w:t>, vol. 147, pp. 683-93.</w:t>
      </w:r>
      <w:bookmarkEnd w:id="1134"/>
    </w:p>
    <w:p w14:paraId="4E8C279F" w14:textId="1D78B1C1" w:rsidR="003438A2" w:rsidRPr="00112D14" w:rsidRDefault="003438A2" w:rsidP="00112D14">
      <w:pPr>
        <w:pStyle w:val="EndNoteBibliography"/>
        <w:spacing w:after="0"/>
      </w:pPr>
      <w:bookmarkStart w:id="1135" w:name="_ENREF_569"/>
      <w:r w:rsidRPr="00112D14">
        <w:t xml:space="preserve">Pfeiffer, DG 2013, </w:t>
      </w:r>
      <w:r w:rsidRPr="00112D14">
        <w:rPr>
          <w:i/>
        </w:rPr>
        <w:t>Cranberry fruitworm, Acrobasis (=Mineola) vaccinii Riley (Pyralidae), and cherry fruitworm, Grapholita packardi Zeller (Tortricidae)</w:t>
      </w:r>
      <w:r w:rsidRPr="00112D14">
        <w:t>, Virginia Tech, available at</w:t>
      </w:r>
      <w:r w:rsidR="0028367D">
        <w:t>,</w:t>
      </w:r>
      <w:r w:rsidRPr="00112D14">
        <w:t xml:space="preserve"> </w:t>
      </w:r>
      <w:hyperlink r:id="rId268" w:history="1">
        <w:r w:rsidR="00A55146" w:rsidRPr="009E4A79">
          <w:rPr>
            <w:rStyle w:val="Hyperlink"/>
          </w:rPr>
          <w:t>http://www.virginiafruit.ento.vt.edu/Blueberryfruitworms.html</w:t>
        </w:r>
      </w:hyperlink>
      <w:r w:rsidRPr="00112D14">
        <w:t>.</w:t>
      </w:r>
      <w:bookmarkEnd w:id="1135"/>
    </w:p>
    <w:p w14:paraId="71D8ECFB" w14:textId="77777777" w:rsidR="003438A2" w:rsidRPr="00112D14" w:rsidRDefault="003438A2" w:rsidP="00112D14">
      <w:pPr>
        <w:pStyle w:val="EndNoteBibliography"/>
        <w:spacing w:after="0"/>
      </w:pPr>
      <w:bookmarkStart w:id="1136" w:name="_ENREF_570"/>
      <w:r w:rsidRPr="00112D14">
        <w:t xml:space="preserve">Pfeiffer, DG, Killian, JC &amp; Yoder, KS 1999, ‘Clarifying the roles of white apple leafhopper and potato leafhopper (Homoptera: Cicadellidae) in fire blight transmission in apple’, </w:t>
      </w:r>
      <w:r w:rsidRPr="00112D14">
        <w:rPr>
          <w:i/>
        </w:rPr>
        <w:t>Journal of Entomological Science</w:t>
      </w:r>
      <w:r w:rsidRPr="00112D14">
        <w:t>, vol. 34, no. 3, pp. 314-21.</w:t>
      </w:r>
      <w:bookmarkEnd w:id="1136"/>
    </w:p>
    <w:p w14:paraId="2A083A71" w14:textId="77777777" w:rsidR="003438A2" w:rsidRPr="00112D14" w:rsidRDefault="003438A2" w:rsidP="00112D14">
      <w:pPr>
        <w:pStyle w:val="EndNoteBibliography"/>
        <w:spacing w:after="0"/>
      </w:pPr>
      <w:bookmarkStart w:id="1137" w:name="_ENREF_571"/>
      <w:r w:rsidRPr="00112D14">
        <w:t xml:space="preserve">Phillips, AJL, Alves, A, Pennycook, SR, Johnston, PR, Ramaley, A, Akulov, A &amp; Crous, PW 2008, ‘Resolving the phylogenetic and taxonomic status of dark-spored teleomorph genera in the Botryosphaeriaceae’, </w:t>
      </w:r>
      <w:r w:rsidRPr="00112D14">
        <w:rPr>
          <w:i/>
        </w:rPr>
        <w:t>Persoonia</w:t>
      </w:r>
      <w:r w:rsidRPr="00112D14">
        <w:t>, vol. 21, pp. 29-55.</w:t>
      </w:r>
      <w:bookmarkEnd w:id="1137"/>
    </w:p>
    <w:p w14:paraId="18B6D233" w14:textId="3A47EA6B" w:rsidR="003438A2" w:rsidRPr="00112D14" w:rsidRDefault="003438A2" w:rsidP="00112D14">
      <w:pPr>
        <w:pStyle w:val="EndNoteBibliography"/>
        <w:spacing w:after="0"/>
      </w:pPr>
      <w:bookmarkStart w:id="1138" w:name="_ENREF_572"/>
      <w:r w:rsidRPr="00112D14">
        <w:t xml:space="preserve">Phillips, PA, Faber, BA, Morse, JG &amp; Hoddle, MS 2009, </w:t>
      </w:r>
      <w:r w:rsidRPr="00112D14">
        <w:rPr>
          <w:i/>
        </w:rPr>
        <w:t>Avocado: invertebrates</w:t>
      </w:r>
      <w:r w:rsidRPr="00112D14">
        <w:t>, UC IPM Online: Statewide integrated pest management program, University of California, Agriculture and Natural Resources, available at</w:t>
      </w:r>
      <w:r w:rsidR="0028367D">
        <w:t>,</w:t>
      </w:r>
      <w:r w:rsidRPr="00112D14">
        <w:t xml:space="preserve"> </w:t>
      </w:r>
      <w:hyperlink r:id="rId269" w:history="1">
        <w:r w:rsidR="00A55146" w:rsidRPr="009E4A79">
          <w:rPr>
            <w:rStyle w:val="Hyperlink"/>
          </w:rPr>
          <w:t>http://www.ipm.ucdavis.edu/PDF/PMG/pmgavocado.pdf</w:t>
        </w:r>
      </w:hyperlink>
      <w:r w:rsidRPr="00112D14">
        <w:t>.</w:t>
      </w:r>
      <w:bookmarkEnd w:id="1138"/>
    </w:p>
    <w:p w14:paraId="38AABD81" w14:textId="167E3352" w:rsidR="003438A2" w:rsidRPr="00112D14" w:rsidRDefault="003438A2" w:rsidP="00112D14">
      <w:pPr>
        <w:pStyle w:val="EndNoteBibliography"/>
        <w:spacing w:after="0"/>
      </w:pPr>
      <w:bookmarkStart w:id="1139" w:name="_ENREF_573"/>
      <w:r w:rsidRPr="00112D14">
        <w:t xml:space="preserve">Pickel, C, Bentley, W, Hasey, JK &amp; Day, KR 2017, </w:t>
      </w:r>
      <w:r w:rsidRPr="00112D14">
        <w:rPr>
          <w:i/>
        </w:rPr>
        <w:t>Insects and Mites</w:t>
      </w:r>
      <w:r w:rsidRPr="00112D14">
        <w:t xml:space="preserve">, UC IPM Pest Management Guidelines: Peach, Publication 3454, University of California, Agriculture and Natural Resources, available at </w:t>
      </w:r>
      <w:hyperlink r:id="rId270" w:history="1">
        <w:r w:rsidR="00A55146" w:rsidRPr="009E4A79">
          <w:rPr>
            <w:rStyle w:val="Hyperlink"/>
          </w:rPr>
          <w:t>http://ipm.ucdavis.edu/PDF/PMG/pmgpeach.pdf</w:t>
        </w:r>
      </w:hyperlink>
      <w:r w:rsidRPr="00112D14">
        <w:t>.</w:t>
      </w:r>
      <w:bookmarkEnd w:id="1139"/>
    </w:p>
    <w:p w14:paraId="0934C294" w14:textId="77777777" w:rsidR="003438A2" w:rsidRPr="00112D14" w:rsidRDefault="003438A2" w:rsidP="00112D14">
      <w:pPr>
        <w:pStyle w:val="EndNoteBibliography"/>
        <w:spacing w:after="0"/>
      </w:pPr>
      <w:bookmarkStart w:id="1140" w:name="_ENREF_574"/>
      <w:r w:rsidRPr="00112D14">
        <w:t xml:space="preserve">Pierson, CF, Ceponis, MJ &amp; McColloch, LP 1971, </w:t>
      </w:r>
      <w:r w:rsidRPr="00112D14">
        <w:rPr>
          <w:i/>
        </w:rPr>
        <w:t>Market diseases of apples, pears and quinces: miscellaneous rots</w:t>
      </w:r>
      <w:r w:rsidRPr="00112D14">
        <w:t>, United States Department of Agriculture, Agricultural Research Service, National Genetic Resources Program, Germplasm Resources Information Network</w:t>
      </w:r>
      <w:r>
        <w:t>.</w:t>
      </w:r>
      <w:bookmarkEnd w:id="1140"/>
    </w:p>
    <w:p w14:paraId="48194A88" w14:textId="2BA7CB9B" w:rsidR="003438A2" w:rsidRPr="00112D14" w:rsidRDefault="003438A2" w:rsidP="00112D14">
      <w:pPr>
        <w:pStyle w:val="EndNoteBibliography"/>
        <w:spacing w:after="0"/>
      </w:pPr>
      <w:bookmarkStart w:id="1141" w:name="_ENREF_575"/>
      <w:r w:rsidRPr="00112D14">
        <w:t>Plant Health Australia 2018, ‘Australian Plant Pest Database, online database’, The Atlas of Living Australia, available at</w:t>
      </w:r>
      <w:r w:rsidR="0028367D">
        <w:t>,</w:t>
      </w:r>
      <w:r w:rsidRPr="00112D14">
        <w:t xml:space="preserve"> </w:t>
      </w:r>
      <w:hyperlink r:id="rId271" w:history="1">
        <w:r w:rsidR="00A55146" w:rsidRPr="009E4A79">
          <w:rPr>
            <w:rStyle w:val="Hyperlink"/>
          </w:rPr>
          <w:t>http://www.planthealthaustralia.com.au/resources/australian-plant-pest-database/</w:t>
        </w:r>
      </w:hyperlink>
      <w:r w:rsidRPr="00112D14">
        <w:t>, accessed 2018.</w:t>
      </w:r>
      <w:bookmarkEnd w:id="1141"/>
    </w:p>
    <w:p w14:paraId="0D4D280A" w14:textId="77777777" w:rsidR="003438A2" w:rsidRPr="00112D14" w:rsidRDefault="003438A2" w:rsidP="00112D14">
      <w:pPr>
        <w:pStyle w:val="EndNoteBibliography"/>
        <w:spacing w:after="0"/>
      </w:pPr>
      <w:bookmarkStart w:id="1142" w:name="_ENREF_576"/>
      <w:r w:rsidRPr="00112D14">
        <w:t xml:space="preserve">Plante, F, Hamelin, RC &amp; Bernier, L 2002, ‘A comparative study of genetic diversity of populations of </w:t>
      </w:r>
      <w:r w:rsidRPr="00112D14">
        <w:rPr>
          <w:i/>
        </w:rPr>
        <w:t>Nectria galligena</w:t>
      </w:r>
      <w:r w:rsidRPr="00112D14">
        <w:t xml:space="preserve"> and </w:t>
      </w:r>
      <w:r w:rsidRPr="00112D14">
        <w:rPr>
          <w:i/>
        </w:rPr>
        <w:t xml:space="preserve">N. coccinea </w:t>
      </w:r>
      <w:r w:rsidRPr="00112D14">
        <w:t>var.</w:t>
      </w:r>
      <w:r w:rsidRPr="00112D14">
        <w:rPr>
          <w:i/>
        </w:rPr>
        <w:t xml:space="preserve"> faginata</w:t>
      </w:r>
      <w:r w:rsidRPr="00112D14">
        <w:t xml:space="preserve"> in North America’, </w:t>
      </w:r>
      <w:r w:rsidRPr="00112D14">
        <w:rPr>
          <w:i/>
        </w:rPr>
        <w:t>Mycological Research</w:t>
      </w:r>
      <w:r w:rsidRPr="00112D14">
        <w:t>, vol. 106, no. 2, pp. 183-93.</w:t>
      </w:r>
      <w:bookmarkEnd w:id="1142"/>
    </w:p>
    <w:p w14:paraId="4C075BC3" w14:textId="5F3ABCAB" w:rsidR="00567975" w:rsidRDefault="003438A2" w:rsidP="00112D14">
      <w:pPr>
        <w:pStyle w:val="EndNoteBibliography"/>
        <w:spacing w:after="0"/>
      </w:pPr>
      <w:bookmarkStart w:id="1143" w:name="_ENREF_577"/>
      <w:r w:rsidRPr="00112D14">
        <w:t>Plantwise 2020, ‘Plantwise Knowledge Bank’, CAB International, available at</w:t>
      </w:r>
      <w:r w:rsidR="0028367D">
        <w:t>,</w:t>
      </w:r>
      <w:r w:rsidRPr="00112D14">
        <w:t xml:space="preserve"> </w:t>
      </w:r>
      <w:hyperlink r:id="rId272" w:history="1">
        <w:r w:rsidR="00567975" w:rsidRPr="00F75888">
          <w:rPr>
            <w:rStyle w:val="Hyperlink"/>
          </w:rPr>
          <w:t>http://www.plantwise.org/KnowledgeBank/Home.aspx</w:t>
        </w:r>
      </w:hyperlink>
      <w:r w:rsidR="00567975">
        <w:t xml:space="preserve">, </w:t>
      </w:r>
      <w:r w:rsidRPr="00112D14">
        <w:t>accessed 2020</w:t>
      </w:r>
    </w:p>
    <w:p w14:paraId="4A949698" w14:textId="442DEEC9" w:rsidR="003438A2" w:rsidRPr="00112D14" w:rsidRDefault="003438A2" w:rsidP="00112D14">
      <w:pPr>
        <w:pStyle w:val="EndNoteBibliography"/>
        <w:spacing w:after="0"/>
      </w:pPr>
      <w:bookmarkStart w:id="1144" w:name="_ENREF_578"/>
      <w:bookmarkEnd w:id="1143"/>
      <w:r w:rsidRPr="00112D14">
        <w:t xml:space="preserve">PNW Handbooks 2010, </w:t>
      </w:r>
      <w:r w:rsidRPr="00112D14">
        <w:rPr>
          <w:i/>
        </w:rPr>
        <w:t>Pear (Pyrus spp.) - Pacific Coast Pear Rust</w:t>
      </w:r>
      <w:r w:rsidRPr="00112D14">
        <w:t xml:space="preserve">, Oregon State University, Oregon, USA, </w:t>
      </w:r>
      <w:r>
        <w:t xml:space="preserve">available at </w:t>
      </w:r>
      <w:hyperlink r:id="rId273" w:history="1">
        <w:r w:rsidR="00A55146" w:rsidRPr="009E4A79">
          <w:rPr>
            <w:rStyle w:val="Hyperlink"/>
          </w:rPr>
          <w:t>https://pnwhandbooks.org/plantdisease/host-disease/pear-pyrus-spp-pacific-coast-pear-rust</w:t>
        </w:r>
      </w:hyperlink>
      <w:r w:rsidRPr="00112D14">
        <w:t>.</w:t>
      </w:r>
      <w:bookmarkEnd w:id="1144"/>
    </w:p>
    <w:p w14:paraId="41622307" w14:textId="3FD52732" w:rsidR="003438A2" w:rsidRPr="00112D14" w:rsidRDefault="003438A2" w:rsidP="00112D14">
      <w:pPr>
        <w:pStyle w:val="EndNoteBibliography"/>
        <w:spacing w:after="0"/>
      </w:pPr>
      <w:bookmarkStart w:id="1145" w:name="_ENREF_579"/>
      <w:r w:rsidRPr="00112D14">
        <w:t xml:space="preserve">-- -- 2019a, </w:t>
      </w:r>
      <w:r w:rsidRPr="00112D14">
        <w:rPr>
          <w:i/>
        </w:rPr>
        <w:t>Apple (Malus spp.)-Nectria Canker (European Canker)</w:t>
      </w:r>
      <w:r w:rsidRPr="00112D14">
        <w:t>, Oregon State University, Oregon, USA,</w:t>
      </w:r>
      <w:r w:rsidR="00594C34">
        <w:t xml:space="preserve"> </w:t>
      </w:r>
      <w:r w:rsidR="00594C34" w:rsidRPr="00112D14">
        <w:t>available at</w:t>
      </w:r>
      <w:r w:rsidR="00594C34">
        <w:t>,</w:t>
      </w:r>
      <w:r w:rsidRPr="00112D14">
        <w:t xml:space="preserve"> </w:t>
      </w:r>
      <w:hyperlink r:id="rId274" w:history="1">
        <w:r w:rsidR="00A55146" w:rsidRPr="009E4A79">
          <w:rPr>
            <w:rStyle w:val="Hyperlink"/>
          </w:rPr>
          <w:t>https://pnwhandbooks.org/plantdisease/host-disease/apple-malus-spp-nectria-canker-european-canker</w:t>
        </w:r>
      </w:hyperlink>
      <w:r w:rsidRPr="00112D14">
        <w:t>.</w:t>
      </w:r>
      <w:bookmarkEnd w:id="1145"/>
    </w:p>
    <w:p w14:paraId="6CE6AD44" w14:textId="562DCA89" w:rsidR="003438A2" w:rsidRPr="00112D14" w:rsidRDefault="003438A2" w:rsidP="00112D14">
      <w:pPr>
        <w:pStyle w:val="EndNoteBibliography"/>
        <w:spacing w:after="0"/>
      </w:pPr>
      <w:bookmarkStart w:id="1146" w:name="_ENREF_580"/>
      <w:r w:rsidRPr="00112D14">
        <w:t xml:space="preserve">-- -- 2019b, </w:t>
      </w:r>
      <w:r w:rsidRPr="00112D14">
        <w:rPr>
          <w:i/>
        </w:rPr>
        <w:t>Apple (Malus spp.)-Anthracnose (Bull's-eye Rot)</w:t>
      </w:r>
      <w:r w:rsidRPr="00112D14">
        <w:t>, Oregon State University, Oregon, USA,</w:t>
      </w:r>
      <w:r>
        <w:t xml:space="preserve"> available at</w:t>
      </w:r>
      <w:r w:rsidR="00D857C1">
        <w:t>,</w:t>
      </w:r>
      <w:r w:rsidRPr="00112D14">
        <w:t xml:space="preserve"> </w:t>
      </w:r>
      <w:hyperlink r:id="rId275" w:history="1">
        <w:r w:rsidR="00A55146" w:rsidRPr="009E4A79">
          <w:rPr>
            <w:rStyle w:val="Hyperlink"/>
          </w:rPr>
          <w:t>https://pnwhandbooks.org/plantdisease/host-disease/apple-malus-spp-anthracnose-bulls-eye-rot</w:t>
        </w:r>
      </w:hyperlink>
      <w:r w:rsidRPr="00112D14">
        <w:t>.</w:t>
      </w:r>
      <w:bookmarkEnd w:id="1146"/>
    </w:p>
    <w:p w14:paraId="6891EEDB" w14:textId="35BFDEA9" w:rsidR="003438A2" w:rsidRPr="00112D14" w:rsidRDefault="003438A2" w:rsidP="00112D14">
      <w:pPr>
        <w:pStyle w:val="EndNoteBibliography"/>
        <w:spacing w:after="0"/>
      </w:pPr>
      <w:bookmarkStart w:id="1147" w:name="_ENREF_581"/>
      <w:r w:rsidRPr="00112D14">
        <w:t xml:space="preserve">-- -- 2019c, </w:t>
      </w:r>
      <w:r w:rsidRPr="00112D14">
        <w:rPr>
          <w:i/>
        </w:rPr>
        <w:t>Apple maggot</w:t>
      </w:r>
      <w:r w:rsidRPr="00112D14">
        <w:t xml:space="preserve">, Oregon State University, Oregon, USA, </w:t>
      </w:r>
      <w:r>
        <w:t>available at</w:t>
      </w:r>
      <w:r w:rsidR="00D857C1">
        <w:t>,</w:t>
      </w:r>
      <w:r>
        <w:t xml:space="preserve"> </w:t>
      </w:r>
      <w:hyperlink r:id="rId276" w:history="1">
        <w:r w:rsidR="00A55146" w:rsidRPr="009E4A79">
          <w:rPr>
            <w:rStyle w:val="Hyperlink"/>
          </w:rPr>
          <w:t>https://pnwhandbooks.org/insect/tree-fruit/apple/apple-apple-maggot</w:t>
        </w:r>
      </w:hyperlink>
      <w:r w:rsidRPr="00112D14">
        <w:t>.</w:t>
      </w:r>
      <w:bookmarkEnd w:id="1147"/>
    </w:p>
    <w:p w14:paraId="418529CA" w14:textId="77777777" w:rsidR="003438A2" w:rsidRPr="00112D14" w:rsidRDefault="003438A2" w:rsidP="00112D14">
      <w:pPr>
        <w:pStyle w:val="EndNoteBibliography"/>
        <w:spacing w:after="0"/>
      </w:pPr>
      <w:bookmarkStart w:id="1148" w:name="_ENREF_582"/>
      <w:r w:rsidRPr="00112D14">
        <w:t xml:space="preserve">-- -- 2019d, </w:t>
      </w:r>
      <w:r w:rsidRPr="00112D14">
        <w:rPr>
          <w:i/>
        </w:rPr>
        <w:t>Cedar, incense-broom rust</w:t>
      </w:r>
      <w:r w:rsidRPr="00112D14">
        <w:t>, Oregon State University, Oregon, USA</w:t>
      </w:r>
      <w:r>
        <w:t xml:space="preserve">. </w:t>
      </w:r>
      <w:bookmarkEnd w:id="1148"/>
    </w:p>
    <w:p w14:paraId="2CA1093E" w14:textId="77777777" w:rsidR="003438A2" w:rsidRPr="00112D14" w:rsidRDefault="003438A2" w:rsidP="00112D14">
      <w:pPr>
        <w:pStyle w:val="EndNoteBibliography"/>
        <w:spacing w:after="0"/>
      </w:pPr>
      <w:bookmarkStart w:id="1149" w:name="_ENREF_583"/>
      <w:r w:rsidRPr="00112D14">
        <w:t xml:space="preserve">-- -- 2020a, </w:t>
      </w:r>
      <w:r w:rsidRPr="00112D14">
        <w:rPr>
          <w:i/>
        </w:rPr>
        <w:t>Apple (Malus spp.)-Fire Blight</w:t>
      </w:r>
      <w:r w:rsidRPr="00112D14">
        <w:t>, Oregon State University, Oregon, USA</w:t>
      </w:r>
      <w:r>
        <w:t xml:space="preserve">. </w:t>
      </w:r>
      <w:bookmarkEnd w:id="1149"/>
    </w:p>
    <w:p w14:paraId="38EC67B7" w14:textId="3F39D545" w:rsidR="003438A2" w:rsidRPr="00112D14" w:rsidRDefault="003438A2" w:rsidP="00112D14">
      <w:pPr>
        <w:pStyle w:val="EndNoteBibliography"/>
        <w:spacing w:after="0"/>
      </w:pPr>
      <w:bookmarkStart w:id="1150" w:name="_ENREF_584"/>
      <w:r w:rsidRPr="00112D14">
        <w:t xml:space="preserve">-- -- 2020b, </w:t>
      </w:r>
      <w:r w:rsidRPr="00112D14">
        <w:rPr>
          <w:i/>
        </w:rPr>
        <w:t>Crabapple (Malus spp.) -twig dieback and canker</w:t>
      </w:r>
      <w:r w:rsidRPr="00112D14">
        <w:t xml:space="preserve">, Oregon State University, Oregon, USA, </w:t>
      </w:r>
      <w:r w:rsidR="00D857C1">
        <w:t xml:space="preserve">available at, </w:t>
      </w:r>
      <w:hyperlink r:id="rId277" w:history="1">
        <w:r w:rsidR="006D731C" w:rsidRPr="00847402">
          <w:rPr>
            <w:rStyle w:val="Hyperlink"/>
          </w:rPr>
          <w:t>https://pnwhandbooks.org/plantdisease/host-disease/crabapple-malus-spp-twig-dieback-canker</w:t>
        </w:r>
      </w:hyperlink>
      <w:r w:rsidRPr="00112D14">
        <w:t>.</w:t>
      </w:r>
      <w:bookmarkEnd w:id="1150"/>
    </w:p>
    <w:p w14:paraId="2F6E6258" w14:textId="3008A177" w:rsidR="00601005" w:rsidRDefault="003438A2" w:rsidP="00112D14">
      <w:pPr>
        <w:pStyle w:val="EndNoteBibliography"/>
        <w:spacing w:after="0"/>
      </w:pPr>
      <w:bookmarkStart w:id="1151" w:name="_ENREF_585"/>
      <w:r w:rsidRPr="00112D14">
        <w:t xml:space="preserve">-- -- 2021, ‘Apple pests search page’, </w:t>
      </w:r>
      <w:r w:rsidRPr="00112D14">
        <w:rPr>
          <w:i/>
        </w:rPr>
        <w:t>PNW Pest Management Handbooks</w:t>
      </w:r>
      <w:r w:rsidRPr="00112D14">
        <w:t>, Oregon, Pacific Northwest Extension Publication</w:t>
      </w:r>
      <w:r w:rsidR="00EB4CD2">
        <w:t xml:space="preserve">. </w:t>
      </w:r>
    </w:p>
    <w:p w14:paraId="0492D64D" w14:textId="38BF98B8" w:rsidR="003438A2" w:rsidRPr="00112D14" w:rsidRDefault="003438A2" w:rsidP="00112D14">
      <w:pPr>
        <w:pStyle w:val="EndNoteBibliography"/>
        <w:spacing w:after="0"/>
      </w:pPr>
      <w:bookmarkStart w:id="1152" w:name="_ENREF_586"/>
      <w:bookmarkEnd w:id="1151"/>
      <w:r w:rsidRPr="00112D14">
        <w:t xml:space="preserve">Porter, BA 1928, ‘The apple maggot’, </w:t>
      </w:r>
      <w:r w:rsidRPr="00112D14">
        <w:rPr>
          <w:i/>
        </w:rPr>
        <w:t>United States Department of Agriculture Technical Bulletin</w:t>
      </w:r>
      <w:r w:rsidRPr="00112D14">
        <w:t>, vol. 66, pp. 1-41.</w:t>
      </w:r>
      <w:bookmarkEnd w:id="1152"/>
    </w:p>
    <w:p w14:paraId="10340DF5" w14:textId="77777777" w:rsidR="003438A2" w:rsidRPr="00112D14" w:rsidRDefault="003438A2" w:rsidP="00112D14">
      <w:pPr>
        <w:pStyle w:val="EndNoteBibliography"/>
        <w:spacing w:after="0"/>
      </w:pPr>
      <w:bookmarkStart w:id="1153" w:name="_ENREF_587"/>
      <w:r w:rsidRPr="00112D14">
        <w:t xml:space="preserve">Pritchard, AE 1955, ‘A revision of the spider mite family </w:t>
      </w:r>
      <w:r w:rsidRPr="00112D14">
        <w:rPr>
          <w:i/>
        </w:rPr>
        <w:t>Tetranychidae</w:t>
      </w:r>
      <w:r w:rsidRPr="00112D14">
        <w:t xml:space="preserve">’, </w:t>
      </w:r>
      <w:r w:rsidRPr="00112D14">
        <w:rPr>
          <w:i/>
        </w:rPr>
        <w:t>Pacific Coast Entomological Society Memoirs Series</w:t>
      </w:r>
      <w:r w:rsidRPr="00112D14">
        <w:t>, vol. 2, pp. 1-472.</w:t>
      </w:r>
      <w:bookmarkEnd w:id="1153"/>
    </w:p>
    <w:p w14:paraId="38083C82" w14:textId="77777777" w:rsidR="003438A2" w:rsidRPr="00112D14" w:rsidRDefault="003438A2" w:rsidP="00112D14">
      <w:pPr>
        <w:pStyle w:val="EndNoteBibliography"/>
        <w:spacing w:after="0"/>
      </w:pPr>
      <w:bookmarkStart w:id="1154" w:name="_ENREF_588"/>
      <w:r w:rsidRPr="00112D14">
        <w:t xml:space="preserve">Pritchard, AE &amp; Baker, EW 1952, ‘A guide to the spider mites of deciduous fruit trees’, </w:t>
      </w:r>
      <w:r w:rsidRPr="00112D14">
        <w:rPr>
          <w:i/>
        </w:rPr>
        <w:t>Hilgardia</w:t>
      </w:r>
      <w:r w:rsidRPr="00112D14">
        <w:t>, vol. 21, no. 9, pp. 253-73.</w:t>
      </w:r>
      <w:bookmarkEnd w:id="1154"/>
    </w:p>
    <w:p w14:paraId="2F060C29" w14:textId="77777777" w:rsidR="003438A2" w:rsidRPr="00112D14" w:rsidRDefault="003438A2" w:rsidP="00112D14">
      <w:pPr>
        <w:pStyle w:val="EndNoteBibliography"/>
        <w:spacing w:after="0"/>
      </w:pPr>
      <w:bookmarkStart w:id="1155" w:name="_ENREF_589"/>
      <w:r w:rsidRPr="00112D14">
        <w:t xml:space="preserve">Prokopy, RJ &amp; Boller, EF 1976, ‘Bionomics and management of </w:t>
      </w:r>
      <w:r w:rsidRPr="00112D14">
        <w:rPr>
          <w:i/>
        </w:rPr>
        <w:t>Rhagoletis</w:t>
      </w:r>
      <w:r w:rsidRPr="00112D14">
        <w:t xml:space="preserve">’, </w:t>
      </w:r>
      <w:r w:rsidRPr="00112D14">
        <w:rPr>
          <w:i/>
        </w:rPr>
        <w:t>Annual Review of Entomology</w:t>
      </w:r>
      <w:r w:rsidRPr="00112D14">
        <w:t>, vol. 21, pp. 223-46.</w:t>
      </w:r>
      <w:bookmarkEnd w:id="1155"/>
    </w:p>
    <w:p w14:paraId="160D5EEF" w14:textId="35BA9739" w:rsidR="003438A2" w:rsidRPr="00112D14" w:rsidRDefault="003438A2" w:rsidP="00112D14">
      <w:pPr>
        <w:pStyle w:val="EndNoteBibliography"/>
        <w:spacing w:after="0"/>
      </w:pPr>
      <w:bookmarkStart w:id="1156" w:name="_ENREF_590"/>
      <w:r w:rsidRPr="00112D14">
        <w:t xml:space="preserve">Pscheidt, JW &amp; Ocamb, CM 2018, </w:t>
      </w:r>
      <w:r w:rsidRPr="00112D14">
        <w:rPr>
          <w:i/>
        </w:rPr>
        <w:t>Pacific Northwest plant disease management handbook</w:t>
      </w:r>
      <w:r w:rsidRPr="00112D14">
        <w:t>, Oregon State University</w:t>
      </w:r>
      <w:r w:rsidR="00361922">
        <w:t xml:space="preserve">, </w:t>
      </w:r>
      <w:r w:rsidR="00361922" w:rsidRPr="00112D14">
        <w:t>Corvallis, Oregon, USA</w:t>
      </w:r>
      <w:r w:rsidR="00361922">
        <w:t>.</w:t>
      </w:r>
      <w:bookmarkEnd w:id="1156"/>
    </w:p>
    <w:p w14:paraId="19FFA8BB" w14:textId="77777777" w:rsidR="003438A2" w:rsidRPr="00112D14" w:rsidRDefault="003438A2" w:rsidP="00112D14">
      <w:pPr>
        <w:pStyle w:val="EndNoteBibliography"/>
        <w:spacing w:after="0"/>
      </w:pPr>
      <w:bookmarkStart w:id="1157" w:name="_ENREF_591"/>
      <w:r w:rsidRPr="00112D14">
        <w:t xml:space="preserve">-- -- 2019, </w:t>
      </w:r>
      <w:r w:rsidRPr="00112D14">
        <w:rPr>
          <w:i/>
        </w:rPr>
        <w:t>Pacific Northwest Plant Disease Management Handbook</w:t>
      </w:r>
      <w:r w:rsidRPr="00112D14">
        <w:t xml:space="preserve">, Oregon State University, Corvallis, Oregon, USA </w:t>
      </w:r>
      <w:bookmarkEnd w:id="1157"/>
    </w:p>
    <w:p w14:paraId="7FF8C05B" w14:textId="77777777" w:rsidR="003438A2" w:rsidRPr="00112D14" w:rsidRDefault="003438A2" w:rsidP="00112D14">
      <w:pPr>
        <w:pStyle w:val="EndNoteBibliography"/>
        <w:spacing w:after="0"/>
      </w:pPr>
      <w:bookmarkStart w:id="1158" w:name="_ENREF_592"/>
      <w:r w:rsidRPr="00112D14">
        <w:t xml:space="preserve">-- -- 2021a, </w:t>
      </w:r>
      <w:r w:rsidRPr="00112D14">
        <w:rPr>
          <w:i/>
        </w:rPr>
        <w:t>Apple (Malus spp.)-Nectria canker (European canker)</w:t>
      </w:r>
      <w:r w:rsidRPr="00112D14">
        <w:t>, Pacific Northwest plant disease management handbooks, Oregon State University, Oregon, USA.</w:t>
      </w:r>
      <w:bookmarkEnd w:id="1158"/>
    </w:p>
    <w:p w14:paraId="04F86CA2" w14:textId="77777777" w:rsidR="003438A2" w:rsidRPr="00112D14" w:rsidRDefault="003438A2" w:rsidP="00112D14">
      <w:pPr>
        <w:pStyle w:val="EndNoteBibliography"/>
        <w:spacing w:after="0"/>
      </w:pPr>
      <w:bookmarkStart w:id="1159" w:name="_ENREF_593"/>
      <w:r w:rsidRPr="00112D14">
        <w:t xml:space="preserve">-- -- 2021b, </w:t>
      </w:r>
      <w:r w:rsidRPr="00112D14">
        <w:rPr>
          <w:i/>
        </w:rPr>
        <w:t>Apple (Malus spp.)-scar skin and dapple apple</w:t>
      </w:r>
      <w:r w:rsidRPr="00112D14">
        <w:t>, Oregon State University, Pacific Northwest Plant Disease Management Handbook, Oregon, USA.</w:t>
      </w:r>
      <w:bookmarkEnd w:id="1159"/>
    </w:p>
    <w:p w14:paraId="496C22D8" w14:textId="77777777" w:rsidR="003438A2" w:rsidRPr="00112D14" w:rsidRDefault="003438A2" w:rsidP="00112D14">
      <w:pPr>
        <w:pStyle w:val="EndNoteBibliography"/>
        <w:spacing w:after="0"/>
      </w:pPr>
      <w:bookmarkStart w:id="1160" w:name="_ENREF_594"/>
      <w:r w:rsidRPr="00112D14">
        <w:t xml:space="preserve">-- -- 2021c, </w:t>
      </w:r>
      <w:r w:rsidRPr="00112D14">
        <w:rPr>
          <w:i/>
        </w:rPr>
        <w:t>Apple (Malus spp.)-storage problems</w:t>
      </w:r>
      <w:r w:rsidRPr="00112D14">
        <w:t>, Pacific Northwest plant disease management handbooks, Oregon State University, Oregon, USA.</w:t>
      </w:r>
      <w:bookmarkEnd w:id="1160"/>
    </w:p>
    <w:p w14:paraId="5481A7D0" w14:textId="77777777" w:rsidR="003438A2" w:rsidRPr="00112D14" w:rsidRDefault="003438A2" w:rsidP="00112D14">
      <w:pPr>
        <w:pStyle w:val="EndNoteBibliography"/>
        <w:spacing w:after="0"/>
      </w:pPr>
      <w:bookmarkStart w:id="1161" w:name="_ENREF_595"/>
      <w:r w:rsidRPr="00112D14">
        <w:t xml:space="preserve">-- -- 2021d, </w:t>
      </w:r>
      <w:r w:rsidRPr="00112D14">
        <w:rPr>
          <w:i/>
        </w:rPr>
        <w:t>Pear (Pyrus spp.) storage rots</w:t>
      </w:r>
      <w:r w:rsidRPr="00112D14">
        <w:t>, Pacific Northwest plant disease management handbooks, Oregon State UniversitY, Oregon, USA.</w:t>
      </w:r>
      <w:bookmarkEnd w:id="1161"/>
    </w:p>
    <w:p w14:paraId="0D0FAD42" w14:textId="77777777" w:rsidR="003438A2" w:rsidRPr="00112D14" w:rsidRDefault="003438A2" w:rsidP="00112D14">
      <w:pPr>
        <w:pStyle w:val="EndNoteBibliography"/>
        <w:spacing w:after="0"/>
      </w:pPr>
      <w:bookmarkStart w:id="1162" w:name="_ENREF_596"/>
      <w:r w:rsidRPr="00112D14">
        <w:t xml:space="preserve">-- -- 2021e, </w:t>
      </w:r>
      <w:r w:rsidRPr="00112D14">
        <w:rPr>
          <w:i/>
        </w:rPr>
        <w:t>Pear Phacidiopycnis piri</w:t>
      </w:r>
      <w:r w:rsidRPr="00112D14">
        <w:t>, Pacific Northwest plant disease management handbooks, Oregon State University, Oregon, USA.</w:t>
      </w:r>
      <w:bookmarkEnd w:id="1162"/>
    </w:p>
    <w:p w14:paraId="2D767686" w14:textId="77777777" w:rsidR="003438A2" w:rsidRPr="00112D14" w:rsidRDefault="003438A2" w:rsidP="00112D14">
      <w:pPr>
        <w:pStyle w:val="EndNoteBibliography"/>
        <w:spacing w:after="0"/>
      </w:pPr>
      <w:bookmarkStart w:id="1163" w:name="_ENREF_597"/>
      <w:r w:rsidRPr="00112D14">
        <w:t xml:space="preserve">-- -- 2022a, </w:t>
      </w:r>
      <w:r w:rsidRPr="00112D14">
        <w:rPr>
          <w:i/>
        </w:rPr>
        <w:t>Apple (Malus spp.)-Virus diseases</w:t>
      </w:r>
      <w:r w:rsidRPr="00112D14">
        <w:t>, Pacific Northwest Plant Disease Management Handbook, Oregon State University, Oregon, USA.</w:t>
      </w:r>
      <w:bookmarkEnd w:id="1163"/>
    </w:p>
    <w:p w14:paraId="34ADB957" w14:textId="77777777" w:rsidR="003438A2" w:rsidRPr="00112D14" w:rsidRDefault="003438A2" w:rsidP="00112D14">
      <w:pPr>
        <w:pStyle w:val="EndNoteBibliography"/>
        <w:spacing w:after="0"/>
      </w:pPr>
      <w:bookmarkStart w:id="1164" w:name="_ENREF_598"/>
      <w:r w:rsidRPr="00112D14">
        <w:t xml:space="preserve">-- -- 2022b, </w:t>
      </w:r>
      <w:r w:rsidRPr="00112D14">
        <w:rPr>
          <w:i/>
        </w:rPr>
        <w:t>Pear (Pyrus spp.)-Pacific coast pear rust</w:t>
      </w:r>
      <w:r w:rsidRPr="00112D14">
        <w:t>, Pacific Northwest Plant Disease Management Handbooks, Oregon State University, Oregon, USA.</w:t>
      </w:r>
      <w:bookmarkEnd w:id="1164"/>
    </w:p>
    <w:p w14:paraId="07ABFD19" w14:textId="77777777" w:rsidR="003438A2" w:rsidRPr="00112D14" w:rsidRDefault="003438A2" w:rsidP="00112D14">
      <w:pPr>
        <w:pStyle w:val="EndNoteBibliography"/>
        <w:spacing w:after="0"/>
      </w:pPr>
      <w:bookmarkStart w:id="1165" w:name="_ENREF_599"/>
      <w:r w:rsidRPr="00112D14">
        <w:t xml:space="preserve">Purdue University 2013, </w:t>
      </w:r>
      <w:r w:rsidRPr="00112D14">
        <w:rPr>
          <w:i/>
        </w:rPr>
        <w:t>Yponomeuta malinellus</w:t>
      </w:r>
      <w:r w:rsidRPr="00112D14">
        <w:t>, Purdue University, West Lafayette, Indiana.</w:t>
      </w:r>
      <w:bookmarkEnd w:id="1165"/>
    </w:p>
    <w:p w14:paraId="6C196E4A" w14:textId="77777777" w:rsidR="003438A2" w:rsidRPr="00112D14" w:rsidRDefault="003438A2" w:rsidP="00112D14">
      <w:pPr>
        <w:pStyle w:val="EndNoteBibliography"/>
        <w:spacing w:after="0"/>
      </w:pPr>
      <w:bookmarkStart w:id="1166" w:name="_ENREF_600"/>
      <w:r w:rsidRPr="00112D14">
        <w:t xml:space="preserve">Pusey, PL &amp; Curry, EA 2004, ‘Temperature and pomaceous flower age related to colonization by </w:t>
      </w:r>
      <w:r w:rsidRPr="00112D14">
        <w:rPr>
          <w:i/>
        </w:rPr>
        <w:t>Erwinia amylovora</w:t>
      </w:r>
      <w:r w:rsidRPr="00112D14">
        <w:t xml:space="preserve"> and antagonists’, </w:t>
      </w:r>
      <w:r w:rsidRPr="00112D14">
        <w:rPr>
          <w:i/>
        </w:rPr>
        <w:t>Phytopathology</w:t>
      </w:r>
      <w:r w:rsidRPr="00112D14">
        <w:t>, vol. 94, no. 8, pp. 901-11.</w:t>
      </w:r>
      <w:bookmarkEnd w:id="1166"/>
    </w:p>
    <w:p w14:paraId="26A8EE4B" w14:textId="77777777" w:rsidR="003438A2" w:rsidRPr="00112D14" w:rsidRDefault="003438A2" w:rsidP="00112D14">
      <w:pPr>
        <w:pStyle w:val="EndNoteBibliography"/>
        <w:spacing w:after="0"/>
      </w:pPr>
      <w:bookmarkStart w:id="1167" w:name="_ENREF_601"/>
      <w:r w:rsidRPr="00112D14">
        <w:t xml:space="preserve">Pusz, W, Pląskowska, E, Weber, R &amp; Kita, W 2015, ‘Assessment of the abundance of airborne fungi in cattle barn of dairy farm’, </w:t>
      </w:r>
      <w:r w:rsidRPr="00112D14">
        <w:rPr>
          <w:i/>
        </w:rPr>
        <w:t>Polish Journal of Environmental Studies</w:t>
      </w:r>
      <w:r w:rsidRPr="00112D14">
        <w:t>, vol. 24, no. 1, pp. 241-8.</w:t>
      </w:r>
      <w:bookmarkEnd w:id="1167"/>
    </w:p>
    <w:p w14:paraId="39CA6BD1" w14:textId="77777777" w:rsidR="003438A2" w:rsidRPr="00112D14" w:rsidRDefault="003438A2" w:rsidP="00112D14">
      <w:pPr>
        <w:pStyle w:val="EndNoteBibliography"/>
        <w:spacing w:after="0"/>
      </w:pPr>
      <w:bookmarkStart w:id="1168" w:name="_ENREF_602"/>
      <w:r w:rsidRPr="00112D14">
        <w:t xml:space="preserve">QIA 2015, </w:t>
      </w:r>
      <w:r w:rsidRPr="00112D14">
        <w:rPr>
          <w:i/>
        </w:rPr>
        <w:t>First outbreak of Erwina amylovora in Rep. of Korea</w:t>
      </w:r>
      <w:r w:rsidRPr="00112D14">
        <w:t>, Quarantine and Inspection Agency, Seoul, Republic of Korea.</w:t>
      </w:r>
      <w:bookmarkEnd w:id="1168"/>
    </w:p>
    <w:p w14:paraId="25971016" w14:textId="77777777" w:rsidR="003438A2" w:rsidRPr="00112D14" w:rsidRDefault="003438A2" w:rsidP="00112D14">
      <w:pPr>
        <w:pStyle w:val="EndNoteBibliography"/>
        <w:spacing w:after="0"/>
      </w:pPr>
      <w:bookmarkStart w:id="1169" w:name="_ENREF_603"/>
      <w:r w:rsidRPr="00112D14">
        <w:t xml:space="preserve">Raine, J, McMullen, RD &amp; Forbes, AR 1986, ‘Transmission of the agent causing little cherry disease by the apple mealy bug </w:t>
      </w:r>
      <w:r w:rsidRPr="00112D14">
        <w:rPr>
          <w:i/>
        </w:rPr>
        <w:t>Phenacoccus aceris</w:t>
      </w:r>
      <w:r w:rsidRPr="00112D14">
        <w:t xml:space="preserve"> and the dooder </w:t>
      </w:r>
      <w:r w:rsidRPr="00112D14">
        <w:rPr>
          <w:i/>
        </w:rPr>
        <w:t>Cuscuta lupuliformis</w:t>
      </w:r>
      <w:r w:rsidRPr="00112D14">
        <w:t xml:space="preserve">’, </w:t>
      </w:r>
      <w:r w:rsidRPr="00112D14">
        <w:rPr>
          <w:i/>
        </w:rPr>
        <w:t>Canadian Journal of Plant Pathology</w:t>
      </w:r>
      <w:r w:rsidRPr="00112D14">
        <w:t>, vol. 8, pp. 6-11.</w:t>
      </w:r>
      <w:bookmarkEnd w:id="1169"/>
    </w:p>
    <w:p w14:paraId="2F50E9B2" w14:textId="77777777" w:rsidR="003438A2" w:rsidRPr="00112D14" w:rsidRDefault="003438A2" w:rsidP="00112D14">
      <w:pPr>
        <w:pStyle w:val="EndNoteBibliography"/>
        <w:spacing w:after="0"/>
      </w:pPr>
      <w:bookmarkStart w:id="1170" w:name="_ENREF_604"/>
      <w:r w:rsidRPr="00112D14">
        <w:t xml:space="preserve">Ransom, LM 1997, ‘The eradication of </w:t>
      </w:r>
      <w:r w:rsidRPr="00112D14">
        <w:rPr>
          <w:i/>
        </w:rPr>
        <w:t>Nectria galligena</w:t>
      </w:r>
      <w:r w:rsidRPr="00112D14">
        <w:t xml:space="preserve"> from apple trees in Tasmania, 1954 to 1991’, </w:t>
      </w:r>
      <w:r w:rsidRPr="00112D14">
        <w:rPr>
          <w:i/>
        </w:rPr>
        <w:t>Australasian Plant Pathology</w:t>
      </w:r>
      <w:r w:rsidRPr="00112D14">
        <w:t>, vol. 26, no. 2, pp. 121-5.</w:t>
      </w:r>
      <w:bookmarkEnd w:id="1170"/>
    </w:p>
    <w:p w14:paraId="4E221300" w14:textId="77777777" w:rsidR="003438A2" w:rsidRPr="00112D14" w:rsidRDefault="003438A2" w:rsidP="00112D14">
      <w:pPr>
        <w:pStyle w:val="EndNoteBibliography"/>
        <w:spacing w:after="0"/>
      </w:pPr>
      <w:bookmarkStart w:id="1171" w:name="_ENREF_605"/>
      <w:r w:rsidRPr="00112D14">
        <w:t>Redhead, SA &amp; Traquair, JA 1981, ‘</w:t>
      </w:r>
      <w:r w:rsidRPr="00112D14">
        <w:rPr>
          <w:i/>
        </w:rPr>
        <w:t>Coprinus</w:t>
      </w:r>
      <w:r w:rsidRPr="00112D14">
        <w:t xml:space="preserve"> sect. </w:t>
      </w:r>
      <w:r w:rsidRPr="00112D14">
        <w:rPr>
          <w:i/>
        </w:rPr>
        <w:t>herbicolae</w:t>
      </w:r>
      <w:r w:rsidRPr="00112D14">
        <w:t xml:space="preserve"> from Canada, notes on extralimital taxa, and the taxonomic position of a low temperature basidiomycete forage crop pathogen from Western Canada’, </w:t>
      </w:r>
      <w:r w:rsidRPr="00112D14">
        <w:rPr>
          <w:i/>
        </w:rPr>
        <w:t>Mycotaxon</w:t>
      </w:r>
      <w:r w:rsidRPr="00112D14">
        <w:t>, vol. 13, pp. 373-404.</w:t>
      </w:r>
      <w:bookmarkEnd w:id="1171"/>
    </w:p>
    <w:p w14:paraId="0C3FCFD4" w14:textId="280F5E43" w:rsidR="003438A2" w:rsidRPr="00112D14" w:rsidRDefault="003438A2" w:rsidP="00112D14">
      <w:pPr>
        <w:pStyle w:val="EndNoteBibliography"/>
        <w:spacing w:after="0"/>
      </w:pPr>
      <w:bookmarkStart w:id="1172" w:name="_ENREF_606"/>
      <w:r w:rsidRPr="00112D14">
        <w:t xml:space="preserve">Reding, ME, Alston, DG &amp; Zimmerman, RJ 1997, </w:t>
      </w:r>
      <w:r w:rsidRPr="00112D14">
        <w:rPr>
          <w:i/>
        </w:rPr>
        <w:t>Apple aphids</w:t>
      </w:r>
      <w:r w:rsidRPr="00112D14">
        <w:t>, Utah State University Extension: Orchard IPM Series HG/Orchard/09, available at</w:t>
      </w:r>
      <w:r w:rsidR="006D731C">
        <w:t>,</w:t>
      </w:r>
      <w:r w:rsidRPr="00112D14">
        <w:t xml:space="preserve"> </w:t>
      </w:r>
      <w:hyperlink r:id="rId278" w:history="1">
        <w:r w:rsidR="00BA74BC" w:rsidRPr="009E4A79">
          <w:rPr>
            <w:rStyle w:val="Hyperlink"/>
          </w:rPr>
          <w:t>https://extension.usu.edu/pests/ipm/images/ezplug/uploads/pdfdocs/factsheet-pdf/apple-aphid97.pdf</w:t>
        </w:r>
      </w:hyperlink>
      <w:r w:rsidRPr="00112D14">
        <w:t xml:space="preserve"> (pdf 624 kb).</w:t>
      </w:r>
      <w:bookmarkEnd w:id="1172"/>
    </w:p>
    <w:p w14:paraId="0714AFEA" w14:textId="5197A09D" w:rsidR="003438A2" w:rsidRPr="00112D14" w:rsidRDefault="003438A2" w:rsidP="00112D14">
      <w:pPr>
        <w:pStyle w:val="EndNoteBibliography"/>
        <w:spacing w:after="0"/>
      </w:pPr>
      <w:bookmarkStart w:id="1173" w:name="_ENREF_607"/>
      <w:r w:rsidRPr="00112D14">
        <w:t xml:space="preserve">Reissig, WH 1991, </w:t>
      </w:r>
      <w:r w:rsidRPr="00112D14">
        <w:rPr>
          <w:i/>
        </w:rPr>
        <w:t>Apple Maggot</w:t>
      </w:r>
      <w:r w:rsidRPr="00112D14">
        <w:t xml:space="preserve">, Cornell University, USA, Cornell University, USA, </w:t>
      </w:r>
      <w:r w:rsidR="003A12A7" w:rsidRPr="00112D14">
        <w:t>available at</w:t>
      </w:r>
      <w:r w:rsidR="003A12A7">
        <w:t xml:space="preserve">, </w:t>
      </w:r>
      <w:hyperlink r:id="rId279" w:history="1">
        <w:r w:rsidR="00AE558D" w:rsidRPr="00A23D73">
          <w:rPr>
            <w:rStyle w:val="Hyperlink"/>
          </w:rPr>
          <w:t>https://ecommons.cornell.edu/handle/1813/43071</w:t>
        </w:r>
      </w:hyperlink>
      <w:r w:rsidRPr="00112D14">
        <w:t>.</w:t>
      </w:r>
      <w:bookmarkEnd w:id="1173"/>
    </w:p>
    <w:p w14:paraId="3FAD6AD1" w14:textId="70A00B26" w:rsidR="003438A2" w:rsidRPr="00112D14" w:rsidRDefault="003438A2" w:rsidP="00112D14">
      <w:pPr>
        <w:pStyle w:val="EndNoteBibliography"/>
        <w:spacing w:after="0"/>
      </w:pPr>
      <w:bookmarkStart w:id="1174" w:name="_ENREF_608"/>
      <w:r w:rsidRPr="00112D14">
        <w:t xml:space="preserve">Riedl, H &amp; Hilton, R 2007, </w:t>
      </w:r>
      <w:r>
        <w:t xml:space="preserve">Green fruitworm, </w:t>
      </w:r>
      <w:r w:rsidRPr="00112D14">
        <w:rPr>
          <w:i/>
        </w:rPr>
        <w:t>Apple pests</w:t>
      </w:r>
      <w:r w:rsidRPr="00112D14">
        <w:t>, Pacific Northwest Insect Management Handbook, available at</w:t>
      </w:r>
      <w:r w:rsidR="006D731C">
        <w:t>,</w:t>
      </w:r>
      <w:r>
        <w:t xml:space="preserve"> </w:t>
      </w:r>
      <w:hyperlink r:id="rId280" w:history="1">
        <w:r w:rsidR="00BA74BC" w:rsidRPr="009E4A79">
          <w:rPr>
            <w:rStyle w:val="Hyperlink"/>
          </w:rPr>
          <w:t>https://pnwhandbooks.org/insect/crop-pests?combine=apple</w:t>
        </w:r>
      </w:hyperlink>
      <w:r w:rsidRPr="00112D14">
        <w:t>.</w:t>
      </w:r>
      <w:bookmarkEnd w:id="1174"/>
    </w:p>
    <w:p w14:paraId="7AE7A059" w14:textId="77777777" w:rsidR="003438A2" w:rsidRPr="00112D14" w:rsidRDefault="003438A2" w:rsidP="00112D14">
      <w:pPr>
        <w:pStyle w:val="EndNoteBibliography"/>
        <w:spacing w:after="0"/>
      </w:pPr>
      <w:bookmarkStart w:id="1175" w:name="_ENREF_609"/>
      <w:r w:rsidRPr="00112D14">
        <w:t>Rings, RW 1973, ‘Contributions to the bionomics of green fruitworms: the life history of</w:t>
      </w:r>
      <w:r w:rsidRPr="00112D14">
        <w:rPr>
          <w:i/>
        </w:rPr>
        <w:t xml:space="preserve"> Lithophane antennata</w:t>
      </w:r>
      <w:r w:rsidRPr="00112D14">
        <w:t xml:space="preserve">’, </w:t>
      </w:r>
      <w:r w:rsidRPr="00112D14">
        <w:rPr>
          <w:i/>
        </w:rPr>
        <w:t>Journal of Economic Entomology</w:t>
      </w:r>
      <w:r w:rsidRPr="00112D14">
        <w:t>, vol. 66, no. 2, pp. 364-8.</w:t>
      </w:r>
      <w:bookmarkEnd w:id="1175"/>
    </w:p>
    <w:p w14:paraId="22FF8107" w14:textId="77777777" w:rsidR="003438A2" w:rsidRPr="00112D14" w:rsidRDefault="003438A2" w:rsidP="00112D14">
      <w:pPr>
        <w:pStyle w:val="EndNoteBibliography"/>
        <w:spacing w:after="0"/>
      </w:pPr>
      <w:bookmarkStart w:id="1176" w:name="_ENREF_610"/>
      <w:r w:rsidRPr="00112D14">
        <w:t xml:space="preserve">Roberts, RG 2002, ‘Evaluation of buffer zone size and inspection number reduction on phytosanitary risk associated with fire blight and export of mature apple fruit’, </w:t>
      </w:r>
      <w:r w:rsidRPr="00112D14">
        <w:rPr>
          <w:i/>
        </w:rPr>
        <w:t>Acta Horticulturae (ISHS)</w:t>
      </w:r>
      <w:r w:rsidRPr="00112D14">
        <w:t>, vol. 590, pp. 47-53.</w:t>
      </w:r>
      <w:bookmarkEnd w:id="1176"/>
    </w:p>
    <w:p w14:paraId="3F05A569" w14:textId="77777777" w:rsidR="003438A2" w:rsidRPr="00112D14" w:rsidRDefault="003438A2" w:rsidP="00112D14">
      <w:pPr>
        <w:pStyle w:val="EndNoteBibliography"/>
        <w:spacing w:after="0"/>
      </w:pPr>
      <w:bookmarkStart w:id="1177" w:name="_ENREF_611"/>
      <w:r w:rsidRPr="00112D14">
        <w:t xml:space="preserve">Roberts, RG &amp; Reymond, ST 1989, ‘Evaluation of post-harvest treatments for eradication of </w:t>
      </w:r>
      <w:r w:rsidRPr="00112D14">
        <w:rPr>
          <w:i/>
        </w:rPr>
        <w:t>Erwinia amylovora</w:t>
      </w:r>
      <w:r w:rsidRPr="00112D14">
        <w:t xml:space="preserve"> from apple fruit’, </w:t>
      </w:r>
      <w:r w:rsidRPr="00112D14">
        <w:rPr>
          <w:i/>
        </w:rPr>
        <w:t>Crop Protection</w:t>
      </w:r>
      <w:r w:rsidRPr="00112D14">
        <w:t>, vol. 8, pp. 283-8.</w:t>
      </w:r>
      <w:bookmarkEnd w:id="1177"/>
    </w:p>
    <w:p w14:paraId="56A78C01" w14:textId="77777777" w:rsidR="003438A2" w:rsidRPr="00112D14" w:rsidRDefault="003438A2" w:rsidP="00112D14">
      <w:pPr>
        <w:pStyle w:val="EndNoteBibliography"/>
        <w:spacing w:after="0"/>
      </w:pPr>
      <w:bookmarkStart w:id="1178" w:name="_ENREF_612"/>
      <w:r w:rsidRPr="00112D14">
        <w:t xml:space="preserve">-- -- 1994, ‘Chlorine dioxide for reduction of postharvest pathogen inoculum during handling of tree fruits’, </w:t>
      </w:r>
      <w:r w:rsidRPr="00112D14">
        <w:rPr>
          <w:i/>
        </w:rPr>
        <w:t>Applied and Environmental Microbiology</w:t>
      </w:r>
      <w:r w:rsidRPr="00112D14">
        <w:t>, vol. 60, no. 8, pp. 2864-8.</w:t>
      </w:r>
      <w:bookmarkEnd w:id="1178"/>
    </w:p>
    <w:p w14:paraId="74B2DA8D" w14:textId="77777777" w:rsidR="003438A2" w:rsidRPr="00112D14" w:rsidRDefault="003438A2" w:rsidP="00112D14">
      <w:pPr>
        <w:pStyle w:val="EndNoteBibliography"/>
        <w:spacing w:after="0"/>
      </w:pPr>
      <w:bookmarkStart w:id="1179" w:name="_ENREF_613"/>
      <w:r w:rsidRPr="00112D14">
        <w:t xml:space="preserve">Roberts, RG, Reymond, ST &amp; McLaughlin, RJ 1989, ‘Evaluation of mature apple fruit from Washington State for the presence of </w:t>
      </w:r>
      <w:r w:rsidRPr="00112D14">
        <w:rPr>
          <w:i/>
        </w:rPr>
        <w:t>Erwinia amylovora</w:t>
      </w:r>
      <w:r w:rsidRPr="00112D14">
        <w:t xml:space="preserve">’, </w:t>
      </w:r>
      <w:r w:rsidRPr="00112D14">
        <w:rPr>
          <w:i/>
        </w:rPr>
        <w:t>Plant Disease</w:t>
      </w:r>
      <w:r w:rsidRPr="00112D14">
        <w:t>, vol. 73, no. 11, pp. 917-21.</w:t>
      </w:r>
      <w:bookmarkEnd w:id="1179"/>
    </w:p>
    <w:p w14:paraId="0C774B69" w14:textId="77777777" w:rsidR="003438A2" w:rsidRPr="00112D14" w:rsidRDefault="003438A2" w:rsidP="00112D14">
      <w:pPr>
        <w:pStyle w:val="EndNoteBibliography"/>
        <w:spacing w:after="0"/>
      </w:pPr>
      <w:bookmarkStart w:id="1180" w:name="_ENREF_614"/>
      <w:r w:rsidRPr="00112D14">
        <w:t xml:space="preserve">Roberts, RG &amp; Sawyer, AJ 2008, ‘An updated pest risk assessment for spread of </w:t>
      </w:r>
      <w:r w:rsidRPr="00112D14">
        <w:rPr>
          <w:i/>
        </w:rPr>
        <w:t>Erwinia amylovora</w:t>
      </w:r>
      <w:r w:rsidRPr="00112D14">
        <w:t xml:space="preserve"> and fire blight via commercial apple fruit’, </w:t>
      </w:r>
      <w:r w:rsidRPr="00112D14">
        <w:rPr>
          <w:i/>
        </w:rPr>
        <w:t>Crop Protection</w:t>
      </w:r>
      <w:r w:rsidRPr="00112D14">
        <w:t>, vol. 27, pp. 362-8.</w:t>
      </w:r>
      <w:bookmarkEnd w:id="1180"/>
    </w:p>
    <w:p w14:paraId="5794BC1B" w14:textId="77777777" w:rsidR="003438A2" w:rsidRPr="00112D14" w:rsidRDefault="003438A2" w:rsidP="00112D14">
      <w:pPr>
        <w:pStyle w:val="EndNoteBibliography"/>
        <w:spacing w:after="0"/>
      </w:pPr>
      <w:bookmarkStart w:id="1181" w:name="_ENREF_615"/>
      <w:r w:rsidRPr="00112D14">
        <w:t xml:space="preserve">Rochon, D, Kakani, K, Robbins, M &amp; Reade, R 2004, ‘Molecular aspects of plant virus transmission by Olpidium and Plasmodiophorid vectors’, </w:t>
      </w:r>
      <w:r w:rsidRPr="00112D14">
        <w:rPr>
          <w:i/>
        </w:rPr>
        <w:t>Annual Review of Phytopathology</w:t>
      </w:r>
      <w:r w:rsidRPr="00112D14">
        <w:t>, vol. 42, pp. 211-41.</w:t>
      </w:r>
      <w:bookmarkEnd w:id="1181"/>
    </w:p>
    <w:p w14:paraId="00014429" w14:textId="77777777" w:rsidR="003438A2" w:rsidRPr="00112D14" w:rsidRDefault="003438A2" w:rsidP="00112D14">
      <w:pPr>
        <w:pStyle w:val="EndNoteBibliography"/>
        <w:spacing w:after="0"/>
      </w:pPr>
      <w:bookmarkStart w:id="1182" w:name="_ENREF_616"/>
      <w:r w:rsidRPr="00112D14">
        <w:t xml:space="preserve">Rock, GC 1975, ‘Infestation of apple by varigated cutworm’, </w:t>
      </w:r>
      <w:r w:rsidRPr="00112D14">
        <w:rPr>
          <w:i/>
        </w:rPr>
        <w:t>Journal of Economic Entomology</w:t>
      </w:r>
      <w:r w:rsidRPr="00112D14">
        <w:t>, vol. 68, no. 2, pp. 277-.</w:t>
      </w:r>
      <w:bookmarkEnd w:id="1182"/>
    </w:p>
    <w:p w14:paraId="4BA07F08" w14:textId="77777777" w:rsidR="003438A2" w:rsidRPr="00112D14" w:rsidRDefault="003438A2" w:rsidP="00112D14">
      <w:pPr>
        <w:pStyle w:val="EndNoteBibliography"/>
        <w:spacing w:after="0"/>
      </w:pPr>
      <w:bookmarkStart w:id="1183" w:name="_ENREF_617"/>
      <w:r w:rsidRPr="00112D14">
        <w:t xml:space="preserve">Rodoni, B, Kinsella, M, Gardner, R, Merriman, P, Gillings, M &amp; Geider, K 1999, ‘Detection of </w:t>
      </w:r>
      <w:r w:rsidRPr="00112D14">
        <w:rPr>
          <w:i/>
        </w:rPr>
        <w:t xml:space="preserve">Erwina amylovora </w:t>
      </w:r>
      <w:r w:rsidRPr="00112D14">
        <w:t xml:space="preserve">the casual agent of fireblight in the Royal Botanic Gardens, Melbourne’, </w:t>
      </w:r>
      <w:r w:rsidRPr="00112D14">
        <w:rPr>
          <w:i/>
        </w:rPr>
        <w:t>Acta Horticulturae (ISHS)</w:t>
      </w:r>
      <w:r w:rsidRPr="00112D14">
        <w:t>, vol. 489, pp. 169-70.</w:t>
      </w:r>
      <w:bookmarkEnd w:id="1183"/>
    </w:p>
    <w:p w14:paraId="67364134" w14:textId="77777777" w:rsidR="003438A2" w:rsidRPr="00112D14" w:rsidRDefault="003438A2" w:rsidP="00112D14">
      <w:pPr>
        <w:pStyle w:val="EndNoteBibliography"/>
        <w:spacing w:after="0"/>
      </w:pPr>
      <w:bookmarkStart w:id="1184" w:name="_ENREF_618"/>
      <w:r w:rsidRPr="00112D14">
        <w:t>Rodstrom, RA 2013, ‘Epigeal insect communities &amp; novel pest management strategies in Pacific Northwest hybrid poplar plantations’, PhD Dissertation, Washington State University.</w:t>
      </w:r>
      <w:bookmarkEnd w:id="1184"/>
    </w:p>
    <w:p w14:paraId="277053CA" w14:textId="77777777" w:rsidR="003438A2" w:rsidRPr="00112D14" w:rsidRDefault="003438A2" w:rsidP="00112D14">
      <w:pPr>
        <w:pStyle w:val="EndNoteBibliography"/>
        <w:spacing w:after="0"/>
      </w:pPr>
      <w:bookmarkStart w:id="1185" w:name="_ENREF_619"/>
      <w:r w:rsidRPr="00112D14">
        <w:t xml:space="preserve">Rogers, DJ, Woolf, AB, McDonald, RM, Cole, LM, McLeod, S, Brookfield, P, Robertson, J &amp; Walker, JTS 2016, ‘Apple washers: removal of insect pests and contaminants from export apples’, </w:t>
      </w:r>
      <w:r w:rsidRPr="00112D14">
        <w:rPr>
          <w:i/>
        </w:rPr>
        <w:t>New Zealand Plant Protection</w:t>
      </w:r>
      <w:r w:rsidRPr="00112D14">
        <w:t>, vol. 69, pp. 160-6.</w:t>
      </w:r>
      <w:bookmarkEnd w:id="1185"/>
    </w:p>
    <w:p w14:paraId="1B4B3571" w14:textId="77777777" w:rsidR="003438A2" w:rsidRPr="00112D14" w:rsidRDefault="003438A2" w:rsidP="00112D14">
      <w:pPr>
        <w:pStyle w:val="EndNoteBibliography"/>
        <w:spacing w:after="0"/>
      </w:pPr>
      <w:bookmarkStart w:id="1186" w:name="_ENREF_620"/>
      <w:r w:rsidRPr="00112D14">
        <w:t xml:space="preserve">Rosenberger, DA 1990a, ‘Fisheye rot’, in </w:t>
      </w:r>
      <w:r w:rsidRPr="00112D14">
        <w:rPr>
          <w:i/>
        </w:rPr>
        <w:t>Compendium of apple and pear diseases</w:t>
      </w:r>
      <w:r w:rsidRPr="00112D14">
        <w:t>, Jones, AL &amp; Aldwinckle, HS (eds), The American Phytopathological Society Press, St. Paul, Minnesota.</w:t>
      </w:r>
      <w:bookmarkEnd w:id="1186"/>
    </w:p>
    <w:p w14:paraId="2F4DE759" w14:textId="77777777" w:rsidR="003438A2" w:rsidRPr="00112D14" w:rsidRDefault="003438A2" w:rsidP="00112D14">
      <w:pPr>
        <w:pStyle w:val="EndNoteBibliography"/>
        <w:spacing w:after="0"/>
      </w:pPr>
      <w:bookmarkStart w:id="1187" w:name="_ENREF_621"/>
      <w:r w:rsidRPr="00112D14">
        <w:t xml:space="preserve">-- -- 1990b, ‘Miscellaneous postharvest decay fungi’, in </w:t>
      </w:r>
      <w:r w:rsidRPr="00112D14">
        <w:rPr>
          <w:i/>
        </w:rPr>
        <w:t>Compendium of apple and pear diseases</w:t>
      </w:r>
      <w:r w:rsidRPr="00112D14">
        <w:t>, Jones, AL &amp; Aldwinckle, HS (eds), The American Phytopathological Society Press, St. Paul, Minnesota.</w:t>
      </w:r>
      <w:bookmarkEnd w:id="1187"/>
    </w:p>
    <w:p w14:paraId="5AB11D1E" w14:textId="77777777" w:rsidR="003438A2" w:rsidRPr="00112D14" w:rsidRDefault="003438A2" w:rsidP="00112D14">
      <w:pPr>
        <w:pStyle w:val="EndNoteBibliography"/>
        <w:spacing w:after="0"/>
      </w:pPr>
      <w:bookmarkStart w:id="1188" w:name="_ENREF_622"/>
      <w:r w:rsidRPr="00112D14">
        <w:t xml:space="preserve">Rosenberger, DA, Jentsch, PJ &amp; Rugh, AL 2020, ‘Slowing the spread of fire blight during summer’, </w:t>
      </w:r>
      <w:r w:rsidRPr="00112D14">
        <w:rPr>
          <w:i/>
        </w:rPr>
        <w:t>New York Fruit Quarterly</w:t>
      </w:r>
      <w:r w:rsidRPr="00112D14">
        <w:t>, vol. 18, no. 2, pp. 15-20.</w:t>
      </w:r>
      <w:bookmarkEnd w:id="1188"/>
    </w:p>
    <w:p w14:paraId="57B6F54B" w14:textId="77777777" w:rsidR="003438A2" w:rsidRPr="00112D14" w:rsidRDefault="003438A2" w:rsidP="00112D14">
      <w:pPr>
        <w:pStyle w:val="EndNoteBibliography"/>
        <w:spacing w:after="0"/>
      </w:pPr>
      <w:bookmarkStart w:id="1189" w:name="_ENREF_623"/>
      <w:r w:rsidRPr="00112D14">
        <w:t xml:space="preserve">Rosetta, R &amp; Young, J 2007, </w:t>
      </w:r>
      <w:r w:rsidRPr="00112D14">
        <w:rPr>
          <w:i/>
        </w:rPr>
        <w:t>Caterpillar species of concern to PNW nurseries</w:t>
      </w:r>
      <w:r w:rsidRPr="00112D14">
        <w:t>, Pacific Northwest Nursery IPM, Horticultural Department, Oregon State University.</w:t>
      </w:r>
      <w:bookmarkEnd w:id="1189"/>
    </w:p>
    <w:p w14:paraId="20ED1F95" w14:textId="77777777" w:rsidR="003438A2" w:rsidRPr="00112D14" w:rsidRDefault="003438A2" w:rsidP="00112D14">
      <w:pPr>
        <w:pStyle w:val="EndNoteBibliography"/>
        <w:spacing w:after="0"/>
      </w:pPr>
      <w:bookmarkStart w:id="1190" w:name="_ENREF_624"/>
      <w:r w:rsidRPr="00112D14">
        <w:t xml:space="preserve">Rothschild, GHL &amp; Vickers, RA 1991, ‘Biology, ecology and control of the Oriental fruit moth’, in </w:t>
      </w:r>
      <w:r w:rsidRPr="00112D14">
        <w:rPr>
          <w:i/>
        </w:rPr>
        <w:t>Tortricid pests: their biology, natural enemies and control. Vol. 5</w:t>
      </w:r>
      <w:r w:rsidRPr="00112D14">
        <w:t>, Van der Geest, LPS &amp; Evenhuis, HH (eds), Elsevier Science Publishers B.V., Amsterdam.</w:t>
      </w:r>
      <w:bookmarkEnd w:id="1190"/>
    </w:p>
    <w:p w14:paraId="43E148BB" w14:textId="77777777" w:rsidR="003438A2" w:rsidRPr="00112D14" w:rsidRDefault="003438A2" w:rsidP="00112D14">
      <w:pPr>
        <w:pStyle w:val="EndNoteBibliography"/>
        <w:spacing w:after="0"/>
      </w:pPr>
      <w:bookmarkStart w:id="1191" w:name="_ENREF_625"/>
      <w:r w:rsidRPr="00112D14">
        <w:t xml:space="preserve">Rott, ME &amp; Jelkmann, W 2001, ‘Detection and partial characterization of a second </w:t>
      </w:r>
      <w:r w:rsidRPr="00112D14">
        <w:rPr>
          <w:i/>
        </w:rPr>
        <w:t>Closterovirus</w:t>
      </w:r>
      <w:r w:rsidRPr="00112D14">
        <w:t xml:space="preserve"> associated with little cherry disease,</w:t>
      </w:r>
      <w:r w:rsidRPr="00112D14">
        <w:rPr>
          <w:i/>
        </w:rPr>
        <w:t xml:space="preserve"> Little cherry virus-2</w:t>
      </w:r>
      <w:r w:rsidRPr="00112D14">
        <w:t xml:space="preserve">’, </w:t>
      </w:r>
      <w:r w:rsidRPr="00112D14">
        <w:rPr>
          <w:i/>
        </w:rPr>
        <w:t>Phytopathology</w:t>
      </w:r>
      <w:r w:rsidRPr="00112D14">
        <w:t>, vol. 91, pp. 261-7.</w:t>
      </w:r>
      <w:bookmarkEnd w:id="1191"/>
    </w:p>
    <w:p w14:paraId="34B01137" w14:textId="77777777" w:rsidR="003438A2" w:rsidRPr="00112D14" w:rsidRDefault="003438A2" w:rsidP="00112D14">
      <w:pPr>
        <w:pStyle w:val="EndNoteBibliography"/>
        <w:spacing w:after="0"/>
      </w:pPr>
      <w:bookmarkStart w:id="1192" w:name="_ENREF_626"/>
      <w:r w:rsidRPr="00112D14">
        <w:t xml:space="preserve">Roy, M, Brodeur, J &amp; Cloutier, C 1999, ‘Seasonal abundance of spider mites and their predators on red raspberry in Quebec, Canada’, </w:t>
      </w:r>
      <w:r w:rsidRPr="00112D14">
        <w:rPr>
          <w:i/>
        </w:rPr>
        <w:t>Environmental Entomology</w:t>
      </w:r>
      <w:r w:rsidRPr="00112D14">
        <w:t>, vol. 28, no. 4, pp. 735-47.</w:t>
      </w:r>
      <w:bookmarkEnd w:id="1192"/>
    </w:p>
    <w:p w14:paraId="6191384E" w14:textId="77777777" w:rsidR="003438A2" w:rsidRPr="00112D14" w:rsidRDefault="003438A2" w:rsidP="00112D14">
      <w:pPr>
        <w:pStyle w:val="EndNoteBibliography"/>
        <w:spacing w:after="0"/>
      </w:pPr>
      <w:bookmarkStart w:id="1193" w:name="_ENREF_627"/>
      <w:r w:rsidRPr="00112D14">
        <w:t xml:space="preserve">-- -- 2005, ‘Seasonal activity of the spider mite predators: </w:t>
      </w:r>
      <w:r w:rsidRPr="00112D14">
        <w:rPr>
          <w:i/>
        </w:rPr>
        <w:t>Stethorus punctillum</w:t>
      </w:r>
      <w:r w:rsidRPr="00112D14">
        <w:t xml:space="preserve"> (Coleoptera: Coccinellidae) and </w:t>
      </w:r>
      <w:r w:rsidRPr="00112D14">
        <w:rPr>
          <w:i/>
        </w:rPr>
        <w:t>Neoseiulus fallacis</w:t>
      </w:r>
      <w:r w:rsidRPr="00112D14">
        <w:t xml:space="preserve"> (Acarina: Phytoseiidae) in raspberry, two predators of </w:t>
      </w:r>
      <w:r w:rsidRPr="00112D14">
        <w:rPr>
          <w:i/>
        </w:rPr>
        <w:t>Tetranychus mcdanieli</w:t>
      </w:r>
      <w:r w:rsidRPr="00112D14">
        <w:t xml:space="preserve"> (Acarina: Tetranychidae)’, </w:t>
      </w:r>
      <w:r w:rsidRPr="00112D14">
        <w:rPr>
          <w:i/>
        </w:rPr>
        <w:t>Biological control: a guide to natural enemies in North America</w:t>
      </w:r>
      <w:r w:rsidRPr="00112D14">
        <w:t>, vol. 34, no. 1, pp. 47-57.</w:t>
      </w:r>
      <w:bookmarkEnd w:id="1193"/>
    </w:p>
    <w:p w14:paraId="1B29F390" w14:textId="77777777" w:rsidR="003438A2" w:rsidRPr="00112D14" w:rsidRDefault="003438A2" w:rsidP="00112D14">
      <w:pPr>
        <w:pStyle w:val="EndNoteBibliography"/>
        <w:spacing w:after="0"/>
      </w:pPr>
      <w:bookmarkStart w:id="1194" w:name="_ENREF_628"/>
      <w:r w:rsidRPr="00112D14">
        <w:t>Ruehle, GD 1930, ‘</w:t>
      </w:r>
      <w:r w:rsidRPr="00112D14">
        <w:rPr>
          <w:i/>
        </w:rPr>
        <w:t>Stemphylium congestum</w:t>
      </w:r>
      <w:r w:rsidRPr="00112D14">
        <w:t xml:space="preserve"> and its relation to decay in apples’, </w:t>
      </w:r>
      <w:r w:rsidRPr="00112D14">
        <w:rPr>
          <w:i/>
        </w:rPr>
        <w:t>Mycologia</w:t>
      </w:r>
      <w:r w:rsidRPr="00112D14">
        <w:t>, vol. 22, pp. 304-9.</w:t>
      </w:r>
      <w:bookmarkEnd w:id="1194"/>
    </w:p>
    <w:p w14:paraId="33718C04" w14:textId="77777777" w:rsidR="003438A2" w:rsidRPr="00112D14" w:rsidRDefault="003438A2" w:rsidP="00112D14">
      <w:pPr>
        <w:pStyle w:val="EndNoteBibliography"/>
        <w:spacing w:after="0"/>
      </w:pPr>
      <w:bookmarkStart w:id="1195" w:name="_ENREF_629"/>
      <w:r w:rsidRPr="00112D14">
        <w:t xml:space="preserve">-- -- 1931, ‘New apple-rot fungi from Washington’, </w:t>
      </w:r>
      <w:r w:rsidRPr="00112D14">
        <w:rPr>
          <w:i/>
        </w:rPr>
        <w:t>Phytopathology</w:t>
      </w:r>
      <w:r w:rsidRPr="00112D14">
        <w:t>, vol. 21, pp. 1141-52.</w:t>
      </w:r>
      <w:bookmarkEnd w:id="1195"/>
    </w:p>
    <w:p w14:paraId="261551D7" w14:textId="77777777" w:rsidR="003438A2" w:rsidRPr="00112D14" w:rsidRDefault="003438A2" w:rsidP="00112D14">
      <w:pPr>
        <w:pStyle w:val="EndNoteBibliography"/>
        <w:spacing w:after="0"/>
      </w:pPr>
      <w:bookmarkStart w:id="1196" w:name="_ENREF_630"/>
      <w:r w:rsidRPr="00112D14">
        <w:t xml:space="preserve">Russell, IPM 2009, </w:t>
      </w:r>
      <w:r>
        <w:t xml:space="preserve">Agri Overview, Pheromone Formulation Facilities, </w:t>
      </w:r>
      <w:r w:rsidRPr="00112D14">
        <w:rPr>
          <w:i/>
        </w:rPr>
        <w:t>Argyresthia conjugella</w:t>
      </w:r>
      <w:r w:rsidRPr="00112D14">
        <w:t>.</w:t>
      </w:r>
      <w:bookmarkEnd w:id="1196"/>
    </w:p>
    <w:p w14:paraId="1AF17D86" w14:textId="77777777" w:rsidR="003438A2" w:rsidRPr="00112D14" w:rsidRDefault="003438A2" w:rsidP="00112D14">
      <w:pPr>
        <w:pStyle w:val="EndNoteBibliography"/>
        <w:spacing w:after="0"/>
      </w:pPr>
      <w:bookmarkStart w:id="1197" w:name="_ENREF_631"/>
      <w:r w:rsidRPr="00112D14">
        <w:t>Safonkin, AF &amp; Triseleva, TA 2005, ‘Fecundity of large fruit tree tortrix</w:t>
      </w:r>
      <w:r w:rsidRPr="00112D14">
        <w:rPr>
          <w:i/>
        </w:rPr>
        <w:t xml:space="preserve"> Archips podana </w:t>
      </w:r>
      <w:r w:rsidRPr="00112D14">
        <w:t>Scop.</w:t>
      </w:r>
      <w:r w:rsidRPr="00112D14">
        <w:rPr>
          <w:i/>
        </w:rPr>
        <w:t xml:space="preserve"> </w:t>
      </w:r>
      <w:r w:rsidRPr="00112D14">
        <w:t xml:space="preserve">(Lepidoptera: Tortricidae) on different host plants’, </w:t>
      </w:r>
      <w:r w:rsidRPr="00112D14">
        <w:rPr>
          <w:i/>
        </w:rPr>
        <w:t>Biology Bulletin</w:t>
      </w:r>
      <w:r w:rsidRPr="00112D14">
        <w:t>, vol. 32, no. 2, pp. 207-10.</w:t>
      </w:r>
      <w:bookmarkEnd w:id="1197"/>
    </w:p>
    <w:p w14:paraId="3D693E0B" w14:textId="77777777" w:rsidR="003438A2" w:rsidRPr="00112D14" w:rsidRDefault="003438A2" w:rsidP="00112D14">
      <w:pPr>
        <w:pStyle w:val="EndNoteBibliography"/>
        <w:spacing w:after="0"/>
      </w:pPr>
      <w:bookmarkStart w:id="1198" w:name="_ENREF_632"/>
      <w:r w:rsidRPr="00112D14">
        <w:t xml:space="preserve">Salinas-Castro, A, Aburto-Aguilar, J, Landa-Cadena, M, San Martín-Romero, E, Morales-Báez, M &amp; Trigos, A 2018, ‘First report of the cherry borer </w:t>
      </w:r>
      <w:r w:rsidRPr="00112D14">
        <w:rPr>
          <w:i/>
        </w:rPr>
        <w:t>Grapholita packardi</w:t>
      </w:r>
      <w:r w:rsidRPr="00112D14">
        <w:t xml:space="preserve"> (Zeller) (Lepidoptera: Tortricidae) attacking hawthorn fruits (</w:t>
      </w:r>
      <w:r w:rsidRPr="00112D14">
        <w:rPr>
          <w:i/>
        </w:rPr>
        <w:t>Crataegus mexicana</w:t>
      </w:r>
      <w:r w:rsidRPr="00112D14">
        <w:t xml:space="preserve">) in Veracruz, Mexico’, </w:t>
      </w:r>
      <w:r w:rsidRPr="00112D14">
        <w:rPr>
          <w:i/>
        </w:rPr>
        <w:t>Revista de la Sociedad Entomológica Argentina</w:t>
      </w:r>
      <w:r w:rsidRPr="00112D14">
        <w:t>, vol. 77, no. 3.</w:t>
      </w:r>
      <w:bookmarkEnd w:id="1198"/>
    </w:p>
    <w:p w14:paraId="097E06F6" w14:textId="77777777" w:rsidR="003438A2" w:rsidRPr="00112D14" w:rsidRDefault="003438A2" w:rsidP="00112D14">
      <w:pPr>
        <w:pStyle w:val="EndNoteBibliography"/>
        <w:spacing w:after="0"/>
      </w:pPr>
      <w:bookmarkStart w:id="1199" w:name="_ENREF_633"/>
      <w:r w:rsidRPr="00112D14">
        <w:t xml:space="preserve">Sampson, PJ &amp; Walker, J 1982, </w:t>
      </w:r>
      <w:r w:rsidRPr="00112D14">
        <w:rPr>
          <w:i/>
        </w:rPr>
        <w:t>An annotated list of plant diseases in Tasmania</w:t>
      </w:r>
      <w:r w:rsidRPr="00112D14">
        <w:t>, Department of Agriculture, Tasmania.</w:t>
      </w:r>
      <w:bookmarkEnd w:id="1199"/>
    </w:p>
    <w:p w14:paraId="42DDD279" w14:textId="77777777" w:rsidR="003438A2" w:rsidRPr="00112D14" w:rsidRDefault="003438A2" w:rsidP="00112D14">
      <w:pPr>
        <w:pStyle w:val="EndNoteBibliography"/>
        <w:spacing w:after="0"/>
      </w:pPr>
      <w:bookmarkStart w:id="1200" w:name="_ENREF_634"/>
      <w:r w:rsidRPr="00112D14">
        <w:t xml:space="preserve">Sansford, CE, Mastro, MV &amp; Reynolds, JR 2016, </w:t>
      </w:r>
      <w:r w:rsidRPr="00112D14">
        <w:rPr>
          <w:i/>
        </w:rPr>
        <w:t>Pest risk analysis (PRA) for apple maggot (Rhagoletis pomonella) moving on municipal green waste into the pest-free area (PFA) of the state of Washington, USA</w:t>
      </w:r>
      <w:r w:rsidRPr="00112D14">
        <w:t>, Version 2.0, The Washington State Department of Agriculture.</w:t>
      </w:r>
      <w:bookmarkEnd w:id="1200"/>
    </w:p>
    <w:p w14:paraId="52E05442" w14:textId="77777777" w:rsidR="003438A2" w:rsidRPr="00112D14" w:rsidRDefault="003438A2" w:rsidP="00112D14">
      <w:pPr>
        <w:pStyle w:val="EndNoteBibliography"/>
        <w:spacing w:after="0"/>
      </w:pPr>
      <w:bookmarkStart w:id="1201" w:name="_ENREF_635"/>
      <w:r w:rsidRPr="00112D14">
        <w:t xml:space="preserve">Santander, RD, Català-Senent, J, Ordax, M, Marco-Noales, E &amp; Biosca, EG 2009, ‘Effect of chlorine on the survival of </w:t>
      </w:r>
      <w:r w:rsidRPr="00112D14">
        <w:rPr>
          <w:i/>
        </w:rPr>
        <w:t>Erwinia amylovora</w:t>
      </w:r>
      <w:r w:rsidRPr="00112D14">
        <w:t xml:space="preserve"> in water’, paper presented at Cost action 864 combining traditional and advanced strategies for plant protection in pome fruit growing: Working Groups 1-4 Meeting, Valencia, Spain, 3-5 June.</w:t>
      </w:r>
      <w:bookmarkEnd w:id="1201"/>
    </w:p>
    <w:p w14:paraId="030D3BD3" w14:textId="5EAAB72F" w:rsidR="003438A2" w:rsidRPr="00112D14" w:rsidRDefault="003438A2" w:rsidP="00112D14">
      <w:pPr>
        <w:pStyle w:val="EndNoteBibliography"/>
        <w:spacing w:after="0"/>
      </w:pPr>
      <w:bookmarkStart w:id="1202" w:name="_ENREF_636"/>
      <w:r w:rsidRPr="00112D14">
        <w:t xml:space="preserve">Sarker, S &amp; Lim, UT 2019, ‘Development of fecundity performance of </w:t>
      </w:r>
      <w:r w:rsidRPr="00112D14">
        <w:rPr>
          <w:i/>
        </w:rPr>
        <w:t xml:space="preserve">Grapholita molesta </w:t>
      </w:r>
      <w:r w:rsidRPr="00112D14">
        <w:t xml:space="preserve">and </w:t>
      </w:r>
      <w:r w:rsidRPr="00112D14">
        <w:rPr>
          <w:i/>
        </w:rPr>
        <w:t>Grapholita dimorpha</w:t>
      </w:r>
      <w:r w:rsidRPr="00112D14">
        <w:t xml:space="preserve"> (Lepidoptera: Totricidae) on different immarure fruits’, </w:t>
      </w:r>
      <w:r w:rsidRPr="00112D14">
        <w:rPr>
          <w:i/>
        </w:rPr>
        <w:t>PLoS ONE</w:t>
      </w:r>
      <w:r w:rsidRPr="00112D14">
        <w:t>, vol. 14, no. 5,</w:t>
      </w:r>
      <w:r w:rsidR="006A5498">
        <w:t xml:space="preserve"> available at,</w:t>
      </w:r>
      <w:r w:rsidRPr="00112D14">
        <w:t xml:space="preserve"> </w:t>
      </w:r>
      <w:hyperlink r:id="rId281" w:history="1">
        <w:r w:rsidR="00D25124" w:rsidRPr="009E4A79">
          <w:rPr>
            <w:rStyle w:val="Hyperlink"/>
          </w:rPr>
          <w:t>https://doi.org/10.1371/journal.pone.0217492</w:t>
        </w:r>
      </w:hyperlink>
      <w:r w:rsidRPr="00112D14">
        <w:t>.</w:t>
      </w:r>
      <w:bookmarkEnd w:id="1202"/>
    </w:p>
    <w:p w14:paraId="2DBCCAF2" w14:textId="5BE92DF7" w:rsidR="003438A2" w:rsidRPr="00112D14" w:rsidRDefault="003438A2" w:rsidP="00112D14">
      <w:pPr>
        <w:pStyle w:val="EndNoteBibliography"/>
        <w:spacing w:after="0"/>
      </w:pPr>
      <w:bookmarkStart w:id="1203" w:name="_ENREF_637"/>
      <w:r w:rsidRPr="00112D14">
        <w:t xml:space="preserve">-- -- 2022, ‘Puncturing apple fruits increases survival of </w:t>
      </w:r>
      <w:r w:rsidRPr="00112D14">
        <w:rPr>
          <w:i/>
        </w:rPr>
        <w:t>Grapholita molesta</w:t>
      </w:r>
      <w:r w:rsidRPr="00112D14">
        <w:t xml:space="preserve"> (Lepidoptera: Tortricidae) in laboratory rearing’, </w:t>
      </w:r>
      <w:r w:rsidRPr="00112D14">
        <w:rPr>
          <w:i/>
        </w:rPr>
        <w:t>PLoS ONE</w:t>
      </w:r>
      <w:r w:rsidRPr="00112D14">
        <w:t xml:space="preserve">, vol. 17, no. 4, e0267890, </w:t>
      </w:r>
      <w:r w:rsidR="00240C37">
        <w:t>available at,</w:t>
      </w:r>
      <w:r w:rsidR="00240C37" w:rsidRPr="00112D14">
        <w:t xml:space="preserve"> </w:t>
      </w:r>
      <w:hyperlink r:id="rId282" w:history="1">
        <w:r w:rsidR="00D25124" w:rsidRPr="009E4A79">
          <w:rPr>
            <w:rStyle w:val="Hyperlink"/>
          </w:rPr>
          <w:t>https://doi.org/10.1371/journal.pone.0267890</w:t>
        </w:r>
      </w:hyperlink>
      <w:r w:rsidRPr="00112D14">
        <w:t>.</w:t>
      </w:r>
      <w:bookmarkEnd w:id="1203"/>
    </w:p>
    <w:p w14:paraId="3EC26FB9" w14:textId="03E76739" w:rsidR="003438A2" w:rsidRDefault="003438A2" w:rsidP="00112D14">
      <w:pPr>
        <w:pStyle w:val="EndNoteBibliography"/>
        <w:spacing w:after="0"/>
      </w:pPr>
      <w:bookmarkStart w:id="1204" w:name="_ENREF_638"/>
      <w:r w:rsidRPr="00112D14">
        <w:t xml:space="preserve">Sarker, S, Woo, YH &amp; Lim, UT 2021, ‘Developmental stages of peach, plum, and apple fruit influence development and fecundity of </w:t>
      </w:r>
      <w:r w:rsidRPr="00112D14">
        <w:rPr>
          <w:i/>
        </w:rPr>
        <w:t>Grapholita molesta</w:t>
      </w:r>
      <w:r w:rsidRPr="00112D14">
        <w:t xml:space="preserve"> (Lepidoptera: Tortricidae)’, </w:t>
      </w:r>
      <w:r w:rsidRPr="00112D14">
        <w:rPr>
          <w:i/>
        </w:rPr>
        <w:t>Scientific Reports</w:t>
      </w:r>
      <w:r w:rsidRPr="00112D14">
        <w:t>, vol. 11, 2105,</w:t>
      </w:r>
      <w:r w:rsidR="006A5498">
        <w:t>b</w:t>
      </w:r>
      <w:r w:rsidR="006A5498" w:rsidRPr="006A5498">
        <w:t xml:space="preserve"> </w:t>
      </w:r>
      <w:r w:rsidR="006A5498">
        <w:t>available at,</w:t>
      </w:r>
      <w:r w:rsidR="006A5498" w:rsidRPr="00112D14">
        <w:t xml:space="preserve"> </w:t>
      </w:r>
      <w:bookmarkEnd w:id="1204"/>
      <w:r w:rsidR="006A5498">
        <w:fldChar w:fldCharType="begin"/>
      </w:r>
      <w:r w:rsidR="006A5498">
        <w:instrText xml:space="preserve"> HYPERLINK "</w:instrText>
      </w:r>
      <w:r w:rsidR="006A5498" w:rsidRPr="006A5498">
        <w:instrText>https://www.nature.com/articles/s41598-021-81651-4.pdf</w:instrText>
      </w:r>
      <w:r w:rsidR="006A5498">
        <w:instrText xml:space="preserve">" </w:instrText>
      </w:r>
      <w:r w:rsidR="006A5498">
        <w:fldChar w:fldCharType="separate"/>
      </w:r>
      <w:r w:rsidR="006A5498" w:rsidRPr="00847402">
        <w:rPr>
          <w:rStyle w:val="Hyperlink"/>
        </w:rPr>
        <w:t>https://www.nature.com/articles/s41598-021-81651-4.pdf</w:t>
      </w:r>
      <w:r w:rsidR="006A5498">
        <w:fldChar w:fldCharType="end"/>
      </w:r>
    </w:p>
    <w:p w14:paraId="4444D377" w14:textId="77777777" w:rsidR="003438A2" w:rsidRPr="00112D14" w:rsidRDefault="003438A2" w:rsidP="00112D14">
      <w:pPr>
        <w:pStyle w:val="EndNoteBibliography"/>
        <w:spacing w:after="0"/>
      </w:pPr>
      <w:bookmarkStart w:id="1205" w:name="_ENREF_639"/>
      <w:r w:rsidRPr="00112D14">
        <w:t xml:space="preserve">Sasaya, T &amp; Koganezawa, H 2006, ‘Molecular analysis and virus transmission tests place </w:t>
      </w:r>
      <w:r w:rsidRPr="00112D14">
        <w:rPr>
          <w:i/>
        </w:rPr>
        <w:t>Olpidium</w:t>
      </w:r>
      <w:r w:rsidRPr="00112D14">
        <w:t xml:space="preserve"> </w:t>
      </w:r>
      <w:r w:rsidRPr="00112D14">
        <w:rPr>
          <w:i/>
        </w:rPr>
        <w:t>virulentus</w:t>
      </w:r>
      <w:r w:rsidRPr="00112D14">
        <w:t xml:space="preserve">, a vector of </w:t>
      </w:r>
      <w:r w:rsidRPr="00112D14">
        <w:rPr>
          <w:i/>
        </w:rPr>
        <w:t>Mirafiori lettuce big-vein virus</w:t>
      </w:r>
      <w:r w:rsidRPr="00112D14">
        <w:t xml:space="preserve"> and </w:t>
      </w:r>
      <w:r w:rsidRPr="00112D14">
        <w:rPr>
          <w:i/>
        </w:rPr>
        <w:t>Tobacco stunt virus,</w:t>
      </w:r>
      <w:r w:rsidRPr="00112D14">
        <w:t xml:space="preserve"> as a distinct species rather than a strain of </w:t>
      </w:r>
      <w:r w:rsidRPr="00112D14">
        <w:rPr>
          <w:i/>
        </w:rPr>
        <w:t>Olpidium</w:t>
      </w:r>
      <w:r w:rsidRPr="00112D14">
        <w:t xml:space="preserve"> </w:t>
      </w:r>
      <w:r w:rsidRPr="00112D14">
        <w:rPr>
          <w:i/>
        </w:rPr>
        <w:t>brassicae</w:t>
      </w:r>
      <w:r w:rsidRPr="00112D14">
        <w:t xml:space="preserve">’, </w:t>
      </w:r>
      <w:r w:rsidRPr="00112D14">
        <w:rPr>
          <w:i/>
        </w:rPr>
        <w:t>Journal of General Plant Pathology</w:t>
      </w:r>
      <w:r w:rsidRPr="00112D14">
        <w:t>, vol. 72, pp. 20-5.</w:t>
      </w:r>
      <w:bookmarkEnd w:id="1205"/>
    </w:p>
    <w:p w14:paraId="1F714C1B" w14:textId="77777777" w:rsidR="003438A2" w:rsidRPr="00112D14" w:rsidRDefault="003438A2" w:rsidP="00112D14">
      <w:pPr>
        <w:pStyle w:val="EndNoteBibliography"/>
        <w:spacing w:after="0"/>
      </w:pPr>
      <w:bookmarkStart w:id="1206" w:name="_ENREF_640"/>
      <w:r w:rsidRPr="00112D14">
        <w:t xml:space="preserve">Schmitt, JJ, Brown, MW &amp; Davis, DR 1996, ‘Taxonomy, morphology and biology of </w:t>
      </w:r>
      <w:r w:rsidRPr="00112D14">
        <w:rPr>
          <w:i/>
        </w:rPr>
        <w:t xml:space="preserve">Lyonetia prunifoliella </w:t>
      </w:r>
      <w:r w:rsidRPr="00112D14">
        <w:t xml:space="preserve">(Lepidoptera: Lyonetiidae), a leafminer of apple’, </w:t>
      </w:r>
      <w:r w:rsidRPr="00112D14">
        <w:rPr>
          <w:i/>
        </w:rPr>
        <w:t>Annals of the Entomological Society of America</w:t>
      </w:r>
      <w:r w:rsidRPr="00112D14">
        <w:t>, vol. 89, no. 3, pp. 334-45.</w:t>
      </w:r>
      <w:bookmarkEnd w:id="1206"/>
    </w:p>
    <w:p w14:paraId="58817369" w14:textId="77777777" w:rsidR="003438A2" w:rsidRPr="00112D14" w:rsidRDefault="003438A2" w:rsidP="00112D14">
      <w:pPr>
        <w:pStyle w:val="EndNoteBibliography"/>
        <w:spacing w:after="0"/>
      </w:pPr>
      <w:bookmarkStart w:id="1207" w:name="_ENREF_641"/>
      <w:r w:rsidRPr="00112D14">
        <w:t xml:space="preserve">Schotzko, RT 2005, </w:t>
      </w:r>
      <w:r w:rsidRPr="00112D14">
        <w:rPr>
          <w:i/>
        </w:rPr>
        <w:t>A brief look at the Washington apple industry: past and present</w:t>
      </w:r>
      <w:r w:rsidRPr="00112D14">
        <w:t>, SES 04-05, Washington State University, Washington.</w:t>
      </w:r>
      <w:bookmarkEnd w:id="1207"/>
    </w:p>
    <w:p w14:paraId="7935678C" w14:textId="77777777" w:rsidR="003438A2" w:rsidRPr="00112D14" w:rsidRDefault="003438A2" w:rsidP="00112D14">
      <w:pPr>
        <w:pStyle w:val="EndNoteBibliography"/>
        <w:spacing w:after="0"/>
      </w:pPr>
      <w:bookmarkStart w:id="1208" w:name="_ENREF_642"/>
      <w:r w:rsidRPr="00112D14">
        <w:t xml:space="preserve">Schowalter, TD &amp; Ring, DR 2017, ‘Biology and management of the fall webworm, </w:t>
      </w:r>
      <w:r w:rsidRPr="00112D14">
        <w:rPr>
          <w:i/>
        </w:rPr>
        <w:t>Hyphantria cunea</w:t>
      </w:r>
      <w:r w:rsidRPr="00112D14">
        <w:t xml:space="preserve"> (Lepidoptera: Erebidae)’, </w:t>
      </w:r>
      <w:r w:rsidRPr="00112D14">
        <w:rPr>
          <w:i/>
        </w:rPr>
        <w:t>Journal of Integrated Pest Management</w:t>
      </w:r>
      <w:r w:rsidRPr="00112D14">
        <w:t>, vol. 8, no. 1, pp. 1-6.</w:t>
      </w:r>
      <w:bookmarkEnd w:id="1208"/>
    </w:p>
    <w:p w14:paraId="10D24EFD" w14:textId="77777777" w:rsidR="003438A2" w:rsidRPr="00112D14" w:rsidRDefault="003438A2" w:rsidP="00112D14">
      <w:pPr>
        <w:pStyle w:val="EndNoteBibliography"/>
        <w:spacing w:after="0"/>
      </w:pPr>
      <w:bookmarkStart w:id="1209" w:name="_ENREF_643"/>
      <w:r w:rsidRPr="00112D14">
        <w:t xml:space="preserve">Schuble, DL 2013, </w:t>
      </w:r>
      <w:r w:rsidRPr="00112D14">
        <w:rPr>
          <w:i/>
        </w:rPr>
        <w:t>December 2013 DEEP comments</w:t>
      </w:r>
      <w:r w:rsidRPr="00112D14">
        <w:t>, Attachment 2: Pest Comments, California Department of Food and Agriculture.</w:t>
      </w:r>
      <w:bookmarkEnd w:id="1209"/>
    </w:p>
    <w:p w14:paraId="6F2CED64" w14:textId="77777777" w:rsidR="003438A2" w:rsidRPr="00112D14" w:rsidRDefault="003438A2" w:rsidP="00112D14">
      <w:pPr>
        <w:pStyle w:val="EndNoteBibliography"/>
        <w:spacing w:after="0"/>
      </w:pPr>
      <w:bookmarkStart w:id="1210" w:name="_ENREF_644"/>
      <w:r w:rsidRPr="00112D14">
        <w:t xml:space="preserve">Scott, L 2006, </w:t>
      </w:r>
      <w:r w:rsidRPr="00112D14">
        <w:rPr>
          <w:i/>
        </w:rPr>
        <w:t>Lynn Scott's Lepidoptera images: Lacanobia subjuncta</w:t>
      </w:r>
      <w:r w:rsidRPr="00112D14">
        <w:t>, Lynn Scott’s Lepidoptera Index, Ottawa, Dunrobin, ON Canada.</w:t>
      </w:r>
      <w:bookmarkEnd w:id="1210"/>
    </w:p>
    <w:p w14:paraId="299BF8FC" w14:textId="77777777" w:rsidR="003438A2" w:rsidRPr="00112D14" w:rsidRDefault="003438A2" w:rsidP="00112D14">
      <w:pPr>
        <w:pStyle w:val="EndNoteBibliography"/>
        <w:spacing w:after="0"/>
      </w:pPr>
      <w:bookmarkStart w:id="1211" w:name="_ENREF_645"/>
      <w:r w:rsidRPr="00112D14">
        <w:t xml:space="preserve">Seeman, OD &amp; Beard, JJ 2011, ‘Identification of exotic pest and Australian native and naturalised species of </w:t>
      </w:r>
      <w:r w:rsidRPr="00112D14">
        <w:rPr>
          <w:i/>
        </w:rPr>
        <w:t xml:space="preserve">Tetranychus </w:t>
      </w:r>
      <w:r w:rsidRPr="00112D14">
        <w:t xml:space="preserve">(Acari: Tetranychidae)’, </w:t>
      </w:r>
      <w:r w:rsidRPr="00112D14">
        <w:rPr>
          <w:i/>
        </w:rPr>
        <w:t>Zootaxa</w:t>
      </w:r>
      <w:r w:rsidRPr="00112D14">
        <w:t>, vol. 2961, pp. 1-72.</w:t>
      </w:r>
      <w:bookmarkEnd w:id="1211"/>
    </w:p>
    <w:p w14:paraId="5FABA580" w14:textId="77777777" w:rsidR="003438A2" w:rsidRPr="00112D14" w:rsidRDefault="003438A2" w:rsidP="00112D14">
      <w:pPr>
        <w:pStyle w:val="EndNoteBibliography"/>
        <w:spacing w:after="0"/>
      </w:pPr>
      <w:bookmarkStart w:id="1212" w:name="_ENREF_646"/>
      <w:r w:rsidRPr="00112D14">
        <w:t xml:space="preserve">Sepasgosarian, H 1970, ‘The red false spider mite of apple </w:t>
      </w:r>
      <w:r w:rsidRPr="00112D14">
        <w:rPr>
          <w:i/>
        </w:rPr>
        <w:t xml:space="preserve">Cenopalpus pulcher </w:t>
      </w:r>
      <w:r w:rsidRPr="00112D14">
        <w:t xml:space="preserve">(Can. &amp; Franz.) (Acari: Tenuipalpidae)’, </w:t>
      </w:r>
      <w:r w:rsidRPr="00112D14">
        <w:rPr>
          <w:i/>
        </w:rPr>
        <w:t>Bulletin of the Agricultural College, Karadj</w:t>
      </w:r>
      <w:r w:rsidRPr="00112D14">
        <w:t>, vol. 115, pp. 1-37.</w:t>
      </w:r>
      <w:bookmarkEnd w:id="1212"/>
    </w:p>
    <w:p w14:paraId="56F9040D" w14:textId="77777777" w:rsidR="003438A2" w:rsidRPr="00112D14" w:rsidRDefault="003438A2" w:rsidP="00112D14">
      <w:pPr>
        <w:pStyle w:val="EndNoteBibliography"/>
        <w:spacing w:after="0"/>
      </w:pPr>
      <w:bookmarkStart w:id="1213" w:name="_ENREF_647"/>
      <w:r w:rsidRPr="00112D14">
        <w:t xml:space="preserve">Seymour, LM, Mowry, TM, Day, WH &amp; Barbour, JD 2005, ‘Parasitism of </w:t>
      </w:r>
      <w:r w:rsidRPr="00112D14">
        <w:rPr>
          <w:i/>
        </w:rPr>
        <w:t>Lygus</w:t>
      </w:r>
      <w:r w:rsidRPr="00112D14">
        <w:t xml:space="preserve"> spp. nymphs by the parasitoid wasp, </w:t>
      </w:r>
      <w:r w:rsidRPr="00112D14">
        <w:rPr>
          <w:i/>
        </w:rPr>
        <w:t>Peristenus howardi</w:t>
      </w:r>
      <w:r w:rsidRPr="00112D14">
        <w:t xml:space="preserve">, in the alfalfa seed-growing region of the Pacific Northwest’, </w:t>
      </w:r>
      <w:r w:rsidRPr="00112D14">
        <w:rPr>
          <w:i/>
        </w:rPr>
        <w:t>Journal of Insect Science</w:t>
      </w:r>
      <w:r w:rsidRPr="00112D14">
        <w:t>, vol. 5, pp. 44-.</w:t>
      </w:r>
      <w:bookmarkEnd w:id="1213"/>
    </w:p>
    <w:p w14:paraId="2A1D5DC9" w14:textId="77777777" w:rsidR="003438A2" w:rsidRPr="00112D14" w:rsidRDefault="003438A2" w:rsidP="00112D14">
      <w:pPr>
        <w:pStyle w:val="EndNoteBibliography"/>
        <w:spacing w:after="0"/>
      </w:pPr>
      <w:bookmarkStart w:id="1214" w:name="_ENREF_648"/>
      <w:r w:rsidRPr="00112D14">
        <w:t xml:space="preserve">Sforza, R, Boudon-Padieu, E &amp; Greif, C 2003, ‘New mealybug species vectoring </w:t>
      </w:r>
      <w:r w:rsidRPr="00112D14">
        <w:rPr>
          <w:i/>
        </w:rPr>
        <w:t>Grapevine leafroll associated viruses-1 and -3 (GLRaV-1 and -3)</w:t>
      </w:r>
      <w:r w:rsidRPr="00112D14">
        <w:t xml:space="preserve">’, </w:t>
      </w:r>
      <w:r w:rsidRPr="00112D14">
        <w:rPr>
          <w:i/>
        </w:rPr>
        <w:t>European Journal of Plant Pathology</w:t>
      </w:r>
      <w:r w:rsidRPr="00112D14">
        <w:t>, vol. 109, pp. 975-81.</w:t>
      </w:r>
      <w:bookmarkEnd w:id="1214"/>
    </w:p>
    <w:p w14:paraId="43A3B38C" w14:textId="77777777" w:rsidR="003438A2" w:rsidRPr="00112D14" w:rsidRDefault="003438A2" w:rsidP="00112D14">
      <w:pPr>
        <w:pStyle w:val="EndNoteBibliography"/>
        <w:spacing w:after="0"/>
      </w:pPr>
      <w:bookmarkStart w:id="1215" w:name="_ENREF_649"/>
      <w:r w:rsidRPr="00112D14">
        <w:t xml:space="preserve">Shaw, CG 1958, ‘Host fungus index for the Pacific northwest: i. hosts’, </w:t>
      </w:r>
      <w:r w:rsidRPr="00112D14">
        <w:rPr>
          <w:i/>
        </w:rPr>
        <w:t>Stations Circular</w:t>
      </w:r>
      <w:r w:rsidRPr="00112D14">
        <w:t>, vol. 335, pp. 1-63.</w:t>
      </w:r>
      <w:bookmarkEnd w:id="1215"/>
    </w:p>
    <w:p w14:paraId="7A2BDF4B" w14:textId="77777777" w:rsidR="003438A2" w:rsidRPr="00112D14" w:rsidRDefault="003438A2" w:rsidP="00112D14">
      <w:pPr>
        <w:pStyle w:val="EndNoteBibliography"/>
        <w:spacing w:after="0"/>
      </w:pPr>
      <w:bookmarkStart w:id="1216" w:name="_ENREF_650"/>
      <w:r w:rsidRPr="00112D14">
        <w:t xml:space="preserve">-- -- 1973, ‘Host fungus index for the Pacific northwest: i. hosts’, </w:t>
      </w:r>
      <w:r w:rsidRPr="00112D14">
        <w:rPr>
          <w:i/>
        </w:rPr>
        <w:t>Washington State Experiment Station Bulletin</w:t>
      </w:r>
      <w:r w:rsidRPr="00112D14">
        <w:t>, vol. 765, pp. 1-121.</w:t>
      </w:r>
      <w:bookmarkEnd w:id="1216"/>
    </w:p>
    <w:p w14:paraId="00222D7F" w14:textId="77777777" w:rsidR="003438A2" w:rsidRPr="00112D14" w:rsidRDefault="003438A2" w:rsidP="00112D14">
      <w:pPr>
        <w:pStyle w:val="EndNoteBibliography"/>
        <w:spacing w:after="0"/>
      </w:pPr>
      <w:bookmarkStart w:id="1217" w:name="_ENREF_651"/>
      <w:r w:rsidRPr="00112D14">
        <w:t xml:space="preserve">Shivas, RG 1989, ‘Fungal and bacterial diseases of plants in Western Australia’, </w:t>
      </w:r>
      <w:r w:rsidRPr="00112D14">
        <w:rPr>
          <w:i/>
        </w:rPr>
        <w:t>Journal of the Royal Society of Western Australia</w:t>
      </w:r>
      <w:r w:rsidRPr="00112D14">
        <w:t>, vol. 72, no. 1-2, pp. 1-62.</w:t>
      </w:r>
      <w:bookmarkEnd w:id="1217"/>
    </w:p>
    <w:p w14:paraId="3A380E52" w14:textId="77777777" w:rsidR="003438A2" w:rsidRPr="00112D14" w:rsidRDefault="003438A2" w:rsidP="00112D14">
      <w:pPr>
        <w:pStyle w:val="EndNoteBibliography"/>
        <w:spacing w:after="0"/>
      </w:pPr>
      <w:bookmarkStart w:id="1218" w:name="_ENREF_652"/>
      <w:r w:rsidRPr="00112D14">
        <w:t xml:space="preserve">Sholberg, PL &amp; Gaudet, DA 1992, ‘Grass as a source of inoculum for rot caused by </w:t>
      </w:r>
      <w:r w:rsidRPr="00112D14">
        <w:rPr>
          <w:i/>
        </w:rPr>
        <w:t>Coprinus psychromorbidus</w:t>
      </w:r>
      <w:r w:rsidRPr="00112D14">
        <w:t xml:space="preserve"> in stored apples’, </w:t>
      </w:r>
      <w:r w:rsidRPr="00112D14">
        <w:rPr>
          <w:i/>
        </w:rPr>
        <w:t>Canadian Journal of Plant Pathology</w:t>
      </w:r>
      <w:r w:rsidRPr="00112D14">
        <w:t>, vol. 14, pp. 221-6.</w:t>
      </w:r>
      <w:bookmarkEnd w:id="1218"/>
    </w:p>
    <w:p w14:paraId="138A2793" w14:textId="77777777" w:rsidR="003438A2" w:rsidRPr="00112D14" w:rsidRDefault="003438A2" w:rsidP="00112D14">
      <w:pPr>
        <w:pStyle w:val="EndNoteBibliography"/>
        <w:spacing w:after="0"/>
      </w:pPr>
      <w:bookmarkStart w:id="1219" w:name="_ENREF_653"/>
      <w:r w:rsidRPr="00112D14">
        <w:t xml:space="preserve">Sholberg, PL, Gaunce, AP &amp; Owen, GR 1988, ‘Occurrence of </w:t>
      </w:r>
      <w:r w:rsidRPr="00112D14">
        <w:rPr>
          <w:i/>
        </w:rPr>
        <w:t>Erwinia amylovora</w:t>
      </w:r>
      <w:r w:rsidRPr="00112D14">
        <w:t xml:space="preserve"> of pome fruit in British Columbia in 1985 and its elimination from the apple surface’, </w:t>
      </w:r>
      <w:r w:rsidRPr="00112D14">
        <w:rPr>
          <w:i/>
        </w:rPr>
        <w:t>Canadian Journal of Plant Pathology</w:t>
      </w:r>
      <w:r w:rsidRPr="00112D14">
        <w:t>, vol. 10, no. 2, pp. 178-82.</w:t>
      </w:r>
      <w:bookmarkEnd w:id="1219"/>
    </w:p>
    <w:p w14:paraId="361CF4B7" w14:textId="77777777" w:rsidR="003438A2" w:rsidRPr="00112D14" w:rsidRDefault="003438A2" w:rsidP="00112D14">
      <w:pPr>
        <w:pStyle w:val="EndNoteBibliography"/>
        <w:spacing w:after="0"/>
      </w:pPr>
      <w:bookmarkStart w:id="1220" w:name="_ENREF_654"/>
      <w:r w:rsidRPr="00112D14">
        <w:t xml:space="preserve">Sholberg, PL, Stokes, SC &amp; O'Gorman, DT 2010, ‘First report of Phacidiopycnis rot of pears caused by </w:t>
      </w:r>
      <w:r w:rsidRPr="00112D14">
        <w:rPr>
          <w:i/>
        </w:rPr>
        <w:t>Potebniamyces pyri</w:t>
      </w:r>
      <w:r w:rsidRPr="00112D14">
        <w:t xml:space="preserve"> (anamorph </w:t>
      </w:r>
      <w:r w:rsidRPr="00112D14">
        <w:rPr>
          <w:i/>
        </w:rPr>
        <w:t>Phacidiopycnis piri</w:t>
      </w:r>
      <w:r w:rsidRPr="00112D14">
        <w:t xml:space="preserve">) in British Columbia’, </w:t>
      </w:r>
      <w:r w:rsidRPr="00112D14">
        <w:rPr>
          <w:i/>
        </w:rPr>
        <w:t>Canadian Journal of Plant Pathology</w:t>
      </w:r>
      <w:r w:rsidRPr="00112D14">
        <w:t>, vol. 32, no. 3, pp. 334-41.</w:t>
      </w:r>
      <w:bookmarkEnd w:id="1220"/>
    </w:p>
    <w:p w14:paraId="0FE4E0CF" w14:textId="77777777" w:rsidR="003438A2" w:rsidRPr="00112D14" w:rsidRDefault="003438A2" w:rsidP="00112D14">
      <w:pPr>
        <w:pStyle w:val="EndNoteBibliography"/>
        <w:spacing w:after="0"/>
      </w:pPr>
      <w:bookmarkStart w:id="1221" w:name="_ENREF_655"/>
      <w:r w:rsidRPr="00112D14">
        <w:t xml:space="preserve">Sial, AA, Brunner, JF &amp; Garczynski, SF 2011, ‘Biochemical characterization of chlorantraniliprole and spinetoram resistance in laboratory-selected obliquebanded leafroller, </w:t>
      </w:r>
      <w:r w:rsidRPr="00112D14">
        <w:rPr>
          <w:i/>
        </w:rPr>
        <w:t>Choristoneura rosaceana</w:t>
      </w:r>
      <w:r w:rsidRPr="00112D14">
        <w:t xml:space="preserve"> (Harris) (Lepidoptera: Tortricidae)’, </w:t>
      </w:r>
      <w:r w:rsidRPr="00112D14">
        <w:rPr>
          <w:i/>
        </w:rPr>
        <w:t>Pesticide Biochemistry and Physiology</w:t>
      </w:r>
      <w:r w:rsidRPr="00112D14">
        <w:t>, vol. 99, no. 3, pp. 274-9.</w:t>
      </w:r>
      <w:bookmarkEnd w:id="1221"/>
    </w:p>
    <w:p w14:paraId="5A910DE2" w14:textId="77777777" w:rsidR="003438A2" w:rsidRPr="00112D14" w:rsidRDefault="003438A2" w:rsidP="00112D14">
      <w:pPr>
        <w:pStyle w:val="EndNoteBibliography"/>
        <w:spacing w:after="0"/>
      </w:pPr>
      <w:bookmarkStart w:id="1222" w:name="_ENREF_656"/>
      <w:r w:rsidRPr="00112D14">
        <w:t xml:space="preserve">Sikdar, P, Mazzola, M, Musacchi, S &amp; Lewis, K 2016, </w:t>
      </w:r>
      <w:r w:rsidRPr="00112D14">
        <w:rPr>
          <w:i/>
        </w:rPr>
        <w:t>Quarantine issues, disease biology and current research with pathogens of Manchurian crabapple</w:t>
      </w:r>
      <w:r w:rsidRPr="00112D14">
        <w:t>, Washington State University, USDA, Washington Tree Fruit Research Commission, Seattle, USA.</w:t>
      </w:r>
      <w:bookmarkEnd w:id="1222"/>
    </w:p>
    <w:p w14:paraId="09CE8925" w14:textId="77777777" w:rsidR="003438A2" w:rsidRPr="00112D14" w:rsidRDefault="003438A2" w:rsidP="00112D14">
      <w:pPr>
        <w:pStyle w:val="EndNoteBibliography"/>
        <w:spacing w:after="0"/>
      </w:pPr>
      <w:bookmarkStart w:id="1223" w:name="_ENREF_657"/>
      <w:r w:rsidRPr="00112D14">
        <w:t xml:space="preserve">Sikdar, P, Okubara, P, Mazzola, M &amp; Xiao, CL 2014, ‘Development of PCR assays for diagnosis and detection of the pathogens </w:t>
      </w:r>
      <w:r w:rsidRPr="00112D14">
        <w:rPr>
          <w:i/>
        </w:rPr>
        <w:t>Phacidiopycnis washingtonensis</w:t>
      </w:r>
      <w:r w:rsidRPr="00112D14">
        <w:t xml:space="preserve"> and </w:t>
      </w:r>
      <w:r w:rsidRPr="00112D14">
        <w:rPr>
          <w:i/>
        </w:rPr>
        <w:t>Sphaeropsis pyriputrescens</w:t>
      </w:r>
      <w:r w:rsidRPr="00112D14">
        <w:t xml:space="preserve"> in apple fruit’, </w:t>
      </w:r>
      <w:r w:rsidRPr="00112D14">
        <w:rPr>
          <w:i/>
        </w:rPr>
        <w:t>Plant Disease</w:t>
      </w:r>
      <w:r w:rsidRPr="00112D14">
        <w:t>, vol. 98, pp. 241-6.</w:t>
      </w:r>
      <w:bookmarkEnd w:id="1223"/>
    </w:p>
    <w:p w14:paraId="53701573" w14:textId="77777777" w:rsidR="003438A2" w:rsidRPr="00112D14" w:rsidRDefault="003438A2" w:rsidP="00112D14">
      <w:pPr>
        <w:pStyle w:val="EndNoteBibliography"/>
        <w:spacing w:after="0"/>
      </w:pPr>
      <w:bookmarkStart w:id="1224" w:name="_ENREF_658"/>
      <w:r w:rsidRPr="00112D14">
        <w:t xml:space="preserve">Sikdar, P, Willett, M &amp; Mazzola, M 2018, ‘Pruning of manchurian crabapple for management of speck rot and sphaeropsis rot in apple’, </w:t>
      </w:r>
      <w:r w:rsidRPr="00112D14">
        <w:rPr>
          <w:i/>
        </w:rPr>
        <w:t>HortScience</w:t>
      </w:r>
      <w:r w:rsidRPr="00112D14">
        <w:t>, vol. 53, no. 3, pp. 329-33.</w:t>
      </w:r>
      <w:bookmarkEnd w:id="1224"/>
    </w:p>
    <w:p w14:paraId="0DF3C1C9" w14:textId="77777777" w:rsidR="003438A2" w:rsidRPr="00112D14" w:rsidRDefault="003438A2" w:rsidP="00112D14">
      <w:pPr>
        <w:pStyle w:val="EndNoteBibliography"/>
        <w:spacing w:after="0"/>
      </w:pPr>
      <w:bookmarkStart w:id="1225" w:name="_ENREF_659"/>
      <w:r w:rsidRPr="00112D14">
        <w:t xml:space="preserve">Simmonds, JH 1966, </w:t>
      </w:r>
      <w:r w:rsidRPr="00112D14">
        <w:rPr>
          <w:i/>
        </w:rPr>
        <w:t>Host index of plant diseases in Queensland</w:t>
      </w:r>
      <w:r w:rsidRPr="00112D14">
        <w:t>, Department of Primary Industries, Brisbane.</w:t>
      </w:r>
      <w:bookmarkEnd w:id="1225"/>
    </w:p>
    <w:p w14:paraId="5B5DE9CD" w14:textId="49C810ED" w:rsidR="003438A2" w:rsidRPr="00112D14" w:rsidRDefault="003438A2" w:rsidP="00112D14">
      <w:pPr>
        <w:pStyle w:val="EndNoteBibliography"/>
        <w:spacing w:after="0"/>
      </w:pPr>
      <w:bookmarkStart w:id="1226" w:name="_ENREF_660"/>
      <w:r w:rsidRPr="00112D14">
        <w:t xml:space="preserve">Simone, N 2004, </w:t>
      </w:r>
      <w:r w:rsidRPr="00112D14">
        <w:rPr>
          <w:i/>
        </w:rPr>
        <w:t>Orchard monitoring manual for pests, natural enemies and diseases of apple, pear and cherry: an illustrated guide for Washington state</w:t>
      </w:r>
      <w:r w:rsidRPr="00112D14">
        <w:t>, Center for Agricultural Partnerships, United States of America, available at</w:t>
      </w:r>
      <w:r w:rsidR="00437A79">
        <w:t>,</w:t>
      </w:r>
      <w:r w:rsidRPr="00112D14">
        <w:t xml:space="preserve"> </w:t>
      </w:r>
      <w:hyperlink r:id="rId283" w:history="1">
        <w:r w:rsidR="00D25124" w:rsidRPr="009E4A79">
          <w:rPr>
            <w:rStyle w:val="Hyperlink"/>
          </w:rPr>
          <w:t>https://www.agcenter.org/progpest.html</w:t>
        </w:r>
      </w:hyperlink>
      <w:r w:rsidRPr="00112D14">
        <w:t>.</w:t>
      </w:r>
      <w:bookmarkEnd w:id="1226"/>
    </w:p>
    <w:p w14:paraId="3CDF36A3" w14:textId="77777777" w:rsidR="003438A2" w:rsidRPr="00112D14" w:rsidRDefault="003438A2" w:rsidP="00112D14">
      <w:pPr>
        <w:pStyle w:val="EndNoteBibliography"/>
        <w:spacing w:after="0"/>
      </w:pPr>
      <w:bookmarkStart w:id="1227" w:name="_ENREF_661"/>
      <w:r w:rsidRPr="00112D14">
        <w:t xml:space="preserve">Sinclair, WA &amp; Lyon, HH 2005, </w:t>
      </w:r>
      <w:r w:rsidRPr="00112D14">
        <w:rPr>
          <w:i/>
        </w:rPr>
        <w:t>Diseases of trees and shrubs</w:t>
      </w:r>
      <w:r w:rsidRPr="00112D14">
        <w:t>, 2nd edn, Comstock Publishing Associates, Cornell University Press, Ithaca.</w:t>
      </w:r>
      <w:bookmarkEnd w:id="1227"/>
    </w:p>
    <w:p w14:paraId="5A3FEAE6" w14:textId="77777777" w:rsidR="003438A2" w:rsidRPr="00112D14" w:rsidRDefault="003438A2" w:rsidP="00112D14">
      <w:pPr>
        <w:pStyle w:val="EndNoteBibliography"/>
        <w:spacing w:after="0"/>
      </w:pPr>
      <w:bookmarkStart w:id="1228" w:name="_ENREF_662"/>
      <w:r w:rsidRPr="00112D14">
        <w:t xml:space="preserve">Slack, SM, Schachterie, JK, Sweeney, EM, Botti-Marino, M, Kharadi, RR, Peng, J, Pochubay, EA &amp; Sundin, GW 2019, ‘In orchard population dynamics of </w:t>
      </w:r>
      <w:r w:rsidRPr="00112D14">
        <w:rPr>
          <w:i/>
        </w:rPr>
        <w:t xml:space="preserve">Erwinia amylovora </w:t>
      </w:r>
      <w:r w:rsidRPr="00112D14">
        <w:t>on apple flower stigmas’, paper presented at 2nd International Symposium on Fireblight of Rosaceous Plants, Traverse City, Michigan, USA, 17-21 June.</w:t>
      </w:r>
      <w:bookmarkEnd w:id="1228"/>
    </w:p>
    <w:p w14:paraId="612351AB" w14:textId="77777777" w:rsidR="003438A2" w:rsidRPr="00112D14" w:rsidRDefault="003438A2" w:rsidP="00112D14">
      <w:pPr>
        <w:pStyle w:val="EndNoteBibliography"/>
        <w:spacing w:after="0"/>
      </w:pPr>
      <w:bookmarkStart w:id="1229" w:name="_ENREF_663"/>
      <w:r w:rsidRPr="00112D14">
        <w:t xml:space="preserve">Sleeper, E 1957, ‘Notes on North American species of </w:t>
      </w:r>
      <w:r w:rsidRPr="00112D14">
        <w:rPr>
          <w:i/>
        </w:rPr>
        <w:t>Polydrusus germar</w:t>
      </w:r>
      <w:r w:rsidRPr="00112D14">
        <w:t xml:space="preserve"> (Coleoptera: Curculionidae: Brachyderinae)’, </w:t>
      </w:r>
      <w:r w:rsidRPr="00112D14">
        <w:rPr>
          <w:i/>
        </w:rPr>
        <w:t>Ohio Journal of Science</w:t>
      </w:r>
      <w:r w:rsidRPr="00112D14">
        <w:t>, vol. 57, no. 3, pp. 129-34.</w:t>
      </w:r>
      <w:bookmarkEnd w:id="1229"/>
    </w:p>
    <w:p w14:paraId="2300FE57" w14:textId="77777777" w:rsidR="003438A2" w:rsidRPr="00112D14" w:rsidRDefault="003438A2" w:rsidP="00112D14">
      <w:pPr>
        <w:pStyle w:val="EndNoteBibliography"/>
        <w:spacing w:after="0"/>
      </w:pPr>
      <w:bookmarkStart w:id="1230" w:name="_ENREF_664"/>
      <w:r w:rsidRPr="00112D14">
        <w:t xml:space="preserve">Smirle, MJ, Zurowski, CL, Lowery, DT &amp; Foottit, RG 2010, ‘Relationship of insecticide tolerance to esterase enzyme activity in </w:t>
      </w:r>
      <w:r w:rsidRPr="00112D14">
        <w:rPr>
          <w:i/>
        </w:rPr>
        <w:t>Aphis pomi</w:t>
      </w:r>
      <w:r w:rsidRPr="00112D14">
        <w:t xml:space="preserve"> and </w:t>
      </w:r>
      <w:r w:rsidRPr="00112D14">
        <w:rPr>
          <w:i/>
        </w:rPr>
        <w:t>Aphis spiraecola</w:t>
      </w:r>
      <w:r w:rsidRPr="00112D14">
        <w:t xml:space="preserve"> (Hemiptera: Aphididae)’, </w:t>
      </w:r>
      <w:r w:rsidRPr="00112D14">
        <w:rPr>
          <w:i/>
        </w:rPr>
        <w:t>Journal of Economic Entomology</w:t>
      </w:r>
      <w:r w:rsidRPr="00112D14">
        <w:t>, vol. 103, no. 2, pp. 374-8.</w:t>
      </w:r>
      <w:bookmarkEnd w:id="1230"/>
    </w:p>
    <w:p w14:paraId="782A14B0" w14:textId="77777777" w:rsidR="003438A2" w:rsidRPr="00112D14" w:rsidRDefault="003438A2" w:rsidP="00112D14">
      <w:pPr>
        <w:pStyle w:val="EndNoteBibliography"/>
        <w:spacing w:after="0"/>
      </w:pPr>
      <w:bookmarkStart w:id="1231" w:name="_ENREF_665"/>
      <w:r w:rsidRPr="00112D14">
        <w:t xml:space="preserve">Smith, D, Beattie, GAC &amp; Broadley, RH 1997, </w:t>
      </w:r>
      <w:r w:rsidRPr="00112D14">
        <w:rPr>
          <w:i/>
        </w:rPr>
        <w:t>Citrus pests and their natural enemies: intergrated pest management in Australia</w:t>
      </w:r>
      <w:r w:rsidRPr="00112D14">
        <w:t>, Queensland Department of Primary Industries, Brisbane.</w:t>
      </w:r>
      <w:bookmarkEnd w:id="1231"/>
    </w:p>
    <w:p w14:paraId="01688FEA" w14:textId="77777777" w:rsidR="003438A2" w:rsidRPr="00112D14" w:rsidRDefault="003438A2" w:rsidP="00112D14">
      <w:pPr>
        <w:pStyle w:val="EndNoteBibliography"/>
        <w:spacing w:after="0"/>
      </w:pPr>
      <w:bookmarkStart w:id="1232" w:name="_ENREF_666"/>
      <w:r w:rsidRPr="00112D14">
        <w:t xml:space="preserve">Smith, IM, Dunez, J, Lelliot, RA, Phillips, DH &amp; Archer, SA 1988, </w:t>
      </w:r>
      <w:r w:rsidRPr="00112D14">
        <w:rPr>
          <w:i/>
        </w:rPr>
        <w:t>European handbook of plant diseases</w:t>
      </w:r>
      <w:r w:rsidRPr="00112D14">
        <w:t>, Smith, IM, Dunez, J, Lelliot, RA, Phillips, DH &amp; Archer, SA (eds), Blackwell Scientific Publications, Oxford.</w:t>
      </w:r>
      <w:bookmarkEnd w:id="1232"/>
    </w:p>
    <w:p w14:paraId="2365ADBF" w14:textId="77777777" w:rsidR="003438A2" w:rsidRPr="00112D14" w:rsidRDefault="003438A2" w:rsidP="00112D14">
      <w:pPr>
        <w:pStyle w:val="EndNoteBibliography"/>
        <w:spacing w:after="0"/>
      </w:pPr>
      <w:bookmarkStart w:id="1233" w:name="_ENREF_667"/>
      <w:r w:rsidRPr="00112D14">
        <w:t xml:space="preserve">Smith, JD 1981, ‘Snow molds of winter cereals: guide for diagnosis, culture, and pathogenicity’, </w:t>
      </w:r>
      <w:r w:rsidRPr="00112D14">
        <w:rPr>
          <w:i/>
        </w:rPr>
        <w:t>Canadian Journal of Plant Pathology</w:t>
      </w:r>
      <w:r w:rsidRPr="00112D14">
        <w:t>, vol. 3, pp. 15-25.</w:t>
      </w:r>
      <w:bookmarkEnd w:id="1233"/>
    </w:p>
    <w:p w14:paraId="0EC73289" w14:textId="77777777" w:rsidR="003438A2" w:rsidRPr="00112D14" w:rsidRDefault="003438A2" w:rsidP="00112D14">
      <w:pPr>
        <w:pStyle w:val="EndNoteBibliography"/>
        <w:spacing w:after="0"/>
      </w:pPr>
      <w:bookmarkStart w:id="1234" w:name="_ENREF_668"/>
      <w:r w:rsidRPr="00112D14">
        <w:t>Smith, JT &amp; Chapman, RB 1995, ‘A survey of apple leafcurling midge (</w:t>
      </w:r>
      <w:r w:rsidRPr="00112D14">
        <w:rPr>
          <w:i/>
        </w:rPr>
        <w:t>Dasyneura mali</w:t>
      </w:r>
      <w:r w:rsidRPr="00112D14">
        <w:t xml:space="preserve">) in the Nelson District’, </w:t>
      </w:r>
      <w:r w:rsidRPr="00112D14">
        <w:rPr>
          <w:i/>
        </w:rPr>
        <w:t>Fruit Crops</w:t>
      </w:r>
      <w:r w:rsidRPr="00112D14">
        <w:t>, vol. 48, pp. 117-20.</w:t>
      </w:r>
      <w:bookmarkEnd w:id="1234"/>
    </w:p>
    <w:p w14:paraId="0AEA6EF4" w14:textId="77777777" w:rsidR="003438A2" w:rsidRPr="00112D14" w:rsidRDefault="003438A2" w:rsidP="00112D14">
      <w:pPr>
        <w:pStyle w:val="EndNoteBibliography"/>
        <w:spacing w:after="0"/>
      </w:pPr>
      <w:bookmarkStart w:id="1235" w:name="_ENREF_669"/>
      <w:r w:rsidRPr="00112D14">
        <w:t>Smith, T</w:t>
      </w:r>
      <w:r>
        <w:t>J</w:t>
      </w:r>
      <w:r w:rsidRPr="00112D14">
        <w:t xml:space="preserve"> 1999, ‘Report on the development and use of Cougarblight 98C - a specific fire blight risk assessment model for apple and pear’, </w:t>
      </w:r>
      <w:r w:rsidRPr="00112D14">
        <w:rPr>
          <w:i/>
        </w:rPr>
        <w:t>Proceedings of the 8th International Workshop on Fire Blight, Kusadasi, Turkey, 12-15 October 1998</w:t>
      </w:r>
      <w:r w:rsidRPr="00112D14">
        <w:t>, pp. 429-36.</w:t>
      </w:r>
      <w:bookmarkEnd w:id="1235"/>
    </w:p>
    <w:p w14:paraId="5EAF32CF" w14:textId="6E3509CB" w:rsidR="003438A2" w:rsidRPr="00112D14" w:rsidRDefault="003438A2" w:rsidP="00112D14">
      <w:pPr>
        <w:pStyle w:val="EndNoteBibliography"/>
        <w:spacing w:after="0"/>
      </w:pPr>
      <w:bookmarkStart w:id="1236" w:name="_ENREF_670"/>
      <w:r w:rsidRPr="00112D14">
        <w:t xml:space="preserve">-- -- 2001, </w:t>
      </w:r>
      <w:r w:rsidRPr="00112D14">
        <w:rPr>
          <w:i/>
        </w:rPr>
        <w:t>Crop profile for apples in Washington</w:t>
      </w:r>
      <w:r w:rsidRPr="00112D14">
        <w:t>, Washington State University, Wenatchee, Washington, available at</w:t>
      </w:r>
      <w:r w:rsidR="003B7990">
        <w:t>,</w:t>
      </w:r>
      <w:r w:rsidRPr="00112D14">
        <w:t xml:space="preserve"> </w:t>
      </w:r>
      <w:hyperlink r:id="rId284" w:history="1">
        <w:r w:rsidR="00D25124" w:rsidRPr="009E4A79">
          <w:rPr>
            <w:rStyle w:val="Hyperlink"/>
          </w:rPr>
          <w:t>https://ipmdata.ipmcenters.org/documents/cropprofiles/WAApples.pdf</w:t>
        </w:r>
      </w:hyperlink>
      <w:r w:rsidRPr="00112D14">
        <w:t>.</w:t>
      </w:r>
      <w:bookmarkEnd w:id="1236"/>
    </w:p>
    <w:p w14:paraId="023D1F2F" w14:textId="77777777" w:rsidR="003438A2" w:rsidRPr="00112D14" w:rsidRDefault="003438A2" w:rsidP="00112D14">
      <w:pPr>
        <w:pStyle w:val="EndNoteBibliography"/>
        <w:spacing w:after="0"/>
      </w:pPr>
      <w:bookmarkStart w:id="1237" w:name="_ENREF_671"/>
      <w:r w:rsidRPr="00112D14">
        <w:t xml:space="preserve">-- -- 2006, </w:t>
      </w:r>
      <w:r w:rsidRPr="00112D14">
        <w:rPr>
          <w:i/>
        </w:rPr>
        <w:t>Fire blight management in the Pacific Northwest USA</w:t>
      </w:r>
      <w:r w:rsidRPr="00112D14">
        <w:t>, Washington State University.</w:t>
      </w:r>
      <w:bookmarkEnd w:id="1237"/>
    </w:p>
    <w:p w14:paraId="7DE2001F" w14:textId="77777777" w:rsidR="003438A2" w:rsidRPr="00112D14" w:rsidRDefault="003438A2" w:rsidP="00112D14">
      <w:pPr>
        <w:pStyle w:val="EndNoteBibliography"/>
        <w:spacing w:after="0"/>
      </w:pPr>
      <w:bookmarkStart w:id="1238" w:name="_ENREF_672"/>
      <w:r w:rsidRPr="00112D14">
        <w:t xml:space="preserve">Smith, WW, Barrat, JG &amp; Rich, AE 1956, ‘Dapple apple, an unusual fruit symptom of apples in New Hampshire’, </w:t>
      </w:r>
      <w:r w:rsidRPr="00112D14">
        <w:rPr>
          <w:i/>
        </w:rPr>
        <w:t>Plant Disease Reporter</w:t>
      </w:r>
      <w:r w:rsidRPr="00112D14">
        <w:t>, vol. 40, pp. 765-6.</w:t>
      </w:r>
      <w:bookmarkEnd w:id="1238"/>
    </w:p>
    <w:p w14:paraId="622BB25A" w14:textId="77777777" w:rsidR="003438A2" w:rsidRPr="00112D14" w:rsidRDefault="003438A2" w:rsidP="00112D14">
      <w:pPr>
        <w:pStyle w:val="EndNoteBibliography"/>
        <w:spacing w:after="0"/>
      </w:pPr>
      <w:bookmarkStart w:id="1239" w:name="_ENREF_673"/>
      <w:r w:rsidRPr="00112D14">
        <w:t xml:space="preserve">Snowdon, AL 1990, </w:t>
      </w:r>
      <w:r w:rsidRPr="00112D14">
        <w:rPr>
          <w:i/>
        </w:rPr>
        <w:t>A colour atlas of post-harvest diseases and disorders of fruits and vegetables. Volume 1: general introduction and fruits</w:t>
      </w:r>
      <w:r w:rsidRPr="00112D14">
        <w:t>, vol. 1, Wolfe Scientific, London.</w:t>
      </w:r>
      <w:bookmarkEnd w:id="1239"/>
    </w:p>
    <w:p w14:paraId="416618A9" w14:textId="77777777" w:rsidR="003438A2" w:rsidRPr="00112D14" w:rsidRDefault="003438A2" w:rsidP="00112D14">
      <w:pPr>
        <w:pStyle w:val="EndNoteBibliography"/>
        <w:spacing w:after="0"/>
      </w:pPr>
      <w:bookmarkStart w:id="1240" w:name="_ENREF_674"/>
      <w:r w:rsidRPr="00112D14">
        <w:t xml:space="preserve">Spaulding, P 1956, </w:t>
      </w:r>
      <w:r w:rsidRPr="00112D14">
        <w:rPr>
          <w:i/>
        </w:rPr>
        <w:t>Diseases of North American forest trees planted abroad</w:t>
      </w:r>
      <w:r w:rsidRPr="00112D14">
        <w:t>, United States Department of Agriculture, Washington, D.C.</w:t>
      </w:r>
      <w:bookmarkEnd w:id="1240"/>
    </w:p>
    <w:p w14:paraId="04CCEFCD" w14:textId="77777777" w:rsidR="003438A2" w:rsidRPr="00112D14" w:rsidRDefault="003438A2" w:rsidP="00112D14">
      <w:pPr>
        <w:pStyle w:val="EndNoteBibliography"/>
        <w:spacing w:after="0"/>
      </w:pPr>
      <w:bookmarkStart w:id="1241" w:name="_ENREF_675"/>
      <w:r w:rsidRPr="00112D14">
        <w:t xml:space="preserve">Spence, NJ 2001, ‘Virus-vector interactions in plant virus disease transmission and epidemiology’, in </w:t>
      </w:r>
      <w:r w:rsidRPr="00112D14">
        <w:rPr>
          <w:i/>
        </w:rPr>
        <w:t>Biotic interactions in plant-pathogen associations</w:t>
      </w:r>
      <w:r w:rsidRPr="00112D14">
        <w:t>, Jeger, MJ &amp; Spence, NJ (eds), CABI Publishing, Wallingford.</w:t>
      </w:r>
      <w:bookmarkEnd w:id="1241"/>
    </w:p>
    <w:p w14:paraId="45184E3C" w14:textId="77777777" w:rsidR="003438A2" w:rsidRPr="00112D14" w:rsidRDefault="003438A2" w:rsidP="00112D14">
      <w:pPr>
        <w:pStyle w:val="EndNoteBibliography"/>
        <w:spacing w:after="0"/>
      </w:pPr>
      <w:bookmarkStart w:id="1242" w:name="_ENREF_676"/>
      <w:r w:rsidRPr="00112D14">
        <w:t xml:space="preserve">Spotts, RA 1990a, ‘Bull's eye-rot’, in </w:t>
      </w:r>
      <w:r w:rsidRPr="00112D14">
        <w:rPr>
          <w:i/>
        </w:rPr>
        <w:t>Compendium of apple and pear diseases</w:t>
      </w:r>
      <w:r w:rsidRPr="00112D14">
        <w:t>, Jones, AL &amp; Aldwinckle, HS (eds), The American Phytopathological Society Press, St. Paul, Minnesota.</w:t>
      </w:r>
      <w:bookmarkEnd w:id="1242"/>
    </w:p>
    <w:p w14:paraId="507E2791" w14:textId="77777777" w:rsidR="003438A2" w:rsidRPr="00112D14" w:rsidRDefault="003438A2" w:rsidP="00112D14">
      <w:pPr>
        <w:pStyle w:val="EndNoteBibliography"/>
        <w:spacing w:after="0"/>
      </w:pPr>
      <w:bookmarkStart w:id="1243" w:name="_ENREF_677"/>
      <w:r w:rsidRPr="00112D14">
        <w:t>-- -- 1990b, ‘</w:t>
      </w:r>
      <w:r w:rsidRPr="00112D14">
        <w:rPr>
          <w:i/>
        </w:rPr>
        <w:t>Coprinus</w:t>
      </w:r>
      <w:r w:rsidRPr="00112D14">
        <w:t xml:space="preserve"> rot’, in </w:t>
      </w:r>
      <w:r w:rsidRPr="00112D14">
        <w:rPr>
          <w:i/>
        </w:rPr>
        <w:t>Compendium of apple and pear diseases</w:t>
      </w:r>
      <w:r w:rsidRPr="00112D14">
        <w:t>, Jones, AL &amp; Aldwinckle, HS (eds), The American Phytopathological Society Press, St. Paul, Minnesota.</w:t>
      </w:r>
      <w:bookmarkEnd w:id="1243"/>
    </w:p>
    <w:p w14:paraId="12C0C25D" w14:textId="77777777" w:rsidR="003438A2" w:rsidRPr="00112D14" w:rsidRDefault="003438A2" w:rsidP="00112D14">
      <w:pPr>
        <w:pStyle w:val="EndNoteBibliography"/>
        <w:spacing w:after="0"/>
      </w:pPr>
      <w:bookmarkStart w:id="1244" w:name="_ENREF_678"/>
      <w:r w:rsidRPr="00112D14">
        <w:t xml:space="preserve">Spotts, RA, Seifert, KA, Wallis, KM, Sugar, D, Xiao, CL, Serdani, M &amp; Henriquez, JL 2009, ‘Description of </w:t>
      </w:r>
      <w:r w:rsidRPr="00112D14">
        <w:rPr>
          <w:i/>
        </w:rPr>
        <w:t>Cryptosporiopsis kienholzii</w:t>
      </w:r>
      <w:r w:rsidRPr="00112D14">
        <w:t xml:space="preserve"> and species profiles of </w:t>
      </w:r>
      <w:r w:rsidRPr="00112D14">
        <w:rPr>
          <w:i/>
        </w:rPr>
        <w:t>Neofabraea</w:t>
      </w:r>
      <w:r w:rsidRPr="00112D14">
        <w:t xml:space="preserve"> in major pome fruit growing districts in the Pacific Northwest USA’, </w:t>
      </w:r>
      <w:r w:rsidRPr="00112D14">
        <w:rPr>
          <w:i/>
        </w:rPr>
        <w:t>Mycological Research</w:t>
      </w:r>
      <w:r w:rsidRPr="00112D14">
        <w:t>, vol. 113, pp. 1301-11.</w:t>
      </w:r>
      <w:bookmarkEnd w:id="1244"/>
    </w:p>
    <w:p w14:paraId="07ED37B7" w14:textId="77777777" w:rsidR="003438A2" w:rsidRPr="00112D14" w:rsidRDefault="003438A2" w:rsidP="00112D14">
      <w:pPr>
        <w:pStyle w:val="EndNoteBibliography"/>
        <w:spacing w:after="0"/>
      </w:pPr>
      <w:bookmarkStart w:id="1245" w:name="_ENREF_679"/>
      <w:r w:rsidRPr="00112D14">
        <w:t xml:space="preserve">Spotts, RA, Traquair, JA &amp; Peters, BB 1981, ‘D'Anjou pear decay caused by a low temperature basidiomycete’, </w:t>
      </w:r>
      <w:r w:rsidRPr="00112D14">
        <w:rPr>
          <w:i/>
        </w:rPr>
        <w:t>Plant Disease</w:t>
      </w:r>
      <w:r w:rsidRPr="00112D14">
        <w:t>, vol. 65, pp. 151-3.</w:t>
      </w:r>
      <w:bookmarkEnd w:id="1245"/>
    </w:p>
    <w:p w14:paraId="327F175C" w14:textId="77777777" w:rsidR="003438A2" w:rsidRPr="00112D14" w:rsidRDefault="003438A2" w:rsidP="00112D14">
      <w:pPr>
        <w:pStyle w:val="EndNoteBibliography"/>
        <w:spacing w:after="0"/>
      </w:pPr>
      <w:bookmarkStart w:id="1246" w:name="_ENREF_680"/>
      <w:r w:rsidRPr="00112D14">
        <w:t xml:space="preserve">St. Pierre, RG &amp; Lehmkuhl, DM 1990, ‘Phenology of </w:t>
      </w:r>
      <w:r w:rsidRPr="00112D14">
        <w:rPr>
          <w:i/>
        </w:rPr>
        <w:t>Hoplocampa montanicola</w:t>
      </w:r>
      <w:r w:rsidRPr="00112D14">
        <w:t xml:space="preserve"> Rohwer (Tenthredinidae) and </w:t>
      </w:r>
      <w:r w:rsidRPr="00112D14">
        <w:rPr>
          <w:i/>
        </w:rPr>
        <w:t>Anthonomus quadrigibbus</w:t>
      </w:r>
      <w:r w:rsidRPr="00112D14">
        <w:t xml:space="preserve"> Say (Curculionidae) on their host plant </w:t>
      </w:r>
      <w:r w:rsidRPr="00112D14">
        <w:rPr>
          <w:i/>
        </w:rPr>
        <w:t>Amelanchier alnifolia</w:t>
      </w:r>
      <w:r w:rsidRPr="00112D14">
        <w:t xml:space="preserve"> Nutt. (Rosaceae) in Saskatchewan’, </w:t>
      </w:r>
      <w:r w:rsidRPr="00112D14">
        <w:rPr>
          <w:i/>
        </w:rPr>
        <w:t>Canadian Entomologist</w:t>
      </w:r>
      <w:r w:rsidRPr="00112D14">
        <w:t>, vol. 122, no. 9-10, pp. 901-6.</w:t>
      </w:r>
      <w:bookmarkEnd w:id="1246"/>
    </w:p>
    <w:p w14:paraId="50B000E2" w14:textId="77777777" w:rsidR="003438A2" w:rsidRPr="00112D14" w:rsidRDefault="003438A2" w:rsidP="00112D14">
      <w:pPr>
        <w:pStyle w:val="EndNoteBibliography"/>
        <w:spacing w:after="0"/>
      </w:pPr>
      <w:bookmarkStart w:id="1247" w:name="_ENREF_681"/>
      <w:r w:rsidRPr="00112D14">
        <w:t xml:space="preserve">Stavisky, J, Funderburk, J, Brodbeck, BV, Olson, SM &amp; Andersen, PC 2002, ‘Population dynamics of </w:t>
      </w:r>
      <w:r w:rsidRPr="00112D14">
        <w:rPr>
          <w:i/>
        </w:rPr>
        <w:t xml:space="preserve">Frankliniella </w:t>
      </w:r>
      <w:r w:rsidRPr="00112D14">
        <w:t xml:space="preserve">spp. and tomato spotted wilt incidence as influenced by cultural management tactics in tomato’, </w:t>
      </w:r>
      <w:r w:rsidRPr="00112D14">
        <w:rPr>
          <w:i/>
        </w:rPr>
        <w:t>Journal of Economic Entomology</w:t>
      </w:r>
      <w:r w:rsidRPr="00112D14">
        <w:t>, vol. 95, no. 6, pp. 1216-21.</w:t>
      </w:r>
      <w:bookmarkEnd w:id="1247"/>
    </w:p>
    <w:p w14:paraId="0B1EBD7D" w14:textId="77777777" w:rsidR="003438A2" w:rsidRPr="00112D14" w:rsidRDefault="003438A2" w:rsidP="00112D14">
      <w:pPr>
        <w:pStyle w:val="EndNoteBibliography"/>
        <w:spacing w:after="0"/>
      </w:pPr>
      <w:bookmarkStart w:id="1248" w:name="_ENREF_682"/>
      <w:r w:rsidRPr="00112D14">
        <w:t xml:space="preserve">Steeves, TA, Lehmkuhl, DM &amp; Bethune, TD 1979, ‘Damage to saskatoons, </w:t>
      </w:r>
      <w:r w:rsidRPr="00112D14">
        <w:rPr>
          <w:i/>
        </w:rPr>
        <w:t xml:space="preserve">Amelanchier alnifolia, </w:t>
      </w:r>
      <w:r w:rsidRPr="00112D14">
        <w:t xml:space="preserve">by the apple curculio </w:t>
      </w:r>
      <w:r w:rsidRPr="00112D14">
        <w:rPr>
          <w:i/>
        </w:rPr>
        <w:t>Tachypterellus quadrigibbus</w:t>
      </w:r>
      <w:r w:rsidRPr="00112D14">
        <w:t xml:space="preserve"> (Coleoptera: Curculionidae)’, </w:t>
      </w:r>
      <w:r w:rsidRPr="00112D14">
        <w:rPr>
          <w:i/>
        </w:rPr>
        <w:t>Canadian Entomologist</w:t>
      </w:r>
      <w:r w:rsidRPr="00112D14">
        <w:t>, vol. 111, pp. 641-8.</w:t>
      </w:r>
      <w:bookmarkEnd w:id="1248"/>
    </w:p>
    <w:p w14:paraId="355820A7" w14:textId="77777777" w:rsidR="003438A2" w:rsidRPr="00112D14" w:rsidRDefault="003438A2" w:rsidP="00112D14">
      <w:pPr>
        <w:pStyle w:val="EndNoteBibliography"/>
        <w:spacing w:after="0"/>
      </w:pPr>
      <w:bookmarkStart w:id="1249" w:name="_ENREF_683"/>
      <w:r w:rsidRPr="00112D14">
        <w:t xml:space="preserve">Stockwell, VO &amp; Duffy, B 2012, ‘Use of antibiotics in plant agriculture’, </w:t>
      </w:r>
      <w:r w:rsidRPr="00112D14">
        <w:rPr>
          <w:i/>
        </w:rPr>
        <w:t>Revue Scientifique et Technique- Office International des epizooties</w:t>
      </w:r>
      <w:r w:rsidRPr="00112D14">
        <w:t>, vol. 31, no. 1, pp. 199-210.</w:t>
      </w:r>
      <w:bookmarkEnd w:id="1249"/>
    </w:p>
    <w:p w14:paraId="10E98202" w14:textId="77777777" w:rsidR="003438A2" w:rsidRPr="00112D14" w:rsidRDefault="003438A2" w:rsidP="00112D14">
      <w:pPr>
        <w:pStyle w:val="EndNoteBibliography"/>
        <w:spacing w:after="0"/>
      </w:pPr>
      <w:bookmarkStart w:id="1250" w:name="_ENREF_684"/>
      <w:r w:rsidRPr="00112D14">
        <w:t xml:space="preserve">Stockwell, VO, Johnson, KB &amp; Loper, JE 2002, ‘Biological control of fire blight: understanding interactions among introduced and indigenous microbial communities’, in </w:t>
      </w:r>
      <w:r w:rsidRPr="00112D14">
        <w:rPr>
          <w:i/>
        </w:rPr>
        <w:t>Phyllosphere microbiology</w:t>
      </w:r>
      <w:r w:rsidRPr="00112D14">
        <w:t>, Lindow, SE, Hecht-Poinar, SE &amp; Elliott, VJ (eds), Department of Botany and Plant Pathology, Oregon State University, Oregon.</w:t>
      </w:r>
      <w:bookmarkEnd w:id="1250"/>
    </w:p>
    <w:p w14:paraId="692D4A4F" w14:textId="77777777" w:rsidR="003438A2" w:rsidRPr="00112D14" w:rsidRDefault="003438A2" w:rsidP="00112D14">
      <w:pPr>
        <w:pStyle w:val="EndNoteBibliography"/>
        <w:spacing w:after="0"/>
      </w:pPr>
      <w:bookmarkStart w:id="1251" w:name="_ENREF_685"/>
      <w:r w:rsidRPr="00112D14">
        <w:t xml:space="preserve">Stokes, SC, Sholberg, PL &amp; O'Gorman, DT 2007, ‘Two new pathogens of pear, </w:t>
      </w:r>
      <w:r w:rsidRPr="00112D14">
        <w:rPr>
          <w:i/>
        </w:rPr>
        <w:t xml:space="preserve">Phacidiopycnis pyri </w:t>
      </w:r>
      <w:r w:rsidRPr="00112D14">
        <w:t xml:space="preserve">and </w:t>
      </w:r>
      <w:r w:rsidRPr="00112D14">
        <w:rPr>
          <w:i/>
        </w:rPr>
        <w:t>Sphaeropsis pyriputrescens,</w:t>
      </w:r>
      <w:r w:rsidRPr="00112D14">
        <w:t xml:space="preserve"> identified for the first time in British Columbia’, </w:t>
      </w:r>
      <w:r w:rsidRPr="00112D14">
        <w:rPr>
          <w:i/>
        </w:rPr>
        <w:t>Canadian Journal of Plant Pathology</w:t>
      </w:r>
      <w:r w:rsidRPr="00112D14">
        <w:t>, vol. 29, pp. 86-7.</w:t>
      </w:r>
      <w:bookmarkEnd w:id="1251"/>
    </w:p>
    <w:p w14:paraId="0988B2C3" w14:textId="77777777" w:rsidR="003438A2" w:rsidRPr="00112D14" w:rsidRDefault="003438A2" w:rsidP="00112D14">
      <w:pPr>
        <w:pStyle w:val="EndNoteBibliography"/>
        <w:spacing w:after="0"/>
      </w:pPr>
      <w:bookmarkStart w:id="1252" w:name="_ENREF_686"/>
      <w:r w:rsidRPr="00112D14">
        <w:t xml:space="preserve">Stoodley, P, Sauer, K, Davies, DG &amp; Costerton, JW 2002, ‘Biofilms as complex differentiated communities’, </w:t>
      </w:r>
      <w:r w:rsidRPr="00112D14">
        <w:rPr>
          <w:i/>
        </w:rPr>
        <w:t>Annual Review of Microbiology</w:t>
      </w:r>
      <w:r w:rsidRPr="00112D14">
        <w:t>, vol. 56, pp. 187-209.</w:t>
      </w:r>
      <w:bookmarkEnd w:id="1252"/>
    </w:p>
    <w:p w14:paraId="5C3E9231" w14:textId="77777777" w:rsidR="003438A2" w:rsidRPr="00112D14" w:rsidRDefault="003438A2" w:rsidP="00112D14">
      <w:pPr>
        <w:pStyle w:val="EndNoteBibliography"/>
        <w:spacing w:after="0"/>
      </w:pPr>
      <w:bookmarkStart w:id="1253" w:name="_ENREF_687"/>
      <w:r w:rsidRPr="00112D14">
        <w:t>Stouffer, RF &amp; Powell, CA 1989, ‘</w:t>
      </w:r>
      <w:r w:rsidRPr="00112D14">
        <w:rPr>
          <w:i/>
        </w:rPr>
        <w:t>Apple union necrosis</w:t>
      </w:r>
      <w:r w:rsidRPr="00112D14">
        <w:t xml:space="preserve">’, in </w:t>
      </w:r>
      <w:r w:rsidRPr="00112D14">
        <w:rPr>
          <w:i/>
        </w:rPr>
        <w:t>Virus and viruslike diseases of pome fruits and simulating noninfectious disorders</w:t>
      </w:r>
      <w:r w:rsidRPr="00112D14">
        <w:t>, Fridlund, PR (ed), Washington State University, Pullman.</w:t>
      </w:r>
      <w:bookmarkEnd w:id="1253"/>
    </w:p>
    <w:p w14:paraId="677B5A35" w14:textId="77777777" w:rsidR="003438A2" w:rsidRPr="00112D14" w:rsidRDefault="003438A2" w:rsidP="00112D14">
      <w:pPr>
        <w:pStyle w:val="EndNoteBibliography"/>
        <w:spacing w:after="0"/>
      </w:pPr>
      <w:bookmarkStart w:id="1254" w:name="_ENREF_688"/>
      <w:r w:rsidRPr="00112D14">
        <w:t xml:space="preserve">Suckling, D &amp; El-Sayed, A 2017, ‘Caterpillar-induced plant volatiles attract adult Tortricidae’, </w:t>
      </w:r>
      <w:r w:rsidRPr="00112D14">
        <w:rPr>
          <w:i/>
        </w:rPr>
        <w:t>Journal of Chemical Ecology</w:t>
      </w:r>
      <w:r w:rsidRPr="00112D14">
        <w:t>, vol. 43, no. 5, pp. 487-92.</w:t>
      </w:r>
      <w:bookmarkEnd w:id="1254"/>
    </w:p>
    <w:p w14:paraId="02409F7D" w14:textId="77777777" w:rsidR="003438A2" w:rsidRPr="00112D14" w:rsidRDefault="003438A2" w:rsidP="00112D14">
      <w:pPr>
        <w:pStyle w:val="EndNoteBibliography"/>
        <w:spacing w:after="0"/>
      </w:pPr>
      <w:bookmarkStart w:id="1255" w:name="_ENREF_689"/>
      <w:r w:rsidRPr="00112D14">
        <w:t xml:space="preserve">Suslow, T 2004, </w:t>
      </w:r>
      <w:r w:rsidRPr="00112D14">
        <w:rPr>
          <w:i/>
        </w:rPr>
        <w:t>Chlorination in the production and postharvest handling of fresh fruits and vegetables</w:t>
      </w:r>
      <w:r w:rsidRPr="00112D14">
        <w:t>, University of California, Carlifornia.</w:t>
      </w:r>
      <w:bookmarkEnd w:id="1255"/>
    </w:p>
    <w:p w14:paraId="04333809" w14:textId="77777777" w:rsidR="003438A2" w:rsidRPr="00112D14" w:rsidRDefault="003438A2" w:rsidP="00112D14">
      <w:pPr>
        <w:pStyle w:val="EndNoteBibliography"/>
        <w:spacing w:after="0"/>
      </w:pPr>
      <w:bookmarkStart w:id="1256" w:name="_ENREF_690"/>
      <w:r w:rsidRPr="00112D14">
        <w:t xml:space="preserve">Sutton, J, Collie, H &amp; Learmonth, S 2014, </w:t>
      </w:r>
      <w:r w:rsidRPr="00112D14">
        <w:rPr>
          <w:i/>
        </w:rPr>
        <w:t>Pome and summer fruit orchard spray guide</w:t>
      </w:r>
      <w:r w:rsidRPr="00112D14">
        <w:t>, Bulletin 4861, Department of Agriculture and Food, Government of Western Australia.</w:t>
      </w:r>
      <w:bookmarkEnd w:id="1256"/>
    </w:p>
    <w:p w14:paraId="3BF95889" w14:textId="77777777" w:rsidR="003438A2" w:rsidRPr="00112D14" w:rsidRDefault="003438A2" w:rsidP="00112D14">
      <w:pPr>
        <w:pStyle w:val="EndNoteBibliography"/>
        <w:spacing w:after="0"/>
      </w:pPr>
      <w:bookmarkStart w:id="1257" w:name="_ENREF_691"/>
      <w:r w:rsidRPr="00112D14">
        <w:t xml:space="preserve">Sutton, TB, Aldwinckle, HS, Agnello, AM &amp; Walgenbach, JF 2014, </w:t>
      </w:r>
      <w:r w:rsidRPr="00112D14">
        <w:rPr>
          <w:i/>
        </w:rPr>
        <w:t>Compendium of apple and pear diseases and pests</w:t>
      </w:r>
      <w:r w:rsidRPr="00112D14">
        <w:t>, 2nd edn, The American Phytopathological Society, Saint Paul, Minnesota, USA.</w:t>
      </w:r>
      <w:bookmarkEnd w:id="1257"/>
    </w:p>
    <w:p w14:paraId="67C65121" w14:textId="77777777" w:rsidR="003438A2" w:rsidRPr="00112D14" w:rsidRDefault="003438A2" w:rsidP="00112D14">
      <w:pPr>
        <w:pStyle w:val="EndNoteBibliography"/>
        <w:spacing w:after="0"/>
      </w:pPr>
      <w:bookmarkStart w:id="1258" w:name="_ENREF_692"/>
      <w:r w:rsidRPr="00112D14">
        <w:t xml:space="preserve">Swain, JA 2016, ‘Impact of temperature and relative humidity on the eye-spotted bud moth, </w:t>
      </w:r>
      <w:r w:rsidRPr="00112D14">
        <w:rPr>
          <w:i/>
        </w:rPr>
        <w:t>Spilonota ocellana</w:t>
      </w:r>
      <w:r w:rsidRPr="00112D14">
        <w:t xml:space="preserve"> (Lepidoptera: Tortricidae): a climate change perspective’, Masters of Science Thesis, Simon Fraser University.</w:t>
      </w:r>
      <w:bookmarkEnd w:id="1258"/>
    </w:p>
    <w:p w14:paraId="3E2359F2" w14:textId="77777777" w:rsidR="003438A2" w:rsidRPr="00112D14" w:rsidRDefault="003438A2" w:rsidP="00112D14">
      <w:pPr>
        <w:pStyle w:val="EndNoteBibliography"/>
        <w:spacing w:after="0"/>
      </w:pPr>
      <w:bookmarkStart w:id="1259" w:name="_ENREF_693"/>
      <w:r w:rsidRPr="00112D14">
        <w:t xml:space="preserve">Swain, JA, Judd, GJR &amp; Cory, JS 2017, ‘Cold tolerance of the spring-feeding larvae of the eyespotted bud moth, </w:t>
      </w:r>
      <w:r w:rsidRPr="00112D14">
        <w:rPr>
          <w:i/>
        </w:rPr>
        <w:t>Spilonota ocellana</w:t>
      </w:r>
      <w:r w:rsidRPr="00112D14">
        <w:t xml:space="preserve"> (Lepidoptera: Tortricidae)’, </w:t>
      </w:r>
      <w:r w:rsidRPr="00112D14">
        <w:rPr>
          <w:i/>
        </w:rPr>
        <w:t>The Canadian Entomologist</w:t>
      </w:r>
      <w:r w:rsidRPr="00112D14">
        <w:t>, vol. 149, no. 3, pp. 291-9. (Abstract only)</w:t>
      </w:r>
      <w:bookmarkEnd w:id="1259"/>
    </w:p>
    <w:p w14:paraId="6D3E7586" w14:textId="77777777" w:rsidR="003438A2" w:rsidRPr="00112D14" w:rsidRDefault="003438A2" w:rsidP="00112D14">
      <w:pPr>
        <w:pStyle w:val="EndNoteBibliography"/>
        <w:spacing w:after="0"/>
      </w:pPr>
      <w:bookmarkStart w:id="1260" w:name="_ENREF_694"/>
      <w:r w:rsidRPr="00112D14">
        <w:t xml:space="preserve">Swenson, KG 1974, ‘Host plants and seasonal cycle of a leafhopper </w:t>
      </w:r>
      <w:r w:rsidRPr="00112D14">
        <w:rPr>
          <w:i/>
        </w:rPr>
        <w:t>Fieberiella fiorii</w:t>
      </w:r>
      <w:r w:rsidRPr="00112D14">
        <w:t xml:space="preserve"> in western Oregon’, </w:t>
      </w:r>
      <w:r w:rsidRPr="00112D14">
        <w:rPr>
          <w:i/>
        </w:rPr>
        <w:t>Journal of Economic Entomology</w:t>
      </w:r>
      <w:r w:rsidRPr="00112D14">
        <w:t>, vol. 67, no. 2, pp. 299-300.</w:t>
      </w:r>
      <w:bookmarkEnd w:id="1260"/>
    </w:p>
    <w:p w14:paraId="102F8301" w14:textId="77777777" w:rsidR="003438A2" w:rsidRPr="00112D14" w:rsidRDefault="003438A2" w:rsidP="00112D14">
      <w:pPr>
        <w:pStyle w:val="EndNoteBibliography"/>
        <w:spacing w:after="0"/>
      </w:pPr>
      <w:bookmarkStart w:id="1261" w:name="_ENREF_695"/>
      <w:r w:rsidRPr="00112D14">
        <w:t xml:space="preserve">Swinburne, TR 1964, ‘Rotting of apples of the variety 'Bramley's seedling' by </w:t>
      </w:r>
      <w:r w:rsidRPr="00112D14">
        <w:rPr>
          <w:i/>
        </w:rPr>
        <w:t>Nectria galligena</w:t>
      </w:r>
      <w:r w:rsidRPr="00112D14">
        <w:t xml:space="preserve">, Bres’, </w:t>
      </w:r>
      <w:r w:rsidRPr="00112D14">
        <w:rPr>
          <w:i/>
        </w:rPr>
        <w:t>Nature</w:t>
      </w:r>
      <w:r w:rsidRPr="00112D14">
        <w:t>, vol. 204, no. 4957, pp. 493-4.</w:t>
      </w:r>
      <w:bookmarkEnd w:id="1261"/>
    </w:p>
    <w:p w14:paraId="09C17171" w14:textId="77777777" w:rsidR="003438A2" w:rsidRPr="00112D14" w:rsidRDefault="003438A2" w:rsidP="00112D14">
      <w:pPr>
        <w:pStyle w:val="EndNoteBibliography"/>
        <w:spacing w:after="0"/>
      </w:pPr>
      <w:bookmarkStart w:id="1262" w:name="_ENREF_696"/>
      <w:r w:rsidRPr="00112D14">
        <w:t xml:space="preserve">-- -- 1970, ‘Fungal rotting of apples: i. a survey of the extent and cause of current fruit losses in Northern Ireland’, </w:t>
      </w:r>
      <w:r w:rsidRPr="00112D14">
        <w:rPr>
          <w:i/>
        </w:rPr>
        <w:t>Record of Agricultural Research</w:t>
      </w:r>
      <w:r w:rsidRPr="00112D14">
        <w:t>, vol. 18, pp. 15-9.</w:t>
      </w:r>
      <w:bookmarkEnd w:id="1262"/>
    </w:p>
    <w:p w14:paraId="5D29B8BE" w14:textId="77777777" w:rsidR="003438A2" w:rsidRPr="00112D14" w:rsidRDefault="003438A2" w:rsidP="00112D14">
      <w:pPr>
        <w:pStyle w:val="EndNoteBibliography"/>
        <w:spacing w:after="0"/>
      </w:pPr>
      <w:bookmarkStart w:id="1263" w:name="_ENREF_697"/>
      <w:r w:rsidRPr="00112D14">
        <w:t xml:space="preserve">-- -- 1971, ‘The infection of apples, cv. Bramley's seedling, by </w:t>
      </w:r>
      <w:r w:rsidRPr="00112D14">
        <w:rPr>
          <w:i/>
        </w:rPr>
        <w:t>Nectria galligena</w:t>
      </w:r>
      <w:r w:rsidRPr="00112D14">
        <w:t xml:space="preserve"> Bres’, </w:t>
      </w:r>
      <w:r w:rsidRPr="00112D14">
        <w:rPr>
          <w:i/>
        </w:rPr>
        <w:t>Annals of Applied Biology</w:t>
      </w:r>
      <w:r w:rsidRPr="00112D14">
        <w:t>, vol. 68, no. 3, pp. 253-62.</w:t>
      </w:r>
      <w:bookmarkEnd w:id="1263"/>
    </w:p>
    <w:p w14:paraId="24A12FCF" w14:textId="77777777" w:rsidR="003438A2" w:rsidRPr="00112D14" w:rsidRDefault="003438A2" w:rsidP="00112D14">
      <w:pPr>
        <w:pStyle w:val="EndNoteBibliography"/>
        <w:spacing w:after="0"/>
      </w:pPr>
      <w:bookmarkStart w:id="1264" w:name="_ENREF_698"/>
      <w:r w:rsidRPr="00112D14">
        <w:t>-- -- 1975, ‘European canker of apple (</w:t>
      </w:r>
      <w:r w:rsidRPr="00112D14">
        <w:rPr>
          <w:i/>
        </w:rPr>
        <w:t>Nectria galligena</w:t>
      </w:r>
      <w:r w:rsidRPr="00112D14">
        <w:t xml:space="preserve">)’, </w:t>
      </w:r>
      <w:r w:rsidRPr="00112D14">
        <w:rPr>
          <w:i/>
        </w:rPr>
        <w:t>Review of Plant Pathology</w:t>
      </w:r>
      <w:r w:rsidRPr="00112D14">
        <w:t>, vol. 54, no. 10, pp. 787-99.</w:t>
      </w:r>
      <w:bookmarkEnd w:id="1264"/>
    </w:p>
    <w:p w14:paraId="56B3E96C" w14:textId="77777777" w:rsidR="003438A2" w:rsidRPr="00112D14" w:rsidRDefault="003438A2" w:rsidP="00112D14">
      <w:pPr>
        <w:pStyle w:val="EndNoteBibliography"/>
        <w:spacing w:after="0"/>
      </w:pPr>
      <w:bookmarkStart w:id="1265" w:name="_ENREF_699"/>
      <w:r w:rsidRPr="00112D14">
        <w:t xml:space="preserve">Swinburne, TR, Cartwright, J, Flack, NJ &amp; Brown, AE 1975, ‘The control of apple canker </w:t>
      </w:r>
      <w:r w:rsidRPr="00112D14">
        <w:rPr>
          <w:i/>
        </w:rPr>
        <w:t>(Nectria galligena)</w:t>
      </w:r>
      <w:r w:rsidRPr="00112D14">
        <w:t xml:space="preserve"> in a young orchard with established infections’, </w:t>
      </w:r>
      <w:r w:rsidRPr="00112D14">
        <w:rPr>
          <w:i/>
        </w:rPr>
        <w:t>Annals of Applied Biology</w:t>
      </w:r>
      <w:r w:rsidRPr="00112D14">
        <w:t>, vol. 81, no. 1, pp. 61-73.</w:t>
      </w:r>
      <w:bookmarkEnd w:id="1265"/>
    </w:p>
    <w:p w14:paraId="4F0EAA2D" w14:textId="77777777" w:rsidR="003438A2" w:rsidRPr="00112D14" w:rsidRDefault="003438A2" w:rsidP="00112D14">
      <w:pPr>
        <w:pStyle w:val="EndNoteBibliography"/>
        <w:spacing w:after="0"/>
      </w:pPr>
      <w:bookmarkStart w:id="1266" w:name="_ENREF_700"/>
      <w:r w:rsidRPr="00112D14">
        <w:t xml:space="preserve">Szostek, SA, Wright, AA &amp; Harper, SJ 2018, ‘First report of apple hammerhead viroid in the United States, Japan, Italy, Spain, and New Zealand’, </w:t>
      </w:r>
      <w:r w:rsidRPr="00112D14">
        <w:rPr>
          <w:i/>
        </w:rPr>
        <w:t>Plant Disease</w:t>
      </w:r>
      <w:r w:rsidRPr="00112D14">
        <w:t>, vol. 102, no. 12, p. 2670.</w:t>
      </w:r>
      <w:bookmarkEnd w:id="1266"/>
    </w:p>
    <w:p w14:paraId="00A3674E" w14:textId="77777777" w:rsidR="003438A2" w:rsidRPr="00112D14" w:rsidRDefault="003438A2" w:rsidP="00112D14">
      <w:pPr>
        <w:pStyle w:val="EndNoteBibliography"/>
        <w:spacing w:after="0"/>
      </w:pPr>
      <w:bookmarkStart w:id="1267" w:name="_ENREF_701"/>
      <w:r w:rsidRPr="00112D14">
        <w:t xml:space="preserve">Tancos, KA, Borejsza-Wysocka, E, Kuehne, S, Breth, D &amp; Cox, KD 2017, ‘Fire blight symptomatic shoots and the presence of </w:t>
      </w:r>
      <w:r w:rsidRPr="00112D14">
        <w:rPr>
          <w:i/>
        </w:rPr>
        <w:t>Erwinia amylovora</w:t>
      </w:r>
      <w:r w:rsidRPr="00112D14">
        <w:t xml:space="preserve"> in asymptomatic apple budwood’, </w:t>
      </w:r>
      <w:r w:rsidRPr="00112D14">
        <w:rPr>
          <w:i/>
        </w:rPr>
        <w:t>Plant Disease</w:t>
      </w:r>
      <w:r w:rsidRPr="00112D14">
        <w:t>, vol. 101, no. 1, pp. 186-91.</w:t>
      </w:r>
      <w:bookmarkEnd w:id="1267"/>
    </w:p>
    <w:p w14:paraId="17BEBE7B" w14:textId="77777777" w:rsidR="003438A2" w:rsidRPr="00112D14" w:rsidRDefault="003438A2" w:rsidP="00112D14">
      <w:pPr>
        <w:pStyle w:val="EndNoteBibliography"/>
        <w:spacing w:after="0"/>
      </w:pPr>
      <w:bookmarkStart w:id="1268" w:name="_ENREF_702"/>
      <w:r w:rsidRPr="00112D14">
        <w:t>Tanigoshi, LK, Hoyt, SC, Browne, RW &amp; Logan, JA 1975, ‘Influence of temperature on population increase of</w:t>
      </w:r>
      <w:r w:rsidRPr="00112D14">
        <w:rPr>
          <w:i/>
        </w:rPr>
        <w:t xml:space="preserve"> Tetranychus mcdanieli</w:t>
      </w:r>
      <w:r w:rsidRPr="00112D14">
        <w:t xml:space="preserve"> (Acarina: Tetranychidae)’, </w:t>
      </w:r>
      <w:r w:rsidRPr="00112D14">
        <w:rPr>
          <w:i/>
        </w:rPr>
        <w:t>Annals of the Entomological Society of America</w:t>
      </w:r>
      <w:r w:rsidRPr="00112D14">
        <w:t>, vol. 68, no. 6, pp. 972-8.</w:t>
      </w:r>
      <w:bookmarkEnd w:id="1268"/>
    </w:p>
    <w:p w14:paraId="0B9E2F6F" w14:textId="77777777" w:rsidR="003438A2" w:rsidRPr="00112D14" w:rsidRDefault="003438A2" w:rsidP="00112D14">
      <w:pPr>
        <w:pStyle w:val="EndNoteBibliography"/>
        <w:spacing w:after="0"/>
      </w:pPr>
      <w:bookmarkStart w:id="1269" w:name="_ENREF_703"/>
      <w:r w:rsidRPr="00112D14">
        <w:t>Tao, S, Cao, B, Tian, C &amp; Liang, Y 2017, ‘Comparative transcriptome analysis and identification of candidate effectors in two related rust species (</w:t>
      </w:r>
      <w:r w:rsidRPr="00112D14">
        <w:rPr>
          <w:i/>
        </w:rPr>
        <w:t>Gymnosporangium yamadae</w:t>
      </w:r>
      <w:r w:rsidRPr="00112D14">
        <w:t xml:space="preserve"> and </w:t>
      </w:r>
      <w:r w:rsidRPr="00112D14">
        <w:rPr>
          <w:i/>
        </w:rPr>
        <w:t>Gymnosporangium asiaticum</w:t>
      </w:r>
      <w:r w:rsidRPr="00112D14">
        <w:t xml:space="preserve">)’, </w:t>
      </w:r>
      <w:r w:rsidRPr="00112D14">
        <w:rPr>
          <w:i/>
        </w:rPr>
        <w:t>BMC Genomics</w:t>
      </w:r>
      <w:r w:rsidRPr="00112D14">
        <w:t>, vol. 18., p. 651.</w:t>
      </w:r>
      <w:bookmarkEnd w:id="1269"/>
    </w:p>
    <w:p w14:paraId="4E8E5D86" w14:textId="77777777" w:rsidR="003438A2" w:rsidRPr="00112D14" w:rsidRDefault="003438A2" w:rsidP="00112D14">
      <w:pPr>
        <w:pStyle w:val="EndNoteBibliography"/>
        <w:spacing w:after="0"/>
      </w:pPr>
      <w:bookmarkStart w:id="1270" w:name="_ENREF_704"/>
      <w:r w:rsidRPr="00112D14">
        <w:t xml:space="preserve">Taylor, J 1963, ‘An apple leaf spot caused by </w:t>
      </w:r>
      <w:r w:rsidRPr="00112D14">
        <w:rPr>
          <w:i/>
        </w:rPr>
        <w:t>Helminthosporium papulosum</w:t>
      </w:r>
      <w:r w:rsidRPr="00112D14">
        <w:t xml:space="preserve">’, </w:t>
      </w:r>
      <w:r w:rsidRPr="00112D14">
        <w:rPr>
          <w:i/>
        </w:rPr>
        <w:t>Plant Disease Reporter</w:t>
      </w:r>
      <w:r w:rsidRPr="00112D14">
        <w:t>, vol. 47, no. 12, pp. 1105-6.</w:t>
      </w:r>
      <w:bookmarkEnd w:id="1270"/>
    </w:p>
    <w:p w14:paraId="46A6B59C" w14:textId="77777777" w:rsidR="003438A2" w:rsidRPr="00112D14" w:rsidRDefault="003438A2" w:rsidP="00112D14">
      <w:pPr>
        <w:pStyle w:val="EndNoteBibliography"/>
        <w:spacing w:after="0"/>
      </w:pPr>
      <w:bookmarkStart w:id="1271" w:name="_ENREF_705"/>
      <w:r w:rsidRPr="00112D14">
        <w:t xml:space="preserve">Taylor, JE &amp; Hyde, KD 2003, </w:t>
      </w:r>
      <w:r w:rsidRPr="00112D14">
        <w:rPr>
          <w:i/>
        </w:rPr>
        <w:t>Microfungi of tropical and temperate palms</w:t>
      </w:r>
      <w:r w:rsidRPr="00112D14">
        <w:t>, Fungal Diversity Press, Hong Kong.</w:t>
      </w:r>
      <w:bookmarkEnd w:id="1271"/>
    </w:p>
    <w:p w14:paraId="0491EE41" w14:textId="77777777" w:rsidR="003438A2" w:rsidRPr="00112D14" w:rsidRDefault="003438A2" w:rsidP="00112D14">
      <w:pPr>
        <w:pStyle w:val="EndNoteBibliography"/>
        <w:spacing w:after="0"/>
      </w:pPr>
      <w:bookmarkStart w:id="1272" w:name="_ENREF_706"/>
      <w:r w:rsidRPr="00112D14">
        <w:t xml:space="preserve">Taylor, RK, Hale, CN, Gunson, FA &amp; Marshall, JW 2003, ‘Survival of the fire blight pathogen, </w:t>
      </w:r>
      <w:r w:rsidRPr="00112D14">
        <w:rPr>
          <w:i/>
        </w:rPr>
        <w:t>Erwinia amylovora</w:t>
      </w:r>
      <w:r w:rsidRPr="00112D14">
        <w:t xml:space="preserve">, in calyxes of apple fruit discarded in an orchard’, </w:t>
      </w:r>
      <w:r w:rsidRPr="00112D14">
        <w:rPr>
          <w:i/>
        </w:rPr>
        <w:t>Crop Protection</w:t>
      </w:r>
      <w:r w:rsidRPr="00112D14">
        <w:t>, vol. 22, no. 4, pp. 603-8.</w:t>
      </w:r>
      <w:bookmarkEnd w:id="1272"/>
    </w:p>
    <w:p w14:paraId="6D6DD926" w14:textId="77777777" w:rsidR="003438A2" w:rsidRPr="00112D14" w:rsidRDefault="003438A2" w:rsidP="00112D14">
      <w:pPr>
        <w:pStyle w:val="EndNoteBibliography"/>
        <w:spacing w:after="0"/>
      </w:pPr>
      <w:bookmarkStart w:id="1273" w:name="_ENREF_707"/>
      <w:r w:rsidRPr="00112D14">
        <w:t>Teakle, DS 1988, ‘</w:t>
      </w:r>
      <w:r w:rsidRPr="00112D14">
        <w:rPr>
          <w:i/>
        </w:rPr>
        <w:t>Tobacco necrosis necrovirus</w:t>
      </w:r>
      <w:r w:rsidRPr="00112D14">
        <w:t xml:space="preserve">’, in </w:t>
      </w:r>
      <w:r w:rsidRPr="00112D14">
        <w:rPr>
          <w:i/>
        </w:rPr>
        <w:t>Viruses of plants in Australia</w:t>
      </w:r>
      <w:r w:rsidRPr="00112D14">
        <w:t>, Büchen-Osmond, C, Crabtree, K, Gibbs, A &amp; McLean, G (eds), Australian National University Printing Service, Canberra.</w:t>
      </w:r>
      <w:bookmarkEnd w:id="1273"/>
    </w:p>
    <w:p w14:paraId="2A308715" w14:textId="77777777" w:rsidR="003438A2" w:rsidRPr="00112D14" w:rsidRDefault="003438A2" w:rsidP="00112D14">
      <w:pPr>
        <w:pStyle w:val="EndNoteBibliography"/>
        <w:spacing w:after="0"/>
      </w:pPr>
      <w:bookmarkStart w:id="1274" w:name="_ENREF_708"/>
      <w:r w:rsidRPr="00112D14">
        <w:t xml:space="preserve">Temple, TN, Stockwell, VO, Pusey, PL &amp; Johnson, KB 2007, ‘Evaluation of likelihood of co-occurrence of </w:t>
      </w:r>
      <w:r w:rsidRPr="00112D14">
        <w:rPr>
          <w:i/>
        </w:rPr>
        <w:t>Erwinia amylovora</w:t>
      </w:r>
      <w:r w:rsidRPr="00112D14">
        <w:t xml:space="preserve"> with mature fruit of winter pear’, </w:t>
      </w:r>
      <w:r w:rsidRPr="00112D14">
        <w:rPr>
          <w:i/>
        </w:rPr>
        <w:t>Phytopathology</w:t>
      </w:r>
      <w:r w:rsidRPr="00112D14">
        <w:t>, vol. 97, no. 10, pp. 1263-73.</w:t>
      </w:r>
      <w:bookmarkEnd w:id="1274"/>
    </w:p>
    <w:p w14:paraId="22BB0945" w14:textId="77777777" w:rsidR="003438A2" w:rsidRPr="00112D14" w:rsidRDefault="003438A2" w:rsidP="00112D14">
      <w:pPr>
        <w:pStyle w:val="EndNoteBibliography"/>
        <w:spacing w:after="0"/>
      </w:pPr>
      <w:bookmarkStart w:id="1275" w:name="_ENREF_709"/>
      <w:r w:rsidRPr="00112D14">
        <w:t>Tesanovic, D &amp; Spasic, R 2013, ‘Pests of apple leaf and flower buds in the region of East Sarajevo’, paper presented at IV International Symposium Agrosym 2013, Jahorina, Bosnia and Herzgovina, 3-6 October.</w:t>
      </w:r>
      <w:bookmarkEnd w:id="1275"/>
    </w:p>
    <w:p w14:paraId="7C5F7155" w14:textId="77777777" w:rsidR="003438A2" w:rsidRPr="00112D14" w:rsidRDefault="003438A2" w:rsidP="00112D14">
      <w:pPr>
        <w:pStyle w:val="EndNoteBibliography"/>
        <w:spacing w:after="0"/>
      </w:pPr>
      <w:bookmarkStart w:id="1276" w:name="_ENREF_710"/>
      <w:r w:rsidRPr="00112D14">
        <w:t xml:space="preserve">Teviotdale, BL 2011, </w:t>
      </w:r>
      <w:r w:rsidRPr="00112D14">
        <w:rPr>
          <w:i/>
        </w:rPr>
        <w:t>Fire blight</w:t>
      </w:r>
      <w:r w:rsidRPr="00112D14">
        <w:t>, Pest Notes, Publication 7414, University of California, California.</w:t>
      </w:r>
      <w:bookmarkEnd w:id="1276"/>
    </w:p>
    <w:p w14:paraId="748BBED7" w14:textId="77777777" w:rsidR="003438A2" w:rsidRPr="00112D14" w:rsidRDefault="003438A2" w:rsidP="00112D14">
      <w:pPr>
        <w:pStyle w:val="EndNoteBibliography"/>
        <w:spacing w:after="0"/>
      </w:pPr>
      <w:bookmarkStart w:id="1277" w:name="_ENREF_711"/>
      <w:r w:rsidRPr="00112D14">
        <w:t xml:space="preserve">Thomson, SV 1986, ‘The role of the stigma in fire blight infections’, </w:t>
      </w:r>
      <w:r w:rsidRPr="00112D14">
        <w:rPr>
          <w:i/>
        </w:rPr>
        <w:t>Phytopathology</w:t>
      </w:r>
      <w:r w:rsidRPr="00112D14">
        <w:t>, vol. 76, no. 5, pp. 476-82.</w:t>
      </w:r>
      <w:bookmarkEnd w:id="1277"/>
    </w:p>
    <w:p w14:paraId="30252CC7" w14:textId="77777777" w:rsidR="003438A2" w:rsidRPr="00112D14" w:rsidRDefault="003438A2" w:rsidP="00112D14">
      <w:pPr>
        <w:pStyle w:val="EndNoteBibliography"/>
        <w:spacing w:after="0"/>
      </w:pPr>
      <w:bookmarkStart w:id="1278" w:name="_ENREF_712"/>
      <w:r w:rsidRPr="00112D14">
        <w:t xml:space="preserve">-- -- 2000, ‘Epidemiology of fire blight’, in </w:t>
      </w:r>
      <w:r w:rsidRPr="00112D14">
        <w:rPr>
          <w:i/>
        </w:rPr>
        <w:t>Fire blight: the disease and its causative agent, Erwinia amylovora</w:t>
      </w:r>
      <w:r w:rsidRPr="00112D14">
        <w:t>, Vanneste, JL (ed), CAB International, Wallingford.</w:t>
      </w:r>
      <w:bookmarkEnd w:id="1278"/>
    </w:p>
    <w:p w14:paraId="1D338CB6" w14:textId="77777777" w:rsidR="003438A2" w:rsidRPr="00112D14" w:rsidRDefault="003438A2" w:rsidP="00112D14">
      <w:pPr>
        <w:pStyle w:val="EndNoteBibliography"/>
        <w:spacing w:after="0"/>
      </w:pPr>
      <w:bookmarkStart w:id="1279" w:name="_ENREF_713"/>
      <w:r w:rsidRPr="00112D14">
        <w:t xml:space="preserve">Thomson, SV &amp; Gouk, SC 1999, ‘Transient populations of </w:t>
      </w:r>
      <w:r w:rsidRPr="00112D14">
        <w:rPr>
          <w:i/>
        </w:rPr>
        <w:t>Erwinia amylovora</w:t>
      </w:r>
      <w:r w:rsidRPr="00112D14">
        <w:t xml:space="preserve"> on leaves in orchards and nurseries’, </w:t>
      </w:r>
      <w:r w:rsidRPr="00112D14">
        <w:rPr>
          <w:i/>
        </w:rPr>
        <w:t>Acta Horticulturae (ISHS)</w:t>
      </w:r>
      <w:r w:rsidRPr="00112D14">
        <w:t>, vol. 489, pp. 515-20.</w:t>
      </w:r>
      <w:bookmarkEnd w:id="1279"/>
    </w:p>
    <w:p w14:paraId="5DA9E15B" w14:textId="77777777" w:rsidR="003438A2" w:rsidRPr="00112D14" w:rsidRDefault="003438A2" w:rsidP="00112D14">
      <w:pPr>
        <w:pStyle w:val="EndNoteBibliography"/>
        <w:spacing w:after="0"/>
      </w:pPr>
      <w:bookmarkStart w:id="1280" w:name="_ENREF_714"/>
      <w:r w:rsidRPr="00112D14">
        <w:t xml:space="preserve">Thornburg, C 2003, </w:t>
      </w:r>
      <w:r w:rsidRPr="00112D14">
        <w:rPr>
          <w:i/>
        </w:rPr>
        <w:t>Summary of apple maggot trapping activities 1986 through 2002</w:t>
      </w:r>
      <w:r w:rsidRPr="00112D14">
        <w:t>, Bureau of Feed &amp; Plant Services, Idaho State Department of Agriculture, Boise Idaho, USA.</w:t>
      </w:r>
      <w:bookmarkEnd w:id="1280"/>
    </w:p>
    <w:p w14:paraId="59374596" w14:textId="77777777" w:rsidR="003438A2" w:rsidRPr="00112D14" w:rsidRDefault="003438A2" w:rsidP="00112D14">
      <w:pPr>
        <w:pStyle w:val="EndNoteBibliography"/>
        <w:spacing w:after="0"/>
      </w:pPr>
      <w:bookmarkStart w:id="1281" w:name="_ENREF_715"/>
      <w:r w:rsidRPr="00112D14">
        <w:t xml:space="preserve">Tingey, WM &amp; Pillemer, EA 1977, ‘Lygus bugs: crop resistance and physiological nature of feeding injury’, </w:t>
      </w:r>
      <w:r w:rsidRPr="00112D14">
        <w:rPr>
          <w:i/>
        </w:rPr>
        <w:t>ESA Bulletin</w:t>
      </w:r>
      <w:r w:rsidRPr="00112D14">
        <w:t>, vol. 23, no. 4, pp. 277-87.</w:t>
      </w:r>
      <w:bookmarkEnd w:id="1281"/>
    </w:p>
    <w:p w14:paraId="38756A0D" w14:textId="77777777" w:rsidR="003438A2" w:rsidRPr="00112D14" w:rsidRDefault="003438A2" w:rsidP="00112D14">
      <w:pPr>
        <w:pStyle w:val="EndNoteBibliography"/>
        <w:spacing w:after="0"/>
      </w:pPr>
      <w:bookmarkStart w:id="1282" w:name="_ENREF_716"/>
      <w:r w:rsidRPr="00112D14">
        <w:t xml:space="preserve">Toba, HH &amp; Moffitt, HR 1991, ‘Controlled-atmosphere cold storage as a quarantine treatment for nondiapausing codling moth (Lepidoptera: Tortricidae) larvae in apples’, </w:t>
      </w:r>
      <w:r w:rsidRPr="00112D14">
        <w:rPr>
          <w:i/>
        </w:rPr>
        <w:t>Journal of Economic Entomology</w:t>
      </w:r>
      <w:r w:rsidRPr="00112D14">
        <w:t>, vol. 84, no. 4, pp. 1316-9.</w:t>
      </w:r>
      <w:bookmarkEnd w:id="1282"/>
    </w:p>
    <w:p w14:paraId="0B725768" w14:textId="77777777" w:rsidR="003438A2" w:rsidRPr="00112D14" w:rsidRDefault="003438A2" w:rsidP="00112D14">
      <w:pPr>
        <w:pStyle w:val="EndNoteBibliography"/>
        <w:spacing w:after="0"/>
      </w:pPr>
      <w:bookmarkStart w:id="1283" w:name="_ENREF_717"/>
      <w:r w:rsidRPr="00112D14">
        <w:t xml:space="preserve">Todd, DH 1959, ‘The apple leaf-curling midge, </w:t>
      </w:r>
      <w:r w:rsidRPr="00112D14">
        <w:rPr>
          <w:i/>
        </w:rPr>
        <w:t>Dasyneura mali</w:t>
      </w:r>
      <w:r w:rsidRPr="00112D14">
        <w:t xml:space="preserve"> Kieffer, seasonal history, varietal susceptibility and parasitism 1955-58’, </w:t>
      </w:r>
      <w:r w:rsidRPr="00112D14">
        <w:rPr>
          <w:i/>
        </w:rPr>
        <w:t>New Zealand Journal of Agricultural Research</w:t>
      </w:r>
      <w:r w:rsidRPr="00112D14">
        <w:t>, vol. 2, no. 5, pp. 859-69.</w:t>
      </w:r>
      <w:bookmarkEnd w:id="1283"/>
    </w:p>
    <w:p w14:paraId="3C8FECB9" w14:textId="77777777" w:rsidR="003438A2" w:rsidRPr="00112D14" w:rsidRDefault="003438A2" w:rsidP="00112D14">
      <w:pPr>
        <w:pStyle w:val="EndNoteBibliography"/>
        <w:spacing w:after="0"/>
      </w:pPr>
      <w:bookmarkStart w:id="1284" w:name="_ENREF_718"/>
      <w:r w:rsidRPr="00112D14">
        <w:t xml:space="preserve">Tomkins, AR 1998, </w:t>
      </w:r>
      <w:r w:rsidRPr="00112D14">
        <w:rPr>
          <w:i/>
        </w:rPr>
        <w:t>Apple leaf-curling midge life cycle</w:t>
      </w:r>
      <w:r w:rsidRPr="00112D14">
        <w:t>, HortFACT, Hortnet, New Zealand.</w:t>
      </w:r>
      <w:bookmarkEnd w:id="1284"/>
    </w:p>
    <w:p w14:paraId="78795B08" w14:textId="77777777" w:rsidR="003438A2" w:rsidRPr="00112D14" w:rsidRDefault="003438A2" w:rsidP="00112D14">
      <w:pPr>
        <w:pStyle w:val="EndNoteBibliography"/>
        <w:spacing w:after="0"/>
      </w:pPr>
      <w:bookmarkStart w:id="1285" w:name="_ENREF_719"/>
      <w:r w:rsidRPr="00112D14">
        <w:t>Tomkins, AR, Wilson, DJ, Hutchings, SO &amp; June, S 1994, ‘A survey of apple leafcurling midge</w:t>
      </w:r>
      <w:r w:rsidRPr="00112D14">
        <w:rPr>
          <w:i/>
        </w:rPr>
        <w:t xml:space="preserve"> (Dasyneura mali)</w:t>
      </w:r>
      <w:r w:rsidRPr="00112D14">
        <w:t xml:space="preserve"> management in Waikato orchards’, </w:t>
      </w:r>
      <w:r w:rsidRPr="00112D14">
        <w:rPr>
          <w:i/>
        </w:rPr>
        <w:t>Proceedings of the 47th New Zealand Plant Protection Conference, Waitangi Hotel, New Zealand, 8 September 1994</w:t>
      </w:r>
      <w:r w:rsidRPr="00112D14">
        <w:t>, HortResearch, New Zealand, pp. 346-9.</w:t>
      </w:r>
      <w:bookmarkEnd w:id="1285"/>
    </w:p>
    <w:p w14:paraId="62A63C56" w14:textId="77777777" w:rsidR="003438A2" w:rsidRPr="00112D14" w:rsidRDefault="003438A2" w:rsidP="00112D14">
      <w:pPr>
        <w:pStyle w:val="EndNoteBibliography"/>
        <w:spacing w:after="0"/>
      </w:pPr>
      <w:bookmarkStart w:id="1286" w:name="_ENREF_720"/>
      <w:r w:rsidRPr="00112D14">
        <w:t xml:space="preserve">Tomlinson, JA, Faithful, EM, Webb, MJW, Fraser, RSS &amp; Seeley, ND 1983, ‘Chenopodium necrosis: a distinctive strain of </w:t>
      </w:r>
      <w:r w:rsidRPr="00112D14">
        <w:rPr>
          <w:i/>
        </w:rPr>
        <w:t>Tobacco necrosis virus</w:t>
      </w:r>
      <w:r w:rsidRPr="00112D14">
        <w:t xml:space="preserve"> isolated from river water’, </w:t>
      </w:r>
      <w:r w:rsidRPr="00112D14">
        <w:rPr>
          <w:i/>
        </w:rPr>
        <w:t>Annals of Applied Biology</w:t>
      </w:r>
      <w:r w:rsidRPr="00112D14">
        <w:t>, vol. 102, pp. 135-47.</w:t>
      </w:r>
      <w:bookmarkEnd w:id="1286"/>
    </w:p>
    <w:p w14:paraId="1E65A7F4" w14:textId="77777777" w:rsidR="003438A2" w:rsidRPr="00112D14" w:rsidRDefault="003438A2" w:rsidP="00112D14">
      <w:pPr>
        <w:pStyle w:val="EndNoteBibliography"/>
        <w:spacing w:after="0"/>
      </w:pPr>
      <w:bookmarkStart w:id="1287" w:name="_ENREF_721"/>
      <w:r w:rsidRPr="00112D14">
        <w:t xml:space="preserve">Traquair, JA 1980, ‘Conspecificity of an unidentified snow mold basidiomycete and </w:t>
      </w:r>
      <w:r w:rsidRPr="00112D14">
        <w:rPr>
          <w:i/>
        </w:rPr>
        <w:t xml:space="preserve">Coprinus </w:t>
      </w:r>
      <w:r w:rsidRPr="00112D14">
        <w:t xml:space="preserve">species in the section </w:t>
      </w:r>
      <w:r w:rsidRPr="00112D14">
        <w:rPr>
          <w:i/>
        </w:rPr>
        <w:t>Herbicolae</w:t>
      </w:r>
      <w:r w:rsidRPr="00112D14">
        <w:t xml:space="preserve">’, </w:t>
      </w:r>
      <w:r w:rsidRPr="00112D14">
        <w:rPr>
          <w:i/>
        </w:rPr>
        <w:t>Canadian Journal of Plant Pathology</w:t>
      </w:r>
      <w:r w:rsidRPr="00112D14">
        <w:t>, vol. 2, pp. 105-84.</w:t>
      </w:r>
      <w:bookmarkEnd w:id="1287"/>
    </w:p>
    <w:p w14:paraId="3CE90705" w14:textId="77777777" w:rsidR="003438A2" w:rsidRPr="00112D14" w:rsidRDefault="003438A2" w:rsidP="00112D14">
      <w:pPr>
        <w:pStyle w:val="EndNoteBibliography"/>
        <w:spacing w:after="0"/>
      </w:pPr>
      <w:bookmarkStart w:id="1288" w:name="_ENREF_722"/>
      <w:r w:rsidRPr="00112D14">
        <w:t xml:space="preserve">-- -- 1987, ‘Postharvest rot by </w:t>
      </w:r>
      <w:r w:rsidRPr="00112D14">
        <w:rPr>
          <w:i/>
        </w:rPr>
        <w:t xml:space="preserve">Coprinopsis psychromorbida </w:t>
      </w:r>
      <w:r w:rsidRPr="00112D14">
        <w:t xml:space="preserve">on apples and pears in cold storage in British Columbia’, </w:t>
      </w:r>
      <w:r w:rsidRPr="00112D14">
        <w:rPr>
          <w:i/>
        </w:rPr>
        <w:t>Canadian Plant Disease Survey</w:t>
      </w:r>
      <w:r w:rsidRPr="00112D14">
        <w:t>, vol. 67, no. 2, pp. 47-50.</w:t>
      </w:r>
      <w:bookmarkEnd w:id="1288"/>
    </w:p>
    <w:p w14:paraId="52BF1A51" w14:textId="77777777" w:rsidR="003438A2" w:rsidRPr="00112D14" w:rsidRDefault="003438A2" w:rsidP="00112D14">
      <w:pPr>
        <w:pStyle w:val="EndNoteBibliography"/>
        <w:spacing w:after="0"/>
      </w:pPr>
      <w:bookmarkStart w:id="1289" w:name="_ENREF_723"/>
      <w:r w:rsidRPr="00112D14">
        <w:t xml:space="preserve">Tsukamoto, T, Azegami, K, Matsuura, T, Ohara, T, Inoue, Y, Mizuno, A, Yoshida, K, Bessho, H, Kimura, S &amp; Goto, M 2005, ‘Infection frequency of mature apple fruit with </w:t>
      </w:r>
      <w:r w:rsidRPr="00112D14">
        <w:rPr>
          <w:i/>
        </w:rPr>
        <w:t>Erwinia amylovora</w:t>
      </w:r>
      <w:r w:rsidRPr="00112D14">
        <w:t xml:space="preserve"> deposited on pedicels and its survival in the fruit stored at low temperature’, </w:t>
      </w:r>
      <w:r w:rsidRPr="00112D14">
        <w:rPr>
          <w:i/>
        </w:rPr>
        <w:t>Bacterial and Phytoplasma Diseases</w:t>
      </w:r>
      <w:r w:rsidRPr="00112D14">
        <w:t>, vol. 71, no. 4, pp. 296-301.</w:t>
      </w:r>
      <w:bookmarkEnd w:id="1289"/>
    </w:p>
    <w:p w14:paraId="0861648E" w14:textId="46A0012D" w:rsidR="003438A2" w:rsidRPr="00112D14" w:rsidRDefault="003438A2" w:rsidP="00112D14">
      <w:pPr>
        <w:pStyle w:val="EndNoteBibliography"/>
        <w:spacing w:after="0"/>
      </w:pPr>
      <w:bookmarkStart w:id="1290" w:name="_ENREF_724"/>
      <w:r w:rsidRPr="00112D14">
        <w:t xml:space="preserve">UC IPM 2019, ‘Cypress tipminer - </w:t>
      </w:r>
      <w:r w:rsidRPr="00112D14">
        <w:rPr>
          <w:i/>
        </w:rPr>
        <w:t>Argyresthia cupressella</w:t>
      </w:r>
      <w:r w:rsidRPr="00112D14">
        <w:t>’, University of California Statewide Integrated Pest Management Program, California, available at</w:t>
      </w:r>
      <w:r w:rsidR="00245E4C">
        <w:t>,</w:t>
      </w:r>
      <w:r w:rsidRPr="00112D14">
        <w:t xml:space="preserve"> </w:t>
      </w:r>
      <w:hyperlink r:id="rId285" w:history="1">
        <w:r w:rsidR="009D65C0" w:rsidRPr="009E4A79">
          <w:rPr>
            <w:rStyle w:val="Hyperlink"/>
          </w:rPr>
          <w:t>http://ipm.ucanr.edu/PMG/GARDEN/PLANTS/INVERT/cyptipminer.html</w:t>
        </w:r>
      </w:hyperlink>
      <w:r w:rsidRPr="00112D14">
        <w:t>.</w:t>
      </w:r>
      <w:bookmarkEnd w:id="1290"/>
    </w:p>
    <w:p w14:paraId="1B5B47DF" w14:textId="77777777" w:rsidR="003438A2" w:rsidRPr="00112D14" w:rsidRDefault="003438A2" w:rsidP="00112D14">
      <w:pPr>
        <w:pStyle w:val="EndNoteBibliography"/>
        <w:spacing w:after="0"/>
      </w:pPr>
      <w:bookmarkStart w:id="1291" w:name="_ENREF_725"/>
      <w:r w:rsidRPr="00112D14">
        <w:t xml:space="preserve">Ueckermann, E, Palevsky, E, Gerson, U, Recht, E &amp; Theron, PD 2018, ‘The Tenuipalpidae (Acari: Trombidiformes) of Israel’, </w:t>
      </w:r>
      <w:r w:rsidRPr="00112D14">
        <w:rPr>
          <w:i/>
        </w:rPr>
        <w:t>Acarologia</w:t>
      </w:r>
      <w:r w:rsidRPr="00112D14">
        <w:t>, vol. 58, no. 2, pp. 483-525.</w:t>
      </w:r>
      <w:bookmarkEnd w:id="1291"/>
    </w:p>
    <w:p w14:paraId="17E0F6E7" w14:textId="0359F364" w:rsidR="003438A2" w:rsidRPr="00112D14" w:rsidRDefault="003438A2" w:rsidP="00112D14">
      <w:pPr>
        <w:pStyle w:val="EndNoteBibliography"/>
        <w:spacing w:after="0"/>
      </w:pPr>
      <w:bookmarkStart w:id="1292" w:name="_ENREF_726"/>
      <w:r w:rsidRPr="00112D14">
        <w:t xml:space="preserve">Ugine, TA 2012, ‘Developmental times and age-specific life tables for </w:t>
      </w:r>
      <w:r w:rsidRPr="00112D14">
        <w:rPr>
          <w:i/>
        </w:rPr>
        <w:t>Lygus lineolaris</w:t>
      </w:r>
      <w:r w:rsidRPr="00112D14">
        <w:t xml:space="preserve"> (Heteroptera: Miridae), reared at multiple constant temperatures’, </w:t>
      </w:r>
      <w:r w:rsidRPr="00112D14">
        <w:rPr>
          <w:i/>
        </w:rPr>
        <w:t>Environmental Entomology</w:t>
      </w:r>
      <w:r w:rsidRPr="00112D14">
        <w:t xml:space="preserve">, vol. 41, no. 1, </w:t>
      </w:r>
      <w:r w:rsidR="00245E4C">
        <w:t>available at,</w:t>
      </w:r>
      <w:r w:rsidR="00245E4C" w:rsidRPr="00112D14">
        <w:t xml:space="preserve"> </w:t>
      </w:r>
      <w:hyperlink r:id="rId286" w:history="1">
        <w:r w:rsidR="00D25124" w:rsidRPr="009E4A79">
          <w:rPr>
            <w:rStyle w:val="Hyperlink"/>
          </w:rPr>
          <w:t>http://dx.doi.org/10.1603/EN10210</w:t>
        </w:r>
      </w:hyperlink>
      <w:r w:rsidRPr="00112D14">
        <w:t>.</w:t>
      </w:r>
      <w:bookmarkEnd w:id="1292"/>
    </w:p>
    <w:p w14:paraId="2C6CBAEF" w14:textId="03C5B4D9" w:rsidR="003438A2" w:rsidRPr="00112D14" w:rsidRDefault="003438A2" w:rsidP="00112D14">
      <w:pPr>
        <w:pStyle w:val="EndNoteBibliography"/>
        <w:spacing w:after="0"/>
      </w:pPr>
      <w:bookmarkStart w:id="1293" w:name="_ENREF_727"/>
      <w:r w:rsidRPr="00112D14">
        <w:t xml:space="preserve">University of California 2010, </w:t>
      </w:r>
      <w:r w:rsidRPr="00112D14">
        <w:rPr>
          <w:i/>
        </w:rPr>
        <w:t>Leafrollers on ornamental and fruit trees</w:t>
      </w:r>
      <w:r w:rsidRPr="00112D14">
        <w:t>, UC IPM Online: Statewide integrated pest management program, University of California, Agriculture and Natural Resources, available at</w:t>
      </w:r>
      <w:r w:rsidR="003B7990">
        <w:t>,</w:t>
      </w:r>
      <w:r w:rsidRPr="00112D14">
        <w:t xml:space="preserve"> </w:t>
      </w:r>
      <w:hyperlink r:id="rId287" w:history="1">
        <w:r w:rsidR="00D25124" w:rsidRPr="009E4A79">
          <w:rPr>
            <w:rStyle w:val="Hyperlink"/>
          </w:rPr>
          <w:t>https://ucanr.edu/sites/sjcoeh/files/77086.pdf</w:t>
        </w:r>
      </w:hyperlink>
      <w:r w:rsidRPr="00112D14">
        <w:t xml:space="preserve"> (pdf 759 kb).</w:t>
      </w:r>
      <w:bookmarkEnd w:id="1293"/>
    </w:p>
    <w:p w14:paraId="624C3372" w14:textId="52B7A54C" w:rsidR="003438A2" w:rsidRPr="00112D14" w:rsidRDefault="003438A2" w:rsidP="00112D14">
      <w:pPr>
        <w:pStyle w:val="EndNoteBibliography"/>
        <w:spacing w:after="0"/>
      </w:pPr>
      <w:bookmarkStart w:id="1294" w:name="_ENREF_728"/>
      <w:r w:rsidRPr="00112D14">
        <w:t xml:space="preserve">-- -- 2012, </w:t>
      </w:r>
      <w:r w:rsidRPr="00112D14">
        <w:rPr>
          <w:i/>
        </w:rPr>
        <w:t>Thrips of California</w:t>
      </w:r>
      <w:r w:rsidRPr="00112D14">
        <w:t>, available at</w:t>
      </w:r>
      <w:r w:rsidR="003B7990">
        <w:t>,</w:t>
      </w:r>
      <w:r w:rsidRPr="00112D14">
        <w:t xml:space="preserve"> </w:t>
      </w:r>
      <w:hyperlink r:id="rId288" w:history="1">
        <w:r w:rsidR="00D25124" w:rsidRPr="009E4A79">
          <w:rPr>
            <w:rStyle w:val="Hyperlink"/>
          </w:rPr>
          <w:t>http://keys.lucidcentral.org</w:t>
        </w:r>
      </w:hyperlink>
      <w:r w:rsidRPr="00112D14">
        <w:t>.</w:t>
      </w:r>
      <w:bookmarkEnd w:id="1294"/>
    </w:p>
    <w:p w14:paraId="205E8757" w14:textId="6A4D44DA" w:rsidR="003438A2" w:rsidRPr="00112D14" w:rsidRDefault="003438A2" w:rsidP="00112D14">
      <w:pPr>
        <w:pStyle w:val="EndNoteBibliography"/>
        <w:spacing w:after="0"/>
      </w:pPr>
      <w:bookmarkStart w:id="1295" w:name="_ENREF_729"/>
      <w:r w:rsidRPr="00112D14">
        <w:t xml:space="preserve">-- -- 2017, ‘UC IPM pest management guidelines for agriculture - Apple’, </w:t>
      </w:r>
      <w:r w:rsidRPr="00112D14">
        <w:rPr>
          <w:i/>
        </w:rPr>
        <w:t>UC IPM Statewide Integrated Pest Management Program</w:t>
      </w:r>
      <w:r w:rsidRPr="00112D14">
        <w:t>, University of California Agriculture &amp; Natural Resources, California, USA, available at</w:t>
      </w:r>
      <w:r w:rsidR="003B7990">
        <w:t>,</w:t>
      </w:r>
      <w:r w:rsidRPr="00112D14">
        <w:t xml:space="preserve"> </w:t>
      </w:r>
      <w:hyperlink r:id="rId289" w:history="1">
        <w:r w:rsidR="00D25124" w:rsidRPr="009E4A79">
          <w:rPr>
            <w:rStyle w:val="Hyperlink"/>
          </w:rPr>
          <w:t>http://ipm.ucanr.edu/PDF/PMG/pmgapple.pdf</w:t>
        </w:r>
      </w:hyperlink>
      <w:r w:rsidRPr="00112D14">
        <w:t>.</w:t>
      </w:r>
      <w:bookmarkEnd w:id="1295"/>
    </w:p>
    <w:p w14:paraId="657ACFCC" w14:textId="20113729" w:rsidR="003438A2" w:rsidRPr="00112D14" w:rsidRDefault="003438A2" w:rsidP="00112D14">
      <w:pPr>
        <w:pStyle w:val="EndNoteBibliography"/>
        <w:spacing w:after="0"/>
      </w:pPr>
      <w:bookmarkStart w:id="1296" w:name="_ENREF_730"/>
      <w:r w:rsidRPr="00112D14">
        <w:t xml:space="preserve">University of Illinois 2004, </w:t>
      </w:r>
      <w:r w:rsidRPr="00112D14">
        <w:rPr>
          <w:i/>
        </w:rPr>
        <w:t>Eastern flower thrips: Frankliniella tritici</w:t>
      </w:r>
      <w:r w:rsidRPr="00112D14">
        <w:t>, IPM: University of Illinois Extension, available at</w:t>
      </w:r>
      <w:r w:rsidR="00F42CCE">
        <w:t>,</w:t>
      </w:r>
      <w:r w:rsidRPr="00112D14">
        <w:t xml:space="preserve"> </w:t>
      </w:r>
      <w:hyperlink r:id="rId290" w:history="1">
        <w:r w:rsidR="00D25124" w:rsidRPr="009E4A79">
          <w:rPr>
            <w:rStyle w:val="Hyperlink"/>
          </w:rPr>
          <w:t>http://ipm.uiuc.edu/insects/eastern_flower_thrips/</w:t>
        </w:r>
      </w:hyperlink>
      <w:r w:rsidRPr="00112D14">
        <w:t>.</w:t>
      </w:r>
      <w:bookmarkEnd w:id="1296"/>
    </w:p>
    <w:p w14:paraId="3382B1FB" w14:textId="18AC21F7" w:rsidR="003438A2" w:rsidRPr="00112D14" w:rsidRDefault="003438A2" w:rsidP="00112D14">
      <w:pPr>
        <w:pStyle w:val="EndNoteBibliography"/>
        <w:spacing w:after="0"/>
      </w:pPr>
      <w:bookmarkStart w:id="1297" w:name="_ENREF_731"/>
      <w:r w:rsidRPr="00112D14">
        <w:t xml:space="preserve">University of Maine 2020, </w:t>
      </w:r>
      <w:r w:rsidRPr="00112D14">
        <w:rPr>
          <w:i/>
        </w:rPr>
        <w:t>Cold Storage Conditions</w:t>
      </w:r>
      <w:r w:rsidRPr="00112D14">
        <w:t>, Cooperative Extension: Tree Fruits, University of Maine</w:t>
      </w:r>
      <w:r>
        <w:t>, available at</w:t>
      </w:r>
      <w:r w:rsidR="00F42CCE">
        <w:t>,</w:t>
      </w:r>
      <w:r w:rsidRPr="00112D14">
        <w:t xml:space="preserve"> </w:t>
      </w:r>
      <w:hyperlink r:id="rId291" w:history="1">
        <w:r w:rsidR="00D25124" w:rsidRPr="009E4A79">
          <w:rPr>
            <w:rStyle w:val="Hyperlink"/>
          </w:rPr>
          <w:t>https://extension.umaine.edu/fruit/harvest-and-storage-of-tree-fruits/cold-storage-conditions/</w:t>
        </w:r>
      </w:hyperlink>
      <w:r w:rsidR="00F42CCE">
        <w:rPr>
          <w:rStyle w:val="Hyperlink"/>
        </w:rPr>
        <w:t xml:space="preserve">. </w:t>
      </w:r>
      <w:bookmarkEnd w:id="1297"/>
    </w:p>
    <w:p w14:paraId="37F2C11A" w14:textId="693DE760" w:rsidR="003438A2" w:rsidRPr="00112D14" w:rsidRDefault="003438A2" w:rsidP="00112D14">
      <w:pPr>
        <w:pStyle w:val="EndNoteBibliography"/>
        <w:spacing w:after="0"/>
      </w:pPr>
      <w:bookmarkStart w:id="1298" w:name="_ENREF_732"/>
      <w:r w:rsidRPr="00112D14">
        <w:t xml:space="preserve">University of Missouri 2008, </w:t>
      </w:r>
      <w:r w:rsidRPr="00112D14">
        <w:rPr>
          <w:i/>
        </w:rPr>
        <w:t>Apple crculio</w:t>
      </w:r>
      <w:r w:rsidRPr="00112D14">
        <w:t>, University of Missouri Extension, Columbia (MO) USA.</w:t>
      </w:r>
      <w:bookmarkEnd w:id="1298"/>
    </w:p>
    <w:p w14:paraId="76E6D0E4" w14:textId="77777777" w:rsidR="003438A2" w:rsidRPr="00112D14" w:rsidRDefault="003438A2" w:rsidP="00112D14">
      <w:pPr>
        <w:pStyle w:val="EndNoteBibliography"/>
        <w:spacing w:after="0"/>
      </w:pPr>
      <w:bookmarkStart w:id="1299" w:name="_ENREF_733"/>
      <w:r w:rsidRPr="00112D14">
        <w:t>Unruh, T</w:t>
      </w:r>
      <w:r>
        <w:t>R</w:t>
      </w:r>
      <w:r w:rsidRPr="00112D14">
        <w:t xml:space="preserve">, Short, R, Herard, F, Chen, K, Hopper, K, Pemberton, R, Lee, JH, Ertle, L, Swan, K, Fuester, R &amp; LaGasa, E 2003, ‘Introduction and establishment of parasitoids for the biological control of the apple ermine moth, </w:t>
      </w:r>
      <w:r w:rsidRPr="00112D14">
        <w:rPr>
          <w:i/>
        </w:rPr>
        <w:t>Yponomeuta malinellus</w:t>
      </w:r>
      <w:r w:rsidRPr="00112D14">
        <w:t xml:space="preserve"> (Lepidoptera: Yponomeutidae), in the Pacific Northwest’, </w:t>
      </w:r>
      <w:r w:rsidRPr="00112D14">
        <w:rPr>
          <w:i/>
        </w:rPr>
        <w:t>Biological Control</w:t>
      </w:r>
      <w:r w:rsidRPr="00112D14">
        <w:t>, vol. 28, pp. 332-45.</w:t>
      </w:r>
      <w:bookmarkEnd w:id="1299"/>
    </w:p>
    <w:p w14:paraId="0FE8C1DA" w14:textId="77777777" w:rsidR="003438A2" w:rsidRPr="00112D14" w:rsidRDefault="003438A2" w:rsidP="00112D14">
      <w:pPr>
        <w:pStyle w:val="EndNoteBibliography"/>
        <w:spacing w:after="0"/>
      </w:pPr>
      <w:bookmarkStart w:id="1300" w:name="_ENREF_734"/>
      <w:r w:rsidRPr="00112D14">
        <w:t xml:space="preserve">Unruh, TR, Pfannenstiel, RS, Peters, C, Brunner, JF &amp; Jones, VP 2012, ‘Parasitism of leafrollers in Washington fruit orchards is enhanced by perimeter plantings of rose and strawberry’, </w:t>
      </w:r>
      <w:r w:rsidRPr="00112D14">
        <w:rPr>
          <w:i/>
        </w:rPr>
        <w:t>Biological Control</w:t>
      </w:r>
      <w:r w:rsidRPr="00112D14">
        <w:t>, vol. 62, pp. 162-72.</w:t>
      </w:r>
      <w:bookmarkEnd w:id="1300"/>
    </w:p>
    <w:p w14:paraId="6F6187F5" w14:textId="77D731A6" w:rsidR="003438A2" w:rsidRPr="00112D14" w:rsidRDefault="003438A2" w:rsidP="00112D14">
      <w:pPr>
        <w:pStyle w:val="EndNoteBibliography"/>
        <w:spacing w:after="0"/>
      </w:pPr>
      <w:bookmarkStart w:id="1301" w:name="_ENREF_735"/>
      <w:r w:rsidRPr="00112D14">
        <w:t>USA Map 2018, ‘US map with States and their abbreviations’, Path2usa, USA, available at</w:t>
      </w:r>
      <w:r w:rsidR="00406EF5">
        <w:t>,</w:t>
      </w:r>
      <w:r w:rsidRPr="00112D14">
        <w:t xml:space="preserve"> </w:t>
      </w:r>
      <w:hyperlink r:id="rId292" w:history="1">
        <w:r w:rsidR="00852132" w:rsidRPr="00F75888">
          <w:rPr>
            <w:rStyle w:val="Hyperlink"/>
          </w:rPr>
          <w:t>https://www.path2usa.com/us-map-with-states-and-their-abbreviations</w:t>
        </w:r>
      </w:hyperlink>
      <w:r w:rsidR="00852132">
        <w:t>.</w:t>
      </w:r>
      <w:bookmarkEnd w:id="1301"/>
    </w:p>
    <w:p w14:paraId="0BA9B1F3" w14:textId="77777777" w:rsidR="003438A2" w:rsidRPr="00112D14" w:rsidRDefault="003438A2" w:rsidP="00112D14">
      <w:pPr>
        <w:pStyle w:val="EndNoteBibliography"/>
        <w:spacing w:after="0"/>
      </w:pPr>
      <w:bookmarkStart w:id="1302" w:name="_ENREF_736"/>
      <w:r w:rsidRPr="00112D14">
        <w:t xml:space="preserve">USDA-APHIS 2000, </w:t>
      </w:r>
      <w:r w:rsidRPr="00112D14">
        <w:rPr>
          <w:i/>
        </w:rPr>
        <w:t>Cenopalpus pulcher (flat scarlet mite)</w:t>
      </w:r>
      <w:r w:rsidRPr="00112D14">
        <w:t>, United States Department of Agriculture.</w:t>
      </w:r>
      <w:bookmarkEnd w:id="1302"/>
    </w:p>
    <w:p w14:paraId="081C7925" w14:textId="77777777" w:rsidR="003438A2" w:rsidRPr="00112D14" w:rsidRDefault="003438A2" w:rsidP="00112D14">
      <w:pPr>
        <w:pStyle w:val="EndNoteBibliography"/>
        <w:spacing w:after="0"/>
      </w:pPr>
      <w:bookmarkStart w:id="1303" w:name="_ENREF_737"/>
      <w:r w:rsidRPr="00112D14">
        <w:t xml:space="preserve">-- -- 2007a, </w:t>
      </w:r>
      <w:r w:rsidRPr="00112D14">
        <w:rPr>
          <w:i/>
        </w:rPr>
        <w:t>Widely prevalent virus list: Idaho</w:t>
      </w:r>
      <w:r w:rsidRPr="00112D14">
        <w:t>, United States Department of Agriculture, Animal and Plant Health Inspection Service, Plant Protection and Quarantine, Center for Plant Health Science and Technology.</w:t>
      </w:r>
      <w:bookmarkEnd w:id="1303"/>
    </w:p>
    <w:p w14:paraId="476026F4" w14:textId="77777777" w:rsidR="003438A2" w:rsidRPr="00112D14" w:rsidRDefault="003438A2" w:rsidP="00112D14">
      <w:pPr>
        <w:pStyle w:val="EndNoteBibliography"/>
        <w:spacing w:after="0"/>
      </w:pPr>
      <w:bookmarkStart w:id="1304" w:name="_ENREF_738"/>
      <w:r w:rsidRPr="00112D14">
        <w:t xml:space="preserve">-- -- 2007b, </w:t>
      </w:r>
      <w:r w:rsidRPr="00112D14">
        <w:rPr>
          <w:i/>
        </w:rPr>
        <w:t>Widely prevalent virus list: Oregon</w:t>
      </w:r>
      <w:r w:rsidRPr="00112D14">
        <w:t>, United States Department of Agriculture, Animal and Plant Health Inspection Service, Plant Protection and Quarantine, Center for Plant Health Science and Technology.</w:t>
      </w:r>
      <w:bookmarkEnd w:id="1304"/>
    </w:p>
    <w:p w14:paraId="4EC3466A" w14:textId="77777777" w:rsidR="003438A2" w:rsidRPr="00112D14" w:rsidRDefault="003438A2" w:rsidP="00112D14">
      <w:pPr>
        <w:pStyle w:val="EndNoteBibliography"/>
        <w:spacing w:after="0"/>
      </w:pPr>
      <w:bookmarkStart w:id="1305" w:name="_ENREF_739"/>
      <w:r w:rsidRPr="00112D14">
        <w:t xml:space="preserve">-- -- 2007c, </w:t>
      </w:r>
      <w:r w:rsidRPr="00112D14">
        <w:rPr>
          <w:i/>
        </w:rPr>
        <w:t>Widely prevalent virus list: Washington</w:t>
      </w:r>
      <w:r w:rsidRPr="00112D14">
        <w:t>, United States Department of Agriculture, Animal and Plant Health Inspection Service, Plant Protection and Quarantine, Center for Plant Health Science and Technology.</w:t>
      </w:r>
      <w:bookmarkEnd w:id="1305"/>
    </w:p>
    <w:p w14:paraId="3471404D" w14:textId="77777777" w:rsidR="003438A2" w:rsidRPr="00112D14" w:rsidRDefault="003438A2" w:rsidP="00112D14">
      <w:pPr>
        <w:pStyle w:val="EndNoteBibliography"/>
        <w:spacing w:after="0"/>
      </w:pPr>
      <w:bookmarkStart w:id="1306" w:name="_ENREF_740"/>
      <w:r w:rsidRPr="00112D14">
        <w:t xml:space="preserve">-- -- 2009, </w:t>
      </w:r>
      <w:r w:rsidRPr="00112D14">
        <w:rPr>
          <w:i/>
        </w:rPr>
        <w:t>USDA APHIS comments on Biosecurity Australia's (BA) preliminary pest categorization for U.S. apples from the Pacific Northwest (PNW) States</w:t>
      </w:r>
      <w:r w:rsidRPr="00112D14">
        <w:t>, United States Department of Agriculture, Riverdale, MD.</w:t>
      </w:r>
      <w:bookmarkEnd w:id="1306"/>
    </w:p>
    <w:p w14:paraId="77BCA41C" w14:textId="77777777" w:rsidR="003438A2" w:rsidRPr="00112D14" w:rsidRDefault="003438A2" w:rsidP="00112D14">
      <w:pPr>
        <w:pStyle w:val="EndNoteBibliography"/>
        <w:spacing w:after="0"/>
      </w:pPr>
      <w:bookmarkStart w:id="1307" w:name="_ENREF_741"/>
      <w:r w:rsidRPr="00112D14">
        <w:t xml:space="preserve">-- -- 2019, </w:t>
      </w:r>
      <w:r w:rsidRPr="00112D14">
        <w:rPr>
          <w:i/>
        </w:rPr>
        <w:t>Code of Federal Regulations, Title 7 - Agriculture, Part 301—Domestic Quarantine Notices</w:t>
      </w:r>
      <w:r w:rsidRPr="00112D14">
        <w:t>, United States Department of Agriculture, Animal and Plant Health Inspection Service (USDA-APHIS).</w:t>
      </w:r>
      <w:bookmarkEnd w:id="1307"/>
    </w:p>
    <w:p w14:paraId="1AF0B3B8" w14:textId="77777777" w:rsidR="003438A2" w:rsidRPr="00112D14" w:rsidRDefault="003438A2" w:rsidP="00112D14">
      <w:pPr>
        <w:pStyle w:val="EndNoteBibliography"/>
        <w:spacing w:after="0"/>
      </w:pPr>
      <w:bookmarkStart w:id="1308" w:name="_ENREF_742"/>
      <w:r w:rsidRPr="00112D14">
        <w:t xml:space="preserve">USDA-NASS 2006, </w:t>
      </w:r>
      <w:r w:rsidRPr="00112D14">
        <w:rPr>
          <w:i/>
        </w:rPr>
        <w:t>Washington fruit survey 2006</w:t>
      </w:r>
      <w:r w:rsidRPr="00112D14">
        <w:t>, National Agricultural Statistics Service, United States Department of Agriculture, Washington D.C.</w:t>
      </w:r>
      <w:bookmarkEnd w:id="1308"/>
    </w:p>
    <w:p w14:paraId="1F2B62E7" w14:textId="77777777" w:rsidR="003438A2" w:rsidRPr="00112D14" w:rsidRDefault="003438A2" w:rsidP="00112D14">
      <w:pPr>
        <w:pStyle w:val="EndNoteBibliography"/>
        <w:spacing w:after="0"/>
      </w:pPr>
      <w:bookmarkStart w:id="1309" w:name="_ENREF_743"/>
      <w:r w:rsidRPr="00112D14">
        <w:t xml:space="preserve">-- -- 2017a, </w:t>
      </w:r>
      <w:r w:rsidRPr="00112D14">
        <w:rPr>
          <w:i/>
        </w:rPr>
        <w:t>Agricultural Statistics 2017</w:t>
      </w:r>
      <w:r w:rsidRPr="00112D14">
        <w:t>, United States Department of Agriculture (USDA)-National Agricultural Statistics Service (NASS), United States Government Printing Office Washington, Washington DC.</w:t>
      </w:r>
      <w:bookmarkEnd w:id="1309"/>
    </w:p>
    <w:p w14:paraId="5E7DEF37" w14:textId="1598AD83" w:rsidR="003438A2" w:rsidRPr="00112D14" w:rsidRDefault="003438A2" w:rsidP="00112D14">
      <w:pPr>
        <w:pStyle w:val="EndNoteBibliography"/>
        <w:spacing w:after="0"/>
      </w:pPr>
      <w:bookmarkStart w:id="1310" w:name="_ENREF_744"/>
      <w:r w:rsidRPr="00112D14">
        <w:t xml:space="preserve">-- -- 2017b, </w:t>
      </w:r>
      <w:r w:rsidRPr="00112D14">
        <w:rPr>
          <w:i/>
        </w:rPr>
        <w:t>Washington Tree Fruit Acreage Report, 2017</w:t>
      </w:r>
      <w:r w:rsidRPr="00112D14">
        <w:t>, United States Department of Agriculture (USDA)- National Agricultural Statistics Service (NASS), Olympia, Washington, available at</w:t>
      </w:r>
      <w:r w:rsidR="00406EF5">
        <w:t>,</w:t>
      </w:r>
      <w:r w:rsidRPr="00112D14">
        <w:t xml:space="preserve"> </w:t>
      </w:r>
      <w:hyperlink r:id="rId293" w:history="1">
        <w:r w:rsidR="00A4017A" w:rsidRPr="009E4A79">
          <w:rPr>
            <w:rStyle w:val="Hyperlink"/>
          </w:rPr>
          <w:t>https://www.nass.usda.gov/Statistics_by_State/</w:t>
        </w:r>
      </w:hyperlink>
      <w:r w:rsidRPr="00112D14">
        <w:t>.</w:t>
      </w:r>
      <w:bookmarkEnd w:id="1310"/>
    </w:p>
    <w:p w14:paraId="204EECC5" w14:textId="52B2ACD3" w:rsidR="003438A2" w:rsidRPr="00112D14" w:rsidRDefault="003438A2" w:rsidP="00112D14">
      <w:pPr>
        <w:pStyle w:val="EndNoteBibliography"/>
        <w:spacing w:after="0"/>
      </w:pPr>
      <w:bookmarkStart w:id="1311" w:name="_ENREF_745"/>
      <w:r w:rsidRPr="00112D14">
        <w:t>-- -- 2020, ‘Quick Stats’, United States Department of Agriculture (USDA)-National Agricultural Statistics Service (NASS), Washington DC, available at</w:t>
      </w:r>
      <w:r w:rsidR="00903A9A">
        <w:t>,</w:t>
      </w:r>
      <w:r w:rsidRPr="00112D14">
        <w:t xml:space="preserve"> </w:t>
      </w:r>
      <w:hyperlink r:id="rId294" w:history="1">
        <w:r w:rsidR="00A4017A" w:rsidRPr="009E4A79">
          <w:rPr>
            <w:rStyle w:val="Hyperlink"/>
          </w:rPr>
          <w:t>https://quickstats.nass.usda.gov/</w:t>
        </w:r>
      </w:hyperlink>
      <w:r w:rsidRPr="00112D14">
        <w:t>, accessed 2020.</w:t>
      </w:r>
      <w:bookmarkEnd w:id="1311"/>
    </w:p>
    <w:p w14:paraId="0EDE089A" w14:textId="77777777" w:rsidR="003438A2" w:rsidRPr="00112D14" w:rsidRDefault="003438A2" w:rsidP="00112D14">
      <w:pPr>
        <w:pStyle w:val="EndNoteBibliography"/>
        <w:spacing w:after="0"/>
      </w:pPr>
      <w:bookmarkStart w:id="1312" w:name="_ENREF_746"/>
      <w:r w:rsidRPr="00112D14">
        <w:t xml:space="preserve">USDA 1960, </w:t>
      </w:r>
      <w:r w:rsidRPr="00112D14">
        <w:rPr>
          <w:i/>
        </w:rPr>
        <w:t>Agriculture Handbook No. 165: index of plant diseases in the United States</w:t>
      </w:r>
      <w:r w:rsidRPr="00112D14">
        <w:t>, United States Department of Agriculture, Washington, D.C.</w:t>
      </w:r>
      <w:bookmarkEnd w:id="1312"/>
    </w:p>
    <w:p w14:paraId="76FCB6E9" w14:textId="2B9CF684" w:rsidR="003438A2" w:rsidRPr="00112D14" w:rsidRDefault="003438A2" w:rsidP="00112D14">
      <w:pPr>
        <w:pStyle w:val="EndNoteBibliography"/>
        <w:spacing w:after="0"/>
      </w:pPr>
      <w:bookmarkStart w:id="1313" w:name="_ENREF_747"/>
      <w:r w:rsidRPr="00112D14">
        <w:t xml:space="preserve">-- -- 2009, </w:t>
      </w:r>
      <w:r w:rsidRPr="00112D14">
        <w:rPr>
          <w:i/>
        </w:rPr>
        <w:t>U.S. specialty crops trade issues: 2008 annual report to congress</w:t>
      </w:r>
      <w:r w:rsidRPr="00112D14">
        <w:t>, Foreign Agricultural Service, United States Department of Agriculture, available at</w:t>
      </w:r>
      <w:r w:rsidR="00903A9A">
        <w:t>,</w:t>
      </w:r>
      <w:r w:rsidRPr="00112D14">
        <w:t xml:space="preserve"> </w:t>
      </w:r>
      <w:hyperlink r:id="rId295" w:history="1">
        <w:r w:rsidR="00A4017A" w:rsidRPr="009E4A79">
          <w:rPr>
            <w:rStyle w:val="Hyperlink"/>
          </w:rPr>
          <w:t>https://www.fas.usda.gov/sites/default/files/011609specialtycrops.pdf</w:t>
        </w:r>
      </w:hyperlink>
      <w:r w:rsidRPr="00112D14">
        <w:t xml:space="preserve"> (pdf 134 kb).</w:t>
      </w:r>
      <w:bookmarkEnd w:id="1313"/>
    </w:p>
    <w:p w14:paraId="580206F9" w14:textId="77777777" w:rsidR="003438A2" w:rsidRPr="00112D14" w:rsidRDefault="003438A2" w:rsidP="00112D14">
      <w:pPr>
        <w:pStyle w:val="EndNoteBibliography"/>
        <w:spacing w:after="0"/>
      </w:pPr>
      <w:bookmarkStart w:id="1314" w:name="_ENREF_748"/>
      <w:r w:rsidRPr="00112D14">
        <w:t xml:space="preserve">-- -- 2010, ‘Submission to the draft risk analysis report for </w:t>
      </w:r>
      <w:r w:rsidRPr="00112D14">
        <w:rPr>
          <w:i/>
        </w:rPr>
        <w:t>Drosophila suzukii</w:t>
      </w:r>
      <w:r w:rsidRPr="00112D14">
        <w:t>’.</w:t>
      </w:r>
      <w:bookmarkEnd w:id="1314"/>
    </w:p>
    <w:p w14:paraId="60D261E3" w14:textId="77777777" w:rsidR="003438A2" w:rsidRPr="00112D14" w:rsidRDefault="003438A2" w:rsidP="00112D14">
      <w:pPr>
        <w:pStyle w:val="EndNoteBibliography"/>
        <w:spacing w:after="0"/>
      </w:pPr>
      <w:bookmarkStart w:id="1315" w:name="_ENREF_749"/>
      <w:r w:rsidRPr="00112D14">
        <w:t xml:space="preserve">-- -- 2016, </w:t>
      </w:r>
      <w:r w:rsidRPr="00112D14">
        <w:rPr>
          <w:i/>
        </w:rPr>
        <w:t>The commercial storage of fruits, vegetables, and florist and nursery stocks</w:t>
      </w:r>
      <w:r w:rsidRPr="00112D14">
        <w:t>, Agriculture Handbook Number 66, Agricultural Research Service, Washington, DC.</w:t>
      </w:r>
      <w:bookmarkEnd w:id="1315"/>
    </w:p>
    <w:p w14:paraId="02021CBB" w14:textId="33619D55" w:rsidR="003438A2" w:rsidRPr="00112D14" w:rsidRDefault="003438A2" w:rsidP="00112D14">
      <w:pPr>
        <w:pStyle w:val="EndNoteBibliography"/>
        <w:spacing w:after="0"/>
      </w:pPr>
      <w:bookmarkStart w:id="1316" w:name="_ENREF_750"/>
      <w:r w:rsidRPr="00112D14">
        <w:t xml:space="preserve">-- -- 2019, </w:t>
      </w:r>
      <w:r w:rsidRPr="00112D14">
        <w:rPr>
          <w:i/>
        </w:rPr>
        <w:t>United states standards for grades of apples</w:t>
      </w:r>
      <w:r w:rsidRPr="00112D14">
        <w:t>, USDA, 84 FR 51939, United States Department of Agriculture, available at</w:t>
      </w:r>
      <w:r w:rsidR="00017D32">
        <w:t>,</w:t>
      </w:r>
      <w:r w:rsidRPr="00112D14">
        <w:t xml:space="preserve"> </w:t>
      </w:r>
      <w:hyperlink r:id="rId296" w:history="1">
        <w:r w:rsidR="00E457C2" w:rsidRPr="009E4A79">
          <w:rPr>
            <w:rStyle w:val="Hyperlink"/>
          </w:rPr>
          <w:t>https://www.ams.usda.gov/sites/default/files/media/Apple_Standards.pdf</w:t>
        </w:r>
      </w:hyperlink>
      <w:r w:rsidRPr="00112D14">
        <w:t xml:space="preserve"> (pdf 156 kb).</w:t>
      </w:r>
      <w:bookmarkEnd w:id="1316"/>
    </w:p>
    <w:p w14:paraId="185B5BCD" w14:textId="6DF0E490" w:rsidR="00E457C2" w:rsidRDefault="003438A2" w:rsidP="00903A9A">
      <w:pPr>
        <w:pStyle w:val="EndNoteBibliography"/>
        <w:spacing w:before="0" w:after="0"/>
      </w:pPr>
      <w:bookmarkStart w:id="1317" w:name="_ENREF_751"/>
      <w:r w:rsidRPr="00112D14">
        <w:t xml:space="preserve">-- -- 2020, </w:t>
      </w:r>
      <w:r w:rsidRPr="00112D14">
        <w:rPr>
          <w:i/>
        </w:rPr>
        <w:t>Fresh Apples, Grapes, and Pears: World Markets and Trade</w:t>
      </w:r>
      <w:r w:rsidRPr="00112D14">
        <w:t>, United States Department of Agriculture (USDA), USA, available at</w:t>
      </w:r>
      <w:r w:rsidR="001A4702">
        <w:t>,</w:t>
      </w:r>
      <w:r w:rsidRPr="00112D14">
        <w:t xml:space="preserve"> </w:t>
      </w:r>
      <w:hyperlink r:id="rId297" w:history="1">
        <w:r w:rsidR="00E457C2" w:rsidRPr="009E4A79">
          <w:rPr>
            <w:rStyle w:val="Hyperlink"/>
          </w:rPr>
          <w:t>https://apps.fas.usda.gov/psdonline/circulars/fruit.pdf</w:t>
        </w:r>
      </w:hyperlink>
    </w:p>
    <w:p w14:paraId="2614EE8D" w14:textId="240CC12B" w:rsidR="003438A2" w:rsidRPr="00112D14" w:rsidRDefault="003438A2" w:rsidP="00903A9A">
      <w:pPr>
        <w:pStyle w:val="EndNoteBibliography"/>
        <w:spacing w:before="0" w:after="0"/>
      </w:pPr>
      <w:r w:rsidRPr="00112D14">
        <w:t>(pdf 317 kb).</w:t>
      </w:r>
      <w:bookmarkEnd w:id="1317"/>
    </w:p>
    <w:p w14:paraId="0C106F0B" w14:textId="77777777" w:rsidR="003438A2" w:rsidRPr="00112D14" w:rsidRDefault="003438A2" w:rsidP="00112D14">
      <w:pPr>
        <w:pStyle w:val="EndNoteBibliography"/>
        <w:spacing w:after="0"/>
      </w:pPr>
      <w:bookmarkStart w:id="1318" w:name="_ENREF_752"/>
      <w:r w:rsidRPr="00112D14">
        <w:t xml:space="preserve">USDA NASS 2017, </w:t>
      </w:r>
      <w:r w:rsidRPr="00112D14">
        <w:rPr>
          <w:i/>
        </w:rPr>
        <w:t>USDA-NASS-Idaho apple production areas</w:t>
      </w:r>
      <w:r w:rsidRPr="00112D14">
        <w:t>, United States Department of Agriculture National Agricultural Statistics Service, Idaho.</w:t>
      </w:r>
      <w:bookmarkEnd w:id="1318"/>
    </w:p>
    <w:p w14:paraId="6D80BEFA" w14:textId="77777777" w:rsidR="003438A2" w:rsidRPr="00112D14" w:rsidRDefault="003438A2" w:rsidP="00112D14">
      <w:pPr>
        <w:pStyle w:val="EndNoteBibliography"/>
        <w:spacing w:after="0"/>
      </w:pPr>
      <w:bookmarkStart w:id="1319" w:name="_ENREF_753"/>
      <w:r w:rsidRPr="00112D14">
        <w:t xml:space="preserve">-- -- 2019a, </w:t>
      </w:r>
      <w:r w:rsidRPr="00112D14">
        <w:rPr>
          <w:i/>
        </w:rPr>
        <w:t>USDA NASS Oregon apple production areas</w:t>
      </w:r>
      <w:r w:rsidRPr="00112D14">
        <w:t>, United States Department of Agriculture National Agricultural Statistics Service, Oregon.</w:t>
      </w:r>
      <w:bookmarkEnd w:id="1319"/>
    </w:p>
    <w:p w14:paraId="7F2B6FAF" w14:textId="77777777" w:rsidR="003438A2" w:rsidRPr="00112D14" w:rsidRDefault="003438A2" w:rsidP="00112D14">
      <w:pPr>
        <w:pStyle w:val="EndNoteBibliography"/>
        <w:spacing w:after="0"/>
      </w:pPr>
      <w:bookmarkStart w:id="1320" w:name="_ENREF_754"/>
      <w:r w:rsidRPr="00112D14">
        <w:t xml:space="preserve">-- -- 2019b, </w:t>
      </w:r>
      <w:r w:rsidRPr="00112D14">
        <w:rPr>
          <w:i/>
        </w:rPr>
        <w:t>USDA NASS WA apple production areas</w:t>
      </w:r>
      <w:r w:rsidRPr="00112D14">
        <w:t>, United States Department of Agriculture National Agricultural Statistics Service, Washington State.</w:t>
      </w:r>
      <w:bookmarkEnd w:id="1320"/>
    </w:p>
    <w:p w14:paraId="406877F2" w14:textId="77777777" w:rsidR="003438A2" w:rsidRPr="00112D14" w:rsidRDefault="003438A2" w:rsidP="00112D14">
      <w:pPr>
        <w:pStyle w:val="EndNoteBibliography"/>
        <w:spacing w:after="0"/>
      </w:pPr>
      <w:bookmarkStart w:id="1321" w:name="_ENREF_755"/>
      <w:r w:rsidRPr="00112D14">
        <w:t>Uyemoto, JK 1981, ‘</w:t>
      </w:r>
      <w:r w:rsidRPr="00112D14">
        <w:rPr>
          <w:i/>
        </w:rPr>
        <w:t xml:space="preserve">Tobacco necrosis </w:t>
      </w:r>
      <w:r w:rsidRPr="00112D14">
        <w:t xml:space="preserve">and </w:t>
      </w:r>
      <w:r w:rsidRPr="00112D14">
        <w:rPr>
          <w:i/>
        </w:rPr>
        <w:t>satellite viruses</w:t>
      </w:r>
      <w:r w:rsidRPr="00112D14">
        <w:t xml:space="preserve">’, in </w:t>
      </w:r>
      <w:r w:rsidRPr="00112D14">
        <w:rPr>
          <w:i/>
        </w:rPr>
        <w:t>Handbook of plant virus infections and comparative diagnosis</w:t>
      </w:r>
      <w:r w:rsidRPr="00112D14">
        <w:t>, Kurstak, E (ed), Elsevier North-Holland Biomedical Press, Amsterdam.</w:t>
      </w:r>
      <w:bookmarkEnd w:id="1321"/>
    </w:p>
    <w:p w14:paraId="02CE63FF" w14:textId="77777777" w:rsidR="003438A2" w:rsidRPr="00112D14" w:rsidRDefault="003438A2" w:rsidP="00112D14">
      <w:pPr>
        <w:pStyle w:val="EndNoteBibliography"/>
        <w:spacing w:after="0"/>
      </w:pPr>
      <w:bookmarkStart w:id="1322" w:name="_ENREF_756"/>
      <w:r w:rsidRPr="00112D14">
        <w:t xml:space="preserve">Uyemoto, JK &amp; Gilmer, RM 1972, ‘Properties of </w:t>
      </w:r>
      <w:r w:rsidRPr="00112D14">
        <w:rPr>
          <w:i/>
        </w:rPr>
        <w:t>Tobacco necrosis virus</w:t>
      </w:r>
      <w:r w:rsidRPr="00112D14">
        <w:t xml:space="preserve"> strains isolated from apple’, </w:t>
      </w:r>
      <w:r w:rsidRPr="00112D14">
        <w:rPr>
          <w:i/>
        </w:rPr>
        <w:t>Phytopathology</w:t>
      </w:r>
      <w:r w:rsidRPr="00112D14">
        <w:t>, vol. 62, pp. 478-81.</w:t>
      </w:r>
      <w:bookmarkEnd w:id="1322"/>
    </w:p>
    <w:p w14:paraId="42DEE263" w14:textId="77777777" w:rsidR="003438A2" w:rsidRPr="00112D14" w:rsidRDefault="003438A2" w:rsidP="00112D14">
      <w:pPr>
        <w:pStyle w:val="EndNoteBibliography"/>
        <w:spacing w:after="0"/>
      </w:pPr>
      <w:bookmarkStart w:id="1323" w:name="_ENREF_757"/>
      <w:r w:rsidRPr="00112D14">
        <w:t xml:space="preserve">Vacante, V 2015, ‘The family Tetranychidae Donnadieu’, in </w:t>
      </w:r>
      <w:r w:rsidRPr="00112D14">
        <w:rPr>
          <w:i/>
        </w:rPr>
        <w:t>The handbook of mites of economic plants: identification, bio-ecology and control</w:t>
      </w:r>
      <w:r w:rsidRPr="00112D14">
        <w:t>, Vacanta, V (ed), CABI, Italy.</w:t>
      </w:r>
      <w:bookmarkEnd w:id="1323"/>
    </w:p>
    <w:p w14:paraId="7B9FC502" w14:textId="77777777" w:rsidR="003438A2" w:rsidRPr="00112D14" w:rsidRDefault="003438A2" w:rsidP="00112D14">
      <w:pPr>
        <w:pStyle w:val="EndNoteBibliography"/>
        <w:spacing w:after="0"/>
      </w:pPr>
      <w:bookmarkStart w:id="1324" w:name="_ENREF_758"/>
      <w:r w:rsidRPr="00112D14">
        <w:t xml:space="preserve">-- -- 2016, </w:t>
      </w:r>
      <w:r w:rsidRPr="00112D14">
        <w:rPr>
          <w:i/>
        </w:rPr>
        <w:t>The handbook of mites of economic plants: identification, bio-ecology and control</w:t>
      </w:r>
      <w:r w:rsidRPr="00112D14">
        <w:t>, 1st edn, CABI, Croydon, UK.</w:t>
      </w:r>
      <w:bookmarkEnd w:id="1324"/>
    </w:p>
    <w:p w14:paraId="3B55D4CA" w14:textId="77777777" w:rsidR="003438A2" w:rsidRPr="00112D14" w:rsidRDefault="003438A2" w:rsidP="00112D14">
      <w:pPr>
        <w:pStyle w:val="EndNoteBibliography"/>
        <w:spacing w:after="0"/>
      </w:pPr>
      <w:bookmarkStart w:id="1325" w:name="_ENREF_759"/>
      <w:r w:rsidRPr="00112D14">
        <w:t xml:space="preserve">Van de Vrie, M 1985, ‘Apple’, in </w:t>
      </w:r>
      <w:r w:rsidRPr="00112D14">
        <w:rPr>
          <w:i/>
        </w:rPr>
        <w:t>Spider mites: their biology, natural enemies and control. Vol. 1B</w:t>
      </w:r>
      <w:r w:rsidRPr="00112D14">
        <w:t>, Helle, W &amp; Sabelis, MW (eds), Elsevier Science Publishers B.V., Amsterdam.</w:t>
      </w:r>
      <w:bookmarkEnd w:id="1325"/>
    </w:p>
    <w:p w14:paraId="66D114FC" w14:textId="57E60B5F" w:rsidR="003438A2" w:rsidRPr="00112D14" w:rsidRDefault="003438A2" w:rsidP="00112D14">
      <w:pPr>
        <w:pStyle w:val="EndNoteBibliography"/>
        <w:spacing w:after="0"/>
      </w:pPr>
      <w:bookmarkStart w:id="1326" w:name="_ENREF_760"/>
      <w:r w:rsidRPr="00112D14">
        <w:t xml:space="preserve">Van der Zwet, T, Brown, EW &amp; Wells, JM 1991, ‘Evaluation of calyx tissues of several apple cultivars for the presence of </w:t>
      </w:r>
      <w:r w:rsidRPr="00112D14">
        <w:rPr>
          <w:i/>
        </w:rPr>
        <w:t>Erwinia amylovora</w:t>
      </w:r>
      <w:r w:rsidRPr="00112D14">
        <w:t xml:space="preserve">’, </w:t>
      </w:r>
      <w:r w:rsidRPr="00112D14">
        <w:rPr>
          <w:i/>
        </w:rPr>
        <w:t>Phytopathology</w:t>
      </w:r>
      <w:r w:rsidRPr="00112D14">
        <w:t>, vol. 81, pp. 1194-</w:t>
      </w:r>
      <w:r w:rsidR="00E457C2">
        <w:t>5</w:t>
      </w:r>
      <w:r w:rsidRPr="00112D14">
        <w:t>. (Abstract only)</w:t>
      </w:r>
      <w:bookmarkEnd w:id="1326"/>
      <w:r w:rsidR="00C77AE1">
        <w:t>.</w:t>
      </w:r>
    </w:p>
    <w:p w14:paraId="7E1EEBF3" w14:textId="77777777" w:rsidR="003438A2" w:rsidRPr="00112D14" w:rsidRDefault="003438A2" w:rsidP="00112D14">
      <w:pPr>
        <w:pStyle w:val="EndNoteBibliography"/>
        <w:spacing w:after="0"/>
      </w:pPr>
      <w:bookmarkStart w:id="1327" w:name="_ENREF_761"/>
      <w:r w:rsidRPr="00112D14">
        <w:t xml:space="preserve">Van der Zwet, T &amp; Keil, HL 1979, </w:t>
      </w:r>
      <w:r w:rsidRPr="00112D14">
        <w:rPr>
          <w:i/>
        </w:rPr>
        <w:t>Fire blight: a bacterial disease of rosaceous plants</w:t>
      </w:r>
      <w:r w:rsidRPr="00112D14">
        <w:t>, Fruit Laboratory, Beltsville Agriculture Research Center, Maryland.</w:t>
      </w:r>
      <w:bookmarkEnd w:id="1327"/>
    </w:p>
    <w:p w14:paraId="034EB268" w14:textId="77777777" w:rsidR="003438A2" w:rsidRPr="00112D14" w:rsidRDefault="003438A2" w:rsidP="00112D14">
      <w:pPr>
        <w:pStyle w:val="EndNoteBibliography"/>
        <w:spacing w:after="0"/>
      </w:pPr>
      <w:bookmarkStart w:id="1328" w:name="_ENREF_762"/>
      <w:r w:rsidRPr="00112D14">
        <w:t xml:space="preserve">Van der Zwet, T, Thomson, SV, Covey, RP, Jr &amp; Bonn, WG 1990, ‘Population of </w:t>
      </w:r>
      <w:r w:rsidRPr="00112D14">
        <w:rPr>
          <w:i/>
        </w:rPr>
        <w:t>Erwinia amylovora</w:t>
      </w:r>
      <w:r w:rsidRPr="00112D14">
        <w:t xml:space="preserve"> on external and internal apple fruit tissues’, </w:t>
      </w:r>
      <w:r w:rsidRPr="00112D14">
        <w:rPr>
          <w:i/>
        </w:rPr>
        <w:t>Plant Disease</w:t>
      </w:r>
      <w:r w:rsidRPr="00112D14">
        <w:t>, vol. 74, no. 9, pp. 711-6.</w:t>
      </w:r>
      <w:bookmarkEnd w:id="1328"/>
    </w:p>
    <w:p w14:paraId="7D1EED42" w14:textId="3DC717AA" w:rsidR="003438A2" w:rsidRPr="00112D14" w:rsidRDefault="003438A2" w:rsidP="00112D14">
      <w:pPr>
        <w:pStyle w:val="EndNoteBibliography"/>
        <w:spacing w:after="0"/>
      </w:pPr>
      <w:bookmarkStart w:id="1329" w:name="_ENREF_763"/>
      <w:r>
        <w:t>V</w:t>
      </w:r>
      <w:r w:rsidRPr="00112D14">
        <w:t xml:space="preserve">an Klinken, RD, Fiedler, K, Kingham, L, Collins, K &amp; Barbour, D 2020, ‘A risk framework for using systems approaches to manage horticultural biosecurity risks for market access’, </w:t>
      </w:r>
      <w:r w:rsidRPr="00112D14">
        <w:rPr>
          <w:i/>
        </w:rPr>
        <w:t>Crop Protection</w:t>
      </w:r>
      <w:r w:rsidRPr="00112D14">
        <w:t>, vol. 129, 104994,</w:t>
      </w:r>
      <w:r w:rsidR="00A331BF">
        <w:t xml:space="preserve"> available at,</w:t>
      </w:r>
      <w:r w:rsidRPr="00112D14">
        <w:t xml:space="preserve"> </w:t>
      </w:r>
      <w:hyperlink r:id="rId298" w:history="1">
        <w:r w:rsidR="00E457C2" w:rsidRPr="009E4A79">
          <w:rPr>
            <w:rStyle w:val="Hyperlink"/>
          </w:rPr>
          <w:t>https://doi.org/10.1016/j.cropro.2019.104994</w:t>
        </w:r>
      </w:hyperlink>
      <w:r w:rsidRPr="00112D14">
        <w:t>.</w:t>
      </w:r>
      <w:bookmarkEnd w:id="1329"/>
    </w:p>
    <w:p w14:paraId="26810700" w14:textId="19E3B352" w:rsidR="003438A2" w:rsidRPr="00112D14" w:rsidRDefault="003438A2" w:rsidP="00112D14">
      <w:pPr>
        <w:pStyle w:val="EndNoteBibliography"/>
        <w:spacing w:after="0"/>
      </w:pPr>
      <w:bookmarkStart w:id="1330" w:name="_ENREF_764"/>
      <w:r w:rsidRPr="00112D14">
        <w:t xml:space="preserve">Van Steenwyk, RA, Daane, KM &amp; Grant, JA 2006, </w:t>
      </w:r>
      <w:r w:rsidRPr="00112D14">
        <w:rPr>
          <w:i/>
        </w:rPr>
        <w:t>Cherry leafhopper: Fieberiella florii</w:t>
      </w:r>
      <w:r w:rsidRPr="00112D14">
        <w:t>, UC IPM Online: Statewide integrated pest management program, University of California, Agriculture and Natural Resources, available at</w:t>
      </w:r>
      <w:r w:rsidR="00A331BF">
        <w:t>,</w:t>
      </w:r>
      <w:r w:rsidRPr="00112D14">
        <w:t xml:space="preserve"> </w:t>
      </w:r>
      <w:hyperlink r:id="rId299" w:history="1">
        <w:r w:rsidR="00E457C2" w:rsidRPr="009E4A79">
          <w:rPr>
            <w:rStyle w:val="Hyperlink"/>
          </w:rPr>
          <w:t>http://www.ipm.ucdavis.edu/PMG/r105301811.html</w:t>
        </w:r>
      </w:hyperlink>
      <w:r w:rsidRPr="00112D14">
        <w:t>.</w:t>
      </w:r>
      <w:bookmarkEnd w:id="1330"/>
    </w:p>
    <w:p w14:paraId="3EF64585" w14:textId="77777777" w:rsidR="003438A2" w:rsidRPr="00112D14" w:rsidRDefault="003438A2" w:rsidP="00112D14">
      <w:pPr>
        <w:pStyle w:val="EndNoteBibliography"/>
        <w:spacing w:after="0"/>
      </w:pPr>
      <w:bookmarkStart w:id="1331" w:name="_ENREF_765"/>
      <w:r w:rsidRPr="00112D14">
        <w:t>Vanneste, JL 2000, ‘What is fire blight? Who is E</w:t>
      </w:r>
      <w:r w:rsidRPr="00112D14">
        <w:rPr>
          <w:i/>
        </w:rPr>
        <w:t>rwinia amylovora</w:t>
      </w:r>
      <w:r w:rsidRPr="00112D14">
        <w:t xml:space="preserve">? How to control it?’, in </w:t>
      </w:r>
      <w:r w:rsidRPr="00112D14">
        <w:rPr>
          <w:i/>
        </w:rPr>
        <w:t>Fire blight: the disease and its causative agent, Erwinia amylovora</w:t>
      </w:r>
      <w:r w:rsidRPr="00112D14">
        <w:t>, Vanneste, JL (ed), CAB International, Wallingford.</w:t>
      </w:r>
      <w:bookmarkEnd w:id="1331"/>
    </w:p>
    <w:p w14:paraId="08D5D3D7" w14:textId="77777777" w:rsidR="003438A2" w:rsidRPr="00112D14" w:rsidRDefault="003438A2" w:rsidP="00112D14">
      <w:pPr>
        <w:pStyle w:val="EndNoteBibliography"/>
        <w:spacing w:after="0"/>
      </w:pPr>
      <w:bookmarkStart w:id="1332" w:name="_ENREF_766"/>
      <w:r w:rsidRPr="00112D14">
        <w:t xml:space="preserve">Varela, LG, Shearer, PW, Jones, VP, Riedl, H &amp; Welter, SC 1997, ‘Monitoring of insecticide resistance in </w:t>
      </w:r>
      <w:r w:rsidRPr="00112D14">
        <w:rPr>
          <w:i/>
        </w:rPr>
        <w:t>Phyllonorycter mespilella</w:t>
      </w:r>
      <w:r w:rsidRPr="00112D14">
        <w:t xml:space="preserve"> (Lepidoptera: Gracillariidae) in four Western states’, </w:t>
      </w:r>
      <w:r w:rsidRPr="00112D14">
        <w:rPr>
          <w:i/>
        </w:rPr>
        <w:t>Journal of Economic Entomology</w:t>
      </w:r>
      <w:r w:rsidRPr="00112D14">
        <w:t>, vol. 90, no. 2, pp. 252-60.</w:t>
      </w:r>
      <w:bookmarkEnd w:id="1332"/>
    </w:p>
    <w:p w14:paraId="0E2C8E63" w14:textId="77777777" w:rsidR="003438A2" w:rsidRPr="00112D14" w:rsidRDefault="003438A2" w:rsidP="00112D14">
      <w:pPr>
        <w:pStyle w:val="EndNoteBibliography"/>
        <w:spacing w:after="0"/>
      </w:pPr>
      <w:bookmarkStart w:id="1333" w:name="_ENREF_767"/>
      <w:r w:rsidRPr="00112D14">
        <w:t xml:space="preserve">Veerman, A 1985, ‘Diapause’, in </w:t>
      </w:r>
      <w:r w:rsidRPr="00112D14">
        <w:rPr>
          <w:i/>
        </w:rPr>
        <w:t>Spider mites: their biology, natural enemies and control. Vol. 1A.</w:t>
      </w:r>
      <w:r w:rsidRPr="00112D14">
        <w:t>, Helle, W &amp; Sabelis, MW (eds), Elsevier Science Publishers B.V., Amsterdam.</w:t>
      </w:r>
      <w:bookmarkEnd w:id="1333"/>
    </w:p>
    <w:p w14:paraId="5E5F370B" w14:textId="77777777" w:rsidR="003438A2" w:rsidRPr="00112D14" w:rsidRDefault="003438A2" w:rsidP="00112D14">
      <w:pPr>
        <w:pStyle w:val="EndNoteBibliography"/>
        <w:spacing w:after="0"/>
      </w:pPr>
      <w:bookmarkStart w:id="1334" w:name="_ENREF_768"/>
      <w:r w:rsidRPr="00112D14">
        <w:t xml:space="preserve">Verkley, GJM 1999, </w:t>
      </w:r>
      <w:r w:rsidRPr="00112D14">
        <w:rPr>
          <w:i/>
        </w:rPr>
        <w:t>A monograph of genus Pezicula and its anamorphs</w:t>
      </w:r>
      <w:r w:rsidRPr="00112D14">
        <w:t>, Centraal bureau voor Schimmelcultures, Royal Netherlands Academy of Arts and Sciences, The Netherlands.</w:t>
      </w:r>
      <w:bookmarkEnd w:id="1334"/>
    </w:p>
    <w:p w14:paraId="05CF7AFD" w14:textId="77777777" w:rsidR="003438A2" w:rsidRPr="00112D14" w:rsidRDefault="003438A2" w:rsidP="00112D14">
      <w:pPr>
        <w:pStyle w:val="EndNoteBibliography"/>
        <w:spacing w:after="0"/>
      </w:pPr>
      <w:bookmarkStart w:id="1335" w:name="_ENREF_769"/>
      <w:r w:rsidRPr="00112D14">
        <w:t xml:space="preserve">Vidović, B, Marinković, S, Marić, I &amp; Petanović, R 2014, ‘Comparative morphological analysis of apple blister mite, </w:t>
      </w:r>
      <w:r w:rsidRPr="00112D14">
        <w:rPr>
          <w:i/>
        </w:rPr>
        <w:t>Eriophyes mali</w:t>
      </w:r>
      <w:r w:rsidRPr="00112D14">
        <w:t xml:space="preserve"> Nal.: a new pest in Serbia’, </w:t>
      </w:r>
      <w:r w:rsidRPr="00112D14">
        <w:rPr>
          <w:i/>
        </w:rPr>
        <w:t>Pesticidi i Fitomedicina</w:t>
      </w:r>
      <w:r w:rsidRPr="00112D14">
        <w:t>, vol. 29, no. 2, pp. 123-30.</w:t>
      </w:r>
      <w:bookmarkEnd w:id="1335"/>
    </w:p>
    <w:p w14:paraId="03ADF529" w14:textId="77777777" w:rsidR="003438A2" w:rsidRPr="00112D14" w:rsidRDefault="003438A2" w:rsidP="00112D14">
      <w:pPr>
        <w:pStyle w:val="EndNoteBibliography"/>
        <w:spacing w:after="0"/>
      </w:pPr>
      <w:bookmarkStart w:id="1336" w:name="_ENREF_770"/>
      <w:r w:rsidRPr="00112D14">
        <w:t xml:space="preserve">Vujanovic, V, St-Arnaud, M &amp; Neumann, P 2000, ‘Susceptibility of cones and seeds to fungal infection in a pine </w:t>
      </w:r>
      <w:r w:rsidRPr="00112D14">
        <w:rPr>
          <w:i/>
        </w:rPr>
        <w:t>(Pinus</w:t>
      </w:r>
      <w:r w:rsidRPr="00112D14">
        <w:t xml:space="preserve"> spp.) collection’, </w:t>
      </w:r>
      <w:r w:rsidRPr="00112D14">
        <w:rPr>
          <w:i/>
        </w:rPr>
        <w:t>Forest Pathology</w:t>
      </w:r>
      <w:r w:rsidRPr="00112D14">
        <w:t>, vol. 30, pp. 305-20.</w:t>
      </w:r>
      <w:bookmarkEnd w:id="1336"/>
    </w:p>
    <w:p w14:paraId="43A2D0AE" w14:textId="77777777" w:rsidR="003438A2" w:rsidRPr="00112D14" w:rsidRDefault="003438A2" w:rsidP="00112D14">
      <w:pPr>
        <w:pStyle w:val="EndNoteBibliography"/>
        <w:spacing w:after="0"/>
      </w:pPr>
      <w:bookmarkStart w:id="1337" w:name="_ENREF_771"/>
      <w:r w:rsidRPr="00112D14">
        <w:t xml:space="preserve">Walia, Y, Dhir, S, Ram, R, Zaidi, AA &amp; Hallan, V 2014, ‘Identification of the herbaceous host range of </w:t>
      </w:r>
      <w:r w:rsidRPr="00112D14">
        <w:rPr>
          <w:i/>
        </w:rPr>
        <w:t>Apple scar skin viroid</w:t>
      </w:r>
      <w:r w:rsidRPr="00112D14">
        <w:t xml:space="preserve"> and analysis of its progeny variants’, </w:t>
      </w:r>
      <w:r w:rsidRPr="00112D14">
        <w:rPr>
          <w:i/>
        </w:rPr>
        <w:t>Plant pathology</w:t>
      </w:r>
      <w:r w:rsidRPr="00112D14">
        <w:t>, vol. 63, no. 3, pp. 684-90.</w:t>
      </w:r>
      <w:bookmarkEnd w:id="1337"/>
    </w:p>
    <w:p w14:paraId="582C722F" w14:textId="77777777" w:rsidR="003438A2" w:rsidRPr="00112D14" w:rsidRDefault="003438A2" w:rsidP="00112D14">
      <w:pPr>
        <w:pStyle w:val="EndNoteBibliography"/>
        <w:spacing w:after="0"/>
      </w:pPr>
      <w:bookmarkStart w:id="1338" w:name="_ENREF_772"/>
      <w:r w:rsidRPr="00112D14">
        <w:t>Walia, Y, Dhir, S, Zaidi, A &amp; Hallan, V 2015, ‘</w:t>
      </w:r>
      <w:r w:rsidRPr="00112D14">
        <w:rPr>
          <w:i/>
        </w:rPr>
        <w:t>Apple scar skin viroid</w:t>
      </w:r>
      <w:r w:rsidRPr="00112D14">
        <w:t xml:space="preserve"> naked RNA is actively transmitted by the whitefly </w:t>
      </w:r>
      <w:r w:rsidRPr="00112D14">
        <w:rPr>
          <w:i/>
        </w:rPr>
        <w:t>Trialeurodes vaporariorum</w:t>
      </w:r>
      <w:r w:rsidRPr="00112D14">
        <w:t xml:space="preserve">’, </w:t>
      </w:r>
      <w:r w:rsidRPr="00112D14">
        <w:rPr>
          <w:i/>
        </w:rPr>
        <w:t>RNA Biology</w:t>
      </w:r>
      <w:r w:rsidRPr="00112D14">
        <w:t>, vol. 12, no. 10, pp. 1131-8.</w:t>
      </w:r>
      <w:bookmarkEnd w:id="1338"/>
    </w:p>
    <w:p w14:paraId="3C256026" w14:textId="77777777" w:rsidR="003438A2" w:rsidRPr="00112D14" w:rsidRDefault="003438A2" w:rsidP="00112D14">
      <w:pPr>
        <w:pStyle w:val="EndNoteBibliography"/>
        <w:spacing w:after="0"/>
      </w:pPr>
      <w:bookmarkStart w:id="1339" w:name="_ENREF_773"/>
      <w:r w:rsidRPr="00112D14">
        <w:t xml:space="preserve">Walker, JTS, Hodson, AJ, Wearing, CH, Bradley, SJ, Shaw, PW, Tomkins, AR, Burnip, GM, Stiefel, H &amp; Batchelor, TA 1997, ‘Integrated fruit production for New Zealand pipfruit: evaluation of pest management in a pilot programme’, </w:t>
      </w:r>
      <w:r w:rsidRPr="00112D14">
        <w:rPr>
          <w:i/>
        </w:rPr>
        <w:t>New Zealand Plant Protection</w:t>
      </w:r>
      <w:r w:rsidRPr="00112D14">
        <w:t>, vol. 50, pp. 258-63.</w:t>
      </w:r>
      <w:bookmarkEnd w:id="1339"/>
    </w:p>
    <w:p w14:paraId="00E65AF0" w14:textId="77777777" w:rsidR="003438A2" w:rsidRPr="00112D14" w:rsidRDefault="003438A2" w:rsidP="00112D14">
      <w:pPr>
        <w:pStyle w:val="EndNoteBibliography"/>
        <w:spacing w:after="0"/>
      </w:pPr>
      <w:bookmarkStart w:id="1340" w:name="_ENREF_774"/>
      <w:r w:rsidRPr="00112D14">
        <w:t xml:space="preserve">Walker, KR 2004, ‘Biological control potential of </w:t>
      </w:r>
      <w:r w:rsidRPr="00112D14">
        <w:rPr>
          <w:i/>
        </w:rPr>
        <w:t>Apanteles aristoteliae</w:t>
      </w:r>
      <w:r w:rsidRPr="00112D14">
        <w:t xml:space="preserve"> (Hymenopters: Braconidae) on populations of </w:t>
      </w:r>
      <w:r w:rsidRPr="00112D14">
        <w:rPr>
          <w:i/>
        </w:rPr>
        <w:t xml:space="preserve">Argyrotaenia citrana </w:t>
      </w:r>
      <w:r w:rsidRPr="00112D14">
        <w:t xml:space="preserve">(Lepidoptera: Tortricidae) in California apple orchards’, </w:t>
      </w:r>
      <w:r w:rsidRPr="00112D14">
        <w:rPr>
          <w:i/>
        </w:rPr>
        <w:t>Environmental Entomology</w:t>
      </w:r>
      <w:r w:rsidRPr="00112D14">
        <w:t>, vol. 33, no. 5, pp. 1327-34.</w:t>
      </w:r>
      <w:bookmarkEnd w:id="1340"/>
    </w:p>
    <w:p w14:paraId="203B6775" w14:textId="77777777" w:rsidR="003438A2" w:rsidRPr="00112D14" w:rsidRDefault="003438A2" w:rsidP="00112D14">
      <w:pPr>
        <w:pStyle w:val="EndNoteBibliography"/>
        <w:spacing w:after="0"/>
      </w:pPr>
      <w:bookmarkStart w:id="1341" w:name="_ENREF_775"/>
      <w:r w:rsidRPr="00112D14">
        <w:t xml:space="preserve">Walker, KR &amp; Welter, SC 2001, ‘Potential for outbreaks of leafrollers (Lepidoptera : Tortricidae) in California apple orchards using mating disruption for codling moth suppression’, </w:t>
      </w:r>
      <w:r w:rsidRPr="00112D14">
        <w:rPr>
          <w:i/>
        </w:rPr>
        <w:t>Journal of Economic Entomology</w:t>
      </w:r>
      <w:r w:rsidRPr="00112D14">
        <w:t>, vol. 94, no. 2, pp. 373-80.</w:t>
      </w:r>
      <w:bookmarkEnd w:id="1341"/>
    </w:p>
    <w:p w14:paraId="21FCA4CF" w14:textId="77777777" w:rsidR="003438A2" w:rsidRPr="00112D14" w:rsidRDefault="003438A2" w:rsidP="00112D14">
      <w:pPr>
        <w:pStyle w:val="EndNoteBibliography"/>
        <w:spacing w:after="0"/>
      </w:pPr>
      <w:bookmarkStart w:id="1342" w:name="_ENREF_776"/>
      <w:r w:rsidRPr="00112D14">
        <w:t xml:space="preserve">Walter, M, Roy, S, Fisher, B, Mackle, L, Amponsah, N, Curnow, T, Campbell, R, Braun, P, Reinecke, A &amp; Scheper, R 2016, ‘How many conidia are required for wound infection of apple plants by </w:t>
      </w:r>
      <w:r w:rsidRPr="00112D14">
        <w:rPr>
          <w:i/>
        </w:rPr>
        <w:t>Neonectria ditissima</w:t>
      </w:r>
      <w:r w:rsidRPr="00112D14">
        <w:t xml:space="preserve">?’, </w:t>
      </w:r>
      <w:r w:rsidRPr="00112D14">
        <w:rPr>
          <w:i/>
        </w:rPr>
        <w:t>New Zealand Plant Protection</w:t>
      </w:r>
      <w:r w:rsidRPr="00112D14">
        <w:t>, vol. 69, pp. 238-45.</w:t>
      </w:r>
      <w:bookmarkEnd w:id="1342"/>
    </w:p>
    <w:p w14:paraId="744B6C1B" w14:textId="77777777" w:rsidR="003438A2" w:rsidRPr="00112D14" w:rsidRDefault="003438A2" w:rsidP="00112D14">
      <w:pPr>
        <w:pStyle w:val="EndNoteBibliography"/>
        <w:spacing w:after="0"/>
      </w:pPr>
      <w:bookmarkStart w:id="1343" w:name="_ENREF_777"/>
      <w:r w:rsidRPr="00112D14">
        <w:t xml:space="preserve">Warner, RE &amp; Negley, FB 1976, ‘The genus </w:t>
      </w:r>
      <w:r w:rsidRPr="00112D14">
        <w:rPr>
          <w:i/>
        </w:rPr>
        <w:t>Otiorhynchus</w:t>
      </w:r>
      <w:r w:rsidRPr="00112D14">
        <w:t xml:space="preserve"> in America north of Mexico (Coleoptera: Curculionidae)’, </w:t>
      </w:r>
      <w:r w:rsidRPr="00112D14">
        <w:rPr>
          <w:i/>
        </w:rPr>
        <w:t>Proceedings of the Entomological Society of Washington</w:t>
      </w:r>
      <w:r w:rsidRPr="00112D14">
        <w:t>, vol. 78, no. 3, pp. 240-62.</w:t>
      </w:r>
      <w:bookmarkEnd w:id="1343"/>
    </w:p>
    <w:p w14:paraId="0C7F3445" w14:textId="77777777" w:rsidR="003438A2" w:rsidRPr="00112D14" w:rsidRDefault="003438A2" w:rsidP="00112D14">
      <w:pPr>
        <w:pStyle w:val="EndNoteBibliography"/>
        <w:spacing w:after="0"/>
      </w:pPr>
      <w:bookmarkStart w:id="1344" w:name="_ENREF_778"/>
      <w:r w:rsidRPr="00112D14">
        <w:t xml:space="preserve">Washington Apple Commission 2019, </w:t>
      </w:r>
      <w:r w:rsidRPr="00112D14">
        <w:rPr>
          <w:i/>
        </w:rPr>
        <w:t>Apple harvest and handling</w:t>
      </w:r>
      <w:r w:rsidRPr="00112D14">
        <w:t>, Washington Apple Commission, Washington Apple Commission, Washington State, USA.</w:t>
      </w:r>
      <w:bookmarkEnd w:id="1344"/>
    </w:p>
    <w:p w14:paraId="0704FEE1" w14:textId="77777777" w:rsidR="003438A2" w:rsidRPr="00112D14" w:rsidRDefault="003438A2" w:rsidP="00112D14">
      <w:pPr>
        <w:pStyle w:val="EndNoteBibliography"/>
        <w:spacing w:after="0"/>
      </w:pPr>
      <w:bookmarkStart w:id="1345" w:name="_ENREF_779"/>
      <w:r w:rsidRPr="00112D14">
        <w:t xml:space="preserve">-- -- 2020, </w:t>
      </w:r>
      <w:r w:rsidRPr="00112D14">
        <w:rPr>
          <w:i/>
        </w:rPr>
        <w:t>Packing and storage process</w:t>
      </w:r>
      <w:r w:rsidRPr="00112D14">
        <w:t>, Washington Apple Commission, Wenatchee, WA 98801.</w:t>
      </w:r>
      <w:bookmarkEnd w:id="1345"/>
    </w:p>
    <w:p w14:paraId="65B2BFF9" w14:textId="20A903A6" w:rsidR="003438A2" w:rsidRPr="00112D14" w:rsidRDefault="003438A2" w:rsidP="00112D14">
      <w:pPr>
        <w:pStyle w:val="EndNoteBibliography"/>
        <w:spacing w:after="0"/>
      </w:pPr>
      <w:bookmarkStart w:id="1346" w:name="_ENREF_780"/>
      <w:r w:rsidRPr="00112D14">
        <w:t>Washington State Department of Agriculture 2019, ‘Apple Industry Guide to the Apple Maggot Quarantine’, Washington State Department of Agriculture, Washington, USA, available at</w:t>
      </w:r>
      <w:r w:rsidR="0032270C">
        <w:t>,</w:t>
      </w:r>
      <w:r w:rsidRPr="00112D14">
        <w:t xml:space="preserve"> </w:t>
      </w:r>
      <w:hyperlink r:id="rId300" w:history="1">
        <w:r w:rsidR="00100652" w:rsidRPr="009E4A79">
          <w:rPr>
            <w:rStyle w:val="Hyperlink"/>
          </w:rPr>
          <w:t>https://agr.wa.gov/getmedia/3ced49d4-768a-4eab-88f6-faa947566967/final-appleindustryguideapplemaggotquarantine</w:t>
        </w:r>
      </w:hyperlink>
      <w:r w:rsidRPr="00112D14">
        <w:t xml:space="preserve"> (pdf 2,678 kb).</w:t>
      </w:r>
      <w:bookmarkEnd w:id="1346"/>
    </w:p>
    <w:p w14:paraId="157BA32E" w14:textId="0EFDA850" w:rsidR="003438A2" w:rsidRPr="00112D14" w:rsidRDefault="003438A2" w:rsidP="00112D14">
      <w:pPr>
        <w:pStyle w:val="EndNoteBibliography"/>
        <w:spacing w:after="0"/>
      </w:pPr>
      <w:bookmarkStart w:id="1347" w:name="_ENREF_781"/>
      <w:r w:rsidRPr="00112D14">
        <w:t>Washington State Legislature 2018, ‘Washington Administrative Code (Washington state agriculture legislation) Title 16, Chapter 16-470’, Washington, USA, available at</w:t>
      </w:r>
      <w:r w:rsidR="0032270C">
        <w:t>,</w:t>
      </w:r>
      <w:r w:rsidRPr="00112D14">
        <w:t xml:space="preserve"> </w:t>
      </w:r>
      <w:hyperlink r:id="rId301" w:history="1">
        <w:r w:rsidR="00100652" w:rsidRPr="009E4A79">
          <w:rPr>
            <w:rStyle w:val="Hyperlink"/>
          </w:rPr>
          <w:t>https://apps.leg.wa.gov/wac/default.aspx?cite=16-470</w:t>
        </w:r>
      </w:hyperlink>
      <w:r w:rsidRPr="00112D14">
        <w:t>.</w:t>
      </w:r>
      <w:bookmarkEnd w:id="1347"/>
    </w:p>
    <w:p w14:paraId="432FC885" w14:textId="1553AA30" w:rsidR="003438A2" w:rsidRPr="00112D14" w:rsidRDefault="003438A2" w:rsidP="00112D14">
      <w:pPr>
        <w:pStyle w:val="EndNoteBibliography"/>
        <w:spacing w:after="0"/>
      </w:pPr>
      <w:bookmarkStart w:id="1348" w:name="_ENREF_782"/>
      <w:r w:rsidRPr="00112D14">
        <w:t xml:space="preserve">-- -- 2019, </w:t>
      </w:r>
      <w:r w:rsidRPr="00112D14">
        <w:rPr>
          <w:i/>
        </w:rPr>
        <w:t>Establishing quarantines for apple maggot and plum curculio</w:t>
      </w:r>
      <w:r w:rsidRPr="00112D14">
        <w:t>, WAC 16-470-101, Washington State Department of Agriculture, Washington, available at</w:t>
      </w:r>
      <w:r w:rsidR="00105C56">
        <w:t>,</w:t>
      </w:r>
      <w:r w:rsidRPr="00112D14">
        <w:t xml:space="preserve"> </w:t>
      </w:r>
      <w:hyperlink r:id="rId302" w:history="1">
        <w:r w:rsidR="00100652" w:rsidRPr="009E4A79">
          <w:rPr>
            <w:rStyle w:val="Hyperlink"/>
          </w:rPr>
          <w:t>https://app.leg.wa.gov/wac/default.aspx?cite=16-470-101</w:t>
        </w:r>
      </w:hyperlink>
      <w:r w:rsidRPr="00112D14">
        <w:t>.</w:t>
      </w:r>
      <w:bookmarkEnd w:id="1348"/>
    </w:p>
    <w:p w14:paraId="58C380AA" w14:textId="342EB099" w:rsidR="00100652" w:rsidRDefault="003438A2" w:rsidP="00112D14">
      <w:pPr>
        <w:pStyle w:val="EndNoteBibliography"/>
        <w:spacing w:after="0"/>
      </w:pPr>
      <w:bookmarkStart w:id="1349" w:name="_ENREF_783"/>
      <w:r w:rsidRPr="00112D14">
        <w:t xml:space="preserve">Washington State University 2005, </w:t>
      </w:r>
      <w:r w:rsidRPr="00112D14">
        <w:rPr>
          <w:i/>
        </w:rPr>
        <w:t>Tree fruit postharvest pathology; postharvest diseases of apples and pears: Phacidiopycnis rot</w:t>
      </w:r>
      <w:r w:rsidRPr="00112D14">
        <w:t>, Tree Fruit Research and Extension Center, Washington State University, available at</w:t>
      </w:r>
      <w:r w:rsidR="0032270C">
        <w:t>,</w:t>
      </w:r>
      <w:r w:rsidRPr="00112D14">
        <w:t xml:space="preserve"> </w:t>
      </w:r>
      <w:hyperlink r:id="rId303" w:history="1">
        <w:r w:rsidR="00100652" w:rsidRPr="009E4A79">
          <w:rPr>
            <w:rStyle w:val="Hyperlink"/>
          </w:rPr>
          <w:t>http://treefruit.wsu.edu/crop-protection/disease-management/phacidiopycnis-rot/</w:t>
        </w:r>
      </w:hyperlink>
    </w:p>
    <w:p w14:paraId="10A9D94C" w14:textId="50A0FEE4" w:rsidR="003438A2" w:rsidRPr="00112D14" w:rsidRDefault="003438A2" w:rsidP="00112D14">
      <w:pPr>
        <w:pStyle w:val="EndNoteBibliography"/>
        <w:spacing w:after="0"/>
      </w:pPr>
      <w:bookmarkStart w:id="1350" w:name="_ENREF_784"/>
      <w:bookmarkEnd w:id="1349"/>
      <w:r w:rsidRPr="00112D14">
        <w:t xml:space="preserve">-- -- 2014, </w:t>
      </w:r>
      <w:r w:rsidRPr="00112D14">
        <w:rPr>
          <w:i/>
        </w:rPr>
        <w:t>Apples in Washington State</w:t>
      </w:r>
      <w:r w:rsidRPr="00112D14">
        <w:t>, Tree Fruit Research and Extension Center, Washington State University.</w:t>
      </w:r>
      <w:bookmarkEnd w:id="1350"/>
    </w:p>
    <w:p w14:paraId="5F01E57D" w14:textId="7E39A582" w:rsidR="003438A2" w:rsidRPr="00112D14" w:rsidRDefault="003438A2" w:rsidP="00112D14">
      <w:pPr>
        <w:pStyle w:val="EndNoteBibliography"/>
        <w:spacing w:after="0"/>
      </w:pPr>
      <w:bookmarkStart w:id="1351" w:name="_ENREF_785"/>
      <w:r w:rsidRPr="00112D14">
        <w:t xml:space="preserve">-- -- 2018a, ‘Honey Bees’, </w:t>
      </w:r>
      <w:r w:rsidRPr="00112D14">
        <w:rPr>
          <w:i/>
        </w:rPr>
        <w:t>Washington State University</w:t>
      </w:r>
      <w:r w:rsidRPr="00112D14">
        <w:t>, available at</w:t>
      </w:r>
      <w:r w:rsidR="0032270C">
        <w:t>,</w:t>
      </w:r>
      <w:r w:rsidRPr="00112D14">
        <w:t xml:space="preserve"> </w:t>
      </w:r>
      <w:hyperlink r:id="rId304" w:history="1">
        <w:r w:rsidR="00100652" w:rsidRPr="009E4A79">
          <w:rPr>
            <w:rStyle w:val="Hyperlink"/>
          </w:rPr>
          <w:t>http://treefruit.wsu.edu/orchard-management/pollination/honey-bees/</w:t>
        </w:r>
      </w:hyperlink>
      <w:r w:rsidRPr="00112D14">
        <w:t>.</w:t>
      </w:r>
      <w:bookmarkEnd w:id="1351"/>
    </w:p>
    <w:p w14:paraId="66CDE50B" w14:textId="77777777" w:rsidR="003438A2" w:rsidRPr="00112D14" w:rsidRDefault="003438A2" w:rsidP="00112D14">
      <w:pPr>
        <w:pStyle w:val="EndNoteBibliography"/>
        <w:spacing w:after="0"/>
      </w:pPr>
      <w:bookmarkStart w:id="1352" w:name="_ENREF_786"/>
      <w:r w:rsidRPr="00112D14">
        <w:t xml:space="preserve">-- -- 2018b, </w:t>
      </w:r>
      <w:r w:rsidRPr="00112D14">
        <w:rPr>
          <w:i/>
        </w:rPr>
        <w:t>Postharvest practices to minimize decay in apples</w:t>
      </w:r>
      <w:r w:rsidRPr="00112D14">
        <w:t>, WSU Tree Fruit Research &amp; Extension Center.</w:t>
      </w:r>
      <w:bookmarkEnd w:id="1352"/>
    </w:p>
    <w:p w14:paraId="03D8C1C6" w14:textId="0F944330" w:rsidR="003438A2" w:rsidRPr="00112D14" w:rsidRDefault="003438A2" w:rsidP="00112D14">
      <w:pPr>
        <w:pStyle w:val="EndNoteBibliography"/>
        <w:spacing w:after="0"/>
      </w:pPr>
      <w:bookmarkStart w:id="1353" w:name="_ENREF_787"/>
      <w:r w:rsidRPr="00112D14">
        <w:t xml:space="preserve">-- -- 2019a, </w:t>
      </w:r>
      <w:r w:rsidRPr="00112D14">
        <w:rPr>
          <w:i/>
        </w:rPr>
        <w:t>Organic Production</w:t>
      </w:r>
      <w:r w:rsidRPr="00112D14">
        <w:t xml:space="preserve">, Washington State University Tree fruit, Washington State, USA, </w:t>
      </w:r>
      <w:r w:rsidR="00A91976">
        <w:t xml:space="preserve">available at, </w:t>
      </w:r>
      <w:hyperlink r:id="rId305" w:history="1">
        <w:r w:rsidR="00CC32D2" w:rsidRPr="00847402">
          <w:rPr>
            <w:rStyle w:val="Hyperlink"/>
          </w:rPr>
          <w:t>http://treefruit.wsu.edu/orchard-management/organic-production/</w:t>
        </w:r>
      </w:hyperlink>
      <w:r w:rsidRPr="00112D14">
        <w:t>.</w:t>
      </w:r>
      <w:bookmarkEnd w:id="1353"/>
    </w:p>
    <w:p w14:paraId="2D8E7630" w14:textId="77777777" w:rsidR="003438A2" w:rsidRPr="00112D14" w:rsidRDefault="003438A2" w:rsidP="00112D14">
      <w:pPr>
        <w:pStyle w:val="EndNoteBibliography"/>
        <w:spacing w:after="0"/>
      </w:pPr>
      <w:bookmarkStart w:id="1354" w:name="_ENREF_788"/>
      <w:r w:rsidRPr="00112D14">
        <w:t xml:space="preserve">-- -- 2019b, </w:t>
      </w:r>
      <w:r w:rsidRPr="00112D14">
        <w:rPr>
          <w:i/>
        </w:rPr>
        <w:t>WSU Tree Fruit: Comprehensive tree fruit site</w:t>
      </w:r>
      <w:r w:rsidRPr="00112D14">
        <w:t>, Washington State University, Washington, USA.</w:t>
      </w:r>
      <w:bookmarkEnd w:id="1354"/>
    </w:p>
    <w:p w14:paraId="4D58DE30" w14:textId="70E64D5A" w:rsidR="003438A2" w:rsidRPr="00112D14" w:rsidRDefault="003438A2" w:rsidP="00112D14">
      <w:pPr>
        <w:pStyle w:val="EndNoteBibliography"/>
        <w:spacing w:after="0"/>
      </w:pPr>
      <w:bookmarkStart w:id="1355" w:name="_ENREF_789"/>
      <w:r w:rsidRPr="00112D14">
        <w:t xml:space="preserve">Washington State University Extension 2020, ‘Postharvest Diseases’, </w:t>
      </w:r>
      <w:r w:rsidRPr="00112D14">
        <w:rPr>
          <w:i/>
        </w:rPr>
        <w:t>Tree fruit postharvest export education</w:t>
      </w:r>
      <w:r w:rsidRPr="00112D14">
        <w:t>, Washington, USA, available at</w:t>
      </w:r>
      <w:r w:rsidR="00CC32D2">
        <w:t>,</w:t>
      </w:r>
      <w:r w:rsidRPr="00112D14">
        <w:t xml:space="preserve"> </w:t>
      </w:r>
      <w:hyperlink r:id="rId306" w:history="1">
        <w:r w:rsidR="00100652" w:rsidRPr="009E4A79">
          <w:rPr>
            <w:rStyle w:val="Hyperlink"/>
          </w:rPr>
          <w:t>http://tfrec.cahnrs.wsu.edu/postharvest-export/postharvest-diseases</w:t>
        </w:r>
      </w:hyperlink>
      <w:r w:rsidRPr="003438A2">
        <w:t>/</w:t>
      </w:r>
      <w:r w:rsidRPr="00112D14">
        <w:t>.</w:t>
      </w:r>
      <w:bookmarkEnd w:id="1355"/>
    </w:p>
    <w:p w14:paraId="6550AD9A" w14:textId="77777777" w:rsidR="003438A2" w:rsidRPr="00112D14" w:rsidRDefault="003438A2" w:rsidP="00112D14">
      <w:pPr>
        <w:pStyle w:val="EndNoteBibliography"/>
        <w:spacing w:after="0"/>
      </w:pPr>
      <w:bookmarkStart w:id="1356" w:name="_ENREF_790"/>
      <w:r w:rsidRPr="00112D14">
        <w:t xml:space="preserve">Washington, WS &amp; Nancarrow, RJ 1983, </w:t>
      </w:r>
      <w:r w:rsidRPr="00112D14">
        <w:rPr>
          <w:i/>
        </w:rPr>
        <w:t>List of diseases recorded on fruit and vegetable crops in Victoria before June 30, 1980</w:t>
      </w:r>
      <w:r w:rsidRPr="00112D14">
        <w:t>, Technical report series, Report No. 66, Victorian Department of Agriculture, Melbourne.</w:t>
      </w:r>
      <w:bookmarkEnd w:id="1356"/>
    </w:p>
    <w:p w14:paraId="6320E8CD" w14:textId="4E3258AD" w:rsidR="003438A2" w:rsidRPr="00112D14" w:rsidRDefault="003438A2" w:rsidP="00112D14">
      <w:pPr>
        <w:pStyle w:val="EndNoteBibliography"/>
        <w:spacing w:after="0"/>
      </w:pPr>
      <w:bookmarkStart w:id="1357" w:name="_ENREF_791"/>
      <w:r w:rsidRPr="00112D14">
        <w:t>Watson, GW 2022, ‘Arthropods of Economic Importance: Diaspididae of the World 2.0’, Universiteit van Amsterdam, the Netherlands, available at</w:t>
      </w:r>
      <w:r w:rsidR="00CC32D2">
        <w:t>,</w:t>
      </w:r>
      <w:r w:rsidRPr="00112D14">
        <w:t xml:space="preserve"> </w:t>
      </w:r>
      <w:hyperlink r:id="rId307" w:history="1">
        <w:r w:rsidR="00100652" w:rsidRPr="009E4A79">
          <w:rPr>
            <w:rStyle w:val="Hyperlink"/>
          </w:rPr>
          <w:t>http://diaspididae.linnaeus.naturalis.nl/linnaeus_ng/app/views/introduction/topic.php?id=3377&amp;epi=155</w:t>
        </w:r>
      </w:hyperlink>
      <w:r w:rsidRPr="00112D14">
        <w:t>, accessed 2022.</w:t>
      </w:r>
      <w:bookmarkEnd w:id="1357"/>
    </w:p>
    <w:p w14:paraId="008FE3FB" w14:textId="77777777" w:rsidR="003438A2" w:rsidRPr="00112D14" w:rsidRDefault="003438A2" w:rsidP="00112D14">
      <w:pPr>
        <w:pStyle w:val="EndNoteBibliography"/>
        <w:spacing w:after="0"/>
      </w:pPr>
      <w:bookmarkStart w:id="1358" w:name="_ENREF_792"/>
      <w:r w:rsidRPr="00112D14">
        <w:t xml:space="preserve">Wearing, CH 2004, </w:t>
      </w:r>
      <w:r w:rsidRPr="00112D14">
        <w:rPr>
          <w:i/>
        </w:rPr>
        <w:t>Codling moth life cycle</w:t>
      </w:r>
      <w:r w:rsidRPr="00112D14">
        <w:t>, The Horticulture and Food Research Institute of New Zealand Ltd, Mount Albert Research Centre.</w:t>
      </w:r>
      <w:bookmarkEnd w:id="1358"/>
    </w:p>
    <w:p w14:paraId="2B29D00E" w14:textId="77777777" w:rsidR="003438A2" w:rsidRPr="00112D14" w:rsidRDefault="003438A2" w:rsidP="00112D14">
      <w:pPr>
        <w:pStyle w:val="EndNoteBibliography"/>
        <w:spacing w:after="0"/>
      </w:pPr>
      <w:bookmarkStart w:id="1359" w:name="_ENREF_793"/>
      <w:r w:rsidRPr="00112D14">
        <w:t>Wearing, CH, Marshall, RR, Attfield, B &amp; Colhoun, C 2013, ‘Phenology and distribution of the apple leafcurling midge (</w:t>
      </w:r>
      <w:r w:rsidRPr="00112D14">
        <w:rPr>
          <w:i/>
        </w:rPr>
        <w:t xml:space="preserve">Dasineura mali </w:t>
      </w:r>
      <w:r w:rsidRPr="00112D14">
        <w:t xml:space="preserve">(Kieffer)) (Diptera: Cecidomyiidae) and its natural enemies on apples under biological and integrated pest management in Central Otago, New Zealand’, </w:t>
      </w:r>
      <w:r w:rsidRPr="00112D14">
        <w:rPr>
          <w:i/>
        </w:rPr>
        <w:t>New Zealand Entomologist</w:t>
      </w:r>
      <w:r w:rsidRPr="00112D14">
        <w:t>, vol. 36, no. 2, pp. 87-106.</w:t>
      </w:r>
      <w:bookmarkEnd w:id="1359"/>
    </w:p>
    <w:p w14:paraId="7E1F6194" w14:textId="77777777" w:rsidR="003438A2" w:rsidRPr="00112D14" w:rsidRDefault="003438A2" w:rsidP="00112D14">
      <w:pPr>
        <w:pStyle w:val="EndNoteBibliography"/>
        <w:spacing w:after="0"/>
      </w:pPr>
      <w:bookmarkStart w:id="1360" w:name="_ENREF_794"/>
      <w:r w:rsidRPr="00112D14">
        <w:t>Weber, RWS 2011, ‘</w:t>
      </w:r>
      <w:r w:rsidRPr="00112D14">
        <w:rPr>
          <w:i/>
        </w:rPr>
        <w:t>Phacidiopycnis washingtonensis</w:t>
      </w:r>
      <w:r w:rsidRPr="00112D14">
        <w:t xml:space="preserve">, cause of a new storage rot of apples in northern Europe’, </w:t>
      </w:r>
      <w:r w:rsidRPr="00112D14">
        <w:rPr>
          <w:i/>
        </w:rPr>
        <w:t>Journal of Phytopathology</w:t>
      </w:r>
      <w:r w:rsidRPr="00112D14">
        <w:t>, vol. 159, pp. 682-6.</w:t>
      </w:r>
      <w:bookmarkEnd w:id="1360"/>
    </w:p>
    <w:p w14:paraId="14EF74D3" w14:textId="77777777" w:rsidR="003438A2" w:rsidRPr="00112D14" w:rsidRDefault="003438A2" w:rsidP="00112D14">
      <w:pPr>
        <w:pStyle w:val="EndNoteBibliography"/>
        <w:spacing w:after="0"/>
      </w:pPr>
      <w:bookmarkStart w:id="1361" w:name="_ENREF_795"/>
      <w:r w:rsidRPr="00112D14">
        <w:t xml:space="preserve">Weber, RWS &amp; Dralle, N 2013, ‘Fungi associated with blossom-end rot of apples in Germany’, </w:t>
      </w:r>
      <w:r w:rsidRPr="00112D14">
        <w:rPr>
          <w:i/>
        </w:rPr>
        <w:t>European Journal of Horticultural Science</w:t>
      </w:r>
      <w:r w:rsidRPr="00112D14">
        <w:t>, vol. 78, no. 3, pp. 97-105.</w:t>
      </w:r>
      <w:bookmarkEnd w:id="1361"/>
    </w:p>
    <w:p w14:paraId="41617CDF" w14:textId="6F499FA4" w:rsidR="003438A2" w:rsidRPr="00112D14" w:rsidRDefault="003438A2" w:rsidP="00112D14">
      <w:pPr>
        <w:pStyle w:val="EndNoteBibliography"/>
        <w:spacing w:after="0"/>
      </w:pPr>
      <w:bookmarkStart w:id="1362" w:name="_ENREF_796"/>
      <w:r w:rsidRPr="00112D14">
        <w:t xml:space="preserve">Weems, HV, Jr &amp; Fasulo, TR 2002, </w:t>
      </w:r>
      <w:r w:rsidRPr="00112D14">
        <w:rPr>
          <w:i/>
        </w:rPr>
        <w:t>Featured creatures: apple maggot: Rhagoletis pomonella (Walsh) (Insecta: Diptera: Tephritidae)</w:t>
      </w:r>
      <w:r w:rsidRPr="00112D14">
        <w:t>, University of Florida, Department of Entomology and Nematology, available at</w:t>
      </w:r>
      <w:r w:rsidR="009756B7">
        <w:t>,</w:t>
      </w:r>
      <w:r w:rsidRPr="00112D14">
        <w:t xml:space="preserve"> </w:t>
      </w:r>
      <w:hyperlink r:id="rId308" w:history="1">
        <w:r w:rsidR="00260668" w:rsidRPr="009E4A79">
          <w:rPr>
            <w:rStyle w:val="Hyperlink"/>
          </w:rPr>
          <w:t>http://entomology.ifas.ufl.edu/creatures/fruit/tropical/apple_maggot_fly.htm</w:t>
        </w:r>
      </w:hyperlink>
      <w:r w:rsidRPr="00112D14">
        <w:t>.</w:t>
      </w:r>
      <w:bookmarkEnd w:id="1362"/>
    </w:p>
    <w:p w14:paraId="54005605" w14:textId="77777777" w:rsidR="003438A2" w:rsidRPr="00112D14" w:rsidRDefault="003438A2" w:rsidP="00112D14">
      <w:pPr>
        <w:pStyle w:val="EndNoteBibliography"/>
        <w:spacing w:after="0"/>
      </w:pPr>
      <w:bookmarkStart w:id="1363" w:name="_ENREF_797"/>
      <w:r w:rsidRPr="00112D14">
        <w:t xml:space="preserve">-- -- 2021, </w:t>
      </w:r>
      <w:r w:rsidRPr="00112D14">
        <w:rPr>
          <w:i/>
        </w:rPr>
        <w:t>Apple maggot, apple maggot fly: Rhagoletis pomonella (Walsh) (Insecta: Diptera: Tephritidae)</w:t>
      </w:r>
      <w:r w:rsidRPr="00112D14">
        <w:t>, EENY-261, Institute of Food and Agricultural Sciences Extension, University of Florida, Gainesville, Florida, USA.</w:t>
      </w:r>
      <w:bookmarkEnd w:id="1363"/>
    </w:p>
    <w:p w14:paraId="2BF0E3F2" w14:textId="77777777" w:rsidR="003438A2" w:rsidRPr="00112D14" w:rsidRDefault="003438A2" w:rsidP="00112D14">
      <w:pPr>
        <w:pStyle w:val="EndNoteBibliography"/>
        <w:spacing w:after="0"/>
      </w:pPr>
      <w:bookmarkStart w:id="1364" w:name="_ENREF_798"/>
      <w:r w:rsidRPr="00112D14">
        <w:t>Wenneker, M, de Jong, PF, Joosten, NN, Goedhart, PW &amp; Thomma, BPHJ 2017, ‘Development of a method for detection of latent European fruit tree canker (</w:t>
      </w:r>
      <w:r w:rsidRPr="00112D14">
        <w:rPr>
          <w:i/>
        </w:rPr>
        <w:t>Neonectria ditissima</w:t>
      </w:r>
      <w:r w:rsidRPr="00112D14">
        <w:t xml:space="preserve">) infections in apple and pear nurseries’, </w:t>
      </w:r>
      <w:r w:rsidRPr="00112D14">
        <w:rPr>
          <w:i/>
        </w:rPr>
        <w:t>European Journal of Plant Pathology</w:t>
      </w:r>
      <w:r w:rsidRPr="00112D14">
        <w:t>, vol. 148, pp. 631-5.</w:t>
      </w:r>
      <w:bookmarkEnd w:id="1364"/>
    </w:p>
    <w:p w14:paraId="5365847E" w14:textId="77777777" w:rsidR="003438A2" w:rsidRPr="00112D14" w:rsidRDefault="003438A2" w:rsidP="00112D14">
      <w:pPr>
        <w:pStyle w:val="EndNoteBibliography"/>
        <w:spacing w:after="0"/>
      </w:pPr>
      <w:bookmarkStart w:id="1365" w:name="_ENREF_799"/>
      <w:r w:rsidRPr="00112D14">
        <w:t xml:space="preserve">Wenneker, M &amp; Thomma, BPHJ 2020, ‘Latent postharvest pathogens of pome fruit and their management: from single measures to a systems intervention approach’, </w:t>
      </w:r>
      <w:r w:rsidRPr="00112D14">
        <w:rPr>
          <w:i/>
        </w:rPr>
        <w:t>European Journal of Plant Pathology</w:t>
      </w:r>
      <w:r w:rsidRPr="00112D14">
        <w:t>, vol. 156, no. 3, pp. 663-81.</w:t>
      </w:r>
      <w:bookmarkEnd w:id="1365"/>
    </w:p>
    <w:p w14:paraId="7898BDD9" w14:textId="77777777" w:rsidR="003438A2" w:rsidRPr="00112D14" w:rsidRDefault="003438A2" w:rsidP="00112D14">
      <w:pPr>
        <w:pStyle w:val="EndNoteBibliography"/>
        <w:spacing w:after="0"/>
      </w:pPr>
      <w:bookmarkStart w:id="1366" w:name="_ENREF_800"/>
      <w:r w:rsidRPr="00112D14">
        <w:t>Weresub, LK &amp; Illman, WI 1980, ‘</w:t>
      </w:r>
      <w:r w:rsidRPr="00112D14">
        <w:rPr>
          <w:i/>
        </w:rPr>
        <w:t>Corticium centrifugum</w:t>
      </w:r>
      <w:r w:rsidRPr="00112D14">
        <w:t xml:space="preserve"> reisolated from fisheye rot of stored apples’, </w:t>
      </w:r>
      <w:r w:rsidRPr="00112D14">
        <w:rPr>
          <w:i/>
        </w:rPr>
        <w:t>Canadian Journal of Botany</w:t>
      </w:r>
      <w:r w:rsidRPr="00112D14">
        <w:t>, vol. 58, no. 2, pp. 137-46.</w:t>
      </w:r>
      <w:bookmarkEnd w:id="1366"/>
    </w:p>
    <w:p w14:paraId="16B81323" w14:textId="77777777" w:rsidR="003438A2" w:rsidRPr="00112D14" w:rsidRDefault="003438A2" w:rsidP="00112D14">
      <w:pPr>
        <w:pStyle w:val="EndNoteBibliography"/>
        <w:spacing w:after="0"/>
      </w:pPr>
      <w:bookmarkStart w:id="1367" w:name="_ENREF_801"/>
      <w:r w:rsidRPr="00112D14">
        <w:t xml:space="preserve">West, KJ &amp; Miller, JC 1989, ‘Patterns of host exploitation by </w:t>
      </w:r>
      <w:r w:rsidRPr="00112D14">
        <w:rPr>
          <w:i/>
        </w:rPr>
        <w:t xml:space="preserve">Meteorus communis </w:t>
      </w:r>
      <w:r w:rsidRPr="00112D14">
        <w:t xml:space="preserve">(Hymenoptera: Braconidae)’, </w:t>
      </w:r>
      <w:r w:rsidRPr="00112D14">
        <w:rPr>
          <w:i/>
        </w:rPr>
        <w:t>Environmental Entomology</w:t>
      </w:r>
      <w:r w:rsidRPr="00112D14">
        <w:t>, vol. 18, no. 3, pp. 537-40.</w:t>
      </w:r>
      <w:bookmarkEnd w:id="1367"/>
    </w:p>
    <w:p w14:paraId="2EC2EF5F" w14:textId="77777777" w:rsidR="003438A2" w:rsidRPr="00112D14" w:rsidRDefault="003438A2" w:rsidP="00112D14">
      <w:pPr>
        <w:pStyle w:val="EndNoteBibliography"/>
        <w:spacing w:after="0"/>
      </w:pPr>
      <w:bookmarkStart w:id="1368" w:name="_ENREF_802"/>
      <w:r w:rsidRPr="00112D14">
        <w:t xml:space="preserve">White, IM &amp; Elson-Harris, MM 1992, </w:t>
      </w:r>
      <w:r w:rsidRPr="00112D14">
        <w:rPr>
          <w:i/>
        </w:rPr>
        <w:t>Fruit flies of economic significance: their identification and bionomics</w:t>
      </w:r>
      <w:r w:rsidRPr="00112D14">
        <w:t>, CAB International, Wallingford, U.K.</w:t>
      </w:r>
      <w:bookmarkEnd w:id="1368"/>
    </w:p>
    <w:p w14:paraId="0765D832" w14:textId="77777777" w:rsidR="003438A2" w:rsidRPr="00112D14" w:rsidRDefault="003438A2" w:rsidP="00112D14">
      <w:pPr>
        <w:pStyle w:val="EndNoteBibliography"/>
        <w:spacing w:after="0"/>
      </w:pPr>
      <w:bookmarkStart w:id="1369" w:name="_ENREF_803"/>
      <w:r w:rsidRPr="00112D14">
        <w:t xml:space="preserve">Wikee, S, Udayanga, D, Crous, PW, Chukeatirote, E, McKenzie, EHC, Bahkali, AH, Dai, D &amp; Hyde, KD 2011, ‘Phyllosticta—an overview of current status of species recognition’, </w:t>
      </w:r>
      <w:r w:rsidRPr="00112D14">
        <w:rPr>
          <w:i/>
        </w:rPr>
        <w:t>Fungal Diversity</w:t>
      </w:r>
      <w:r w:rsidRPr="00112D14">
        <w:t>, vol. 51, no. 1, pp. 43-61.</w:t>
      </w:r>
      <w:bookmarkEnd w:id="1369"/>
    </w:p>
    <w:p w14:paraId="6923B0FB" w14:textId="77777777" w:rsidR="003438A2" w:rsidRPr="00112D14" w:rsidRDefault="003438A2" w:rsidP="00112D14">
      <w:pPr>
        <w:pStyle w:val="EndNoteBibliography"/>
        <w:spacing w:after="0"/>
      </w:pPr>
      <w:bookmarkStart w:id="1370" w:name="_ENREF_804"/>
      <w:r w:rsidRPr="00112D14">
        <w:t xml:space="preserve">Wilkinson, TK, Landis, DA &amp; Gut, LJ 2004, ‘Parasitism of obliquebanded leafroller (Lepidoptera: Tortricidae) in commercially managed Michigan apple orchards’, </w:t>
      </w:r>
      <w:r w:rsidRPr="00112D14">
        <w:rPr>
          <w:i/>
        </w:rPr>
        <w:t>Journal of Economic Entomology</w:t>
      </w:r>
      <w:r w:rsidRPr="00112D14">
        <w:t>, vol. 97, no. 5, pp. 1524-30.</w:t>
      </w:r>
      <w:bookmarkEnd w:id="1370"/>
    </w:p>
    <w:p w14:paraId="19497D94" w14:textId="77777777" w:rsidR="003438A2" w:rsidRPr="00112D14" w:rsidRDefault="003438A2" w:rsidP="00112D14">
      <w:pPr>
        <w:pStyle w:val="EndNoteBibliography"/>
        <w:spacing w:after="0"/>
      </w:pPr>
      <w:bookmarkStart w:id="1371" w:name="_ENREF_805"/>
      <w:r w:rsidRPr="00112D14">
        <w:t xml:space="preserve">Willett, M, Kupferman, G, Roberts, R, Spotts, R, Sugar, DL, Apel, G, Ewart, HW &amp; Bryant, B 1989, ‘Postharvest diseases and disorders of apples and pears’, </w:t>
      </w:r>
      <w:r w:rsidRPr="00112D14">
        <w:rPr>
          <w:i/>
        </w:rPr>
        <w:t>Post Harvest Pomology Newsletter</w:t>
      </w:r>
      <w:r w:rsidRPr="00112D14">
        <w:t>, vol. 7, no. 3, pp. 4-5.</w:t>
      </w:r>
      <w:bookmarkEnd w:id="1371"/>
    </w:p>
    <w:p w14:paraId="33635BED" w14:textId="77777777" w:rsidR="003438A2" w:rsidRPr="00112D14" w:rsidRDefault="003438A2" w:rsidP="00112D14">
      <w:pPr>
        <w:pStyle w:val="EndNoteBibliography"/>
        <w:spacing w:after="0"/>
      </w:pPr>
      <w:bookmarkStart w:id="1372" w:name="_ENREF_806"/>
      <w:r w:rsidRPr="00112D14">
        <w:t xml:space="preserve">Willett, M &amp; Powers, M 2006, </w:t>
      </w:r>
      <w:r w:rsidRPr="00112D14">
        <w:rPr>
          <w:i/>
        </w:rPr>
        <w:t>Rejections of decayed pears in Israel</w:t>
      </w:r>
      <w:r w:rsidRPr="00112D14">
        <w:t>, Country Alert, Northwest Horticultural Council, Washington, USA.</w:t>
      </w:r>
      <w:bookmarkEnd w:id="1372"/>
    </w:p>
    <w:p w14:paraId="05CA5FAE" w14:textId="77777777" w:rsidR="003438A2" w:rsidRDefault="003438A2" w:rsidP="00112D14">
      <w:pPr>
        <w:pStyle w:val="EndNoteBibliography"/>
        <w:spacing w:after="0"/>
      </w:pPr>
      <w:bookmarkStart w:id="1373" w:name="_ENREF_808"/>
      <w:r w:rsidRPr="00112D14">
        <w:t xml:space="preserve">Williams, DJ 1985, </w:t>
      </w:r>
      <w:r w:rsidRPr="00112D14">
        <w:rPr>
          <w:i/>
        </w:rPr>
        <w:t>Australian mealybugs</w:t>
      </w:r>
      <w:r w:rsidRPr="00112D14">
        <w:t>, British Museum (Natural History), Chichester.</w:t>
      </w:r>
      <w:bookmarkEnd w:id="1373"/>
    </w:p>
    <w:p w14:paraId="3FC53BC0" w14:textId="77777777" w:rsidR="003438A2" w:rsidRPr="00112D14" w:rsidRDefault="003438A2" w:rsidP="003048A3">
      <w:pPr>
        <w:pStyle w:val="EndNoteBibliography"/>
        <w:spacing w:after="0"/>
      </w:pPr>
      <w:bookmarkStart w:id="1374" w:name="_ENREF_807"/>
      <w:r w:rsidRPr="00112D14">
        <w:t xml:space="preserve">-- -- 2000, </w:t>
      </w:r>
      <w:r w:rsidRPr="00112D14">
        <w:rPr>
          <w:i/>
        </w:rPr>
        <w:t>Codling moth</w:t>
      </w:r>
      <w:r w:rsidRPr="00112D14">
        <w:t>, Priority pest insects and mites, Agriculture Victoria, Australia.</w:t>
      </w:r>
      <w:bookmarkEnd w:id="1374"/>
    </w:p>
    <w:p w14:paraId="0C920EAB" w14:textId="77777777" w:rsidR="003438A2" w:rsidRPr="00112D14" w:rsidRDefault="003438A2" w:rsidP="00112D14">
      <w:pPr>
        <w:pStyle w:val="EndNoteBibliography"/>
        <w:spacing w:after="0"/>
      </w:pPr>
      <w:bookmarkStart w:id="1375" w:name="_ENREF_809"/>
      <w:r w:rsidRPr="00112D14">
        <w:t xml:space="preserve">Williams, DJ &amp; Granara de Willink, MC 1992, </w:t>
      </w:r>
      <w:r w:rsidRPr="00112D14">
        <w:rPr>
          <w:i/>
        </w:rPr>
        <w:t>Mealybugs of Central and South America</w:t>
      </w:r>
      <w:r w:rsidRPr="00112D14">
        <w:t>, CAB International, Wallingford.</w:t>
      </w:r>
      <w:bookmarkEnd w:id="1375"/>
    </w:p>
    <w:p w14:paraId="5A496866" w14:textId="77777777" w:rsidR="003438A2" w:rsidRPr="00112D14" w:rsidRDefault="003438A2" w:rsidP="00112D14">
      <w:pPr>
        <w:pStyle w:val="EndNoteBibliography"/>
        <w:spacing w:after="0"/>
      </w:pPr>
      <w:bookmarkStart w:id="1376" w:name="_ENREF_810"/>
      <w:r w:rsidRPr="00112D14">
        <w:t xml:space="preserve">Williams, DJ &amp; Watson, GW 1988, </w:t>
      </w:r>
      <w:r w:rsidRPr="00112D14">
        <w:rPr>
          <w:i/>
        </w:rPr>
        <w:t>The scale insects of the tropical South Pacific region: part 1. The armoured scales (Diaspididae)</w:t>
      </w:r>
      <w:r w:rsidRPr="00112D14">
        <w:t>, CAB International, Wallingford.</w:t>
      </w:r>
      <w:bookmarkEnd w:id="1376"/>
    </w:p>
    <w:p w14:paraId="4D36E653" w14:textId="77777777" w:rsidR="003438A2" w:rsidRPr="00112D14" w:rsidRDefault="003438A2" w:rsidP="00112D14">
      <w:pPr>
        <w:pStyle w:val="EndNoteBibliography"/>
        <w:spacing w:after="0"/>
      </w:pPr>
      <w:bookmarkStart w:id="1377" w:name="_ENREF_811"/>
      <w:r w:rsidRPr="00112D14">
        <w:t xml:space="preserve">Wiman, N &amp; Stoven, H 2021a, </w:t>
      </w:r>
      <w:r w:rsidRPr="00112D14">
        <w:rPr>
          <w:i/>
        </w:rPr>
        <w:t>Apple-Lacanobia fruitworm</w:t>
      </w:r>
      <w:r w:rsidRPr="00112D14">
        <w:t>, Pacific Northwest Insect Management Handbook, Oregon State University, Corvallis, Oregon, USA.</w:t>
      </w:r>
      <w:bookmarkEnd w:id="1377"/>
    </w:p>
    <w:p w14:paraId="4E2ECCC0" w14:textId="767E3F66" w:rsidR="003438A2" w:rsidRPr="00112D14" w:rsidRDefault="003438A2" w:rsidP="00112D14">
      <w:pPr>
        <w:pStyle w:val="EndNoteBibliography"/>
        <w:spacing w:after="0"/>
      </w:pPr>
      <w:bookmarkStart w:id="1378" w:name="_ENREF_812"/>
      <w:r w:rsidRPr="00112D14">
        <w:t xml:space="preserve">-- -- 2021b, ‘Field characteristics of fruit-tree-attacking spider mites in the Pacific northwest’, </w:t>
      </w:r>
      <w:r w:rsidRPr="00112D14">
        <w:rPr>
          <w:i/>
        </w:rPr>
        <w:t>PNW Pest Management Handbooks</w:t>
      </w:r>
      <w:r w:rsidRPr="00112D14">
        <w:t>, PNW Pest Management Entension Publication, available at</w:t>
      </w:r>
      <w:r w:rsidR="009756B7">
        <w:t>,</w:t>
      </w:r>
      <w:r w:rsidRPr="00112D14">
        <w:t xml:space="preserve"> </w:t>
      </w:r>
      <w:hyperlink r:id="rId309" w:history="1">
        <w:r w:rsidR="00260668" w:rsidRPr="009E4A79">
          <w:rPr>
            <w:rStyle w:val="Hyperlink"/>
          </w:rPr>
          <w:t>https://pnwhandbooks.org/insect/tree-fruit/field-characteristics-fruit-tree-attacking-spider-mites-pacific-northwest</w:t>
        </w:r>
      </w:hyperlink>
      <w:r w:rsidRPr="00112D14">
        <w:t>.</w:t>
      </w:r>
      <w:bookmarkEnd w:id="1378"/>
    </w:p>
    <w:p w14:paraId="7471D057" w14:textId="77777777" w:rsidR="003438A2" w:rsidRPr="00112D14" w:rsidRDefault="003438A2" w:rsidP="00112D14">
      <w:pPr>
        <w:pStyle w:val="EndNoteBibliography"/>
        <w:spacing w:after="0"/>
      </w:pPr>
      <w:bookmarkStart w:id="1379" w:name="_ENREF_813"/>
      <w:r w:rsidRPr="00112D14">
        <w:t xml:space="preserve">-- -- 2022, ‘Apple pests’, in </w:t>
      </w:r>
      <w:r w:rsidRPr="00112D14">
        <w:rPr>
          <w:i/>
        </w:rPr>
        <w:t>Tree fruit crops: Pacific Northwest Pest Management Handbooks</w:t>
      </w:r>
      <w:r w:rsidRPr="00112D14">
        <w:t>, Pscheidt, JW &amp; Ocamb, CM (eds), Oregon State University, Oregon, USA.</w:t>
      </w:r>
      <w:bookmarkEnd w:id="1379"/>
    </w:p>
    <w:p w14:paraId="4D529DB4" w14:textId="77777777" w:rsidR="003438A2" w:rsidRPr="00112D14" w:rsidRDefault="003438A2" w:rsidP="00112D14">
      <w:pPr>
        <w:pStyle w:val="EndNoteBibliography"/>
        <w:spacing w:after="0"/>
      </w:pPr>
      <w:bookmarkStart w:id="1380" w:name="_ENREF_814"/>
      <w:r w:rsidRPr="00112D14">
        <w:t xml:space="preserve">Wiman, N, Stoven, H &amp; Bush, MR 2019, ‘Apple pests’, in </w:t>
      </w:r>
      <w:r w:rsidRPr="00112D14">
        <w:rPr>
          <w:i/>
        </w:rPr>
        <w:t>PNW Insect Management Handbook</w:t>
      </w:r>
      <w:r w:rsidRPr="00112D14">
        <w:t>, Hollingsworth, CS (ed), Oregon State University, Oregon, USA.</w:t>
      </w:r>
      <w:bookmarkEnd w:id="1380"/>
    </w:p>
    <w:p w14:paraId="7578E538" w14:textId="77777777" w:rsidR="003438A2" w:rsidRPr="00112D14" w:rsidRDefault="003438A2" w:rsidP="00112D14">
      <w:pPr>
        <w:pStyle w:val="EndNoteBibliography"/>
        <w:spacing w:after="0"/>
      </w:pPr>
      <w:bookmarkStart w:id="1381" w:name="_ENREF_815"/>
      <w:r w:rsidRPr="00112D14">
        <w:t xml:space="preserve">Wise, JC, Vander Poppen, R &amp; Isaacs, R 2012, </w:t>
      </w:r>
      <w:r w:rsidRPr="00112D14">
        <w:rPr>
          <w:i/>
        </w:rPr>
        <w:t>Fruitworm factsheet</w:t>
      </w:r>
      <w:r w:rsidRPr="00112D14">
        <w:t>, Michigan State University, Michigan.</w:t>
      </w:r>
      <w:bookmarkEnd w:id="1381"/>
    </w:p>
    <w:p w14:paraId="39FE8596" w14:textId="77777777" w:rsidR="003438A2" w:rsidRPr="00112D14" w:rsidRDefault="003438A2" w:rsidP="00112D14">
      <w:pPr>
        <w:pStyle w:val="EndNoteBibliography"/>
        <w:spacing w:after="0"/>
      </w:pPr>
      <w:bookmarkStart w:id="1382" w:name="_ENREF_816"/>
      <w:r w:rsidRPr="00112D14">
        <w:t>Wiseman, M</w:t>
      </w:r>
      <w:r>
        <w:t>S</w:t>
      </w:r>
      <w:r w:rsidRPr="00112D14">
        <w:t xml:space="preserve">, Dugan, F &amp; Xiao, C 2016, ‘Potential hosts for </w:t>
      </w:r>
      <w:r w:rsidRPr="00112D14">
        <w:rPr>
          <w:i/>
        </w:rPr>
        <w:t>Lambertella corni-maris</w:t>
      </w:r>
      <w:r w:rsidRPr="00112D14">
        <w:t xml:space="preserve"> and </w:t>
      </w:r>
      <w:r w:rsidRPr="00112D14">
        <w:rPr>
          <w:i/>
        </w:rPr>
        <w:t>Phacidium lacerum</w:t>
      </w:r>
      <w:r w:rsidRPr="00112D14">
        <w:t xml:space="preserve"> within the family Rosaceae’, </w:t>
      </w:r>
      <w:r w:rsidRPr="00112D14">
        <w:rPr>
          <w:i/>
        </w:rPr>
        <w:t>Plant Health Progress</w:t>
      </w:r>
      <w:r w:rsidRPr="00112D14">
        <w:t>, vol. 17, no. 2, pp. 128-9.</w:t>
      </w:r>
      <w:bookmarkEnd w:id="1382"/>
    </w:p>
    <w:p w14:paraId="7457A93A" w14:textId="77777777" w:rsidR="003438A2" w:rsidRPr="00112D14" w:rsidRDefault="003438A2" w:rsidP="00112D14">
      <w:pPr>
        <w:pStyle w:val="EndNoteBibliography"/>
        <w:spacing w:after="0"/>
      </w:pPr>
      <w:bookmarkStart w:id="1383" w:name="_ENREF_817"/>
      <w:r w:rsidRPr="00112D14">
        <w:t xml:space="preserve">Wiseman, MS, Dugan, FM, Kim, YK &amp; Xiao, CL 2015, ‘A postharvest fruit rot of apple caused by </w:t>
      </w:r>
      <w:r w:rsidRPr="00112D14">
        <w:rPr>
          <w:i/>
        </w:rPr>
        <w:t>Lambertella cornimaris</w:t>
      </w:r>
      <w:r w:rsidRPr="00112D14">
        <w:t xml:space="preserve"> in Washington State’, </w:t>
      </w:r>
      <w:r w:rsidRPr="00112D14">
        <w:rPr>
          <w:i/>
        </w:rPr>
        <w:t>Plant Disease</w:t>
      </w:r>
      <w:r w:rsidRPr="00112D14">
        <w:t>, vol. 99, pp. 201-6.</w:t>
      </w:r>
      <w:bookmarkEnd w:id="1383"/>
    </w:p>
    <w:p w14:paraId="6203F8D3" w14:textId="77777777" w:rsidR="003438A2" w:rsidRPr="00112D14" w:rsidRDefault="003438A2" w:rsidP="00112D14">
      <w:pPr>
        <w:pStyle w:val="EndNoteBibliography"/>
        <w:spacing w:after="0"/>
      </w:pPr>
      <w:bookmarkStart w:id="1384" w:name="_ENREF_818"/>
      <w:r w:rsidRPr="00112D14">
        <w:t xml:space="preserve">Wiseman, MS, Kim, YK, Dugan, FM, Rogers, JD &amp; Xiao, CL 2016, ‘A new postharvest fruit rot in apple and pear caused by </w:t>
      </w:r>
      <w:r w:rsidRPr="00112D14">
        <w:rPr>
          <w:i/>
        </w:rPr>
        <w:t>Phacidium lacerum</w:t>
      </w:r>
      <w:r w:rsidRPr="00112D14">
        <w:t xml:space="preserve">’, </w:t>
      </w:r>
      <w:r w:rsidRPr="00112D14">
        <w:rPr>
          <w:i/>
        </w:rPr>
        <w:t>Plant Disease</w:t>
      </w:r>
      <w:r w:rsidRPr="00112D14">
        <w:t>, vol. 100, pp. 32-9.</w:t>
      </w:r>
      <w:bookmarkEnd w:id="1384"/>
    </w:p>
    <w:p w14:paraId="4D6DA013" w14:textId="77777777" w:rsidR="003438A2" w:rsidRPr="00112D14" w:rsidRDefault="003438A2" w:rsidP="00112D14">
      <w:pPr>
        <w:pStyle w:val="EndNoteBibliography"/>
        <w:spacing w:after="0"/>
      </w:pPr>
      <w:bookmarkStart w:id="1385" w:name="_ENREF_819"/>
      <w:r w:rsidRPr="00112D14">
        <w:t xml:space="preserve">Wistermann, A, Steffen, K, Grousset, F, Petter, F, Schrader, G &amp; Suffert, M 2016, </w:t>
      </w:r>
      <w:r w:rsidRPr="00112D14">
        <w:rPr>
          <w:i/>
        </w:rPr>
        <w:t>Pathways of introduction of fruit pests and pathogens Deliverable 1.3. Part 5-report on apples-fruit pathway and alert list</w:t>
      </w:r>
      <w:r w:rsidRPr="00112D14">
        <w:t>, DROPSA, EU project number 613678, European Union’s Seventh Framework Programme for research, technological development and demonstration, European Union.</w:t>
      </w:r>
      <w:bookmarkEnd w:id="1385"/>
    </w:p>
    <w:p w14:paraId="01A2E88D" w14:textId="77777777" w:rsidR="003438A2" w:rsidRPr="00112D14" w:rsidRDefault="003438A2" w:rsidP="00112D14">
      <w:pPr>
        <w:pStyle w:val="EndNoteBibliography"/>
        <w:spacing w:after="0"/>
      </w:pPr>
      <w:bookmarkStart w:id="1386" w:name="_ENREF_820"/>
      <w:r w:rsidRPr="00112D14">
        <w:t xml:space="preserve">Wright, AA, Szostek, SA, Beaver-Kanuya, E &amp; Harper, SJ 2018, ‘Diversity of three bunya-like viruses infecting apple’, </w:t>
      </w:r>
      <w:r w:rsidRPr="00112D14">
        <w:rPr>
          <w:i/>
        </w:rPr>
        <w:t>Archives of Virology</w:t>
      </w:r>
      <w:r w:rsidRPr="00112D14">
        <w:t>, vol. 163, pp. 3339-43.</w:t>
      </w:r>
      <w:bookmarkEnd w:id="1386"/>
    </w:p>
    <w:p w14:paraId="61C00F0F" w14:textId="1CE4B83C" w:rsidR="003438A2" w:rsidRPr="00112D14" w:rsidRDefault="003438A2" w:rsidP="00112D14">
      <w:pPr>
        <w:pStyle w:val="EndNoteBibliography"/>
        <w:spacing w:after="0"/>
      </w:pPr>
      <w:bookmarkStart w:id="1387" w:name="_ENREF_821"/>
      <w:r w:rsidRPr="00112D14">
        <w:t>WSDA 2019, ‘</w:t>
      </w:r>
      <w:r w:rsidRPr="00112D14">
        <w:rPr>
          <w:i/>
        </w:rPr>
        <w:t>Argyresthia pruniella s</w:t>
      </w:r>
      <w:r w:rsidRPr="00112D14">
        <w:t>creening aid’, Washington State Department of Agriculture, available at</w:t>
      </w:r>
      <w:r w:rsidR="002D5F1F">
        <w:t>,</w:t>
      </w:r>
      <w:r w:rsidRPr="00112D14">
        <w:t xml:space="preserve"> </w:t>
      </w:r>
      <w:hyperlink r:id="rId310" w:history="1">
        <w:r w:rsidR="002D5F1F" w:rsidRPr="00847402">
          <w:rPr>
            <w:rStyle w:val="Hyperlink"/>
          </w:rPr>
          <w:t>http://download.ceris.purdue.edu/file/2305</w:t>
        </w:r>
      </w:hyperlink>
      <w:r w:rsidR="002D5F1F">
        <w:t xml:space="preserve"> </w:t>
      </w:r>
      <w:r w:rsidRPr="00112D14">
        <w:t>(pdf 982 kb).</w:t>
      </w:r>
      <w:bookmarkEnd w:id="1387"/>
    </w:p>
    <w:p w14:paraId="200EA83D" w14:textId="77777777" w:rsidR="003438A2" w:rsidRPr="00112D14" w:rsidRDefault="003438A2" w:rsidP="00112D14">
      <w:pPr>
        <w:pStyle w:val="EndNoteBibliography"/>
        <w:spacing w:after="0"/>
      </w:pPr>
      <w:bookmarkStart w:id="1388" w:name="_ENREF_822"/>
      <w:r w:rsidRPr="00112D14">
        <w:t xml:space="preserve">WSU 2005, </w:t>
      </w:r>
      <w:r w:rsidRPr="00112D14">
        <w:rPr>
          <w:i/>
        </w:rPr>
        <w:t>Postharvest diseases of apples and pears: Sphaeropsis rot</w:t>
      </w:r>
      <w:r w:rsidRPr="00112D14">
        <w:t>, Washington State University.</w:t>
      </w:r>
      <w:bookmarkEnd w:id="1388"/>
    </w:p>
    <w:p w14:paraId="6D58FFC7" w14:textId="77777777" w:rsidR="003438A2" w:rsidRPr="00112D14" w:rsidRDefault="003438A2" w:rsidP="00112D14">
      <w:pPr>
        <w:pStyle w:val="EndNoteBibliography"/>
        <w:spacing w:after="0"/>
      </w:pPr>
      <w:bookmarkStart w:id="1389" w:name="_ENREF_823"/>
      <w:r w:rsidRPr="00112D14">
        <w:t xml:space="preserve">-- -- 2009, </w:t>
      </w:r>
      <w:r w:rsidRPr="00112D14">
        <w:rPr>
          <w:i/>
        </w:rPr>
        <w:t>2009 Crop protection guide for tree fruits in Washington</w:t>
      </w:r>
      <w:r w:rsidRPr="00112D14">
        <w:t>, EB0419, Washington State University Extension.</w:t>
      </w:r>
      <w:bookmarkEnd w:id="1389"/>
    </w:p>
    <w:p w14:paraId="0A596A69" w14:textId="77777777" w:rsidR="003438A2" w:rsidRPr="00112D14" w:rsidRDefault="003438A2" w:rsidP="00112D14">
      <w:pPr>
        <w:pStyle w:val="EndNoteBibliography"/>
        <w:spacing w:after="0"/>
      </w:pPr>
      <w:bookmarkStart w:id="1390" w:name="_ENREF_824"/>
      <w:r w:rsidRPr="00112D14">
        <w:t xml:space="preserve">-- -- 2018, </w:t>
      </w:r>
      <w:r w:rsidRPr="00112D14">
        <w:rPr>
          <w:i/>
        </w:rPr>
        <w:t>Postharvest diseases of apples and pears</w:t>
      </w:r>
      <w:r w:rsidRPr="00112D14">
        <w:t>, Tree Fruit Research &amp; Extension Center, Washington State University (WSU).</w:t>
      </w:r>
      <w:bookmarkEnd w:id="1390"/>
    </w:p>
    <w:p w14:paraId="2353EE07" w14:textId="081BA8DB" w:rsidR="003438A2" w:rsidRPr="00112D14" w:rsidRDefault="003438A2" w:rsidP="00112D14">
      <w:pPr>
        <w:pStyle w:val="EndNoteBibliography"/>
        <w:spacing w:after="0"/>
      </w:pPr>
      <w:bookmarkStart w:id="1391" w:name="_ENREF_825"/>
      <w:r w:rsidRPr="00112D14">
        <w:t>-- -- 2020, ‘Crop Protection Guide: Apple Programs’, Washington State University (WSU), Washington, USA, available at</w:t>
      </w:r>
      <w:r w:rsidR="00D77609">
        <w:t>,</w:t>
      </w:r>
      <w:r w:rsidRPr="00112D14">
        <w:t xml:space="preserve"> </w:t>
      </w:r>
      <w:hyperlink r:id="rId311" w:history="1">
        <w:r w:rsidR="00260668" w:rsidRPr="009E4A79">
          <w:rPr>
            <w:rStyle w:val="Hyperlink"/>
          </w:rPr>
          <w:t>http://cpg.treefruit.wsu.edu/apple-programs/overview/</w:t>
        </w:r>
      </w:hyperlink>
      <w:r w:rsidRPr="00112D14">
        <w:t>.</w:t>
      </w:r>
      <w:bookmarkEnd w:id="1391"/>
    </w:p>
    <w:p w14:paraId="65DF38A4" w14:textId="77777777" w:rsidR="003438A2" w:rsidRPr="00112D14" w:rsidRDefault="003438A2" w:rsidP="00112D14">
      <w:pPr>
        <w:pStyle w:val="EndNoteBibliography"/>
        <w:spacing w:after="0"/>
      </w:pPr>
      <w:bookmarkStart w:id="1392" w:name="_ENREF_826"/>
      <w:r w:rsidRPr="00112D14">
        <w:t xml:space="preserve">-- -- 2021, </w:t>
      </w:r>
      <w:r w:rsidRPr="00112D14">
        <w:rPr>
          <w:i/>
        </w:rPr>
        <w:t>Crop protection guide for tree fruits in Washington</w:t>
      </w:r>
      <w:r w:rsidRPr="00112D14">
        <w:t>, Washington State University (WSU), Washington, USA.</w:t>
      </w:r>
      <w:bookmarkEnd w:id="1392"/>
    </w:p>
    <w:p w14:paraId="3F8CCAF6" w14:textId="77777777" w:rsidR="003438A2" w:rsidRPr="00112D14" w:rsidRDefault="003438A2" w:rsidP="00112D14">
      <w:pPr>
        <w:pStyle w:val="EndNoteBibliography"/>
        <w:spacing w:after="0"/>
      </w:pPr>
      <w:bookmarkStart w:id="1393" w:name="_ENREF_827"/>
      <w:r w:rsidRPr="00112D14">
        <w:t xml:space="preserve">WSU Tree Fruit 2021a, </w:t>
      </w:r>
      <w:r w:rsidRPr="00112D14">
        <w:rPr>
          <w:i/>
        </w:rPr>
        <w:t>Lesser appleworm, Grapholita prunivora</w:t>
      </w:r>
      <w:r w:rsidRPr="00112D14">
        <w:t>, Washington State University, Washington State, USA.</w:t>
      </w:r>
      <w:bookmarkEnd w:id="1393"/>
    </w:p>
    <w:p w14:paraId="175321FA" w14:textId="77777777" w:rsidR="003438A2" w:rsidRPr="00112D14" w:rsidRDefault="003438A2" w:rsidP="00112D14">
      <w:pPr>
        <w:pStyle w:val="EndNoteBibliography"/>
        <w:spacing w:after="0"/>
      </w:pPr>
      <w:bookmarkStart w:id="1394" w:name="_ENREF_828"/>
      <w:r w:rsidRPr="00112D14">
        <w:t xml:space="preserve">-- -- 2021b, </w:t>
      </w:r>
      <w:r w:rsidRPr="00112D14">
        <w:rPr>
          <w:i/>
        </w:rPr>
        <w:t>Other pests</w:t>
      </w:r>
      <w:r w:rsidRPr="00112D14">
        <w:t>, Washington State University, Washington State, USA.</w:t>
      </w:r>
      <w:bookmarkEnd w:id="1394"/>
    </w:p>
    <w:p w14:paraId="6B4B28CB" w14:textId="28299EB8" w:rsidR="003438A2" w:rsidRPr="00112D14" w:rsidRDefault="003438A2" w:rsidP="00112D14">
      <w:pPr>
        <w:pStyle w:val="EndNoteBibliography"/>
        <w:spacing w:after="0"/>
      </w:pPr>
      <w:bookmarkStart w:id="1395" w:name="_ENREF_829"/>
      <w:r w:rsidRPr="00112D14">
        <w:t xml:space="preserve">-- -- 2021c, ‘Shipping’, </w:t>
      </w:r>
      <w:r w:rsidRPr="00112D14">
        <w:rPr>
          <w:i/>
        </w:rPr>
        <w:t>WSU Tree Fruit</w:t>
      </w:r>
      <w:r w:rsidRPr="00112D14">
        <w:t>, Washington State University, Washington State, USA, available at</w:t>
      </w:r>
      <w:r w:rsidR="00D77609">
        <w:t>,</w:t>
      </w:r>
      <w:r w:rsidRPr="00112D14">
        <w:t xml:space="preserve"> </w:t>
      </w:r>
      <w:hyperlink r:id="rId312" w:history="1">
        <w:r w:rsidR="00260668" w:rsidRPr="009E4A79">
          <w:rPr>
            <w:rStyle w:val="Hyperlink"/>
          </w:rPr>
          <w:t>http://treefruit.wsu.edu/web-article/shipping/</w:t>
        </w:r>
      </w:hyperlink>
      <w:r w:rsidRPr="00112D14">
        <w:t>.</w:t>
      </w:r>
      <w:bookmarkEnd w:id="1395"/>
    </w:p>
    <w:p w14:paraId="3D68DDB2" w14:textId="5FBAC56B" w:rsidR="003438A2" w:rsidRPr="00112D14" w:rsidRDefault="003438A2" w:rsidP="00112D14">
      <w:pPr>
        <w:pStyle w:val="EndNoteBibliography"/>
        <w:spacing w:after="0"/>
      </w:pPr>
      <w:bookmarkStart w:id="1396" w:name="_ENREF_830"/>
      <w:r w:rsidRPr="00112D14">
        <w:t xml:space="preserve">WTO 1995, </w:t>
      </w:r>
      <w:r w:rsidRPr="00112D14">
        <w:rPr>
          <w:i/>
        </w:rPr>
        <w:t>Agreement on the application of sanitary and phytosanitary measures</w:t>
      </w:r>
      <w:r w:rsidRPr="00112D14">
        <w:t>, World Trade Organization, Geneva, available at</w:t>
      </w:r>
      <w:r w:rsidR="00D77609">
        <w:t>,</w:t>
      </w:r>
      <w:r w:rsidRPr="00112D14">
        <w:t xml:space="preserve"> </w:t>
      </w:r>
      <w:hyperlink r:id="rId313" w:history="1">
        <w:r w:rsidR="00260668" w:rsidRPr="009E4A79">
          <w:rPr>
            <w:rStyle w:val="Hyperlink"/>
          </w:rPr>
          <w:t>https://www.wto.org/english/docs_e/legal_e/15-sps.pdf</w:t>
        </w:r>
      </w:hyperlink>
      <w:r w:rsidRPr="00112D14">
        <w:t xml:space="preserve"> (pdf 91 kb).</w:t>
      </w:r>
      <w:bookmarkEnd w:id="1396"/>
    </w:p>
    <w:p w14:paraId="7B0DC981" w14:textId="77777777" w:rsidR="003438A2" w:rsidRPr="00112D14" w:rsidRDefault="003438A2" w:rsidP="00112D14">
      <w:pPr>
        <w:pStyle w:val="EndNoteBibliography"/>
        <w:spacing w:after="0"/>
      </w:pPr>
      <w:bookmarkStart w:id="1397" w:name="_ENREF_831"/>
      <w:r w:rsidRPr="00112D14">
        <w:t xml:space="preserve">-- -- 2005, </w:t>
      </w:r>
      <w:r w:rsidRPr="00112D14">
        <w:rPr>
          <w:i/>
        </w:rPr>
        <w:t>Japan: measures affecting the importation of apples</w:t>
      </w:r>
      <w:r w:rsidRPr="00112D14">
        <w:t>, DS245, Dispute Settlement, World Trade Organization.</w:t>
      </w:r>
      <w:bookmarkEnd w:id="1397"/>
    </w:p>
    <w:p w14:paraId="5AF863E1" w14:textId="1B348C24" w:rsidR="003438A2" w:rsidRPr="00112D14" w:rsidRDefault="003438A2" w:rsidP="00112D14">
      <w:pPr>
        <w:pStyle w:val="EndNoteBibliography"/>
        <w:spacing w:after="0"/>
      </w:pPr>
      <w:bookmarkStart w:id="1398" w:name="_ENREF_832"/>
      <w:r w:rsidRPr="00112D14">
        <w:t xml:space="preserve">-- -- 2010, </w:t>
      </w:r>
      <w:r w:rsidRPr="00112D14">
        <w:rPr>
          <w:i/>
        </w:rPr>
        <w:t>Australia- measures affecting the importation of apples from New Zealand</w:t>
      </w:r>
      <w:r w:rsidRPr="00112D14">
        <w:t>, WT/DS367/AB/R (10-6392), World Trade Organisation, Geneva, available at</w:t>
      </w:r>
      <w:r w:rsidR="00D77609">
        <w:t>,</w:t>
      </w:r>
      <w:r w:rsidRPr="00112D14">
        <w:t xml:space="preserve"> </w:t>
      </w:r>
      <w:hyperlink r:id="rId314" w:history="1">
        <w:r w:rsidR="00267B05" w:rsidRPr="009E4A79">
          <w:rPr>
            <w:rStyle w:val="Hyperlink"/>
          </w:rPr>
          <w:t>https://docs.wto.org/dol2fe/Pages/FE_Search/FE_S_S006.aspx?Query=(@Symbol=%20wt/ds367/*)&amp;Language=ENGLISH&amp;Context=FomerScriptedSearch&amp;languageUIChanged=true#</w:t>
        </w:r>
      </w:hyperlink>
      <w:r w:rsidRPr="00112D14">
        <w:t>.</w:t>
      </w:r>
      <w:bookmarkEnd w:id="1398"/>
    </w:p>
    <w:p w14:paraId="061C9F0F" w14:textId="77777777" w:rsidR="003438A2" w:rsidRPr="00112D14" w:rsidRDefault="003438A2" w:rsidP="00112D14">
      <w:pPr>
        <w:pStyle w:val="EndNoteBibliography"/>
        <w:spacing w:after="0"/>
      </w:pPr>
      <w:bookmarkStart w:id="1399" w:name="_ENREF_833"/>
      <w:r w:rsidRPr="00112D14">
        <w:t xml:space="preserve">Xi, D, Li, J, Han, C, Li, D, Yu, J &amp; Zhou, X 2008, ‘Complete nucleotide sequence of a new strain of </w:t>
      </w:r>
      <w:r w:rsidRPr="00112D14">
        <w:rPr>
          <w:i/>
        </w:rPr>
        <w:t>Tobacco necrosis virus A</w:t>
      </w:r>
      <w:r w:rsidRPr="00112D14">
        <w:t xml:space="preserve"> infecting soybean in China and infectivity of its full-length cDNA clone’, </w:t>
      </w:r>
      <w:r w:rsidRPr="00112D14">
        <w:rPr>
          <w:i/>
        </w:rPr>
        <w:t>Virus Genes</w:t>
      </w:r>
      <w:r w:rsidRPr="00112D14">
        <w:t>, vol. 36, pp. 259-66.</w:t>
      </w:r>
      <w:bookmarkEnd w:id="1399"/>
    </w:p>
    <w:p w14:paraId="130EC0A5" w14:textId="77777777" w:rsidR="003438A2" w:rsidRPr="00112D14" w:rsidRDefault="003438A2" w:rsidP="00112D14">
      <w:pPr>
        <w:pStyle w:val="EndNoteBibliography"/>
        <w:spacing w:after="0"/>
      </w:pPr>
      <w:bookmarkStart w:id="1400" w:name="_ENREF_834"/>
      <w:r w:rsidRPr="00112D14">
        <w:t>Xiao, C</w:t>
      </w:r>
      <w:r>
        <w:t>L</w:t>
      </w:r>
      <w:r w:rsidRPr="00112D14">
        <w:t xml:space="preserve"> &amp; Boal, R</w:t>
      </w:r>
      <w:r>
        <w:t>J</w:t>
      </w:r>
      <w:r w:rsidRPr="00112D14">
        <w:t xml:space="preserve"> 2005a, ‘Distribution of </w:t>
      </w:r>
      <w:r w:rsidRPr="00112D14">
        <w:rPr>
          <w:i/>
        </w:rPr>
        <w:t xml:space="preserve">Potebniamyces pyri </w:t>
      </w:r>
      <w:r w:rsidRPr="00112D14">
        <w:t xml:space="preserve">in the US Pacific Northwest and its association with a canker and twig dieback disease of pear trees’, </w:t>
      </w:r>
      <w:r w:rsidRPr="00112D14">
        <w:rPr>
          <w:i/>
        </w:rPr>
        <w:t>Plant disease</w:t>
      </w:r>
      <w:r w:rsidRPr="00112D14">
        <w:t>, vol. 89, no. 9, pp. 920-5.</w:t>
      </w:r>
      <w:bookmarkEnd w:id="1400"/>
    </w:p>
    <w:p w14:paraId="38012447" w14:textId="77777777" w:rsidR="003438A2" w:rsidRPr="00112D14" w:rsidRDefault="003438A2" w:rsidP="00112D14">
      <w:pPr>
        <w:pStyle w:val="EndNoteBibliography"/>
        <w:spacing w:after="0"/>
      </w:pPr>
      <w:bookmarkStart w:id="1401" w:name="_ENREF_835"/>
      <w:r w:rsidRPr="00112D14">
        <w:t xml:space="preserve">-- -- 2005b, ‘A new canker and twig dieback disease of apple and crabapple trees caused by </w:t>
      </w:r>
      <w:r w:rsidRPr="00112D14">
        <w:rPr>
          <w:i/>
        </w:rPr>
        <w:t xml:space="preserve">Sphaeropsis pyriputerescens </w:t>
      </w:r>
      <w:r w:rsidRPr="00112D14">
        <w:t xml:space="preserve">in Washington state’, </w:t>
      </w:r>
      <w:r w:rsidRPr="00112D14">
        <w:rPr>
          <w:i/>
        </w:rPr>
        <w:t>Plant Disease</w:t>
      </w:r>
      <w:r w:rsidRPr="00112D14">
        <w:t>, vol. 89, no. 10, p. 1130.</w:t>
      </w:r>
      <w:bookmarkEnd w:id="1401"/>
    </w:p>
    <w:p w14:paraId="1ED98353" w14:textId="77777777" w:rsidR="003438A2" w:rsidRPr="00112D14" w:rsidRDefault="003438A2" w:rsidP="00112D14">
      <w:pPr>
        <w:pStyle w:val="EndNoteBibliography"/>
        <w:spacing w:after="0"/>
      </w:pPr>
      <w:bookmarkStart w:id="1402" w:name="_ENREF_836"/>
      <w:r w:rsidRPr="00112D14">
        <w:t>Xiao, C</w:t>
      </w:r>
      <w:r>
        <w:t>L</w:t>
      </w:r>
      <w:r w:rsidRPr="00112D14">
        <w:t xml:space="preserve"> &amp; Rogers, JD 2004, ‘A post harvest fruit rot in d'Anjou pears caused by </w:t>
      </w:r>
      <w:r w:rsidRPr="00112D14">
        <w:rPr>
          <w:i/>
        </w:rPr>
        <w:t>Sphaeropsis pyriputrescens</w:t>
      </w:r>
      <w:r w:rsidRPr="00112D14">
        <w:t xml:space="preserve"> sp. nov.’, </w:t>
      </w:r>
      <w:r w:rsidRPr="00112D14">
        <w:rPr>
          <w:i/>
        </w:rPr>
        <w:t>Plant Disease</w:t>
      </w:r>
      <w:r w:rsidRPr="00112D14">
        <w:t>, vol. 88, pp. 114-8.</w:t>
      </w:r>
      <w:bookmarkEnd w:id="1402"/>
    </w:p>
    <w:p w14:paraId="198FBE3A" w14:textId="77777777" w:rsidR="003438A2" w:rsidRPr="00112D14" w:rsidRDefault="003438A2" w:rsidP="00112D14">
      <w:pPr>
        <w:pStyle w:val="EndNoteBibliography"/>
        <w:spacing w:after="0"/>
      </w:pPr>
      <w:bookmarkStart w:id="1403" w:name="_ENREF_837"/>
      <w:r w:rsidRPr="00112D14">
        <w:t>Xiao, C</w:t>
      </w:r>
      <w:r>
        <w:t>L</w:t>
      </w:r>
      <w:r w:rsidRPr="00112D14">
        <w:t xml:space="preserve">, Rogers, JD &amp; Boal, RJ 2004, ‘First report of new post harvest fruit rot on apple caused by </w:t>
      </w:r>
      <w:r w:rsidRPr="00112D14">
        <w:rPr>
          <w:i/>
        </w:rPr>
        <w:t>Sphaeropsis pyriputrescens</w:t>
      </w:r>
      <w:r w:rsidRPr="00112D14">
        <w:t xml:space="preserve">’, </w:t>
      </w:r>
      <w:r w:rsidRPr="00112D14">
        <w:rPr>
          <w:i/>
        </w:rPr>
        <w:t>Plant Disease</w:t>
      </w:r>
      <w:r w:rsidRPr="00112D14">
        <w:t>, vol. 88, no. 2, pp. 223-.</w:t>
      </w:r>
      <w:bookmarkEnd w:id="1403"/>
    </w:p>
    <w:p w14:paraId="3A817DF4" w14:textId="77777777" w:rsidR="003438A2" w:rsidRPr="00112D14" w:rsidRDefault="003438A2" w:rsidP="00112D14">
      <w:pPr>
        <w:pStyle w:val="EndNoteBibliography"/>
        <w:spacing w:after="0"/>
      </w:pPr>
      <w:bookmarkStart w:id="1404" w:name="_ENREF_838"/>
      <w:r w:rsidRPr="00112D14">
        <w:t>Xiao, C</w:t>
      </w:r>
      <w:r>
        <w:t>L</w:t>
      </w:r>
      <w:r w:rsidRPr="00112D14">
        <w:t>, Rogers, JD, Kim, YK &amp; Liu, QY 2005, ‘</w:t>
      </w:r>
      <w:r w:rsidRPr="00112D14">
        <w:rPr>
          <w:i/>
        </w:rPr>
        <w:t>Phacidiopycnis washingtonensis:</w:t>
      </w:r>
      <w:r w:rsidRPr="00112D14">
        <w:t xml:space="preserve"> a new species associated with pome fruits in Washington State’, </w:t>
      </w:r>
      <w:r w:rsidRPr="00112D14">
        <w:rPr>
          <w:i/>
        </w:rPr>
        <w:t>Mycologia</w:t>
      </w:r>
      <w:r w:rsidRPr="00112D14">
        <w:t>, vol. 97, no. 2, pp. 464-73.</w:t>
      </w:r>
      <w:bookmarkEnd w:id="1404"/>
    </w:p>
    <w:p w14:paraId="14C9CD0A" w14:textId="4395DA04" w:rsidR="003438A2" w:rsidRPr="00112D14" w:rsidRDefault="003438A2" w:rsidP="00112D14">
      <w:pPr>
        <w:pStyle w:val="EndNoteBibliography"/>
        <w:spacing w:after="0"/>
      </w:pPr>
      <w:bookmarkStart w:id="1405" w:name="_ENREF_839"/>
      <w:r w:rsidRPr="00112D14">
        <w:t xml:space="preserve">Xiao, CL 2006, ‘Postharvest fruit rots in d'Anjou pears caused by </w:t>
      </w:r>
      <w:r w:rsidRPr="00112D14">
        <w:rPr>
          <w:i/>
        </w:rPr>
        <w:t>Botrytis cinerea</w:t>
      </w:r>
      <w:r w:rsidRPr="00112D14">
        <w:t xml:space="preserve">, </w:t>
      </w:r>
      <w:r w:rsidRPr="00112D14">
        <w:rPr>
          <w:i/>
        </w:rPr>
        <w:t>Potebniamyces pyri</w:t>
      </w:r>
      <w:r w:rsidRPr="00112D14">
        <w:t xml:space="preserve">, and </w:t>
      </w:r>
      <w:r w:rsidRPr="00112D14">
        <w:rPr>
          <w:i/>
        </w:rPr>
        <w:t>Sphaeropsis pyriputrescens</w:t>
      </w:r>
      <w:r w:rsidRPr="00112D14">
        <w:t xml:space="preserve">’, </w:t>
      </w:r>
      <w:r w:rsidRPr="00112D14">
        <w:rPr>
          <w:i/>
        </w:rPr>
        <w:t>Plant Health Progress</w:t>
      </w:r>
      <w:r w:rsidRPr="00112D14">
        <w:t>, vol. doi:10.1094/PHP-2006-0905-01-DG., pp. 1-11.</w:t>
      </w:r>
      <w:bookmarkEnd w:id="1405"/>
    </w:p>
    <w:p w14:paraId="1CCBB27B" w14:textId="77777777" w:rsidR="003438A2" w:rsidRPr="00112D14" w:rsidRDefault="003438A2" w:rsidP="00112D14">
      <w:pPr>
        <w:pStyle w:val="EndNoteBibliography"/>
        <w:spacing w:after="0"/>
      </w:pPr>
      <w:bookmarkStart w:id="1406" w:name="_ENREF_840"/>
      <w:r w:rsidRPr="00112D14">
        <w:t xml:space="preserve">-- -- 2007, </w:t>
      </w:r>
      <w:r w:rsidRPr="00112D14">
        <w:rPr>
          <w:i/>
        </w:rPr>
        <w:t>Sphaeropsis rot in apple</w:t>
      </w:r>
      <w:r w:rsidRPr="00112D14">
        <w:t>, WTFRC Project AH-05-510 (WSU Project No. 13C-3661-5366), Tree Fruit Research and Extension Center, Washington State University.</w:t>
      </w:r>
      <w:bookmarkEnd w:id="1406"/>
    </w:p>
    <w:p w14:paraId="4D8AD4DA" w14:textId="77777777" w:rsidR="003438A2" w:rsidRPr="00112D14" w:rsidRDefault="003438A2" w:rsidP="00112D14">
      <w:pPr>
        <w:pStyle w:val="EndNoteBibliography"/>
        <w:spacing w:after="0"/>
      </w:pPr>
      <w:bookmarkStart w:id="1407" w:name="_ENREF_841"/>
      <w:r w:rsidRPr="00112D14">
        <w:t xml:space="preserve">-- -- 2011, </w:t>
      </w:r>
      <w:r w:rsidRPr="00112D14">
        <w:rPr>
          <w:i/>
        </w:rPr>
        <w:t>Developing mitigation measures for Phacidiopycnis washingtonensis in apples for esport to China and Taiwan</w:t>
      </w:r>
      <w:r w:rsidRPr="00112D14">
        <w:t>, TASC Program Agreement #08011, USDA Foreign Agricultural Service, Wenatchee, WA (pdf 386 kb).</w:t>
      </w:r>
      <w:bookmarkEnd w:id="1407"/>
    </w:p>
    <w:p w14:paraId="62148390" w14:textId="77777777" w:rsidR="003438A2" w:rsidRPr="00112D14" w:rsidRDefault="003438A2" w:rsidP="00112D14">
      <w:pPr>
        <w:pStyle w:val="EndNoteBibliography"/>
        <w:spacing w:after="0"/>
      </w:pPr>
      <w:bookmarkStart w:id="1408" w:name="_ENREF_842"/>
      <w:r w:rsidRPr="00112D14">
        <w:t xml:space="preserve">-- -- 2013a, </w:t>
      </w:r>
      <w:r w:rsidRPr="00112D14">
        <w:rPr>
          <w:i/>
        </w:rPr>
        <w:t>Guidelines for control of speck rot in apples</w:t>
      </w:r>
      <w:r w:rsidRPr="00112D14">
        <w:t>, Washington State University, Washington.</w:t>
      </w:r>
      <w:bookmarkEnd w:id="1408"/>
    </w:p>
    <w:p w14:paraId="48081962" w14:textId="77777777" w:rsidR="003438A2" w:rsidRPr="00112D14" w:rsidRDefault="003438A2" w:rsidP="00112D14">
      <w:pPr>
        <w:pStyle w:val="EndNoteBibliography"/>
        <w:spacing w:after="0"/>
      </w:pPr>
      <w:bookmarkStart w:id="1409" w:name="_ENREF_843"/>
      <w:r w:rsidRPr="00112D14">
        <w:t xml:space="preserve">-- -- 2013b, </w:t>
      </w:r>
      <w:r w:rsidRPr="00112D14">
        <w:rPr>
          <w:i/>
        </w:rPr>
        <w:t>Guidelines for control of Sphaeropsis rot in apples</w:t>
      </w:r>
      <w:r w:rsidRPr="00112D14">
        <w:t>, Washington State University, Washington.</w:t>
      </w:r>
      <w:bookmarkEnd w:id="1409"/>
    </w:p>
    <w:p w14:paraId="79C297EB" w14:textId="77777777" w:rsidR="003438A2" w:rsidRPr="00112D14" w:rsidRDefault="003438A2" w:rsidP="00112D14">
      <w:pPr>
        <w:pStyle w:val="EndNoteBibliography"/>
        <w:spacing w:after="0"/>
      </w:pPr>
      <w:bookmarkStart w:id="1410" w:name="_ENREF_844"/>
      <w:r w:rsidRPr="00112D14">
        <w:t xml:space="preserve">Xiao, CL 2015, </w:t>
      </w:r>
      <w:r w:rsidRPr="00112D14">
        <w:rPr>
          <w:i/>
        </w:rPr>
        <w:t>Epidemiology and control of postharvest diseases and management of fungicide resistance in postharvest pathogens of apples</w:t>
      </w:r>
      <w:r w:rsidRPr="00112D14">
        <w:t>, National Institute of Food and Agriculture Submitted to Washington State University.</w:t>
      </w:r>
      <w:bookmarkEnd w:id="1410"/>
    </w:p>
    <w:p w14:paraId="394B11FA" w14:textId="77777777" w:rsidR="003438A2" w:rsidRPr="00112D14" w:rsidRDefault="003438A2" w:rsidP="00112D14">
      <w:pPr>
        <w:pStyle w:val="EndNoteBibliography"/>
        <w:spacing w:after="0"/>
      </w:pPr>
      <w:bookmarkStart w:id="1411" w:name="_ENREF_845"/>
      <w:r w:rsidRPr="00112D14">
        <w:t xml:space="preserve">Xiao, CL &amp; Boal, RJ 2002, ‘Pathogenicity and infection courts of </w:t>
      </w:r>
      <w:r w:rsidRPr="00112D14">
        <w:rPr>
          <w:i/>
        </w:rPr>
        <w:t>Phacidiopycnis piri</w:t>
      </w:r>
      <w:r w:rsidRPr="00112D14">
        <w:t xml:space="preserve"> in pears’, </w:t>
      </w:r>
      <w:r w:rsidRPr="00112D14">
        <w:rPr>
          <w:i/>
        </w:rPr>
        <w:t>Phytopathology</w:t>
      </w:r>
      <w:r w:rsidRPr="00112D14">
        <w:t>, vol. 92, no. 6 (suppl.), p. S88.</w:t>
      </w:r>
      <w:bookmarkEnd w:id="1411"/>
    </w:p>
    <w:p w14:paraId="0FFD6430" w14:textId="77777777" w:rsidR="003438A2" w:rsidRPr="00112D14" w:rsidRDefault="003438A2" w:rsidP="00112D14">
      <w:pPr>
        <w:pStyle w:val="EndNoteBibliography"/>
        <w:spacing w:after="0"/>
      </w:pPr>
      <w:bookmarkStart w:id="1412" w:name="_ENREF_846"/>
      <w:r w:rsidRPr="00112D14">
        <w:t xml:space="preserve">-- -- 2004a, ‘Inoculum availability and seasonal survival of </w:t>
      </w:r>
      <w:r w:rsidRPr="00112D14">
        <w:rPr>
          <w:i/>
        </w:rPr>
        <w:t>Potebniamyces pyri</w:t>
      </w:r>
      <w:r w:rsidRPr="00112D14">
        <w:t xml:space="preserve"> in pear orchards’, </w:t>
      </w:r>
      <w:r w:rsidRPr="00112D14">
        <w:rPr>
          <w:i/>
        </w:rPr>
        <w:t>Phytopathology</w:t>
      </w:r>
      <w:r w:rsidRPr="00112D14">
        <w:t>, vol. 94, no. 6 (suppl.), p. S112.</w:t>
      </w:r>
      <w:bookmarkEnd w:id="1412"/>
    </w:p>
    <w:p w14:paraId="06F93A0A" w14:textId="77777777" w:rsidR="003438A2" w:rsidRPr="00112D14" w:rsidRDefault="003438A2" w:rsidP="00112D14">
      <w:pPr>
        <w:pStyle w:val="EndNoteBibliography"/>
        <w:spacing w:after="0"/>
      </w:pPr>
      <w:bookmarkStart w:id="1413" w:name="_ENREF_847"/>
      <w:r w:rsidRPr="00112D14">
        <w:t xml:space="preserve">-- -- 2004b, ‘Prevalence and incidence of Phacidiopycnis rot in d'Anjou pears in Washington State’, </w:t>
      </w:r>
      <w:r w:rsidRPr="00112D14">
        <w:rPr>
          <w:i/>
        </w:rPr>
        <w:t>Plant Disease</w:t>
      </w:r>
      <w:r w:rsidRPr="00112D14">
        <w:t>, vol. 88, no. 4, pp. 413-8.</w:t>
      </w:r>
      <w:bookmarkEnd w:id="1413"/>
    </w:p>
    <w:p w14:paraId="223458BE" w14:textId="77777777" w:rsidR="003438A2" w:rsidRPr="00112D14" w:rsidRDefault="003438A2" w:rsidP="00112D14">
      <w:pPr>
        <w:pStyle w:val="EndNoteBibliography"/>
        <w:spacing w:after="0"/>
      </w:pPr>
      <w:bookmarkStart w:id="1414" w:name="_ENREF_848"/>
      <w:r w:rsidRPr="00112D14">
        <w:t xml:space="preserve">-- -- 2005c, ‘Distribution of </w:t>
      </w:r>
      <w:r w:rsidRPr="00112D14">
        <w:rPr>
          <w:i/>
        </w:rPr>
        <w:t>Potebniamyces pyri</w:t>
      </w:r>
      <w:r w:rsidRPr="00112D14">
        <w:t xml:space="preserve"> in the U.S. Pacific Northwest and its association with canker and twig dieback disease of pear trees’, </w:t>
      </w:r>
      <w:r w:rsidRPr="00112D14">
        <w:rPr>
          <w:i/>
        </w:rPr>
        <w:t>Plant Disease</w:t>
      </w:r>
      <w:r w:rsidRPr="00112D14">
        <w:t>, vol. 89, pp. 920-5.</w:t>
      </w:r>
      <w:bookmarkEnd w:id="1414"/>
    </w:p>
    <w:p w14:paraId="4D3D32F6" w14:textId="77777777" w:rsidR="003438A2" w:rsidRPr="00112D14" w:rsidRDefault="003438A2" w:rsidP="00112D14">
      <w:pPr>
        <w:pStyle w:val="EndNoteBibliography"/>
        <w:spacing w:after="0"/>
      </w:pPr>
      <w:bookmarkStart w:id="1415" w:name="_ENREF_849"/>
      <w:r w:rsidRPr="00112D14">
        <w:t xml:space="preserve">Xiao, CL &amp; Kim, YK 2008, ‘Postharvest fruit rots in apples caused by </w:t>
      </w:r>
      <w:r w:rsidRPr="00112D14">
        <w:rPr>
          <w:i/>
        </w:rPr>
        <w:t>Botyrtis cinerea, Phacidiopycnis washingtonensis,</w:t>
      </w:r>
      <w:r w:rsidRPr="00112D14">
        <w:t xml:space="preserve"> and </w:t>
      </w:r>
      <w:r w:rsidRPr="00112D14">
        <w:rPr>
          <w:i/>
        </w:rPr>
        <w:t>Sphaeropsis pyriputrescen</w:t>
      </w:r>
      <w:r>
        <w:rPr>
          <w:i/>
        </w:rPr>
        <w:t>s</w:t>
      </w:r>
      <w:r w:rsidRPr="00112D14">
        <w:t xml:space="preserve">’, </w:t>
      </w:r>
      <w:r w:rsidRPr="00112D14">
        <w:rPr>
          <w:i/>
        </w:rPr>
        <w:t>Plant Health Progress</w:t>
      </w:r>
      <w:r w:rsidRPr="00112D14">
        <w:t>, vol. September, pp. 1-3.</w:t>
      </w:r>
      <w:bookmarkEnd w:id="1415"/>
    </w:p>
    <w:p w14:paraId="3FD8DB36" w14:textId="77777777" w:rsidR="003438A2" w:rsidRPr="00112D14" w:rsidRDefault="003438A2" w:rsidP="00112D14">
      <w:pPr>
        <w:pStyle w:val="EndNoteBibliography"/>
        <w:spacing w:after="0"/>
      </w:pPr>
      <w:bookmarkStart w:id="1416" w:name="_ENREF_850"/>
      <w:r w:rsidRPr="00112D14">
        <w:t xml:space="preserve">-- -- 2013, </w:t>
      </w:r>
      <w:r w:rsidRPr="00112D14">
        <w:rPr>
          <w:i/>
        </w:rPr>
        <w:t>Guidelines on pruning ‘Manchurian’ crabapple for fruit rot control</w:t>
      </w:r>
      <w:r w:rsidRPr="00112D14">
        <w:t>, Washington State University, Washington.</w:t>
      </w:r>
      <w:bookmarkEnd w:id="1416"/>
    </w:p>
    <w:p w14:paraId="7D5E8A45" w14:textId="77777777" w:rsidR="003438A2" w:rsidRPr="00112D14" w:rsidRDefault="003438A2" w:rsidP="00112D14">
      <w:pPr>
        <w:pStyle w:val="EndNoteBibliography"/>
        <w:spacing w:after="0"/>
      </w:pPr>
      <w:bookmarkStart w:id="1417" w:name="_ENREF_851"/>
      <w:r w:rsidRPr="00112D14">
        <w:t xml:space="preserve">Xiao, CL, Kim, YK &amp; Boal, RJ 2011, ‘Control of Sphaeropsis rot in stored apple fruit caused by </w:t>
      </w:r>
      <w:r w:rsidRPr="00112D14">
        <w:rPr>
          <w:i/>
        </w:rPr>
        <w:t>Sphaeropsis pyriputrescens</w:t>
      </w:r>
      <w:r w:rsidRPr="00112D14">
        <w:t xml:space="preserve"> with postharvest fungicides’, </w:t>
      </w:r>
      <w:r w:rsidRPr="00112D14">
        <w:rPr>
          <w:i/>
        </w:rPr>
        <w:t>Plant Disease</w:t>
      </w:r>
      <w:r w:rsidRPr="00112D14">
        <w:t>, vol. 95, pp. 1075-9.</w:t>
      </w:r>
      <w:bookmarkEnd w:id="1417"/>
    </w:p>
    <w:p w14:paraId="2EEB693C" w14:textId="77777777" w:rsidR="003438A2" w:rsidRPr="00112D14" w:rsidRDefault="003438A2" w:rsidP="00112D14">
      <w:pPr>
        <w:pStyle w:val="EndNoteBibliography"/>
        <w:spacing w:after="0"/>
      </w:pPr>
      <w:bookmarkStart w:id="1418" w:name="_ENREF_852"/>
      <w:r w:rsidRPr="00112D14">
        <w:t xml:space="preserve">Xiao, CL, Kim, YK &amp; Boal, RJ 2014, ‘Sources and availability of inoculum and seasonal survival of </w:t>
      </w:r>
      <w:r w:rsidRPr="00112D14">
        <w:rPr>
          <w:i/>
        </w:rPr>
        <w:t>Sphaeropsis pyriputrescens</w:t>
      </w:r>
      <w:r w:rsidRPr="00112D14">
        <w:t xml:space="preserve"> in apple orchards’, </w:t>
      </w:r>
      <w:r w:rsidRPr="00112D14">
        <w:rPr>
          <w:i/>
        </w:rPr>
        <w:t>Plant Disease</w:t>
      </w:r>
      <w:r w:rsidRPr="00112D14">
        <w:t>, vol. 98, no. 8, pp. 1043-9.</w:t>
      </w:r>
      <w:bookmarkEnd w:id="1418"/>
    </w:p>
    <w:p w14:paraId="1830F97E" w14:textId="77777777" w:rsidR="003438A2" w:rsidRPr="00112D14" w:rsidRDefault="003438A2" w:rsidP="00112D14">
      <w:pPr>
        <w:pStyle w:val="EndNoteBibliography"/>
        <w:spacing w:after="0"/>
      </w:pPr>
      <w:bookmarkStart w:id="1419" w:name="_ENREF_853"/>
      <w:r w:rsidRPr="00112D14">
        <w:t xml:space="preserve">Xiao, CL &amp; Sitton, JW 2004, ‘Effects of culture media and environmental factors on mycelial growth and pycnidial production of </w:t>
      </w:r>
      <w:r w:rsidRPr="00112D14">
        <w:rPr>
          <w:i/>
        </w:rPr>
        <w:t>Potebniamyces pyri</w:t>
      </w:r>
      <w:r w:rsidRPr="00112D14">
        <w:t xml:space="preserve">’, </w:t>
      </w:r>
      <w:r w:rsidRPr="00112D14">
        <w:rPr>
          <w:i/>
        </w:rPr>
        <w:t>Mycological Research</w:t>
      </w:r>
      <w:r w:rsidRPr="00112D14">
        <w:t>, vol. 108, pp. 926-32.</w:t>
      </w:r>
      <w:bookmarkEnd w:id="1419"/>
    </w:p>
    <w:p w14:paraId="29E01052" w14:textId="77777777" w:rsidR="003438A2" w:rsidRPr="00112D14" w:rsidRDefault="003438A2" w:rsidP="00112D14">
      <w:pPr>
        <w:pStyle w:val="EndNoteBibliography"/>
        <w:spacing w:after="0"/>
      </w:pPr>
      <w:bookmarkStart w:id="1420" w:name="_ENREF_854"/>
      <w:r w:rsidRPr="00112D14">
        <w:t xml:space="preserve">Xu, XM &amp; Robinson, JD 2010, ‘Effects of fruit maturity and wetness on the infection of apple fruit by </w:t>
      </w:r>
      <w:r w:rsidRPr="00112D14">
        <w:rPr>
          <w:i/>
        </w:rPr>
        <w:t>Neonectria galligena</w:t>
      </w:r>
      <w:r w:rsidRPr="00112D14">
        <w:t xml:space="preserve">’, </w:t>
      </w:r>
      <w:r w:rsidRPr="00112D14">
        <w:rPr>
          <w:i/>
        </w:rPr>
        <w:t>Plant Pathology</w:t>
      </w:r>
      <w:r w:rsidRPr="00112D14">
        <w:t>, vol. 59, pp. 542-7.</w:t>
      </w:r>
      <w:bookmarkEnd w:id="1420"/>
    </w:p>
    <w:p w14:paraId="13DEE073" w14:textId="77777777" w:rsidR="003438A2" w:rsidRPr="00112D14" w:rsidRDefault="003438A2" w:rsidP="00112D14">
      <w:pPr>
        <w:pStyle w:val="EndNoteBibliography"/>
        <w:spacing w:after="0"/>
      </w:pPr>
      <w:bookmarkStart w:id="1421" w:name="_ENREF_855"/>
      <w:r w:rsidRPr="00112D14">
        <w:t xml:space="preserve">Yan, F, Bengtsson, M, Makranczy, G &amp; Löfqvist, J 2003, ‘Roles of α-farnesene in the behaviors of codling moth females’, </w:t>
      </w:r>
      <w:r w:rsidRPr="00112D14">
        <w:rPr>
          <w:i/>
        </w:rPr>
        <w:t>Zeitschrift fur Naturforschung</w:t>
      </w:r>
      <w:r w:rsidRPr="00112D14">
        <w:t>, vol. 58, no. 1-2, pp. 113-8.</w:t>
      </w:r>
      <w:bookmarkEnd w:id="1421"/>
    </w:p>
    <w:p w14:paraId="68555A44" w14:textId="77777777" w:rsidR="003438A2" w:rsidRPr="00112D14" w:rsidRDefault="003438A2" w:rsidP="00112D14">
      <w:pPr>
        <w:pStyle w:val="EndNoteBibliography"/>
        <w:spacing w:after="0"/>
      </w:pPr>
      <w:bookmarkStart w:id="1422" w:name="_ENREF_856"/>
      <w:r w:rsidRPr="00112D14">
        <w:t xml:space="preserve">Yang, J, Liu, ZF, Fan, JQ, Wu, YP, Ma, RY &amp; Fan, RJ 2016, ‘Genetic variation and population structure of the oriental fruit moth, </w:t>
      </w:r>
      <w:r w:rsidRPr="00112D14">
        <w:rPr>
          <w:i/>
        </w:rPr>
        <w:t>Grapholita molesta</w:t>
      </w:r>
      <w:r w:rsidRPr="00112D14">
        <w:t xml:space="preserve"> in Shanxi, a major pome fruits growing region in North China’, </w:t>
      </w:r>
      <w:r w:rsidRPr="00112D14">
        <w:rPr>
          <w:i/>
        </w:rPr>
        <w:t>Journal of Asia-Paciﬁc Entomology</w:t>
      </w:r>
      <w:r w:rsidRPr="00112D14">
        <w:t>, vol. 19, pp. 1131-7.</w:t>
      </w:r>
      <w:bookmarkEnd w:id="1422"/>
    </w:p>
    <w:p w14:paraId="2D74CF47" w14:textId="77777777" w:rsidR="003438A2" w:rsidRPr="00112D14" w:rsidRDefault="003438A2" w:rsidP="00112D14">
      <w:pPr>
        <w:pStyle w:val="EndNoteBibliography"/>
        <w:spacing w:after="0"/>
      </w:pPr>
      <w:bookmarkStart w:id="1423" w:name="_ENREF_857"/>
      <w:r w:rsidRPr="00112D14">
        <w:t xml:space="preserve">Yee, W 2007, ‘Attraction, feeding, and control of </w:t>
      </w:r>
      <w:r w:rsidRPr="00112D14">
        <w:rPr>
          <w:i/>
        </w:rPr>
        <w:t>Rhagoletis pomonella</w:t>
      </w:r>
      <w:r w:rsidRPr="00112D14">
        <w:t xml:space="preserve"> (Diptera: Tephritidae) with GF-120 and added ammonia in Washington state’, </w:t>
      </w:r>
      <w:r w:rsidRPr="00112D14">
        <w:rPr>
          <w:i/>
        </w:rPr>
        <w:t>Florida Entomologist</w:t>
      </w:r>
      <w:r w:rsidRPr="00112D14">
        <w:t>, vol. 90, pp. 665-73.</w:t>
      </w:r>
      <w:bookmarkEnd w:id="1423"/>
    </w:p>
    <w:p w14:paraId="754091D5" w14:textId="77777777" w:rsidR="003438A2" w:rsidRPr="00112D14" w:rsidRDefault="003438A2" w:rsidP="00112D14">
      <w:pPr>
        <w:pStyle w:val="EndNoteBibliography"/>
        <w:spacing w:after="0"/>
      </w:pPr>
      <w:bookmarkStart w:id="1424" w:name="_ENREF_858"/>
      <w:r w:rsidRPr="00112D14">
        <w:t xml:space="preserve">Yee, WL &amp; Goughnour, RB 2006, ‘New host records for the apple maggot, </w:t>
      </w:r>
      <w:r w:rsidRPr="00112D14">
        <w:rPr>
          <w:i/>
        </w:rPr>
        <w:t>Rhagoletis pomonella</w:t>
      </w:r>
      <w:r w:rsidRPr="00112D14">
        <w:t xml:space="preserve"> (Walsh) (Diptera: Tephritidae), in Washington State’, </w:t>
      </w:r>
      <w:r w:rsidRPr="00112D14">
        <w:rPr>
          <w:i/>
        </w:rPr>
        <w:t>The Pan-Pacific Entomologist</w:t>
      </w:r>
      <w:r w:rsidRPr="00112D14">
        <w:t>, vol. 82, no. 1, pp. 54-60.</w:t>
      </w:r>
      <w:bookmarkEnd w:id="1424"/>
    </w:p>
    <w:p w14:paraId="49279DAD" w14:textId="77777777" w:rsidR="003438A2" w:rsidRPr="00112D14" w:rsidRDefault="003438A2" w:rsidP="00112D14">
      <w:pPr>
        <w:pStyle w:val="EndNoteBibliography"/>
        <w:spacing w:after="0"/>
      </w:pPr>
      <w:bookmarkStart w:id="1425" w:name="_ENREF_859"/>
      <w:r w:rsidRPr="00112D14">
        <w:t xml:space="preserve">Yee, WL, Klaus, MW, Cha, DH, Linn, CE, Jr, Goughnour, RB &amp; Feder, JL 2012, ‘Abundance of apple maggot, </w:t>
      </w:r>
      <w:r w:rsidRPr="00112D14">
        <w:rPr>
          <w:i/>
        </w:rPr>
        <w:t>Rhagoletis pomonella</w:t>
      </w:r>
      <w:r w:rsidRPr="00112D14">
        <w:t xml:space="preserve">, across different areas in central Washington, with special reference to black-fruited hawthorns’, </w:t>
      </w:r>
      <w:r w:rsidRPr="00112D14">
        <w:rPr>
          <w:i/>
        </w:rPr>
        <w:t>Journal of Insect Science</w:t>
      </w:r>
      <w:r w:rsidRPr="00112D14">
        <w:t>, vol. 12 no. 124, pp. 1-14.</w:t>
      </w:r>
      <w:bookmarkEnd w:id="1425"/>
    </w:p>
    <w:p w14:paraId="0FD8D516" w14:textId="77777777" w:rsidR="003438A2" w:rsidRPr="00112D14" w:rsidRDefault="003438A2" w:rsidP="00112D14">
      <w:pPr>
        <w:pStyle w:val="EndNoteBibliography"/>
        <w:spacing w:after="0"/>
      </w:pPr>
      <w:bookmarkStart w:id="1426" w:name="_ENREF_860"/>
      <w:r w:rsidRPr="00112D14">
        <w:t xml:space="preserve">Yee, WL, Lawrence, TW, Hood, GR &amp; Feder, JL 2015, ‘New records of </w:t>
      </w:r>
      <w:r w:rsidRPr="00112D14">
        <w:rPr>
          <w:i/>
        </w:rPr>
        <w:t>Rhagoletis</w:t>
      </w:r>
      <w:r w:rsidRPr="00112D14">
        <w:t xml:space="preserve"> Loew, 1862 (Diptera: Tephritidae) and their host plants in western Montana, U.S.A.’, </w:t>
      </w:r>
      <w:r w:rsidRPr="00112D14">
        <w:rPr>
          <w:i/>
        </w:rPr>
        <w:t>Pan-Pacific Entomologist</w:t>
      </w:r>
      <w:r w:rsidRPr="00112D14">
        <w:t>, vol. 91, no. 1, pp. 39-57.</w:t>
      </w:r>
      <w:bookmarkEnd w:id="1426"/>
    </w:p>
    <w:p w14:paraId="0C735B4D" w14:textId="77777777" w:rsidR="003438A2" w:rsidRPr="00112D14" w:rsidRDefault="003438A2" w:rsidP="00112D14">
      <w:pPr>
        <w:pStyle w:val="EndNoteBibliography"/>
        <w:spacing w:after="0"/>
      </w:pPr>
      <w:bookmarkStart w:id="1427" w:name="_ENREF_861"/>
      <w:r w:rsidRPr="00112D14">
        <w:t xml:space="preserve">Yoder, KS 1990, ‘Blotch’, in </w:t>
      </w:r>
      <w:r w:rsidRPr="00112D14">
        <w:rPr>
          <w:i/>
        </w:rPr>
        <w:t>Compendium of apple and pear diseases</w:t>
      </w:r>
      <w:r w:rsidRPr="00112D14">
        <w:t>, Jones, AL &amp; Aldwinckle, HS (eds), The American Phytopathological Society Press, St. Paul, Minnesota.</w:t>
      </w:r>
      <w:bookmarkEnd w:id="1427"/>
    </w:p>
    <w:p w14:paraId="40825630" w14:textId="77777777" w:rsidR="003438A2" w:rsidRPr="00112D14" w:rsidRDefault="003438A2" w:rsidP="00112D14">
      <w:pPr>
        <w:pStyle w:val="EndNoteBibliography"/>
        <w:spacing w:after="0"/>
      </w:pPr>
      <w:bookmarkStart w:id="1428" w:name="_ENREF_862"/>
      <w:r w:rsidRPr="00112D14">
        <w:t xml:space="preserve">-- -- 2009, </w:t>
      </w:r>
      <w:r w:rsidRPr="00112D14">
        <w:rPr>
          <w:i/>
        </w:rPr>
        <w:t>Black pox: Helminthosporium papulosum</w:t>
      </w:r>
      <w:r w:rsidRPr="00112D14">
        <w:t>, Davis College of Agriculture, Forestry, and Consumer Sciences, Extension Service, West Virginia University.</w:t>
      </w:r>
      <w:bookmarkEnd w:id="1428"/>
    </w:p>
    <w:p w14:paraId="633158A3" w14:textId="77777777" w:rsidR="003438A2" w:rsidRPr="00112D14" w:rsidRDefault="003438A2" w:rsidP="00112D14">
      <w:pPr>
        <w:pStyle w:val="EndNoteBibliography"/>
        <w:spacing w:after="0"/>
      </w:pPr>
      <w:bookmarkStart w:id="1429" w:name="_ENREF_863"/>
      <w:r w:rsidRPr="00112D14">
        <w:t xml:space="preserve">Yokoyama, VY &amp; Miller, GT 2000, ‘Response of omnivorous leafroller (Lepidoptera: Tortricidae) and onion thrips (Thysanoptera: Thripidae) to low-temperature storage’, </w:t>
      </w:r>
      <w:r w:rsidRPr="00112D14">
        <w:rPr>
          <w:i/>
        </w:rPr>
        <w:t>Journal of Economic Entomology</w:t>
      </w:r>
      <w:r w:rsidRPr="00112D14">
        <w:t>, vol. 93, no. 3, pp. 1031-4.</w:t>
      </w:r>
      <w:bookmarkEnd w:id="1429"/>
    </w:p>
    <w:p w14:paraId="77223FF3" w14:textId="77777777" w:rsidR="003438A2" w:rsidRPr="00112D14" w:rsidRDefault="003438A2" w:rsidP="00112D14">
      <w:pPr>
        <w:pStyle w:val="EndNoteBibliography"/>
        <w:spacing w:after="0"/>
      </w:pPr>
      <w:bookmarkStart w:id="1430" w:name="_ENREF_864"/>
      <w:r w:rsidRPr="00112D14">
        <w:t xml:space="preserve">Yothers, MA 1914, </w:t>
      </w:r>
      <w:r w:rsidRPr="00112D14">
        <w:rPr>
          <w:i/>
        </w:rPr>
        <w:t>Some new fruit tree insects in Washington</w:t>
      </w:r>
      <w:r w:rsidRPr="00112D14">
        <w:t>, Republic Publishing Company, Wenatchee, Washington.</w:t>
      </w:r>
      <w:bookmarkEnd w:id="1430"/>
    </w:p>
    <w:p w14:paraId="77FC4C34" w14:textId="77777777" w:rsidR="003438A2" w:rsidRPr="00112D14" w:rsidRDefault="003438A2" w:rsidP="00112D14">
      <w:pPr>
        <w:pStyle w:val="EndNoteBibliography"/>
        <w:spacing w:after="0"/>
      </w:pPr>
      <w:bookmarkStart w:id="1431" w:name="_ENREF_865"/>
      <w:r w:rsidRPr="00112D14">
        <w:t xml:space="preserve">-- -- 1916, ‘Bud weevils and other bud-eating insects of Washington’, </w:t>
      </w:r>
      <w:r w:rsidRPr="00112D14">
        <w:rPr>
          <w:i/>
        </w:rPr>
        <w:t>Agricultural Experiment Station Bulletin</w:t>
      </w:r>
      <w:r w:rsidRPr="00112D14">
        <w:t>, vol. 124, pp. 1-43.</w:t>
      </w:r>
      <w:bookmarkEnd w:id="1431"/>
    </w:p>
    <w:p w14:paraId="25045BB5" w14:textId="77777777" w:rsidR="003438A2" w:rsidRPr="00112D14" w:rsidRDefault="003438A2" w:rsidP="00112D14">
      <w:pPr>
        <w:pStyle w:val="EndNoteBibliography"/>
        <w:spacing w:after="0"/>
      </w:pPr>
      <w:bookmarkStart w:id="1432" w:name="_ENREF_866"/>
      <w:r w:rsidRPr="00112D14">
        <w:t xml:space="preserve">-- -- 1928, ‘Observations on the snout-beetle, </w:t>
      </w:r>
      <w:r w:rsidRPr="00112D14">
        <w:rPr>
          <w:i/>
        </w:rPr>
        <w:t>Evotusnaso</w:t>
      </w:r>
      <w:r w:rsidRPr="00112D14">
        <w:t xml:space="preserve"> lec., on apple trees at Yakima, Washington’, </w:t>
      </w:r>
      <w:r w:rsidRPr="00112D14">
        <w:rPr>
          <w:i/>
        </w:rPr>
        <w:t>Journal of Economic Entomology</w:t>
      </w:r>
      <w:r w:rsidRPr="00112D14">
        <w:t>, vol. 21, pp. 832-6.</w:t>
      </w:r>
      <w:bookmarkEnd w:id="1432"/>
    </w:p>
    <w:p w14:paraId="333EE920" w14:textId="77777777" w:rsidR="003438A2" w:rsidRPr="00112D14" w:rsidRDefault="003438A2" w:rsidP="00112D14">
      <w:pPr>
        <w:pStyle w:val="EndNoteBibliography"/>
        <w:spacing w:after="0"/>
      </w:pPr>
      <w:bookmarkStart w:id="1433" w:name="_ENREF_867"/>
      <w:r w:rsidRPr="00112D14">
        <w:t>-- -- 1941, ‘</w:t>
      </w:r>
      <w:r w:rsidRPr="00112D14">
        <w:rPr>
          <w:i/>
        </w:rPr>
        <w:t>Dyslobus tanneri</w:t>
      </w:r>
      <w:r w:rsidRPr="00112D14">
        <w:t xml:space="preserve"> Van Dyke, a pest of apple in the Northwest’, </w:t>
      </w:r>
      <w:r w:rsidRPr="00112D14">
        <w:rPr>
          <w:i/>
        </w:rPr>
        <w:t>Journal of Economic Entomology</w:t>
      </w:r>
      <w:r w:rsidRPr="00112D14">
        <w:t>, vol. 34, no. 3, pp. 469-70.</w:t>
      </w:r>
      <w:bookmarkEnd w:id="1433"/>
    </w:p>
    <w:p w14:paraId="0F823736" w14:textId="77777777" w:rsidR="003438A2" w:rsidRPr="00112D14" w:rsidRDefault="003438A2" w:rsidP="00112D14">
      <w:pPr>
        <w:pStyle w:val="EndNoteBibliography"/>
        <w:spacing w:after="0"/>
      </w:pPr>
      <w:bookmarkStart w:id="1434" w:name="_ENREF_868"/>
      <w:r w:rsidRPr="00112D14">
        <w:t xml:space="preserve">Yuan, D 2014, ‘Disinfestation of apple leaf-curling midge, </w:t>
      </w:r>
      <w:r w:rsidRPr="00112D14">
        <w:rPr>
          <w:i/>
        </w:rPr>
        <w:t>Dasineura mali</w:t>
      </w:r>
      <w:r w:rsidRPr="00112D14">
        <w:t xml:space="preserve"> (Diptera: Cecidomyiidae) on post-harvest apple fruits by Ultraviolet-C radiation’, Master of AgriScience Thesis, Massey University.</w:t>
      </w:r>
      <w:bookmarkEnd w:id="1434"/>
    </w:p>
    <w:p w14:paraId="118CCA24" w14:textId="77777777" w:rsidR="003438A2" w:rsidRPr="00112D14" w:rsidRDefault="003438A2" w:rsidP="00112D14">
      <w:pPr>
        <w:pStyle w:val="EndNoteBibliography"/>
        <w:spacing w:after="0"/>
      </w:pPr>
      <w:bookmarkStart w:id="1435" w:name="_ENREF_869"/>
      <w:r w:rsidRPr="00112D14">
        <w:t xml:space="preserve">Yuan, Z 2017, </w:t>
      </w:r>
      <w:r w:rsidRPr="00112D14">
        <w:rPr>
          <w:i/>
        </w:rPr>
        <w:t>Pictorial atlas of plant diseases diagnosed in Tasmania</w:t>
      </w:r>
      <w:r w:rsidRPr="00112D14">
        <w:t>, Department of Primary Industries, Parks, Water &amp; Environment, Tasmania.</w:t>
      </w:r>
      <w:bookmarkEnd w:id="1435"/>
    </w:p>
    <w:p w14:paraId="61339168" w14:textId="77777777" w:rsidR="003438A2" w:rsidRPr="00112D14" w:rsidRDefault="003438A2" w:rsidP="00112D14">
      <w:pPr>
        <w:pStyle w:val="EndNoteBibliography"/>
        <w:spacing w:after="0"/>
      </w:pPr>
      <w:bookmarkStart w:id="1436" w:name="_ENREF_870"/>
      <w:r w:rsidRPr="00112D14">
        <w:t xml:space="preserve">Zaher, MA, Soliman, ZR &amp; El-Safi, GS 1974, ‘Biological studies on </w:t>
      </w:r>
      <w:r w:rsidRPr="00112D14">
        <w:rPr>
          <w:i/>
        </w:rPr>
        <w:t>Cenopalpus pulcher</w:t>
      </w:r>
      <w:r w:rsidRPr="00112D14">
        <w:t xml:space="preserve"> (Canestrini and Fanzago)’, </w:t>
      </w:r>
      <w:r w:rsidRPr="00112D14">
        <w:rPr>
          <w:i/>
        </w:rPr>
        <w:t>Bulletin de la Societe Entomologique d'Egypte</w:t>
      </w:r>
      <w:r w:rsidRPr="00112D14">
        <w:t>, vol. 58, pp. 367-73.</w:t>
      </w:r>
      <w:bookmarkEnd w:id="1436"/>
    </w:p>
    <w:p w14:paraId="125E23D1" w14:textId="77777777" w:rsidR="003438A2" w:rsidRPr="00112D14" w:rsidRDefault="003438A2" w:rsidP="00112D14">
      <w:pPr>
        <w:pStyle w:val="EndNoteBibliography"/>
        <w:spacing w:after="0"/>
      </w:pPr>
      <w:bookmarkStart w:id="1437" w:name="_ENREF_871"/>
      <w:r w:rsidRPr="00112D14">
        <w:t xml:space="preserve">Zalom, F &amp; Pickel, C 1988, ‘Spatial and seasonal distribution of damage to apples by </w:t>
      </w:r>
      <w:r w:rsidRPr="00112D14">
        <w:rPr>
          <w:i/>
        </w:rPr>
        <w:t>Argyrotaenia citrana</w:t>
      </w:r>
      <w:r w:rsidRPr="00112D14">
        <w:t xml:space="preserve"> (Fernald) and </w:t>
      </w:r>
      <w:r w:rsidRPr="00112D14">
        <w:rPr>
          <w:i/>
        </w:rPr>
        <w:t>Pandemis pyrusana</w:t>
      </w:r>
      <w:r w:rsidRPr="00112D14">
        <w:t xml:space="preserve"> Kearfott’, </w:t>
      </w:r>
      <w:r w:rsidRPr="00112D14">
        <w:rPr>
          <w:i/>
        </w:rPr>
        <w:t>Journal of Agricultural Entomology</w:t>
      </w:r>
      <w:r w:rsidRPr="00112D14">
        <w:t>, vol. 5, pp. 11-5.</w:t>
      </w:r>
      <w:bookmarkEnd w:id="1437"/>
    </w:p>
    <w:p w14:paraId="4090C505" w14:textId="77777777" w:rsidR="003438A2" w:rsidRPr="00112D14" w:rsidRDefault="003438A2" w:rsidP="00112D14">
      <w:pPr>
        <w:pStyle w:val="EndNoteBibliography"/>
        <w:spacing w:after="0"/>
      </w:pPr>
      <w:bookmarkStart w:id="1438" w:name="_ENREF_872"/>
      <w:r w:rsidRPr="00112D14">
        <w:t xml:space="preserve">Zawadzka, B &amp; Millikan, DF 1989, ‘Other infectious diseases of apples’, in </w:t>
      </w:r>
      <w:r w:rsidRPr="00112D14">
        <w:rPr>
          <w:i/>
        </w:rPr>
        <w:t>Virus and viruslike diseases of pome fruits and simulating noninfectious disorders</w:t>
      </w:r>
      <w:r w:rsidRPr="00112D14">
        <w:t>, Fridlund, PR (ed), Washington State University, Pullman.</w:t>
      </w:r>
      <w:bookmarkEnd w:id="1438"/>
    </w:p>
    <w:p w14:paraId="0CE31E39" w14:textId="77777777" w:rsidR="003438A2" w:rsidRPr="00112D14" w:rsidRDefault="003438A2" w:rsidP="00112D14">
      <w:pPr>
        <w:pStyle w:val="EndNoteBibliography"/>
        <w:spacing w:after="0"/>
      </w:pPr>
      <w:bookmarkStart w:id="1439" w:name="_ENREF_873"/>
      <w:r w:rsidRPr="00112D14">
        <w:t>Zeller, SM 1924, ‘</w:t>
      </w:r>
      <w:r w:rsidRPr="00112D14">
        <w:rPr>
          <w:i/>
        </w:rPr>
        <w:t>Sphaeropsis malorum</w:t>
      </w:r>
      <w:r w:rsidRPr="00112D14">
        <w:t xml:space="preserve"> and </w:t>
      </w:r>
      <w:r w:rsidRPr="00112D14">
        <w:rPr>
          <w:i/>
        </w:rPr>
        <w:t xml:space="preserve">Myxosporium corticola </w:t>
      </w:r>
      <w:r w:rsidRPr="00112D14">
        <w:t xml:space="preserve">on apple and pear in Oregon’, </w:t>
      </w:r>
      <w:r w:rsidRPr="00112D14">
        <w:rPr>
          <w:i/>
        </w:rPr>
        <w:t>Phytopathology</w:t>
      </w:r>
      <w:r w:rsidRPr="00112D14">
        <w:t>, vol. 14, pp. 329-33.</w:t>
      </w:r>
      <w:bookmarkEnd w:id="1439"/>
    </w:p>
    <w:p w14:paraId="000B162D" w14:textId="77777777" w:rsidR="003438A2" w:rsidRPr="00112D14" w:rsidRDefault="003438A2" w:rsidP="00112D14">
      <w:pPr>
        <w:pStyle w:val="EndNoteBibliography"/>
        <w:spacing w:after="0"/>
      </w:pPr>
      <w:bookmarkStart w:id="1440" w:name="_ENREF_874"/>
      <w:r w:rsidRPr="00112D14">
        <w:t xml:space="preserve">-- -- 1927, ‘Contributions to our knowledge of Oregon fungi: mycological notes for 1925’, </w:t>
      </w:r>
      <w:r w:rsidRPr="00112D14">
        <w:rPr>
          <w:i/>
        </w:rPr>
        <w:t>Mycologia</w:t>
      </w:r>
      <w:r w:rsidRPr="00112D14">
        <w:t>, vol. 19, pp. 130-43.</w:t>
      </w:r>
      <w:bookmarkEnd w:id="1440"/>
    </w:p>
    <w:p w14:paraId="445E68EE" w14:textId="77777777" w:rsidR="003438A2" w:rsidRPr="00112D14" w:rsidRDefault="003438A2" w:rsidP="00112D14">
      <w:pPr>
        <w:pStyle w:val="EndNoteBibliography"/>
        <w:spacing w:after="0"/>
      </w:pPr>
      <w:bookmarkStart w:id="1441" w:name="_ENREF_875"/>
      <w:r w:rsidRPr="00112D14">
        <w:t xml:space="preserve">-- -- 1929, ‘Contribution to our knowledge of Oregon fungi: iii’, </w:t>
      </w:r>
      <w:r w:rsidRPr="00112D14">
        <w:rPr>
          <w:i/>
        </w:rPr>
        <w:t>Mycologia</w:t>
      </w:r>
      <w:r w:rsidRPr="00112D14">
        <w:t>, vol. 21, pp. 97-111.</w:t>
      </w:r>
      <w:bookmarkEnd w:id="1441"/>
    </w:p>
    <w:p w14:paraId="74EC4F38" w14:textId="77777777" w:rsidR="003438A2" w:rsidRPr="00112D14" w:rsidRDefault="003438A2" w:rsidP="00112D14">
      <w:pPr>
        <w:pStyle w:val="EndNoteBibliography"/>
        <w:spacing w:after="0"/>
      </w:pPr>
      <w:bookmarkStart w:id="1442" w:name="_ENREF_876"/>
      <w:r w:rsidRPr="00112D14">
        <w:t xml:space="preserve">Zhang, L, French, R &amp; Langenberg, WG 1993, ‘Molecular cloning and sequencing of the coat protein gene of a Nebraskan isolate of </w:t>
      </w:r>
      <w:r w:rsidRPr="00112D14">
        <w:rPr>
          <w:i/>
        </w:rPr>
        <w:t>Tobacco necrosis virus:</w:t>
      </w:r>
      <w:r w:rsidRPr="00112D14">
        <w:t xml:space="preserve"> the deduced coat protein sequence has only moderate homology with those of strain A and strain D’, </w:t>
      </w:r>
      <w:r w:rsidRPr="00112D14">
        <w:rPr>
          <w:i/>
        </w:rPr>
        <w:t>Archives of Virology</w:t>
      </w:r>
      <w:r w:rsidRPr="00112D14">
        <w:t>, vol. 132, pp. 291-305.</w:t>
      </w:r>
      <w:bookmarkEnd w:id="1442"/>
    </w:p>
    <w:p w14:paraId="28A8203D" w14:textId="77777777" w:rsidR="003438A2" w:rsidRPr="00112D14" w:rsidRDefault="003438A2" w:rsidP="00112D14">
      <w:pPr>
        <w:pStyle w:val="EndNoteBibliography"/>
        <w:spacing w:after="0"/>
      </w:pPr>
      <w:bookmarkStart w:id="1443" w:name="_ENREF_877"/>
      <w:r w:rsidRPr="00112D14">
        <w:t xml:space="preserve">Zhang, Z, Men, L, Peng, Y, Li, J, Deng, A, Chen, Y, Liu, X &amp; Ma, R 2017, </w:t>
      </w:r>
      <w:r w:rsidRPr="00112D14">
        <w:rPr>
          <w:i/>
        </w:rPr>
        <w:t>Morphological differences of the reproductive system could be used to predict the optimum Grapholita molesta (Busck) control period</w:t>
      </w:r>
      <w:r w:rsidRPr="00112D14">
        <w:t>, Scientific Reports, 8198.</w:t>
      </w:r>
      <w:bookmarkEnd w:id="1443"/>
    </w:p>
    <w:p w14:paraId="54E9989A" w14:textId="77777777" w:rsidR="003438A2" w:rsidRPr="00112D14" w:rsidRDefault="003438A2" w:rsidP="00112D14">
      <w:pPr>
        <w:pStyle w:val="EndNoteBibliography"/>
        <w:spacing w:after="0"/>
      </w:pPr>
      <w:bookmarkStart w:id="1444" w:name="_ENREF_878"/>
      <w:r w:rsidRPr="00112D14">
        <w:t xml:space="preserve">Zhao, P, Liu, F, Li, Y &amp; Cai, L 2016, ‘Inferring phylogeny and speciation of </w:t>
      </w:r>
      <w:r w:rsidRPr="00112D14">
        <w:rPr>
          <w:i/>
        </w:rPr>
        <w:t xml:space="preserve">Gymnosporangium </w:t>
      </w:r>
      <w:r w:rsidRPr="00112D14">
        <w:t xml:space="preserve">species, and their coevolution with host plants’, </w:t>
      </w:r>
      <w:r w:rsidRPr="00112D14">
        <w:rPr>
          <w:i/>
        </w:rPr>
        <w:t>Scientific Reports</w:t>
      </w:r>
      <w:r w:rsidRPr="00112D14">
        <w:t>, vol. 6.</w:t>
      </w:r>
      <w:bookmarkEnd w:id="1444"/>
    </w:p>
    <w:p w14:paraId="209040FC" w14:textId="77777777" w:rsidR="003438A2" w:rsidRPr="00112D14" w:rsidRDefault="003438A2" w:rsidP="00112D14">
      <w:pPr>
        <w:pStyle w:val="EndNoteBibliography"/>
        <w:spacing w:after="0"/>
      </w:pPr>
      <w:bookmarkStart w:id="1445" w:name="_ENREF_879"/>
      <w:r w:rsidRPr="00112D14">
        <w:t xml:space="preserve">Zhao, Y &amp; Niu, J 2008, ‘Apricot is a new host of </w:t>
      </w:r>
      <w:r w:rsidRPr="00112D14">
        <w:rPr>
          <w:i/>
        </w:rPr>
        <w:t>Apple scar skin viroid</w:t>
      </w:r>
      <w:r w:rsidRPr="00112D14">
        <w:t xml:space="preserve">’, </w:t>
      </w:r>
      <w:r w:rsidRPr="00112D14">
        <w:rPr>
          <w:i/>
        </w:rPr>
        <w:t>Australasian Plant Disease Notes</w:t>
      </w:r>
      <w:r w:rsidRPr="00112D14">
        <w:t>, vol. 3, pp. 98-100.</w:t>
      </w:r>
      <w:bookmarkEnd w:id="1445"/>
    </w:p>
    <w:p w14:paraId="5919D2BF" w14:textId="77777777" w:rsidR="003438A2" w:rsidRPr="00112D14" w:rsidRDefault="003438A2" w:rsidP="00112D14">
      <w:pPr>
        <w:pStyle w:val="EndNoteBibliography"/>
        <w:spacing w:after="0"/>
      </w:pPr>
      <w:bookmarkStart w:id="1446" w:name="_ENREF_880"/>
      <w:r w:rsidRPr="00112D14">
        <w:t xml:space="preserve">Zhao, Z, Wahl, T &amp; Marsh, T 2007, ‘Economic effects of mitigating apple maggot spread’, </w:t>
      </w:r>
      <w:r w:rsidRPr="00112D14">
        <w:rPr>
          <w:i/>
        </w:rPr>
        <w:t>Canadian Journal of Agricultural Economics</w:t>
      </w:r>
      <w:r w:rsidRPr="00112D14">
        <w:t>, vol. 55, pp. 499-514.</w:t>
      </w:r>
      <w:bookmarkEnd w:id="1446"/>
    </w:p>
    <w:p w14:paraId="10E869BE" w14:textId="61379255" w:rsidR="00E63BBD" w:rsidRDefault="003438A2" w:rsidP="003679A4">
      <w:pPr>
        <w:pStyle w:val="EndNoteBibliography"/>
      </w:pPr>
      <w:bookmarkStart w:id="1447" w:name="_ENREF_881"/>
      <w:r w:rsidRPr="00112D14">
        <w:t xml:space="preserve">Zitikaite, I &amp; Staniulis, J 2009, ‘Isolation and characterization of </w:t>
      </w:r>
      <w:r w:rsidRPr="00112D14">
        <w:rPr>
          <w:i/>
        </w:rPr>
        <w:t>Tobacco necrosis virus</w:t>
      </w:r>
      <w:r w:rsidRPr="00112D14">
        <w:t xml:space="preserve"> detected on some vegetable species’, </w:t>
      </w:r>
      <w:r w:rsidRPr="00112D14">
        <w:rPr>
          <w:i/>
        </w:rPr>
        <w:t>Biologija</w:t>
      </w:r>
      <w:r w:rsidRPr="00112D14">
        <w:t>, vol. 55, pp. 35-9.</w:t>
      </w:r>
      <w:bookmarkEnd w:id="1447"/>
      <w:r w:rsidR="003679A4">
        <w:t xml:space="preserve"> </w:t>
      </w:r>
    </w:p>
    <w:sectPr w:rsidR="00E63BBD" w:rsidSect="0038092A">
      <w:headerReference w:type="even" r:id="rId315"/>
      <w:headerReference w:type="default" r:id="rId316"/>
      <w:headerReference w:type="first" r:id="rId317"/>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005B0" w14:textId="77777777" w:rsidR="00536052" w:rsidRDefault="00536052">
      <w:pPr>
        <w:spacing w:after="0" w:line="240" w:lineRule="auto"/>
      </w:pPr>
      <w:r>
        <w:separator/>
      </w:r>
    </w:p>
  </w:endnote>
  <w:endnote w:type="continuationSeparator" w:id="0">
    <w:p w14:paraId="58DED82F" w14:textId="77777777" w:rsidR="00536052" w:rsidRDefault="00536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old">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Courier New PSMT">
    <w:altName w:val="Courier New PSMT"/>
    <w:panose1 w:val="00000000000000000000"/>
    <w:charset w:val="00"/>
    <w:family w:val="modern"/>
    <w:notTrueType/>
    <w:pitch w:val="default"/>
    <w:sig w:usb0="00000003" w:usb1="00000000" w:usb2="00000000" w:usb3="00000000" w:csb0="00000001" w:csb1="00000000"/>
  </w:font>
  <w:font w:name="Palatino-Roman">
    <w:altName w:val="Palatino Linotype"/>
    <w:panose1 w:val="00000000000000000000"/>
    <w:charset w:val="00"/>
    <w:family w:val="auto"/>
    <w:notTrueType/>
    <w:pitch w:val="default"/>
    <w:sig w:usb0="00000003" w:usb1="00000000" w:usb2="00000000" w:usb3="00000000" w:csb0="00000001" w:csb1="00000000"/>
  </w:font>
  <w:font w:name="Roboto Light">
    <w:altName w:val="Roboto Light"/>
    <w:charset w:val="00"/>
    <w:family w:val="auto"/>
    <w:pitch w:val="variable"/>
    <w:sig w:usb0="E00002FF" w:usb1="5000205B" w:usb2="0000002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vPSSAB-I">
    <w:altName w:val="Calibri"/>
    <w:panose1 w:val="00000000000000000000"/>
    <w:charset w:val="00"/>
    <w:family w:val="swiss"/>
    <w:notTrueType/>
    <w:pitch w:val="default"/>
    <w:sig w:usb0="00000003" w:usb1="00000000" w:usb2="00000000" w:usb3="00000000" w:csb0="00000001" w:csb1="00000000"/>
  </w:font>
  <w:font w:name="Warnock Pro">
    <w:altName w:val="Warnock Pro"/>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F8902" w14:textId="77777777" w:rsidR="00EC2908" w:rsidRDefault="00267B05" w:rsidP="00CB2235">
    <w:pPr>
      <w:pStyle w:val="Footer"/>
      <w:tabs>
        <w:tab w:val="clear" w:pos="4536"/>
        <w:tab w:val="left" w:pos="8789"/>
        <w:tab w:val="right" w:pos="13892"/>
      </w:tabs>
      <w:spacing w:before="120"/>
      <w:jc w:val="left"/>
      <w:rPr>
        <w:noProof/>
      </w:rPr>
    </w:pPr>
    <w:r w:rsidRPr="00081FD4">
      <w:rPr>
        <w:sz w:val="18"/>
        <w:szCs w:val="18"/>
      </w:rPr>
      <w:t xml:space="preserve">Australian Government </w:t>
    </w:r>
    <w:r w:rsidRPr="006269EB">
      <w:rPr>
        <w:sz w:val="18"/>
        <w:szCs w:val="18"/>
      </w:rPr>
      <w:t>Department of Agriculture, Fisheries and Forestry</w:t>
    </w:r>
    <w:r>
      <w:tab/>
    </w:r>
    <w:r>
      <w:tab/>
    </w:r>
    <w:r>
      <w:fldChar w:fldCharType="begin"/>
    </w:r>
    <w:r>
      <w:instrText xml:space="preserve"> PAGE   \* MERGEFORMAT </w:instrText>
    </w:r>
    <w:r>
      <w:fldChar w:fldCharType="separate"/>
    </w:r>
    <w:r>
      <w:rPr>
        <w:noProof/>
      </w:rPr>
      <w:t>vii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58DFC" w14:textId="77777777" w:rsidR="00EC2908" w:rsidRDefault="00267B05" w:rsidP="00DD53C0">
    <w:pPr>
      <w:pStyle w:val="Footer"/>
      <w:tabs>
        <w:tab w:val="clear" w:pos="4536"/>
        <w:tab w:val="left" w:pos="8505"/>
        <w:tab w:val="right" w:pos="13892"/>
      </w:tabs>
      <w:spacing w:before="120"/>
      <w:jc w:val="right"/>
    </w:pPr>
    <w:r w:rsidRPr="00081FD4">
      <w:rPr>
        <w:sz w:val="18"/>
        <w:szCs w:val="18"/>
      </w:rPr>
      <w:t xml:space="preserve">Australian Government Department of </w:t>
    </w:r>
    <w:r w:rsidRPr="004E2503">
      <w:rPr>
        <w:sz w:val="18"/>
        <w:szCs w:val="18"/>
      </w:rPr>
      <w:t>Agriculture, Fisheries and Forestry</w:t>
    </w:r>
    <w:r>
      <w:rPr>
        <w:sz w:val="18"/>
        <w:szCs w:val="18"/>
      </w:rPr>
      <w:tab/>
    </w:r>
    <w:r>
      <w:tab/>
    </w:r>
    <w:r>
      <w:fldChar w:fldCharType="begin"/>
    </w:r>
    <w:r>
      <w:instrText xml:space="preserve"> PAGE  \* Arabic  \* MERGEFORMAT </w:instrText>
    </w:r>
    <w:r>
      <w:fldChar w:fldCharType="separate"/>
    </w:r>
    <w:r>
      <w:rPr>
        <w:noProof/>
      </w:rPr>
      <w:t>10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D90D2" w14:textId="77777777" w:rsidR="00EC2908" w:rsidRDefault="00267B05" w:rsidP="0072260D">
    <w:pPr>
      <w:pStyle w:val="Footer"/>
      <w:tabs>
        <w:tab w:val="clear" w:pos="4536"/>
        <w:tab w:val="left" w:pos="8505"/>
        <w:tab w:val="right" w:pos="13892"/>
      </w:tabs>
      <w:spacing w:before="120"/>
      <w:jc w:val="left"/>
    </w:pPr>
    <w:r w:rsidRPr="00081FD4">
      <w:rPr>
        <w:sz w:val="18"/>
        <w:szCs w:val="18"/>
      </w:rPr>
      <w:t xml:space="preserve">Australian Government Department of </w:t>
    </w:r>
    <w:r w:rsidRPr="004E2503">
      <w:rPr>
        <w:sz w:val="18"/>
        <w:szCs w:val="18"/>
      </w:rPr>
      <w:t>Agriculture, Fisheries and Forestry</w:t>
    </w:r>
    <w:r>
      <w:tab/>
    </w:r>
    <w:r>
      <w:tab/>
    </w:r>
    <w:r>
      <w:fldChar w:fldCharType="begin"/>
    </w:r>
    <w:r>
      <w:instrText xml:space="preserve"> PAGE  \* Arabic  \* MERGEFORMAT </w:instrText>
    </w:r>
    <w:r>
      <w:fldChar w:fldCharType="separate"/>
    </w:r>
    <w:r>
      <w:rPr>
        <w:noProof/>
      </w:rPr>
      <w:t>179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B6C31" w14:textId="77777777" w:rsidR="00EC2908" w:rsidRDefault="00267B05" w:rsidP="005723E3">
    <w:pPr>
      <w:pStyle w:val="Footer"/>
      <w:tabs>
        <w:tab w:val="clear" w:pos="4536"/>
        <w:tab w:val="left" w:pos="3471"/>
        <w:tab w:val="left" w:pos="5158"/>
        <w:tab w:val="left" w:pos="8505"/>
        <w:tab w:val="right" w:pos="13892"/>
      </w:tabs>
      <w:spacing w:before="120"/>
      <w:jc w:val="left"/>
    </w:pPr>
    <w:r w:rsidRPr="00081FD4">
      <w:rPr>
        <w:sz w:val="18"/>
        <w:szCs w:val="18"/>
      </w:rPr>
      <w:t xml:space="preserve">Australian Government Department of </w:t>
    </w:r>
    <w:r w:rsidRPr="004E2503">
      <w:rPr>
        <w:sz w:val="18"/>
        <w:szCs w:val="18"/>
      </w:rPr>
      <w:t>Agriculture, Fisheries and Forestry</w:t>
    </w:r>
    <w:r>
      <w:tab/>
    </w:r>
    <w:r>
      <w:tab/>
    </w:r>
    <w:r>
      <w:fldChar w:fldCharType="begin"/>
    </w:r>
    <w:r>
      <w:instrText xml:space="preserve"> PAGE  \* Arabic  \* MERGEFORMAT </w:instrText>
    </w:r>
    <w:r>
      <w:fldChar w:fldCharType="separate"/>
    </w:r>
    <w:r>
      <w:rPr>
        <w:noProof/>
      </w:rPr>
      <w:t>199</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43581234"/>
      <w:docPartObj>
        <w:docPartGallery w:val="Page Numbers (Bottom of Page)"/>
        <w:docPartUnique/>
      </w:docPartObj>
    </w:sdtPr>
    <w:sdtEndPr>
      <w:rPr>
        <w:noProof/>
      </w:rPr>
    </w:sdtEndPr>
    <w:sdtContent>
      <w:p w14:paraId="2FD748F4" w14:textId="77777777" w:rsidR="00EC2908" w:rsidRPr="00C353B0" w:rsidRDefault="00267B05" w:rsidP="00C353B0">
        <w:pPr>
          <w:pStyle w:val="Footer"/>
          <w:jc w:val="left"/>
          <w:rPr>
            <w:sz w:val="18"/>
            <w:szCs w:val="18"/>
          </w:rPr>
        </w:pPr>
        <w:r w:rsidRPr="00081FD4">
          <w:rPr>
            <w:sz w:val="18"/>
            <w:szCs w:val="18"/>
          </w:rPr>
          <w:t xml:space="preserve">Australian Government Department of </w:t>
        </w:r>
        <w:r w:rsidRPr="004E2503">
          <w:rPr>
            <w:sz w:val="18"/>
            <w:szCs w:val="18"/>
          </w:rPr>
          <w:t>Agriculture, Fisheries and Forestry</w:t>
        </w:r>
        <w:r>
          <w:tab/>
        </w:r>
        <w:r>
          <w:tab/>
        </w:r>
        <w:r>
          <w:tab/>
        </w:r>
        <w:r>
          <w:tab/>
        </w:r>
        <w:r>
          <w:tab/>
        </w:r>
        <w:r>
          <w:tab/>
        </w:r>
        <w:r>
          <w:tab/>
        </w:r>
        <w:r>
          <w:tab/>
        </w:r>
        <w:r>
          <w:tab/>
        </w:r>
        <w:r>
          <w:tab/>
        </w:r>
        <w:r>
          <w:tab/>
        </w:r>
        <w:r>
          <w:rPr>
            <w:sz w:val="18"/>
            <w:szCs w:val="18"/>
          </w:rPr>
          <w:fldChar w:fldCharType="begin"/>
        </w:r>
        <w:r>
          <w:rPr>
            <w:sz w:val="18"/>
            <w:szCs w:val="18"/>
          </w:rPr>
          <w:instrText xml:space="preserve"> PAGE   \* MERGEFORMAT </w:instrText>
        </w:r>
        <w:r>
          <w:rPr>
            <w:sz w:val="18"/>
            <w:szCs w:val="18"/>
          </w:rPr>
          <w:fldChar w:fldCharType="separate"/>
        </w:r>
        <w:r>
          <w:rPr>
            <w:noProof/>
            <w:sz w:val="18"/>
            <w:szCs w:val="18"/>
          </w:rPr>
          <w:t>213</w:t>
        </w:r>
        <w:r>
          <w:rPr>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965648477"/>
      <w:docPartObj>
        <w:docPartGallery w:val="Page Numbers (Bottom of Page)"/>
        <w:docPartUnique/>
      </w:docPartObj>
    </w:sdtPr>
    <w:sdtEndPr>
      <w:rPr>
        <w:noProof/>
      </w:rPr>
    </w:sdtEndPr>
    <w:sdtContent>
      <w:p w14:paraId="475444EA" w14:textId="77777777" w:rsidR="00E0452F" w:rsidRPr="00C353B0" w:rsidRDefault="00267B05" w:rsidP="00C353B0">
        <w:pPr>
          <w:pStyle w:val="Footer"/>
          <w:jc w:val="left"/>
          <w:rPr>
            <w:sz w:val="18"/>
            <w:szCs w:val="18"/>
          </w:rPr>
        </w:pPr>
        <w:r w:rsidRPr="00081FD4">
          <w:rPr>
            <w:sz w:val="18"/>
            <w:szCs w:val="18"/>
          </w:rPr>
          <w:t xml:space="preserve">Australian Government Department of </w:t>
        </w:r>
        <w:r w:rsidRPr="004E2503">
          <w:rPr>
            <w:sz w:val="18"/>
            <w:szCs w:val="18"/>
          </w:rPr>
          <w:t>Agriculture, Fisheries and Forestry</w:t>
        </w:r>
        <w:r>
          <w:tab/>
        </w:r>
        <w:r>
          <w:tab/>
        </w:r>
        <w:r>
          <w:tab/>
        </w:r>
        <w:r>
          <w:tab/>
        </w:r>
        <w:r>
          <w:tab/>
        </w:r>
        <w:r>
          <w:rPr>
            <w:sz w:val="18"/>
            <w:szCs w:val="18"/>
          </w:rPr>
          <w:fldChar w:fldCharType="begin"/>
        </w:r>
        <w:r>
          <w:rPr>
            <w:sz w:val="18"/>
            <w:szCs w:val="18"/>
          </w:rPr>
          <w:instrText xml:space="preserve"> PAGE   \* MERGEFORMAT </w:instrText>
        </w:r>
        <w:r>
          <w:rPr>
            <w:sz w:val="18"/>
            <w:szCs w:val="18"/>
          </w:rPr>
          <w:fldChar w:fldCharType="separate"/>
        </w:r>
        <w:r>
          <w:rPr>
            <w:noProof/>
            <w:sz w:val="18"/>
            <w:szCs w:val="18"/>
          </w:rPr>
          <w:t>213</w:t>
        </w:r>
        <w:r>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19ECD" w14:textId="77777777" w:rsidR="00536052" w:rsidRDefault="00536052">
      <w:pPr>
        <w:spacing w:after="0" w:line="240" w:lineRule="auto"/>
      </w:pPr>
      <w:r>
        <w:separator/>
      </w:r>
    </w:p>
  </w:footnote>
  <w:footnote w:type="continuationSeparator" w:id="0">
    <w:p w14:paraId="16E890F1" w14:textId="77777777" w:rsidR="00536052" w:rsidRDefault="005360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7B9D1" w14:textId="4C67742D" w:rsidR="00EC2908" w:rsidRPr="00EE36E0" w:rsidRDefault="00000000" w:rsidP="00EE36E0">
    <w:pPr>
      <w:pStyle w:val="Header"/>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EC258" w14:textId="1FE6A276" w:rsidR="00EC2908" w:rsidRPr="002000C8" w:rsidRDefault="00267B05" w:rsidP="00E44380">
    <w:pPr>
      <w:pStyle w:val="Header"/>
      <w:tabs>
        <w:tab w:val="clear" w:pos="4820"/>
        <w:tab w:val="right" w:pos="13892"/>
      </w:tabs>
      <w:jc w:val="left"/>
    </w:pPr>
    <w:r>
      <w:rPr>
        <w:rFonts w:asciiTheme="minorHAnsi" w:hAnsiTheme="minorHAnsi" w:cstheme="minorHAnsi"/>
        <w:szCs w:val="20"/>
      </w:rPr>
      <w:t>Final</w:t>
    </w:r>
    <w:r w:rsidRPr="005818F9">
      <w:rPr>
        <w:rFonts w:asciiTheme="minorHAnsi" w:hAnsiTheme="minorHAnsi" w:cstheme="minorHAnsi"/>
        <w:szCs w:val="20"/>
      </w:rPr>
      <w:t xml:space="preserve"> report - apples from the Pacific Northwest </w:t>
    </w:r>
    <w:r>
      <w:rPr>
        <w:rFonts w:asciiTheme="minorHAnsi" w:hAnsiTheme="minorHAnsi" w:cstheme="minorHAnsi"/>
        <w:szCs w:val="20"/>
      </w:rPr>
      <w:t>s</w:t>
    </w:r>
    <w:r w:rsidRPr="005818F9">
      <w:rPr>
        <w:rFonts w:asciiTheme="minorHAnsi" w:hAnsiTheme="minorHAnsi" w:cstheme="minorHAnsi"/>
        <w:szCs w:val="20"/>
      </w:rPr>
      <w:t>tates</w:t>
    </w:r>
    <w:r>
      <w:rPr>
        <w:rFonts w:asciiTheme="minorHAnsi" w:hAnsiTheme="minorHAnsi" w:cstheme="minorHAnsi"/>
        <w:szCs w:val="20"/>
      </w:rPr>
      <w:t>, USA</w:t>
    </w:r>
    <w:r>
      <w:tab/>
    </w:r>
    <w:r w:rsidRPr="002000C8">
      <w:t>Diagram of apple fruit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38AD8" w14:textId="09AF56E3" w:rsidR="00EC2908" w:rsidRDefault="0000000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A593A" w14:textId="282524B8" w:rsidR="00EC2908" w:rsidRDefault="0000000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37499" w14:textId="33FE7080" w:rsidR="00EC2908" w:rsidRDefault="00267B05" w:rsidP="00E44380">
    <w:pPr>
      <w:pStyle w:val="Header"/>
      <w:tabs>
        <w:tab w:val="clear" w:pos="4820"/>
        <w:tab w:val="right" w:pos="13892"/>
      </w:tabs>
      <w:jc w:val="left"/>
    </w:pPr>
    <w:r>
      <w:rPr>
        <w:rFonts w:asciiTheme="minorHAnsi" w:hAnsiTheme="minorHAnsi" w:cstheme="minorHAnsi"/>
        <w:szCs w:val="20"/>
      </w:rPr>
      <w:t>Final</w:t>
    </w:r>
    <w:r w:rsidRPr="005818F9">
      <w:rPr>
        <w:rFonts w:asciiTheme="minorHAnsi" w:hAnsiTheme="minorHAnsi" w:cstheme="minorHAnsi"/>
        <w:szCs w:val="20"/>
      </w:rPr>
      <w:t xml:space="preserve"> report - app</w:t>
    </w:r>
    <w:r>
      <w:rPr>
        <w:rFonts w:asciiTheme="minorHAnsi" w:hAnsiTheme="minorHAnsi" w:cstheme="minorHAnsi"/>
        <w:szCs w:val="20"/>
      </w:rPr>
      <w:t>les from the Pacific Northwest s</w:t>
    </w:r>
    <w:r w:rsidRPr="005818F9">
      <w:rPr>
        <w:rFonts w:asciiTheme="minorHAnsi" w:hAnsiTheme="minorHAnsi" w:cstheme="minorHAnsi"/>
        <w:szCs w:val="20"/>
      </w:rPr>
      <w:t>tates</w:t>
    </w:r>
    <w:r>
      <w:rPr>
        <w:rFonts w:asciiTheme="minorHAnsi" w:hAnsiTheme="minorHAnsi" w:cstheme="minorHAnsi"/>
        <w:szCs w:val="20"/>
      </w:rPr>
      <w:t>, USA</w:t>
    </w:r>
    <w:r>
      <w:tab/>
      <w:t>Acronyms and abbreviations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A8F9C" w14:textId="6DF34183" w:rsidR="00EC2908" w:rsidRDefault="0000000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DAE42" w14:textId="6FD070E4" w:rsidR="00EC2908" w:rsidRDefault="0000000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7E5F2" w14:textId="2A87CB39" w:rsidR="00EC2908" w:rsidRDefault="00267B05" w:rsidP="00E44380">
    <w:pPr>
      <w:pStyle w:val="Header"/>
      <w:tabs>
        <w:tab w:val="clear" w:pos="4820"/>
        <w:tab w:val="right" w:pos="13892"/>
      </w:tabs>
      <w:jc w:val="left"/>
    </w:pPr>
    <w:r>
      <w:rPr>
        <w:rFonts w:asciiTheme="minorHAnsi" w:hAnsiTheme="minorHAnsi" w:cstheme="minorHAnsi"/>
        <w:szCs w:val="20"/>
      </w:rPr>
      <w:t>Final</w:t>
    </w:r>
    <w:r w:rsidRPr="005818F9">
      <w:rPr>
        <w:rFonts w:asciiTheme="minorHAnsi" w:hAnsiTheme="minorHAnsi" w:cstheme="minorHAnsi"/>
        <w:szCs w:val="20"/>
      </w:rPr>
      <w:t xml:space="preserve"> report - app</w:t>
    </w:r>
    <w:r>
      <w:rPr>
        <w:rFonts w:asciiTheme="minorHAnsi" w:hAnsiTheme="minorHAnsi" w:cstheme="minorHAnsi"/>
        <w:szCs w:val="20"/>
      </w:rPr>
      <w:t>les from the Pacific Northwest s</w:t>
    </w:r>
    <w:r w:rsidRPr="005818F9">
      <w:rPr>
        <w:rFonts w:asciiTheme="minorHAnsi" w:hAnsiTheme="minorHAnsi" w:cstheme="minorHAnsi"/>
        <w:szCs w:val="20"/>
      </w:rPr>
      <w:t>tates</w:t>
    </w:r>
    <w:r>
      <w:rPr>
        <w:rFonts w:asciiTheme="minorHAnsi" w:hAnsiTheme="minorHAnsi" w:cstheme="minorHAnsi"/>
        <w:szCs w:val="20"/>
      </w:rPr>
      <w:t>, USA</w:t>
    </w:r>
    <w:r>
      <w:tab/>
      <w:t>Summary</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49220" w14:textId="432EA72E" w:rsidR="00EC2908" w:rsidRDefault="0000000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FFDC9" w14:textId="3623273A" w:rsidR="00EC2908" w:rsidRDefault="0000000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73AD8" w14:textId="7DA4A7F8" w:rsidR="00EC2908" w:rsidRDefault="00267B05" w:rsidP="00E44380">
    <w:pPr>
      <w:pStyle w:val="Header"/>
      <w:tabs>
        <w:tab w:val="clear" w:pos="4820"/>
        <w:tab w:val="right" w:pos="13892"/>
      </w:tabs>
      <w:jc w:val="left"/>
    </w:pPr>
    <w:r>
      <w:rPr>
        <w:rFonts w:asciiTheme="minorHAnsi" w:hAnsiTheme="minorHAnsi" w:cstheme="minorHAnsi"/>
        <w:szCs w:val="20"/>
      </w:rPr>
      <w:t>Final</w:t>
    </w:r>
    <w:r w:rsidRPr="005818F9">
      <w:rPr>
        <w:rFonts w:asciiTheme="minorHAnsi" w:hAnsiTheme="minorHAnsi" w:cstheme="minorHAnsi"/>
        <w:szCs w:val="20"/>
      </w:rPr>
      <w:t xml:space="preserve"> report - apples from the Pacific Northwest </w:t>
    </w:r>
    <w:r>
      <w:rPr>
        <w:rFonts w:asciiTheme="minorHAnsi" w:hAnsiTheme="minorHAnsi" w:cstheme="minorHAnsi"/>
        <w:szCs w:val="20"/>
      </w:rPr>
      <w:t>s</w:t>
    </w:r>
    <w:r w:rsidRPr="005818F9">
      <w:rPr>
        <w:rFonts w:asciiTheme="minorHAnsi" w:hAnsiTheme="minorHAnsi" w:cstheme="minorHAnsi"/>
        <w:szCs w:val="20"/>
      </w:rPr>
      <w:t>tates</w:t>
    </w:r>
    <w:r>
      <w:rPr>
        <w:rFonts w:asciiTheme="minorHAnsi" w:hAnsiTheme="minorHAnsi" w:cstheme="minorHAnsi"/>
        <w:szCs w:val="20"/>
      </w:rPr>
      <w:t>, USA</w:t>
    </w:r>
    <w:r>
      <w:tab/>
      <w:t>Introduction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7B00F" w14:textId="61421427" w:rsidR="00EC2908" w:rsidRDefault="00267B05" w:rsidP="001C65FB">
    <w:pPr>
      <w:pStyle w:val="Header"/>
      <w:jc w:val="left"/>
    </w:pPr>
    <w:r>
      <w:rPr>
        <w:noProof/>
      </w:rPr>
      <w:drawing>
        <wp:inline distT="0" distB="0" distL="0" distR="0" wp14:anchorId="7EEB2DDA" wp14:editId="1F4B06A6">
          <wp:extent cx="2122805" cy="617988"/>
          <wp:effectExtent l="0" t="0" r="0" b="0"/>
          <wp:docPr id="33" name="Picture 33" descr="Logo for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for Department of Agriculture, Fisheries and Forestr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5523" cy="618779"/>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DF2FB" w14:textId="368C0EDE" w:rsidR="00EC2908" w:rsidRDefault="0000000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C077A" w14:textId="3D227627" w:rsidR="00EC2908" w:rsidRDefault="0000000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BB386" w14:textId="6E1B8B6F" w:rsidR="00EC2908" w:rsidRDefault="00267B05" w:rsidP="00E44380">
    <w:pPr>
      <w:pStyle w:val="Header"/>
      <w:tabs>
        <w:tab w:val="clear" w:pos="4820"/>
        <w:tab w:val="right" w:pos="13892"/>
      </w:tabs>
      <w:jc w:val="left"/>
    </w:pPr>
    <w:r>
      <w:rPr>
        <w:rFonts w:asciiTheme="minorHAnsi" w:hAnsiTheme="minorHAnsi" w:cstheme="minorHAnsi"/>
        <w:szCs w:val="20"/>
      </w:rPr>
      <w:t>Final</w:t>
    </w:r>
    <w:r w:rsidRPr="005818F9">
      <w:rPr>
        <w:rFonts w:asciiTheme="minorHAnsi" w:hAnsiTheme="minorHAnsi" w:cstheme="minorHAnsi"/>
        <w:szCs w:val="20"/>
      </w:rPr>
      <w:t xml:space="preserve"> report - apples from the Pacific Northwest </w:t>
    </w:r>
    <w:r>
      <w:rPr>
        <w:rFonts w:asciiTheme="minorHAnsi" w:hAnsiTheme="minorHAnsi" w:cstheme="minorHAnsi"/>
        <w:szCs w:val="20"/>
      </w:rPr>
      <w:t>s</w:t>
    </w:r>
    <w:r w:rsidRPr="005818F9">
      <w:rPr>
        <w:rFonts w:asciiTheme="minorHAnsi" w:hAnsiTheme="minorHAnsi" w:cstheme="minorHAnsi"/>
        <w:szCs w:val="20"/>
      </w:rPr>
      <w:t>tates</w:t>
    </w:r>
    <w:r>
      <w:rPr>
        <w:rFonts w:asciiTheme="minorHAnsi" w:hAnsiTheme="minorHAnsi" w:cstheme="minorHAnsi"/>
        <w:szCs w:val="20"/>
      </w:rPr>
      <w:t xml:space="preserve">, USA </w:t>
    </w:r>
    <w:r>
      <w:tab/>
      <w:t>Method for pest risk analysis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78D08" w14:textId="30CCD55F" w:rsidR="00EC2908" w:rsidRDefault="0000000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877B7" w14:textId="5780DD30" w:rsidR="003F79E4" w:rsidRDefault="0000000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3E08E" w14:textId="05B25F25" w:rsidR="008801D5" w:rsidRDefault="00267B05" w:rsidP="00874700">
    <w:pPr>
      <w:pStyle w:val="Header"/>
      <w:tabs>
        <w:tab w:val="clear" w:pos="4820"/>
        <w:tab w:val="right" w:pos="13892"/>
      </w:tabs>
      <w:jc w:val="left"/>
    </w:pPr>
    <w:r>
      <w:rPr>
        <w:rFonts w:asciiTheme="minorHAnsi" w:hAnsiTheme="minorHAnsi" w:cstheme="minorHAnsi"/>
        <w:szCs w:val="20"/>
      </w:rPr>
      <w:t>Final</w:t>
    </w:r>
    <w:r w:rsidRPr="005818F9">
      <w:rPr>
        <w:rFonts w:asciiTheme="minorHAnsi" w:hAnsiTheme="minorHAnsi" w:cstheme="minorHAnsi"/>
        <w:szCs w:val="20"/>
      </w:rPr>
      <w:t xml:space="preserve"> report - apples from the Pacific Northwest </w:t>
    </w:r>
    <w:r>
      <w:rPr>
        <w:rFonts w:asciiTheme="minorHAnsi" w:hAnsiTheme="minorHAnsi" w:cstheme="minorHAnsi"/>
        <w:szCs w:val="20"/>
      </w:rPr>
      <w:t>s</w:t>
    </w:r>
    <w:r w:rsidRPr="005818F9">
      <w:rPr>
        <w:rFonts w:asciiTheme="minorHAnsi" w:hAnsiTheme="minorHAnsi" w:cstheme="minorHAnsi"/>
        <w:szCs w:val="20"/>
      </w:rPr>
      <w:t>tates</w:t>
    </w:r>
    <w:r>
      <w:rPr>
        <w:rFonts w:asciiTheme="minorHAnsi" w:hAnsiTheme="minorHAnsi" w:cstheme="minorHAnsi"/>
        <w:szCs w:val="20"/>
      </w:rPr>
      <w:t>, USA</w:t>
    </w:r>
    <w:r>
      <w:tab/>
      <w:t>Commercial production practices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DB359" w14:textId="31C1164A" w:rsidR="003F79E4" w:rsidRDefault="0000000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3E0EC" w14:textId="30EC1DC4" w:rsidR="003F79E4" w:rsidRDefault="00000000">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0B0F8" w14:textId="6D3EC663" w:rsidR="001D02E4" w:rsidRDefault="00267B05" w:rsidP="00874700">
    <w:pPr>
      <w:pStyle w:val="Header"/>
      <w:tabs>
        <w:tab w:val="clear" w:pos="4820"/>
        <w:tab w:val="right" w:pos="13892"/>
      </w:tabs>
      <w:jc w:val="left"/>
    </w:pPr>
    <w:r>
      <w:rPr>
        <w:rFonts w:asciiTheme="minorHAnsi" w:hAnsiTheme="minorHAnsi" w:cstheme="minorHAnsi"/>
        <w:szCs w:val="20"/>
      </w:rPr>
      <w:t>Final</w:t>
    </w:r>
    <w:r w:rsidRPr="005818F9">
      <w:rPr>
        <w:rFonts w:asciiTheme="minorHAnsi" w:hAnsiTheme="minorHAnsi" w:cstheme="minorHAnsi"/>
        <w:szCs w:val="20"/>
      </w:rPr>
      <w:t xml:space="preserve"> report - apples from the Pacific Northwest </w:t>
    </w:r>
    <w:r>
      <w:rPr>
        <w:rFonts w:asciiTheme="minorHAnsi" w:hAnsiTheme="minorHAnsi" w:cstheme="minorHAnsi"/>
        <w:szCs w:val="20"/>
      </w:rPr>
      <w:t>s</w:t>
    </w:r>
    <w:r w:rsidRPr="005818F9">
      <w:rPr>
        <w:rFonts w:asciiTheme="minorHAnsi" w:hAnsiTheme="minorHAnsi" w:cstheme="minorHAnsi"/>
        <w:szCs w:val="20"/>
      </w:rPr>
      <w:t>tates</w:t>
    </w:r>
    <w:r>
      <w:rPr>
        <w:rFonts w:asciiTheme="minorHAnsi" w:hAnsiTheme="minorHAnsi" w:cstheme="minorHAnsi"/>
        <w:szCs w:val="20"/>
      </w:rPr>
      <w:t>, USA</w:t>
    </w:r>
    <w:r>
      <w:tab/>
      <w:t>Commercial production practices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38E6A" w14:textId="26F8C6B7" w:rsidR="003F79E4"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3BED7" w14:textId="46F608B3" w:rsidR="00EC2908" w:rsidRDefault="0000000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6EBBD" w14:textId="6A86042B" w:rsidR="001D02E4" w:rsidRDefault="00000000">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41DFE" w14:textId="325AC994" w:rsidR="001D02E4" w:rsidRDefault="00267B05" w:rsidP="009855DC">
    <w:pPr>
      <w:pStyle w:val="Header"/>
      <w:tabs>
        <w:tab w:val="clear" w:pos="4820"/>
        <w:tab w:val="right" w:pos="13892"/>
      </w:tabs>
      <w:jc w:val="left"/>
    </w:pPr>
    <w:r>
      <w:rPr>
        <w:rFonts w:asciiTheme="minorHAnsi" w:hAnsiTheme="minorHAnsi" w:cstheme="minorHAnsi"/>
        <w:szCs w:val="20"/>
      </w:rPr>
      <w:t>Final</w:t>
    </w:r>
    <w:r w:rsidRPr="005818F9">
      <w:rPr>
        <w:rFonts w:asciiTheme="minorHAnsi" w:hAnsiTheme="minorHAnsi" w:cstheme="minorHAnsi"/>
        <w:szCs w:val="20"/>
      </w:rPr>
      <w:t xml:space="preserve"> report - apples from the Pacific Northwest </w:t>
    </w:r>
    <w:r>
      <w:rPr>
        <w:rFonts w:asciiTheme="minorHAnsi" w:hAnsiTheme="minorHAnsi" w:cstheme="minorHAnsi"/>
        <w:szCs w:val="20"/>
      </w:rPr>
      <w:t>s</w:t>
    </w:r>
    <w:r w:rsidRPr="005818F9">
      <w:rPr>
        <w:rFonts w:asciiTheme="minorHAnsi" w:hAnsiTheme="minorHAnsi" w:cstheme="minorHAnsi"/>
        <w:szCs w:val="20"/>
      </w:rPr>
      <w:t>tates</w:t>
    </w:r>
    <w:r>
      <w:rPr>
        <w:rFonts w:asciiTheme="minorHAnsi" w:hAnsiTheme="minorHAnsi" w:cstheme="minorHAnsi"/>
        <w:szCs w:val="20"/>
      </w:rPr>
      <w:t>, USA</w:t>
    </w:r>
    <w:r>
      <w:tab/>
      <w:t>Commercial production practices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18773" w14:textId="1C4DAA2B" w:rsidR="001D02E4" w:rsidRDefault="0000000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A404B" w14:textId="2C9AD5C3" w:rsidR="003F79E4" w:rsidRDefault="00000000">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3DEF2" w14:textId="4B077447" w:rsidR="00785BA3" w:rsidRDefault="00267B05" w:rsidP="009855DC">
    <w:pPr>
      <w:pStyle w:val="Header"/>
      <w:tabs>
        <w:tab w:val="clear" w:pos="4820"/>
        <w:tab w:val="right" w:pos="13892"/>
      </w:tabs>
      <w:jc w:val="left"/>
    </w:pPr>
    <w:r>
      <w:rPr>
        <w:rFonts w:asciiTheme="minorHAnsi" w:hAnsiTheme="minorHAnsi" w:cstheme="minorHAnsi"/>
        <w:szCs w:val="20"/>
      </w:rPr>
      <w:t>Final</w:t>
    </w:r>
    <w:r w:rsidRPr="005818F9">
      <w:rPr>
        <w:rFonts w:asciiTheme="minorHAnsi" w:hAnsiTheme="minorHAnsi" w:cstheme="minorHAnsi"/>
        <w:szCs w:val="20"/>
      </w:rPr>
      <w:t xml:space="preserve"> report - apples from the Pacific Northwest </w:t>
    </w:r>
    <w:r>
      <w:rPr>
        <w:rFonts w:asciiTheme="minorHAnsi" w:hAnsiTheme="minorHAnsi" w:cstheme="minorHAnsi"/>
        <w:szCs w:val="20"/>
      </w:rPr>
      <w:t>s</w:t>
    </w:r>
    <w:r w:rsidRPr="005818F9">
      <w:rPr>
        <w:rFonts w:asciiTheme="minorHAnsi" w:hAnsiTheme="minorHAnsi" w:cstheme="minorHAnsi"/>
        <w:szCs w:val="20"/>
      </w:rPr>
      <w:t>tates</w:t>
    </w:r>
    <w:r>
      <w:rPr>
        <w:rFonts w:asciiTheme="minorHAnsi" w:hAnsiTheme="minorHAnsi" w:cstheme="minorHAnsi"/>
        <w:szCs w:val="20"/>
      </w:rPr>
      <w:t>, USA</w:t>
    </w:r>
    <w:r>
      <w:tab/>
      <w:t>Pest risk assessments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26304" w14:textId="5FF3F214" w:rsidR="003F79E4" w:rsidRDefault="00000000">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46010" w14:textId="661B259D" w:rsidR="00EC2908" w:rsidRDefault="00000000">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C2B0C" w14:textId="3A7EEFB2" w:rsidR="00EC2908" w:rsidRDefault="00267B05" w:rsidP="00E44380">
    <w:pPr>
      <w:pStyle w:val="Header"/>
      <w:tabs>
        <w:tab w:val="clear" w:pos="4820"/>
        <w:tab w:val="right" w:pos="13892"/>
      </w:tabs>
      <w:jc w:val="left"/>
    </w:pPr>
    <w:r>
      <w:rPr>
        <w:color w:val="000000" w:themeColor="text1"/>
      </w:rPr>
      <w:t>Final</w:t>
    </w:r>
    <w:r w:rsidRPr="0091473F">
      <w:rPr>
        <w:color w:val="000000" w:themeColor="text1"/>
      </w:rPr>
      <w:t xml:space="preserve"> report: </w:t>
    </w:r>
    <w:r>
      <w:rPr>
        <w:color w:val="000000" w:themeColor="text1"/>
      </w:rPr>
      <w:t>Apples from the Pacific Northwest states, USA</w:t>
    </w:r>
    <w:r>
      <w:tab/>
      <w:t>Pest risk assessment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EE796" w14:textId="7804AAD8" w:rsidR="00EC2908" w:rsidRDefault="00000000">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E7CFE" w14:textId="4BF2563B" w:rsidR="00EC2908" w:rsidRDefault="000000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095D4" w14:textId="67B89816" w:rsidR="00EC2908" w:rsidRPr="003948B8" w:rsidRDefault="00267B05" w:rsidP="00E44380">
    <w:pPr>
      <w:pStyle w:val="Header"/>
      <w:tabs>
        <w:tab w:val="clear" w:pos="4820"/>
        <w:tab w:val="right" w:pos="13892"/>
      </w:tabs>
      <w:jc w:val="left"/>
    </w:pPr>
    <w:bookmarkStart w:id="5" w:name="_Hlk44963002"/>
    <w:r>
      <w:rPr>
        <w:rFonts w:asciiTheme="minorHAnsi" w:hAnsiTheme="minorHAnsi" w:cstheme="minorHAnsi"/>
        <w:szCs w:val="20"/>
      </w:rPr>
      <w:t>Final</w:t>
    </w:r>
    <w:r w:rsidRPr="005818F9">
      <w:rPr>
        <w:rFonts w:asciiTheme="minorHAnsi" w:hAnsiTheme="minorHAnsi" w:cstheme="minorHAnsi"/>
        <w:szCs w:val="20"/>
      </w:rPr>
      <w:t xml:space="preserve"> report - apples from the Pacific Northwest </w:t>
    </w:r>
    <w:r>
      <w:rPr>
        <w:rFonts w:asciiTheme="minorHAnsi" w:hAnsiTheme="minorHAnsi" w:cstheme="minorHAnsi"/>
        <w:szCs w:val="20"/>
      </w:rPr>
      <w:t>s</w:t>
    </w:r>
    <w:r w:rsidRPr="005818F9">
      <w:rPr>
        <w:rFonts w:asciiTheme="minorHAnsi" w:hAnsiTheme="minorHAnsi" w:cstheme="minorHAnsi"/>
        <w:szCs w:val="20"/>
      </w:rPr>
      <w:t>tates</w:t>
    </w:r>
    <w:r>
      <w:rPr>
        <w:rFonts w:asciiTheme="minorHAnsi" w:hAnsiTheme="minorHAnsi" w:cstheme="minorHAnsi"/>
        <w:szCs w:val="20"/>
      </w:rPr>
      <w:t xml:space="preserve">, </w:t>
    </w:r>
    <w:r w:rsidRPr="00EE36E0">
      <w:rPr>
        <w:rFonts w:asciiTheme="minorHAnsi" w:hAnsiTheme="minorHAnsi" w:cstheme="minorHAnsi"/>
        <w:szCs w:val="20"/>
      </w:rPr>
      <w:t>USA</w:t>
    </w:r>
    <w:r>
      <w:rPr>
        <w:rFonts w:asciiTheme="minorHAnsi" w:hAnsiTheme="minorHAnsi" w:cstheme="minorHAnsi"/>
        <w:szCs w:val="20"/>
      </w:rPr>
      <w:t xml:space="preserve"> </w:t>
    </w:r>
    <w:bookmarkEnd w:id="5"/>
    <w:r>
      <w:tab/>
    </w:r>
    <w:r w:rsidRPr="003948B8">
      <w:t>Contents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0B081" w14:textId="2AE305AE" w:rsidR="00EC2908" w:rsidRPr="00593854" w:rsidRDefault="00267B05" w:rsidP="00E44380">
    <w:pPr>
      <w:pStyle w:val="Header"/>
      <w:tabs>
        <w:tab w:val="clear" w:pos="4820"/>
        <w:tab w:val="right" w:pos="13892"/>
      </w:tabs>
      <w:jc w:val="left"/>
      <w:rPr>
        <w:color w:val="000000" w:themeColor="text1"/>
      </w:rPr>
    </w:pPr>
    <w:r>
      <w:rPr>
        <w:color w:val="000000" w:themeColor="text1"/>
      </w:rPr>
      <w:t>Final</w:t>
    </w:r>
    <w:r w:rsidRPr="0091473F">
      <w:rPr>
        <w:color w:val="000000" w:themeColor="text1"/>
      </w:rPr>
      <w:t xml:space="preserve"> report: </w:t>
    </w:r>
    <w:r>
      <w:rPr>
        <w:color w:val="000000" w:themeColor="text1"/>
      </w:rPr>
      <w:t>Apples from the Pacific Northwest</w:t>
    </w:r>
    <w:r>
      <w:tab/>
      <w:t>Pest risk assessment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00128" w14:textId="32BE5C94" w:rsidR="00EC2908" w:rsidRDefault="00000000">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DB8C5" w14:textId="3C20C625" w:rsidR="00EC2908" w:rsidRDefault="00000000">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C3B14" w14:textId="505E4498" w:rsidR="00EC2908" w:rsidRDefault="00267B05" w:rsidP="00E44380">
    <w:pPr>
      <w:pStyle w:val="Header"/>
      <w:tabs>
        <w:tab w:val="clear" w:pos="4820"/>
        <w:tab w:val="right" w:pos="13892"/>
      </w:tabs>
      <w:jc w:val="left"/>
    </w:pPr>
    <w:r>
      <w:rPr>
        <w:rFonts w:asciiTheme="minorHAnsi" w:hAnsiTheme="minorHAnsi" w:cstheme="minorHAnsi"/>
        <w:szCs w:val="20"/>
      </w:rPr>
      <w:t>Final</w:t>
    </w:r>
    <w:r w:rsidRPr="005818F9">
      <w:rPr>
        <w:rFonts w:asciiTheme="minorHAnsi" w:hAnsiTheme="minorHAnsi" w:cstheme="minorHAnsi"/>
        <w:szCs w:val="20"/>
      </w:rPr>
      <w:t xml:space="preserve"> report - app</w:t>
    </w:r>
    <w:r>
      <w:rPr>
        <w:rFonts w:asciiTheme="minorHAnsi" w:hAnsiTheme="minorHAnsi" w:cstheme="minorHAnsi"/>
        <w:szCs w:val="20"/>
      </w:rPr>
      <w:t>les from the Pacific Northwest s</w:t>
    </w:r>
    <w:r w:rsidRPr="005818F9">
      <w:rPr>
        <w:rFonts w:asciiTheme="minorHAnsi" w:hAnsiTheme="minorHAnsi" w:cstheme="minorHAnsi"/>
        <w:szCs w:val="20"/>
      </w:rPr>
      <w:t>tates</w:t>
    </w:r>
    <w:r>
      <w:rPr>
        <w:rFonts w:asciiTheme="minorHAnsi" w:hAnsiTheme="minorHAnsi" w:cstheme="minorHAnsi"/>
        <w:szCs w:val="20"/>
      </w:rPr>
      <w:t>, USA</w:t>
    </w:r>
    <w:r>
      <w:tab/>
      <w:t>Pest risk assessment</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285F4" w14:textId="625D9B6E" w:rsidR="00EC2908" w:rsidRDefault="00000000">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9518F" w14:textId="302F05D6" w:rsidR="00D402BF" w:rsidRDefault="00000000">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5A98F" w14:textId="16FFB444" w:rsidR="00D402BF" w:rsidRDefault="00267B05" w:rsidP="00E44380">
    <w:pPr>
      <w:pStyle w:val="Header"/>
      <w:tabs>
        <w:tab w:val="clear" w:pos="4820"/>
        <w:tab w:val="right" w:pos="13892"/>
      </w:tabs>
      <w:jc w:val="left"/>
    </w:pPr>
    <w:r>
      <w:rPr>
        <w:rFonts w:asciiTheme="minorHAnsi" w:hAnsiTheme="minorHAnsi" w:cstheme="minorHAnsi"/>
        <w:szCs w:val="20"/>
      </w:rPr>
      <w:t>Final</w:t>
    </w:r>
    <w:r w:rsidRPr="005818F9">
      <w:rPr>
        <w:rFonts w:asciiTheme="minorHAnsi" w:hAnsiTheme="minorHAnsi" w:cstheme="minorHAnsi"/>
        <w:szCs w:val="20"/>
      </w:rPr>
      <w:t xml:space="preserve"> report - app</w:t>
    </w:r>
    <w:r>
      <w:rPr>
        <w:rFonts w:asciiTheme="minorHAnsi" w:hAnsiTheme="minorHAnsi" w:cstheme="minorHAnsi"/>
        <w:szCs w:val="20"/>
      </w:rPr>
      <w:t>les from the Pacific Northwest s</w:t>
    </w:r>
    <w:r w:rsidRPr="005818F9">
      <w:rPr>
        <w:rFonts w:asciiTheme="minorHAnsi" w:hAnsiTheme="minorHAnsi" w:cstheme="minorHAnsi"/>
        <w:szCs w:val="20"/>
      </w:rPr>
      <w:t>tates</w:t>
    </w:r>
    <w:r>
      <w:rPr>
        <w:rFonts w:asciiTheme="minorHAnsi" w:hAnsiTheme="minorHAnsi" w:cstheme="minorHAnsi"/>
        <w:szCs w:val="20"/>
      </w:rPr>
      <w:t>, USA</w:t>
    </w:r>
    <w:r>
      <w:tab/>
      <w:t>Pest risk management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5A494" w14:textId="4B7A5C2D" w:rsidR="00D402BF" w:rsidRDefault="00000000">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BE9FB" w14:textId="7E7CB4FF" w:rsidR="003F79E4" w:rsidRDefault="00000000">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1061C" w14:textId="11388C02" w:rsidR="00EC2908" w:rsidRDefault="00267B05" w:rsidP="00E44380">
    <w:pPr>
      <w:pStyle w:val="Header"/>
      <w:tabs>
        <w:tab w:val="clear" w:pos="4820"/>
        <w:tab w:val="right" w:pos="13892"/>
      </w:tabs>
      <w:jc w:val="left"/>
    </w:pPr>
    <w:r>
      <w:rPr>
        <w:rFonts w:asciiTheme="minorHAnsi" w:hAnsiTheme="minorHAnsi" w:cstheme="minorHAnsi"/>
        <w:szCs w:val="20"/>
      </w:rPr>
      <w:t>Final</w:t>
    </w:r>
    <w:r w:rsidRPr="005818F9">
      <w:rPr>
        <w:rFonts w:asciiTheme="minorHAnsi" w:hAnsiTheme="minorHAnsi" w:cstheme="minorHAnsi"/>
        <w:szCs w:val="20"/>
      </w:rPr>
      <w:t xml:space="preserve"> report - app</w:t>
    </w:r>
    <w:r>
      <w:rPr>
        <w:rFonts w:asciiTheme="minorHAnsi" w:hAnsiTheme="minorHAnsi" w:cstheme="minorHAnsi"/>
        <w:szCs w:val="20"/>
      </w:rPr>
      <w:t>les from the Pacific Northwest s</w:t>
    </w:r>
    <w:r w:rsidRPr="005818F9">
      <w:rPr>
        <w:rFonts w:asciiTheme="minorHAnsi" w:hAnsiTheme="minorHAnsi" w:cstheme="minorHAnsi"/>
        <w:szCs w:val="20"/>
      </w:rPr>
      <w:t>tates</w:t>
    </w:r>
    <w:r>
      <w:rPr>
        <w:rFonts w:asciiTheme="minorHAnsi" w:hAnsiTheme="minorHAnsi" w:cstheme="minorHAnsi"/>
        <w:szCs w:val="20"/>
      </w:rPr>
      <w:t>, USA</w:t>
    </w:r>
    <w:r>
      <w:tab/>
      <w:t>Conclusion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ADCC0" w14:textId="37E0D271" w:rsidR="00EC2908" w:rsidRDefault="00000000">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0865B" w14:textId="6AB36027" w:rsidR="003F79E4" w:rsidRDefault="00000000">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A6B0A" w14:textId="148CD434" w:rsidR="00EC2908" w:rsidRDefault="00000000">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9B037" w14:textId="79B59B8A" w:rsidR="00EC2908" w:rsidRDefault="00267B05" w:rsidP="004B74F1">
    <w:pPr>
      <w:pStyle w:val="Header"/>
      <w:tabs>
        <w:tab w:val="clear" w:pos="4820"/>
        <w:tab w:val="right" w:pos="13892"/>
      </w:tabs>
      <w:jc w:val="left"/>
    </w:pPr>
    <w:r>
      <w:rPr>
        <w:rFonts w:asciiTheme="minorHAnsi" w:hAnsiTheme="minorHAnsi" w:cstheme="minorHAnsi"/>
        <w:szCs w:val="20"/>
      </w:rPr>
      <w:t>Final</w:t>
    </w:r>
    <w:r w:rsidRPr="005818F9">
      <w:rPr>
        <w:rFonts w:asciiTheme="minorHAnsi" w:hAnsiTheme="minorHAnsi" w:cstheme="minorHAnsi"/>
        <w:szCs w:val="20"/>
      </w:rPr>
      <w:t xml:space="preserve"> report - app</w:t>
    </w:r>
    <w:r>
      <w:rPr>
        <w:rFonts w:asciiTheme="minorHAnsi" w:hAnsiTheme="minorHAnsi" w:cstheme="minorHAnsi"/>
        <w:szCs w:val="20"/>
      </w:rPr>
      <w:t>les from the Pacific Northwest s</w:t>
    </w:r>
    <w:r w:rsidRPr="005818F9">
      <w:rPr>
        <w:rFonts w:asciiTheme="minorHAnsi" w:hAnsiTheme="minorHAnsi" w:cstheme="minorHAnsi"/>
        <w:szCs w:val="20"/>
      </w:rPr>
      <w:t>tates</w:t>
    </w:r>
    <w:r>
      <w:rPr>
        <w:rFonts w:asciiTheme="minorHAnsi" w:hAnsiTheme="minorHAnsi" w:cstheme="minorHAnsi"/>
        <w:szCs w:val="20"/>
      </w:rPr>
      <w:t>, USA</w:t>
    </w:r>
    <w:r>
      <w:tab/>
      <w:t>Appendix A</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B8132" w14:textId="415FD576" w:rsidR="00EC2908" w:rsidRDefault="00000000">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9C6" w14:textId="3D244A17" w:rsidR="00EC2908" w:rsidRDefault="00000000">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7B4F4" w14:textId="343B3B4F" w:rsidR="00EC2908" w:rsidRDefault="00267B05">
    <w:pPr>
      <w:pStyle w:val="Header"/>
      <w:tabs>
        <w:tab w:val="clear" w:pos="4820"/>
        <w:tab w:val="center" w:pos="8505"/>
        <w:tab w:val="center" w:pos="13041"/>
      </w:tabs>
      <w:jc w:val="left"/>
    </w:pPr>
    <w:r>
      <w:rPr>
        <w:rFonts w:asciiTheme="minorHAnsi" w:hAnsiTheme="minorHAnsi" w:cstheme="minorHAnsi"/>
        <w:szCs w:val="20"/>
      </w:rPr>
      <w:t>Final</w:t>
    </w:r>
    <w:r w:rsidRPr="005818F9">
      <w:rPr>
        <w:rFonts w:asciiTheme="minorHAnsi" w:hAnsiTheme="minorHAnsi" w:cstheme="minorHAnsi"/>
        <w:szCs w:val="20"/>
      </w:rPr>
      <w:t xml:space="preserve"> report - apples from the Pacific Northwest States</w:t>
    </w:r>
    <w:r>
      <w:rPr>
        <w:rFonts w:asciiTheme="minorHAnsi" w:hAnsiTheme="minorHAnsi" w:cstheme="minorHAnsi"/>
        <w:szCs w:val="20"/>
      </w:rPr>
      <w:t>, USA</w:t>
    </w:r>
    <w:r>
      <w:tab/>
      <w:t>Appendix B</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A9303" w14:textId="471CF65E" w:rsidR="00EC2908" w:rsidRDefault="00000000">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A5A8E" w14:textId="5CD71EFF" w:rsidR="003F79E4" w:rsidRDefault="00000000">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6E640" w14:textId="43CD0610" w:rsidR="0038092A" w:rsidRDefault="00267B05">
    <w:pPr>
      <w:pStyle w:val="Header"/>
      <w:tabs>
        <w:tab w:val="clear" w:pos="4820"/>
        <w:tab w:val="center" w:pos="8505"/>
        <w:tab w:val="center" w:pos="13041"/>
      </w:tabs>
      <w:jc w:val="left"/>
    </w:pPr>
    <w:r>
      <w:rPr>
        <w:rFonts w:asciiTheme="minorHAnsi" w:hAnsiTheme="minorHAnsi" w:cstheme="minorHAnsi"/>
        <w:szCs w:val="20"/>
      </w:rPr>
      <w:t>Final</w:t>
    </w:r>
    <w:r w:rsidRPr="005818F9">
      <w:rPr>
        <w:rFonts w:asciiTheme="minorHAnsi" w:hAnsiTheme="minorHAnsi" w:cstheme="minorHAnsi"/>
        <w:szCs w:val="20"/>
      </w:rPr>
      <w:t xml:space="preserve"> report - apples from the Pacific Northwest States</w:t>
    </w:r>
    <w:r>
      <w:rPr>
        <w:rFonts w:asciiTheme="minorHAnsi" w:hAnsiTheme="minorHAnsi" w:cstheme="minorHAnsi"/>
        <w:szCs w:val="20"/>
      </w:rPr>
      <w:t>, USA</w:t>
    </w:r>
    <w:r>
      <w:tab/>
      <w:t>Appendix B</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50D7B" w14:textId="5F5F0F34" w:rsidR="003F79E4" w:rsidRDefault="000000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16FFA" w14:textId="791F1E79" w:rsidR="00EC2908" w:rsidRDefault="00000000">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F9948" w14:textId="43F62DEC" w:rsidR="003F79E4" w:rsidRDefault="00000000">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04EA9" w14:textId="564C8628" w:rsidR="00901EF2" w:rsidRDefault="00267B05">
    <w:pPr>
      <w:pStyle w:val="Header"/>
      <w:tabs>
        <w:tab w:val="clear" w:pos="4820"/>
        <w:tab w:val="center" w:pos="8505"/>
        <w:tab w:val="center" w:pos="13041"/>
      </w:tabs>
      <w:jc w:val="left"/>
    </w:pPr>
    <w:r>
      <w:t>Final</w:t>
    </w:r>
    <w:r w:rsidRPr="003A467A">
      <w:t xml:space="preserve"> report: avocados from Chile</w:t>
    </w:r>
    <w:r>
      <w:tab/>
      <w:t>Glossary</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3CA3A" w14:textId="2B6E5D18" w:rsidR="003F79E4" w:rsidRDefault="00000000">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EAE1E" w14:textId="7B20187D" w:rsidR="003F79E4" w:rsidRDefault="00000000">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58FCE" w14:textId="19585A4A" w:rsidR="0038092A" w:rsidRDefault="00267B05">
    <w:pPr>
      <w:pStyle w:val="Header"/>
      <w:tabs>
        <w:tab w:val="clear" w:pos="4820"/>
        <w:tab w:val="center" w:pos="8505"/>
        <w:tab w:val="center" w:pos="13041"/>
      </w:tabs>
      <w:jc w:val="left"/>
    </w:pPr>
    <w:r>
      <w:rPr>
        <w:rFonts w:asciiTheme="minorHAnsi" w:hAnsiTheme="minorHAnsi" w:cstheme="minorHAnsi"/>
        <w:szCs w:val="20"/>
      </w:rPr>
      <w:t>Final</w:t>
    </w:r>
    <w:r w:rsidRPr="005818F9">
      <w:rPr>
        <w:rFonts w:asciiTheme="minorHAnsi" w:hAnsiTheme="minorHAnsi" w:cstheme="minorHAnsi"/>
        <w:szCs w:val="20"/>
      </w:rPr>
      <w:t xml:space="preserve"> report - apples from the Pacific Northwest States</w:t>
    </w:r>
    <w:r>
      <w:rPr>
        <w:rFonts w:asciiTheme="minorHAnsi" w:hAnsiTheme="minorHAnsi" w:cstheme="minorHAnsi"/>
        <w:szCs w:val="20"/>
      </w:rPr>
      <w:t>, USA</w:t>
    </w:r>
    <w:r>
      <w:tab/>
      <w:t>References</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0ABA2" w14:textId="50C39B0D" w:rsidR="003F79E4" w:rsidRDefault="0000000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B6FB8" w14:textId="39E10CA8" w:rsidR="00EC2908" w:rsidRPr="003948B8" w:rsidRDefault="00267B05" w:rsidP="00E44380">
    <w:pPr>
      <w:pStyle w:val="Header"/>
      <w:tabs>
        <w:tab w:val="clear" w:pos="4820"/>
        <w:tab w:val="right" w:pos="13892"/>
      </w:tabs>
      <w:jc w:val="left"/>
    </w:pPr>
    <w:r>
      <w:rPr>
        <w:rFonts w:asciiTheme="minorHAnsi" w:hAnsiTheme="minorHAnsi" w:cstheme="minorHAnsi"/>
        <w:szCs w:val="20"/>
      </w:rPr>
      <w:t>Final</w:t>
    </w:r>
    <w:r w:rsidRPr="005818F9">
      <w:rPr>
        <w:rFonts w:asciiTheme="minorHAnsi" w:hAnsiTheme="minorHAnsi" w:cstheme="minorHAnsi"/>
        <w:szCs w:val="20"/>
      </w:rPr>
      <w:t xml:space="preserve"> report - apples from the Pacific Northwest </w:t>
    </w:r>
    <w:r>
      <w:rPr>
        <w:rFonts w:asciiTheme="minorHAnsi" w:hAnsiTheme="minorHAnsi" w:cstheme="minorHAnsi"/>
        <w:szCs w:val="20"/>
      </w:rPr>
      <w:t>s</w:t>
    </w:r>
    <w:r w:rsidRPr="005818F9">
      <w:rPr>
        <w:rFonts w:asciiTheme="minorHAnsi" w:hAnsiTheme="minorHAnsi" w:cstheme="minorHAnsi"/>
        <w:szCs w:val="20"/>
      </w:rPr>
      <w:t>tates</w:t>
    </w:r>
    <w:r>
      <w:rPr>
        <w:rFonts w:asciiTheme="minorHAnsi" w:hAnsiTheme="minorHAnsi" w:cstheme="minorHAnsi"/>
        <w:szCs w:val="20"/>
      </w:rPr>
      <w:t>, USA</w:t>
    </w:r>
    <w:r>
      <w:tab/>
      <w:t>Maps of Australia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296E5" w14:textId="2FAF74C3" w:rsidR="00EC2908" w:rsidRDefault="0000000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8C4DA" w14:textId="26A4EB61" w:rsidR="00EC2908"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A1A2DB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A7C03C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4EA73FE"/>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B40B180"/>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5DAC0D42"/>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9"/>
    <w:multiLevelType w:val="singleLevel"/>
    <w:tmpl w:val="C96E1F0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7480AC3"/>
    <w:multiLevelType w:val="hybridMultilevel"/>
    <w:tmpl w:val="007E495E"/>
    <w:lvl w:ilvl="0" w:tplc="413AC480">
      <w:start w:val="1"/>
      <w:numFmt w:val="upperLetter"/>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547BCF"/>
    <w:multiLevelType w:val="hybridMultilevel"/>
    <w:tmpl w:val="211CA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9" w15:restartNumberingAfterBreak="0">
    <w:nsid w:val="0C2F22E1"/>
    <w:multiLevelType w:val="hybridMultilevel"/>
    <w:tmpl w:val="9F12E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E74F4F"/>
    <w:multiLevelType w:val="multilevel"/>
    <w:tmpl w:val="6346ED0E"/>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1" w15:restartNumberingAfterBreak="0">
    <w:nsid w:val="18246316"/>
    <w:multiLevelType w:val="hybridMultilevel"/>
    <w:tmpl w:val="E78C8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3B0222"/>
    <w:multiLevelType w:val="hybridMultilevel"/>
    <w:tmpl w:val="FCAC077A"/>
    <w:lvl w:ilvl="0" w:tplc="4964EA24">
      <w:start w:val="4"/>
      <w:numFmt w:val="bullet"/>
      <w:lvlText w:val="-"/>
      <w:lvlJc w:val="left"/>
      <w:pPr>
        <w:ind w:left="757" w:hanging="360"/>
      </w:pPr>
      <w:rPr>
        <w:rFonts w:ascii="Cambria" w:eastAsiaTheme="minorHAnsi" w:hAnsi="Cambria" w:cstheme="minorBidi"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14" w15:restartNumberingAfterBreak="0">
    <w:nsid w:val="2453399E"/>
    <w:multiLevelType w:val="multilevel"/>
    <w:tmpl w:val="40A462FE"/>
    <w:numStyleLink w:val="heading"/>
  </w:abstractNum>
  <w:abstractNum w:abstractNumId="15"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6" w15:restartNumberingAfterBreak="0">
    <w:nsid w:val="29AA1CDB"/>
    <w:multiLevelType w:val="hybridMultilevel"/>
    <w:tmpl w:val="AE269D50"/>
    <w:lvl w:ilvl="0" w:tplc="C4581A0C">
      <w:numFmt w:val="bullet"/>
      <w:lvlText w:val="-"/>
      <w:lvlJc w:val="left"/>
      <w:pPr>
        <w:ind w:left="757" w:hanging="360"/>
      </w:pPr>
      <w:rPr>
        <w:rFonts w:ascii="Cambria" w:eastAsiaTheme="minorHAnsi" w:hAnsi="Cambria" w:cstheme="minorBidi"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17" w15:restartNumberingAfterBreak="0">
    <w:nsid w:val="2A913599"/>
    <w:multiLevelType w:val="multilevel"/>
    <w:tmpl w:val="02AA8FA0"/>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8" w15:restartNumberingAfterBreak="0">
    <w:nsid w:val="2AA54267"/>
    <w:multiLevelType w:val="hybridMultilevel"/>
    <w:tmpl w:val="65303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595B46"/>
    <w:multiLevelType w:val="multilevel"/>
    <w:tmpl w:val="C32AB9AA"/>
    <w:numStyleLink w:val="ListNumber1"/>
  </w:abstractNum>
  <w:abstractNum w:abstractNumId="20" w15:restartNumberingAfterBreak="0">
    <w:nsid w:val="2F6029FC"/>
    <w:multiLevelType w:val="hybridMultilevel"/>
    <w:tmpl w:val="33EE9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5A2089"/>
    <w:multiLevelType w:val="hybridMultilevel"/>
    <w:tmpl w:val="89A63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1F15BF"/>
    <w:multiLevelType w:val="hybridMultilevel"/>
    <w:tmpl w:val="89C84270"/>
    <w:lvl w:ilvl="0" w:tplc="0C090001">
      <w:start w:val="1"/>
      <w:numFmt w:val="bullet"/>
      <w:lvlText w:val=""/>
      <w:lvlJc w:val="left"/>
      <w:pPr>
        <w:ind w:left="360" w:hanging="360"/>
      </w:pPr>
      <w:rPr>
        <w:rFonts w:ascii="Symbol" w:hAnsi="Symbol" w:hint="default"/>
      </w:rPr>
    </w:lvl>
    <w:lvl w:ilvl="1" w:tplc="617090A8">
      <w:numFmt w:val="bullet"/>
      <w:lvlText w:val="-"/>
      <w:lvlJc w:val="left"/>
      <w:pPr>
        <w:ind w:left="1080" w:hanging="360"/>
      </w:pPr>
      <w:rPr>
        <w:rFonts w:ascii="Cambria" w:eastAsiaTheme="minorHAnsi" w:hAnsi="Cambria" w:cstheme="minorBidi" w:hint="default"/>
      </w:rPr>
    </w:lvl>
    <w:lvl w:ilvl="2" w:tplc="EC0E9E2E">
      <w:start w:val="1"/>
      <w:numFmt w:val="bullet"/>
      <w:lvlText w:val=""/>
      <w:lvlJc w:val="left"/>
      <w:pPr>
        <w:ind w:left="1800" w:hanging="360"/>
      </w:pPr>
      <w:rPr>
        <w:rFonts w:ascii="Symbol" w:hAnsi="Symbo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4" w15:restartNumberingAfterBreak="0">
    <w:nsid w:val="3A9F37D8"/>
    <w:multiLevelType w:val="hybridMultilevel"/>
    <w:tmpl w:val="306C1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26" w15:restartNumberingAfterBreak="0">
    <w:nsid w:val="3F1958B8"/>
    <w:multiLevelType w:val="hybridMultilevel"/>
    <w:tmpl w:val="A05A3ADE"/>
    <w:lvl w:ilvl="0" w:tplc="EC0E9E2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2BB39F3"/>
    <w:multiLevelType w:val="hybridMultilevel"/>
    <w:tmpl w:val="D728BC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861DE6"/>
    <w:multiLevelType w:val="multilevel"/>
    <w:tmpl w:val="6346ED0E"/>
    <w:styleLink w:val="listbullets"/>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30" w15:restartNumberingAfterBreak="0">
    <w:nsid w:val="522361C4"/>
    <w:multiLevelType w:val="hybridMultilevel"/>
    <w:tmpl w:val="B8A080E2"/>
    <w:lvl w:ilvl="0" w:tplc="9B7416A6">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2" w15:restartNumberingAfterBreak="0">
    <w:nsid w:val="5B115A43"/>
    <w:multiLevelType w:val="hybridMultilevel"/>
    <w:tmpl w:val="F5F2F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9557E8"/>
    <w:multiLevelType w:val="hybridMultilevel"/>
    <w:tmpl w:val="35C0925C"/>
    <w:lvl w:ilvl="0" w:tplc="EC0E9E2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6576DF7"/>
    <w:multiLevelType w:val="hybridMultilevel"/>
    <w:tmpl w:val="C8BEBC5E"/>
    <w:lvl w:ilvl="0" w:tplc="EC0E9E2E">
      <w:start w:val="1"/>
      <w:numFmt w:val="bullet"/>
      <w:lvlText w:val=""/>
      <w:lvlJc w:val="left"/>
      <w:pPr>
        <w:ind w:left="111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35" w15:restartNumberingAfterBreak="0">
    <w:nsid w:val="6DA812E3"/>
    <w:multiLevelType w:val="hybridMultilevel"/>
    <w:tmpl w:val="19DC8D14"/>
    <w:lvl w:ilvl="0" w:tplc="FFFFFFFF">
      <w:start w:val="1"/>
      <w:numFmt w:val="bullet"/>
      <w:pStyle w:val="Bullet"/>
      <w:lvlText w:val=""/>
      <w:lvlJc w:val="left"/>
      <w:pPr>
        <w:tabs>
          <w:tab w:val="num" w:pos="-360"/>
        </w:tabs>
        <w:ind w:left="360" w:hanging="360"/>
      </w:pPr>
      <w:rPr>
        <w:rFonts w:ascii="Symbol" w:hAnsi="Symbol" w:hint="default"/>
        <w:color w:val="auto"/>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636387C"/>
    <w:multiLevelType w:val="multilevel"/>
    <w:tmpl w:val="6346ED0E"/>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num w:numId="1" w16cid:durableId="18972599">
    <w:abstractNumId w:val="28"/>
  </w:num>
  <w:num w:numId="2" w16cid:durableId="1585382573">
    <w:abstractNumId w:val="12"/>
  </w:num>
  <w:num w:numId="3" w16cid:durableId="1955407152">
    <w:abstractNumId w:val="31"/>
  </w:num>
  <w:num w:numId="4" w16cid:durableId="285963848">
    <w:abstractNumId w:val="15"/>
  </w:num>
  <w:num w:numId="5" w16cid:durableId="1811939747">
    <w:abstractNumId w:val="23"/>
  </w:num>
  <w:num w:numId="6" w16cid:durableId="13852317">
    <w:abstractNumId w:val="29"/>
  </w:num>
  <w:num w:numId="7" w16cid:durableId="1344551021">
    <w:abstractNumId w:val="36"/>
    <w:lvlOverride w:ilvl="0">
      <w:lvl w:ilvl="0">
        <w:start w:val="1"/>
        <w:numFmt w:val="bullet"/>
        <w:pStyle w:val="ListBullet"/>
        <w:lvlText w:val=""/>
        <w:lvlJc w:val="left"/>
        <w:pPr>
          <w:tabs>
            <w:tab w:val="num" w:pos="567"/>
          </w:tabs>
          <w:ind w:left="397" w:hanging="397"/>
        </w:pPr>
        <w:rPr>
          <w:rFonts w:ascii="Symbol" w:hAnsi="Symbol" w:hint="default"/>
          <w:color w:val="auto"/>
        </w:rPr>
      </w:lvl>
    </w:lvlOverride>
    <w:lvlOverride w:ilvl="1">
      <w:lvl w:ilvl="1">
        <w:start w:val="1"/>
        <w:numFmt w:val="bullet"/>
        <w:pStyle w:val="ListBullet2"/>
        <w:lvlText w:val=""/>
        <w:lvlJc w:val="left"/>
        <w:pPr>
          <w:tabs>
            <w:tab w:val="num" w:pos="794"/>
          </w:tabs>
          <w:ind w:left="397" w:firstLine="0"/>
        </w:pPr>
        <w:rPr>
          <w:rFonts w:ascii="Symbol" w:hAnsi="Symbol" w:hint="default"/>
        </w:rPr>
      </w:lvl>
    </w:lvlOverride>
    <w:lvlOverride w:ilvl="2">
      <w:lvl w:ilvl="2">
        <w:start w:val="1"/>
        <w:numFmt w:val="bullet"/>
        <w:lvlText w:val=""/>
        <w:lvlJc w:val="left"/>
        <w:pPr>
          <w:tabs>
            <w:tab w:val="num" w:pos="567"/>
          </w:tabs>
          <w:ind w:left="567" w:hanging="567"/>
        </w:pPr>
        <w:rPr>
          <w:rFonts w:ascii="Wingdings" w:hAnsi="Wingdings" w:hint="default"/>
        </w:rPr>
      </w:lvl>
    </w:lvlOverride>
    <w:lvlOverride w:ilvl="3">
      <w:lvl w:ilvl="3">
        <w:start w:val="1"/>
        <w:numFmt w:val="bullet"/>
        <w:lvlText w:val=""/>
        <w:lvlJc w:val="left"/>
        <w:pPr>
          <w:tabs>
            <w:tab w:val="num" w:pos="567"/>
          </w:tabs>
          <w:ind w:left="567" w:hanging="567"/>
        </w:pPr>
        <w:rPr>
          <w:rFonts w:ascii="Symbol" w:hAnsi="Symbol" w:hint="default"/>
        </w:rPr>
      </w:lvl>
    </w:lvlOverride>
    <w:lvlOverride w:ilvl="4">
      <w:lvl w:ilvl="4">
        <w:start w:val="1"/>
        <w:numFmt w:val="bullet"/>
        <w:lvlText w:val="o"/>
        <w:lvlJc w:val="left"/>
        <w:pPr>
          <w:tabs>
            <w:tab w:val="num" w:pos="567"/>
          </w:tabs>
          <w:ind w:left="567" w:hanging="567"/>
        </w:pPr>
        <w:rPr>
          <w:rFonts w:ascii="Courier New" w:hAnsi="Courier New" w:cs="Courier New" w:hint="default"/>
        </w:rPr>
      </w:lvl>
    </w:lvlOverride>
    <w:lvlOverride w:ilvl="5">
      <w:lvl w:ilvl="5">
        <w:start w:val="1"/>
        <w:numFmt w:val="bullet"/>
        <w:lvlText w:val=""/>
        <w:lvlJc w:val="left"/>
        <w:pPr>
          <w:tabs>
            <w:tab w:val="num" w:pos="567"/>
          </w:tabs>
          <w:ind w:left="567" w:hanging="567"/>
        </w:pPr>
        <w:rPr>
          <w:rFonts w:ascii="Wingdings" w:hAnsi="Wingdings" w:hint="default"/>
        </w:rPr>
      </w:lvl>
    </w:lvlOverride>
    <w:lvlOverride w:ilvl="6">
      <w:lvl w:ilvl="6">
        <w:start w:val="1"/>
        <w:numFmt w:val="bullet"/>
        <w:lvlText w:val=""/>
        <w:lvlJc w:val="left"/>
        <w:pPr>
          <w:tabs>
            <w:tab w:val="num" w:pos="567"/>
          </w:tabs>
          <w:ind w:left="567" w:hanging="567"/>
        </w:pPr>
        <w:rPr>
          <w:rFonts w:ascii="Symbol" w:hAnsi="Symbol" w:hint="default"/>
        </w:rPr>
      </w:lvl>
    </w:lvlOverride>
    <w:lvlOverride w:ilvl="7">
      <w:lvl w:ilvl="7">
        <w:start w:val="1"/>
        <w:numFmt w:val="bullet"/>
        <w:lvlText w:val="o"/>
        <w:lvlJc w:val="left"/>
        <w:pPr>
          <w:tabs>
            <w:tab w:val="num" w:pos="567"/>
          </w:tabs>
          <w:ind w:left="567" w:hanging="567"/>
        </w:pPr>
        <w:rPr>
          <w:rFonts w:ascii="Courier New" w:hAnsi="Courier New" w:cs="Courier New" w:hint="default"/>
        </w:rPr>
      </w:lvl>
    </w:lvlOverride>
    <w:lvlOverride w:ilvl="8">
      <w:lvl w:ilvl="8">
        <w:start w:val="1"/>
        <w:numFmt w:val="bullet"/>
        <w:lvlText w:val=""/>
        <w:lvlJc w:val="left"/>
        <w:pPr>
          <w:tabs>
            <w:tab w:val="num" w:pos="567"/>
          </w:tabs>
          <w:ind w:left="567" w:hanging="567"/>
        </w:pPr>
        <w:rPr>
          <w:rFonts w:ascii="Wingdings" w:hAnsi="Wingdings" w:hint="default"/>
        </w:rPr>
      </w:lvl>
    </w:lvlOverride>
  </w:num>
  <w:num w:numId="8" w16cid:durableId="390614630">
    <w:abstractNumId w:val="25"/>
  </w:num>
  <w:num w:numId="9" w16cid:durableId="1970161816">
    <w:abstractNumId w:val="19"/>
  </w:num>
  <w:num w:numId="10" w16cid:durableId="450368231">
    <w:abstractNumId w:val="8"/>
  </w:num>
  <w:num w:numId="11" w16cid:durableId="388117090">
    <w:abstractNumId w:val="1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936"/>
          </w:tabs>
          <w:ind w:left="936" w:hanging="794"/>
        </w:pPr>
        <w:rPr>
          <w:rFonts w:hint="default"/>
        </w:rPr>
      </w:lvl>
    </w:lvlOverride>
    <w:lvlOverride w:ilvl="2">
      <w:lvl w:ilvl="2">
        <w:start w:val="1"/>
        <w:numFmt w:val="decimal"/>
        <w:pStyle w:val="Heading4"/>
        <w:lvlText w:val="%1.%2.%3"/>
        <w:lvlJc w:val="left"/>
        <w:pPr>
          <w:tabs>
            <w:tab w:val="num" w:pos="1929"/>
          </w:tabs>
          <w:ind w:left="1929"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2" w16cid:durableId="1465931246">
    <w:abstractNumId w:val="33"/>
  </w:num>
  <w:num w:numId="13" w16cid:durableId="1395860099">
    <w:abstractNumId w:val="35"/>
  </w:num>
  <w:num w:numId="14" w16cid:durableId="1925146166">
    <w:abstractNumId w:val="30"/>
  </w:num>
  <w:num w:numId="15" w16cid:durableId="193734618">
    <w:abstractNumId w:val="36"/>
  </w:num>
  <w:num w:numId="16" w16cid:durableId="807624694">
    <w:abstractNumId w:val="27"/>
  </w:num>
  <w:num w:numId="17" w16cid:durableId="2064523769">
    <w:abstractNumId w:val="7"/>
  </w:num>
  <w:num w:numId="18" w16cid:durableId="389112912">
    <w:abstractNumId w:val="32"/>
  </w:num>
  <w:num w:numId="19" w16cid:durableId="837042551">
    <w:abstractNumId w:val="17"/>
  </w:num>
  <w:num w:numId="20" w16cid:durableId="47458289">
    <w:abstractNumId w:val="13"/>
  </w:num>
  <w:num w:numId="21" w16cid:durableId="700207744">
    <w:abstractNumId w:val="20"/>
  </w:num>
  <w:num w:numId="22" w16cid:durableId="1030183419">
    <w:abstractNumId w:val="10"/>
  </w:num>
  <w:num w:numId="23" w16cid:durableId="190464003">
    <w:abstractNumId w:val="36"/>
    <w:lvlOverride w:ilvl="0">
      <w:lvl w:ilvl="0">
        <w:start w:val="1"/>
        <w:numFmt w:val="bullet"/>
        <w:pStyle w:val="ListBullet"/>
        <w:lvlText w:val=""/>
        <w:lvlJc w:val="left"/>
        <w:pPr>
          <w:tabs>
            <w:tab w:val="num" w:pos="567"/>
          </w:tabs>
          <w:ind w:left="397" w:hanging="397"/>
        </w:pPr>
        <w:rPr>
          <w:rFonts w:ascii="Symbol" w:hAnsi="Symbol" w:hint="default"/>
          <w:color w:val="auto"/>
        </w:rPr>
      </w:lvl>
    </w:lvlOverride>
    <w:lvlOverride w:ilvl="1">
      <w:lvl w:ilvl="1">
        <w:start w:val="1"/>
        <w:numFmt w:val="bullet"/>
        <w:pStyle w:val="ListBullet2"/>
        <w:lvlText w:val=""/>
        <w:lvlJc w:val="left"/>
        <w:pPr>
          <w:tabs>
            <w:tab w:val="num" w:pos="539"/>
          </w:tabs>
          <w:ind w:left="142" w:firstLine="0"/>
        </w:pPr>
        <w:rPr>
          <w:rFonts w:ascii="Symbol" w:hAnsi="Symbol" w:hint="default"/>
        </w:rPr>
      </w:lvl>
    </w:lvlOverride>
    <w:lvlOverride w:ilvl="2">
      <w:lvl w:ilvl="2">
        <w:start w:val="1"/>
        <w:numFmt w:val="bullet"/>
        <w:lvlText w:val=""/>
        <w:lvlJc w:val="left"/>
        <w:pPr>
          <w:tabs>
            <w:tab w:val="num" w:pos="567"/>
          </w:tabs>
          <w:ind w:left="567" w:hanging="567"/>
        </w:pPr>
        <w:rPr>
          <w:rFonts w:ascii="Wingdings" w:hAnsi="Wingdings" w:hint="default"/>
        </w:rPr>
      </w:lvl>
    </w:lvlOverride>
    <w:lvlOverride w:ilvl="3">
      <w:lvl w:ilvl="3">
        <w:start w:val="1"/>
        <w:numFmt w:val="bullet"/>
        <w:lvlText w:val=""/>
        <w:lvlJc w:val="left"/>
        <w:pPr>
          <w:tabs>
            <w:tab w:val="num" w:pos="567"/>
          </w:tabs>
          <w:ind w:left="567" w:hanging="567"/>
        </w:pPr>
        <w:rPr>
          <w:rFonts w:ascii="Symbol" w:hAnsi="Symbol" w:hint="default"/>
        </w:rPr>
      </w:lvl>
    </w:lvlOverride>
    <w:lvlOverride w:ilvl="4">
      <w:lvl w:ilvl="4">
        <w:start w:val="1"/>
        <w:numFmt w:val="bullet"/>
        <w:lvlText w:val="o"/>
        <w:lvlJc w:val="left"/>
        <w:pPr>
          <w:tabs>
            <w:tab w:val="num" w:pos="567"/>
          </w:tabs>
          <w:ind w:left="567" w:hanging="567"/>
        </w:pPr>
        <w:rPr>
          <w:rFonts w:ascii="Courier New" w:hAnsi="Courier New" w:cs="Courier New" w:hint="default"/>
        </w:rPr>
      </w:lvl>
    </w:lvlOverride>
    <w:lvlOverride w:ilvl="5">
      <w:lvl w:ilvl="5">
        <w:start w:val="1"/>
        <w:numFmt w:val="bullet"/>
        <w:lvlText w:val=""/>
        <w:lvlJc w:val="left"/>
        <w:pPr>
          <w:tabs>
            <w:tab w:val="num" w:pos="567"/>
          </w:tabs>
          <w:ind w:left="567" w:hanging="567"/>
        </w:pPr>
        <w:rPr>
          <w:rFonts w:ascii="Wingdings" w:hAnsi="Wingdings" w:hint="default"/>
        </w:rPr>
      </w:lvl>
    </w:lvlOverride>
    <w:lvlOverride w:ilvl="6">
      <w:lvl w:ilvl="6">
        <w:start w:val="1"/>
        <w:numFmt w:val="bullet"/>
        <w:lvlText w:val=""/>
        <w:lvlJc w:val="left"/>
        <w:pPr>
          <w:tabs>
            <w:tab w:val="num" w:pos="567"/>
          </w:tabs>
          <w:ind w:left="567" w:hanging="567"/>
        </w:pPr>
        <w:rPr>
          <w:rFonts w:ascii="Symbol" w:hAnsi="Symbol" w:hint="default"/>
        </w:rPr>
      </w:lvl>
    </w:lvlOverride>
    <w:lvlOverride w:ilvl="7">
      <w:lvl w:ilvl="7">
        <w:start w:val="1"/>
        <w:numFmt w:val="bullet"/>
        <w:lvlText w:val="o"/>
        <w:lvlJc w:val="left"/>
        <w:pPr>
          <w:tabs>
            <w:tab w:val="num" w:pos="567"/>
          </w:tabs>
          <w:ind w:left="567" w:hanging="567"/>
        </w:pPr>
        <w:rPr>
          <w:rFonts w:ascii="Courier New" w:hAnsi="Courier New" w:cs="Courier New" w:hint="default"/>
        </w:rPr>
      </w:lvl>
    </w:lvlOverride>
    <w:lvlOverride w:ilvl="8">
      <w:lvl w:ilvl="8">
        <w:start w:val="1"/>
        <w:numFmt w:val="bullet"/>
        <w:lvlText w:val=""/>
        <w:lvlJc w:val="left"/>
        <w:pPr>
          <w:tabs>
            <w:tab w:val="num" w:pos="567"/>
          </w:tabs>
          <w:ind w:left="567" w:hanging="567"/>
        </w:pPr>
        <w:rPr>
          <w:rFonts w:ascii="Wingdings" w:hAnsi="Wingdings" w:hint="default"/>
        </w:rPr>
      </w:lvl>
    </w:lvlOverride>
  </w:num>
  <w:num w:numId="24" w16cid:durableId="1149519437">
    <w:abstractNumId w:val="5"/>
  </w:num>
  <w:num w:numId="25" w16cid:durableId="699085191">
    <w:abstractNumId w:val="1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26" w16cid:durableId="365175576">
    <w:abstractNumId w:val="36"/>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27" w16cid:durableId="1548563468">
    <w:abstractNumId w:val="22"/>
  </w:num>
  <w:num w:numId="28" w16cid:durableId="1130125439">
    <w:abstractNumId w:val="34"/>
  </w:num>
  <w:num w:numId="29" w16cid:durableId="1369380399">
    <w:abstractNumId w:val="14"/>
    <w:lvlOverride w:ilvl="0">
      <w:startOverride w:val="1"/>
      <w:lvl w:ilvl="0">
        <w:start w:val="1"/>
        <w:numFmt w:val="decimal"/>
        <w:pStyle w:val="Heading2"/>
        <w:lvlText w:val="%1"/>
        <w:lvlJc w:val="left"/>
        <w:pPr>
          <w:tabs>
            <w:tab w:val="num" w:pos="794"/>
          </w:tabs>
          <w:ind w:left="794" w:hanging="794"/>
        </w:pPr>
        <w:rPr>
          <w:rFonts w:hint="default"/>
        </w:rPr>
      </w:lvl>
    </w:lvlOverride>
    <w:lvlOverride w:ilvl="1">
      <w:startOverride w:val="1"/>
      <w:lvl w:ilvl="1">
        <w:start w:val="1"/>
        <w:numFmt w:val="decimal"/>
        <w:pStyle w:val="Heading3"/>
        <w:lvlText w:val="%1.%2"/>
        <w:lvlJc w:val="left"/>
        <w:pPr>
          <w:tabs>
            <w:tab w:val="num" w:pos="794"/>
          </w:tabs>
          <w:ind w:left="794" w:hanging="794"/>
        </w:pPr>
        <w:rPr>
          <w:rFonts w:hint="default"/>
        </w:rPr>
      </w:lvl>
    </w:lvlOverride>
    <w:lvlOverride w:ilvl="2">
      <w:startOverride w:val="1"/>
      <w:lvl w:ilvl="2">
        <w:start w:val="1"/>
        <w:numFmt w:val="decimal"/>
        <w:pStyle w:val="Heading4"/>
        <w:lvlText w:val="%1.%2.%3"/>
        <w:lvlJc w:val="left"/>
        <w:pPr>
          <w:tabs>
            <w:tab w:val="num" w:pos="794"/>
          </w:tabs>
          <w:ind w:left="794" w:hanging="794"/>
        </w:pPr>
        <w:rPr>
          <w:rFonts w:hint="default"/>
        </w:rPr>
      </w:lvl>
    </w:lvlOverride>
    <w:lvlOverride w:ilvl="3">
      <w:startOverride w:val="1"/>
      <w:lvl w:ilvl="3">
        <w:start w:val="1"/>
        <w:numFmt w:val="decimal"/>
        <w:lvlText w:val="(%4)"/>
        <w:lvlJc w:val="left"/>
        <w:pPr>
          <w:tabs>
            <w:tab w:val="num" w:pos="567"/>
          </w:tabs>
          <w:ind w:left="567" w:hanging="567"/>
        </w:pPr>
        <w:rPr>
          <w:rFonts w:hint="default"/>
        </w:rPr>
      </w:lvl>
    </w:lvlOverride>
    <w:lvlOverride w:ilvl="4">
      <w:startOverride w:val="1"/>
      <w:lvl w:ilvl="4">
        <w:start w:val="1"/>
        <w:numFmt w:val="lowerLetter"/>
        <w:lvlText w:val="(%5)"/>
        <w:lvlJc w:val="left"/>
        <w:pPr>
          <w:tabs>
            <w:tab w:val="num" w:pos="567"/>
          </w:tabs>
          <w:ind w:left="567" w:hanging="567"/>
        </w:pPr>
        <w:rPr>
          <w:rFonts w:hint="default"/>
        </w:rPr>
      </w:lvl>
    </w:lvlOverride>
    <w:lvlOverride w:ilvl="5">
      <w:startOverride w:val="1"/>
      <w:lvl w:ilvl="5">
        <w:start w:val="1"/>
        <w:numFmt w:val="lowerRoman"/>
        <w:lvlText w:val="(%6)"/>
        <w:lvlJc w:val="left"/>
        <w:pPr>
          <w:tabs>
            <w:tab w:val="num" w:pos="567"/>
          </w:tabs>
          <w:ind w:left="567" w:hanging="567"/>
        </w:pPr>
        <w:rPr>
          <w:rFonts w:hint="default"/>
        </w:rPr>
      </w:lvl>
    </w:lvlOverride>
    <w:lvlOverride w:ilvl="6">
      <w:startOverride w:val="1"/>
      <w:lvl w:ilvl="6">
        <w:start w:val="1"/>
        <w:numFmt w:val="decimal"/>
        <w:lvlText w:val="%7."/>
        <w:lvlJc w:val="left"/>
        <w:pPr>
          <w:tabs>
            <w:tab w:val="num" w:pos="567"/>
          </w:tabs>
          <w:ind w:left="567" w:hanging="567"/>
        </w:pPr>
        <w:rPr>
          <w:rFonts w:hint="default"/>
        </w:rPr>
      </w:lvl>
    </w:lvlOverride>
    <w:lvlOverride w:ilvl="7">
      <w:startOverride w:val="1"/>
      <w:lvl w:ilvl="7">
        <w:start w:val="1"/>
        <w:numFmt w:val="lowerLetter"/>
        <w:lvlText w:val="%8."/>
        <w:lvlJc w:val="left"/>
        <w:pPr>
          <w:tabs>
            <w:tab w:val="num" w:pos="567"/>
          </w:tabs>
          <w:ind w:left="567" w:hanging="567"/>
        </w:pPr>
        <w:rPr>
          <w:rFonts w:hint="default"/>
        </w:rPr>
      </w:lvl>
    </w:lvlOverride>
    <w:lvlOverride w:ilvl="8">
      <w:startOverride w:val="1"/>
      <w:lvl w:ilvl="8">
        <w:start w:val="1"/>
        <w:numFmt w:val="lowerRoman"/>
        <w:lvlText w:val="%9."/>
        <w:lvlJc w:val="left"/>
        <w:pPr>
          <w:tabs>
            <w:tab w:val="num" w:pos="567"/>
          </w:tabs>
          <w:ind w:left="567" w:hanging="567"/>
        </w:pPr>
        <w:rPr>
          <w:rFonts w:hint="default"/>
        </w:rPr>
      </w:lvl>
    </w:lvlOverride>
  </w:num>
  <w:num w:numId="30" w16cid:durableId="712576894">
    <w:abstractNumId w:val="1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1362"/>
          </w:tabs>
          <w:ind w:left="1362"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31" w16cid:durableId="535120063">
    <w:abstractNumId w:val="1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1645"/>
          </w:tabs>
          <w:ind w:left="1645"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32" w16cid:durableId="1142772751">
    <w:abstractNumId w:val="14"/>
    <w:lvlOverride w:ilvl="0">
      <w:startOverride w:val="4"/>
      <w:lvl w:ilvl="0">
        <w:start w:val="4"/>
        <w:numFmt w:val="decimal"/>
        <w:pStyle w:val="Heading2"/>
        <w:lvlText w:val="%1"/>
        <w:lvlJc w:val="left"/>
        <w:pPr>
          <w:tabs>
            <w:tab w:val="num" w:pos="794"/>
          </w:tabs>
          <w:ind w:left="794" w:hanging="794"/>
        </w:pPr>
        <w:rPr>
          <w:rFonts w:hint="default"/>
        </w:rPr>
      </w:lvl>
    </w:lvlOverride>
    <w:lvlOverride w:ilvl="1">
      <w:startOverride w:val="9"/>
      <w:lvl w:ilvl="1">
        <w:start w:val="9"/>
        <w:numFmt w:val="decimal"/>
        <w:pStyle w:val="Heading3"/>
        <w:lvlText w:val="%1.%2"/>
        <w:lvlJc w:val="left"/>
        <w:pPr>
          <w:tabs>
            <w:tab w:val="num" w:pos="794"/>
          </w:tabs>
          <w:ind w:left="794" w:hanging="794"/>
        </w:pPr>
        <w:rPr>
          <w:rFonts w:hint="default"/>
        </w:rPr>
      </w:lvl>
    </w:lvlOverride>
    <w:lvlOverride w:ilvl="2">
      <w:startOverride w:val="1"/>
      <w:lvl w:ilvl="2">
        <w:start w:val="1"/>
        <w:numFmt w:val="decimal"/>
        <w:pStyle w:val="Heading4"/>
        <w:lvlText w:val="%1.%2.%3"/>
        <w:lvlJc w:val="left"/>
        <w:pPr>
          <w:tabs>
            <w:tab w:val="num" w:pos="1929"/>
          </w:tabs>
          <w:ind w:left="1929" w:hanging="794"/>
        </w:pPr>
        <w:rPr>
          <w:rFonts w:hint="default"/>
        </w:rPr>
      </w:lvl>
    </w:lvlOverride>
    <w:lvlOverride w:ilvl="3">
      <w:startOverride w:val="1"/>
      <w:lvl w:ilvl="3">
        <w:start w:val="1"/>
        <w:numFmt w:val="decimal"/>
        <w:lvlText w:val="(%4)"/>
        <w:lvlJc w:val="left"/>
        <w:pPr>
          <w:tabs>
            <w:tab w:val="num" w:pos="567"/>
          </w:tabs>
          <w:ind w:left="567" w:hanging="567"/>
        </w:pPr>
        <w:rPr>
          <w:rFonts w:hint="default"/>
        </w:rPr>
      </w:lvl>
    </w:lvlOverride>
    <w:lvlOverride w:ilvl="4">
      <w:startOverride w:val="1"/>
      <w:lvl w:ilvl="4">
        <w:start w:val="1"/>
        <w:numFmt w:val="lowerLetter"/>
        <w:lvlText w:val="(%5)"/>
        <w:lvlJc w:val="left"/>
        <w:pPr>
          <w:tabs>
            <w:tab w:val="num" w:pos="567"/>
          </w:tabs>
          <w:ind w:left="567" w:hanging="567"/>
        </w:pPr>
        <w:rPr>
          <w:rFonts w:hint="default"/>
        </w:rPr>
      </w:lvl>
    </w:lvlOverride>
    <w:lvlOverride w:ilvl="5">
      <w:startOverride w:val="1"/>
      <w:lvl w:ilvl="5">
        <w:start w:val="1"/>
        <w:numFmt w:val="lowerRoman"/>
        <w:lvlText w:val="(%6)"/>
        <w:lvlJc w:val="left"/>
        <w:pPr>
          <w:tabs>
            <w:tab w:val="num" w:pos="567"/>
          </w:tabs>
          <w:ind w:left="567" w:hanging="567"/>
        </w:pPr>
        <w:rPr>
          <w:rFonts w:hint="default"/>
        </w:rPr>
      </w:lvl>
    </w:lvlOverride>
    <w:lvlOverride w:ilvl="6">
      <w:startOverride w:val="1"/>
      <w:lvl w:ilvl="6">
        <w:start w:val="1"/>
        <w:numFmt w:val="decimal"/>
        <w:lvlText w:val="%7."/>
        <w:lvlJc w:val="left"/>
        <w:pPr>
          <w:tabs>
            <w:tab w:val="num" w:pos="567"/>
          </w:tabs>
          <w:ind w:left="567" w:hanging="567"/>
        </w:pPr>
        <w:rPr>
          <w:rFonts w:hint="default"/>
        </w:rPr>
      </w:lvl>
    </w:lvlOverride>
    <w:lvlOverride w:ilvl="7">
      <w:startOverride w:val="1"/>
      <w:lvl w:ilvl="7">
        <w:start w:val="1"/>
        <w:numFmt w:val="lowerLetter"/>
        <w:lvlText w:val="%8."/>
        <w:lvlJc w:val="left"/>
        <w:pPr>
          <w:tabs>
            <w:tab w:val="num" w:pos="567"/>
          </w:tabs>
          <w:ind w:left="567" w:hanging="567"/>
        </w:pPr>
        <w:rPr>
          <w:rFonts w:hint="default"/>
        </w:rPr>
      </w:lvl>
    </w:lvlOverride>
    <w:lvlOverride w:ilvl="8">
      <w:startOverride w:val="1"/>
      <w:lvl w:ilvl="8">
        <w:start w:val="1"/>
        <w:numFmt w:val="lowerRoman"/>
        <w:lvlText w:val="%9."/>
        <w:lvlJc w:val="left"/>
        <w:pPr>
          <w:tabs>
            <w:tab w:val="num" w:pos="567"/>
          </w:tabs>
          <w:ind w:left="567" w:hanging="567"/>
        </w:pPr>
        <w:rPr>
          <w:rFonts w:hint="default"/>
        </w:rPr>
      </w:lvl>
    </w:lvlOverride>
  </w:num>
  <w:num w:numId="33" w16cid:durableId="78260873">
    <w:abstractNumId w:val="11"/>
  </w:num>
  <w:num w:numId="34" w16cid:durableId="586616785">
    <w:abstractNumId w:val="36"/>
    <w:lvlOverride w:ilvl="0">
      <w:lvl w:ilvl="0">
        <w:start w:val="1"/>
        <w:numFmt w:val="bullet"/>
        <w:pStyle w:val="ListBullet"/>
        <w:lvlText w:val=""/>
        <w:lvlJc w:val="left"/>
        <w:pPr>
          <w:tabs>
            <w:tab w:val="num" w:pos="567"/>
          </w:tabs>
          <w:ind w:left="397" w:hanging="397"/>
        </w:pPr>
        <w:rPr>
          <w:rFonts w:ascii="Symbol" w:hAnsi="Symbol" w:hint="default"/>
          <w:color w:val="auto"/>
        </w:rPr>
      </w:lvl>
    </w:lvlOverride>
    <w:lvlOverride w:ilvl="1">
      <w:lvl w:ilvl="1">
        <w:start w:val="1"/>
        <w:numFmt w:val="bullet"/>
        <w:pStyle w:val="ListBullet2"/>
        <w:lvlText w:val=""/>
        <w:lvlJc w:val="left"/>
        <w:pPr>
          <w:tabs>
            <w:tab w:val="num" w:pos="794"/>
          </w:tabs>
          <w:ind w:left="397" w:firstLine="0"/>
        </w:pPr>
        <w:rPr>
          <w:rFonts w:ascii="Symbol" w:hAnsi="Symbol" w:hint="default"/>
        </w:rPr>
      </w:lvl>
    </w:lvlOverride>
    <w:lvlOverride w:ilvl="2">
      <w:lvl w:ilvl="2">
        <w:start w:val="1"/>
        <w:numFmt w:val="bullet"/>
        <w:lvlText w:val=""/>
        <w:lvlJc w:val="left"/>
        <w:pPr>
          <w:tabs>
            <w:tab w:val="num" w:pos="567"/>
          </w:tabs>
          <w:ind w:left="567" w:hanging="567"/>
        </w:pPr>
        <w:rPr>
          <w:rFonts w:ascii="Wingdings" w:hAnsi="Wingdings" w:hint="default"/>
        </w:rPr>
      </w:lvl>
    </w:lvlOverride>
    <w:lvlOverride w:ilvl="3">
      <w:lvl w:ilvl="3">
        <w:start w:val="1"/>
        <w:numFmt w:val="bullet"/>
        <w:lvlText w:val=""/>
        <w:lvlJc w:val="left"/>
        <w:pPr>
          <w:tabs>
            <w:tab w:val="num" w:pos="567"/>
          </w:tabs>
          <w:ind w:left="567" w:hanging="567"/>
        </w:pPr>
        <w:rPr>
          <w:rFonts w:ascii="Symbol" w:hAnsi="Symbol" w:hint="default"/>
        </w:rPr>
      </w:lvl>
    </w:lvlOverride>
    <w:lvlOverride w:ilvl="4">
      <w:lvl w:ilvl="4">
        <w:start w:val="1"/>
        <w:numFmt w:val="bullet"/>
        <w:lvlText w:val="o"/>
        <w:lvlJc w:val="left"/>
        <w:pPr>
          <w:tabs>
            <w:tab w:val="num" w:pos="567"/>
          </w:tabs>
          <w:ind w:left="567" w:hanging="567"/>
        </w:pPr>
        <w:rPr>
          <w:rFonts w:ascii="Courier New" w:hAnsi="Courier New" w:cs="Courier New" w:hint="default"/>
        </w:rPr>
      </w:lvl>
    </w:lvlOverride>
    <w:lvlOverride w:ilvl="5">
      <w:lvl w:ilvl="5">
        <w:start w:val="1"/>
        <w:numFmt w:val="bullet"/>
        <w:lvlText w:val=""/>
        <w:lvlJc w:val="left"/>
        <w:pPr>
          <w:tabs>
            <w:tab w:val="num" w:pos="567"/>
          </w:tabs>
          <w:ind w:left="567" w:hanging="567"/>
        </w:pPr>
        <w:rPr>
          <w:rFonts w:ascii="Wingdings" w:hAnsi="Wingdings" w:hint="default"/>
        </w:rPr>
      </w:lvl>
    </w:lvlOverride>
    <w:lvlOverride w:ilvl="6">
      <w:lvl w:ilvl="6">
        <w:start w:val="1"/>
        <w:numFmt w:val="bullet"/>
        <w:lvlText w:val=""/>
        <w:lvlJc w:val="left"/>
        <w:pPr>
          <w:tabs>
            <w:tab w:val="num" w:pos="567"/>
          </w:tabs>
          <w:ind w:left="567" w:hanging="567"/>
        </w:pPr>
        <w:rPr>
          <w:rFonts w:ascii="Symbol" w:hAnsi="Symbol" w:hint="default"/>
        </w:rPr>
      </w:lvl>
    </w:lvlOverride>
    <w:lvlOverride w:ilvl="7">
      <w:lvl w:ilvl="7">
        <w:start w:val="1"/>
        <w:numFmt w:val="bullet"/>
        <w:lvlText w:val="o"/>
        <w:lvlJc w:val="left"/>
        <w:pPr>
          <w:tabs>
            <w:tab w:val="num" w:pos="567"/>
          </w:tabs>
          <w:ind w:left="567" w:hanging="567"/>
        </w:pPr>
        <w:rPr>
          <w:rFonts w:ascii="Courier New" w:hAnsi="Courier New" w:cs="Courier New" w:hint="default"/>
        </w:rPr>
      </w:lvl>
    </w:lvlOverride>
    <w:lvlOverride w:ilvl="8">
      <w:lvl w:ilvl="8">
        <w:start w:val="1"/>
        <w:numFmt w:val="bullet"/>
        <w:lvlText w:val=""/>
        <w:lvlJc w:val="left"/>
        <w:pPr>
          <w:tabs>
            <w:tab w:val="num" w:pos="567"/>
          </w:tabs>
          <w:ind w:left="567" w:hanging="567"/>
        </w:pPr>
        <w:rPr>
          <w:rFonts w:ascii="Wingdings" w:hAnsi="Wingdings" w:hint="default"/>
        </w:rPr>
      </w:lvl>
    </w:lvlOverride>
  </w:num>
  <w:num w:numId="35" w16cid:durableId="918948890">
    <w:abstractNumId w:val="1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3063"/>
          </w:tabs>
          <w:ind w:left="3063"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36" w16cid:durableId="262689122">
    <w:abstractNumId w:val="36"/>
    <w:lvlOverride w:ilvl="0">
      <w:lvl w:ilvl="0">
        <w:start w:val="1"/>
        <w:numFmt w:val="bullet"/>
        <w:pStyle w:val="ListBullet"/>
        <w:lvlText w:val=""/>
        <w:lvlJc w:val="left"/>
        <w:pPr>
          <w:tabs>
            <w:tab w:val="num" w:pos="567"/>
          </w:tabs>
          <w:ind w:left="397" w:hanging="397"/>
        </w:pPr>
        <w:rPr>
          <w:rFonts w:ascii="Symbol" w:hAnsi="Symbol" w:hint="default"/>
          <w:color w:val="auto"/>
        </w:rPr>
      </w:lvl>
    </w:lvlOverride>
    <w:lvlOverride w:ilvl="1">
      <w:lvl w:ilvl="1">
        <w:start w:val="1"/>
        <w:numFmt w:val="bullet"/>
        <w:pStyle w:val="ListBullet2"/>
        <w:lvlText w:val=""/>
        <w:lvlJc w:val="left"/>
        <w:pPr>
          <w:tabs>
            <w:tab w:val="num" w:pos="794"/>
          </w:tabs>
          <w:ind w:left="397" w:firstLine="0"/>
        </w:pPr>
        <w:rPr>
          <w:rFonts w:ascii="Symbol" w:hAnsi="Symbol" w:hint="default"/>
        </w:rPr>
      </w:lvl>
    </w:lvlOverride>
    <w:lvlOverride w:ilvl="2">
      <w:lvl w:ilvl="2">
        <w:start w:val="1"/>
        <w:numFmt w:val="bullet"/>
        <w:lvlText w:val=""/>
        <w:lvlJc w:val="left"/>
        <w:pPr>
          <w:tabs>
            <w:tab w:val="num" w:pos="567"/>
          </w:tabs>
          <w:ind w:left="567" w:hanging="567"/>
        </w:pPr>
        <w:rPr>
          <w:rFonts w:ascii="Wingdings" w:hAnsi="Wingdings" w:hint="default"/>
        </w:rPr>
      </w:lvl>
    </w:lvlOverride>
    <w:lvlOverride w:ilvl="3">
      <w:lvl w:ilvl="3">
        <w:start w:val="1"/>
        <w:numFmt w:val="bullet"/>
        <w:lvlText w:val=""/>
        <w:lvlJc w:val="left"/>
        <w:pPr>
          <w:tabs>
            <w:tab w:val="num" w:pos="567"/>
          </w:tabs>
          <w:ind w:left="567" w:hanging="567"/>
        </w:pPr>
        <w:rPr>
          <w:rFonts w:ascii="Symbol" w:hAnsi="Symbol" w:hint="default"/>
        </w:rPr>
      </w:lvl>
    </w:lvlOverride>
    <w:lvlOverride w:ilvl="4">
      <w:lvl w:ilvl="4">
        <w:start w:val="1"/>
        <w:numFmt w:val="bullet"/>
        <w:lvlText w:val="o"/>
        <w:lvlJc w:val="left"/>
        <w:pPr>
          <w:tabs>
            <w:tab w:val="num" w:pos="567"/>
          </w:tabs>
          <w:ind w:left="567" w:hanging="567"/>
        </w:pPr>
        <w:rPr>
          <w:rFonts w:ascii="Courier New" w:hAnsi="Courier New" w:cs="Courier New" w:hint="default"/>
        </w:rPr>
      </w:lvl>
    </w:lvlOverride>
    <w:lvlOverride w:ilvl="5">
      <w:lvl w:ilvl="5">
        <w:start w:val="1"/>
        <w:numFmt w:val="bullet"/>
        <w:lvlText w:val=""/>
        <w:lvlJc w:val="left"/>
        <w:pPr>
          <w:tabs>
            <w:tab w:val="num" w:pos="567"/>
          </w:tabs>
          <w:ind w:left="567" w:hanging="567"/>
        </w:pPr>
        <w:rPr>
          <w:rFonts w:ascii="Wingdings" w:hAnsi="Wingdings" w:hint="default"/>
        </w:rPr>
      </w:lvl>
    </w:lvlOverride>
    <w:lvlOverride w:ilvl="6">
      <w:lvl w:ilvl="6">
        <w:start w:val="1"/>
        <w:numFmt w:val="bullet"/>
        <w:lvlText w:val=""/>
        <w:lvlJc w:val="left"/>
        <w:pPr>
          <w:tabs>
            <w:tab w:val="num" w:pos="567"/>
          </w:tabs>
          <w:ind w:left="567" w:hanging="567"/>
        </w:pPr>
        <w:rPr>
          <w:rFonts w:ascii="Symbol" w:hAnsi="Symbol" w:hint="default"/>
        </w:rPr>
      </w:lvl>
    </w:lvlOverride>
    <w:lvlOverride w:ilvl="7">
      <w:lvl w:ilvl="7">
        <w:start w:val="1"/>
        <w:numFmt w:val="bullet"/>
        <w:lvlText w:val="o"/>
        <w:lvlJc w:val="left"/>
        <w:pPr>
          <w:tabs>
            <w:tab w:val="num" w:pos="567"/>
          </w:tabs>
          <w:ind w:left="567" w:hanging="567"/>
        </w:pPr>
        <w:rPr>
          <w:rFonts w:ascii="Courier New" w:hAnsi="Courier New" w:cs="Courier New" w:hint="default"/>
        </w:rPr>
      </w:lvl>
    </w:lvlOverride>
    <w:lvlOverride w:ilvl="8">
      <w:lvl w:ilvl="8">
        <w:start w:val="1"/>
        <w:numFmt w:val="bullet"/>
        <w:lvlText w:val=""/>
        <w:lvlJc w:val="left"/>
        <w:pPr>
          <w:tabs>
            <w:tab w:val="num" w:pos="567"/>
          </w:tabs>
          <w:ind w:left="567" w:hanging="567"/>
        </w:pPr>
        <w:rPr>
          <w:rFonts w:ascii="Wingdings" w:hAnsi="Wingdings" w:hint="default"/>
        </w:rPr>
      </w:lvl>
    </w:lvlOverride>
  </w:num>
  <w:num w:numId="37" w16cid:durableId="840316821">
    <w:abstractNumId w:val="1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1645"/>
          </w:tabs>
          <w:ind w:left="1645"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38" w16cid:durableId="533273105">
    <w:abstractNumId w:val="16"/>
  </w:num>
  <w:num w:numId="39" w16cid:durableId="2047289502">
    <w:abstractNumId w:val="21"/>
  </w:num>
  <w:num w:numId="40" w16cid:durableId="585192325">
    <w:abstractNumId w:val="26"/>
  </w:num>
  <w:num w:numId="41" w16cid:durableId="1461991985">
    <w:abstractNumId w:val="1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42" w16cid:durableId="220605618">
    <w:abstractNumId w:val="9"/>
  </w:num>
  <w:num w:numId="43" w16cid:durableId="970479415">
    <w:abstractNumId w:val="6"/>
  </w:num>
  <w:num w:numId="44" w16cid:durableId="1701318576">
    <w:abstractNumId w:val="18"/>
  </w:num>
  <w:num w:numId="45" w16cid:durableId="1050229735">
    <w:abstractNumId w:val="24"/>
  </w:num>
  <w:num w:numId="46" w16cid:durableId="758254923">
    <w:abstractNumId w:val="4"/>
  </w:num>
  <w:num w:numId="47" w16cid:durableId="305817143">
    <w:abstractNumId w:val="3"/>
  </w:num>
  <w:num w:numId="48" w16cid:durableId="1162232133">
    <w:abstractNumId w:val="2"/>
  </w:num>
  <w:num w:numId="49" w16cid:durableId="851602981">
    <w:abstractNumId w:val="1"/>
  </w:num>
  <w:num w:numId="50" w16cid:durableId="21159007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3438A2"/>
    <w:rsid w:val="00002B65"/>
    <w:rsid w:val="00004D99"/>
    <w:rsid w:val="00017D32"/>
    <w:rsid w:val="00020309"/>
    <w:rsid w:val="000473D0"/>
    <w:rsid w:val="00052BAF"/>
    <w:rsid w:val="00073EB6"/>
    <w:rsid w:val="00092FA8"/>
    <w:rsid w:val="0009620C"/>
    <w:rsid w:val="0009785C"/>
    <w:rsid w:val="000A58D3"/>
    <w:rsid w:val="000B4A2A"/>
    <w:rsid w:val="000D3987"/>
    <w:rsid w:val="000D4090"/>
    <w:rsid w:val="000E652E"/>
    <w:rsid w:val="00100652"/>
    <w:rsid w:val="00105C56"/>
    <w:rsid w:val="001274A4"/>
    <w:rsid w:val="00130AAA"/>
    <w:rsid w:val="001457C7"/>
    <w:rsid w:val="00146E82"/>
    <w:rsid w:val="0014784B"/>
    <w:rsid w:val="00175880"/>
    <w:rsid w:val="00187A96"/>
    <w:rsid w:val="001A1F74"/>
    <w:rsid w:val="001A4702"/>
    <w:rsid w:val="001B0F39"/>
    <w:rsid w:val="001C4831"/>
    <w:rsid w:val="001C685A"/>
    <w:rsid w:val="001E5A69"/>
    <w:rsid w:val="001F11C7"/>
    <w:rsid w:val="001F58C1"/>
    <w:rsid w:val="002078B3"/>
    <w:rsid w:val="00210BB8"/>
    <w:rsid w:val="00215CA6"/>
    <w:rsid w:val="00233E0A"/>
    <w:rsid w:val="002373B7"/>
    <w:rsid w:val="00237C38"/>
    <w:rsid w:val="00240C37"/>
    <w:rsid w:val="0024395E"/>
    <w:rsid w:val="00245037"/>
    <w:rsid w:val="00245E4C"/>
    <w:rsid w:val="00257F70"/>
    <w:rsid w:val="00260668"/>
    <w:rsid w:val="002637F8"/>
    <w:rsid w:val="00267B05"/>
    <w:rsid w:val="0028367D"/>
    <w:rsid w:val="00286A1A"/>
    <w:rsid w:val="00296876"/>
    <w:rsid w:val="002A0A23"/>
    <w:rsid w:val="002A2CB4"/>
    <w:rsid w:val="002A5A1B"/>
    <w:rsid w:val="002B62E3"/>
    <w:rsid w:val="002C5587"/>
    <w:rsid w:val="002D5F1F"/>
    <w:rsid w:val="002E1A86"/>
    <w:rsid w:val="002E6CF2"/>
    <w:rsid w:val="002F4468"/>
    <w:rsid w:val="00303902"/>
    <w:rsid w:val="0030645A"/>
    <w:rsid w:val="003148D4"/>
    <w:rsid w:val="0032270C"/>
    <w:rsid w:val="00330DBB"/>
    <w:rsid w:val="0033783F"/>
    <w:rsid w:val="003438A2"/>
    <w:rsid w:val="00361922"/>
    <w:rsid w:val="00362245"/>
    <w:rsid w:val="00363EF7"/>
    <w:rsid w:val="003679A4"/>
    <w:rsid w:val="003830A3"/>
    <w:rsid w:val="003A12A7"/>
    <w:rsid w:val="003B7990"/>
    <w:rsid w:val="003C2C7F"/>
    <w:rsid w:val="003C70EA"/>
    <w:rsid w:val="003E0B67"/>
    <w:rsid w:val="003F779D"/>
    <w:rsid w:val="00406EF5"/>
    <w:rsid w:val="00422072"/>
    <w:rsid w:val="00430E1D"/>
    <w:rsid w:val="00437A79"/>
    <w:rsid w:val="004440AA"/>
    <w:rsid w:val="00463054"/>
    <w:rsid w:val="004831A8"/>
    <w:rsid w:val="004A146D"/>
    <w:rsid w:val="004B5BB2"/>
    <w:rsid w:val="004D30A7"/>
    <w:rsid w:val="004D707A"/>
    <w:rsid w:val="005100F0"/>
    <w:rsid w:val="0053382E"/>
    <w:rsid w:val="00534599"/>
    <w:rsid w:val="00536052"/>
    <w:rsid w:val="005373D3"/>
    <w:rsid w:val="00554648"/>
    <w:rsid w:val="00564B46"/>
    <w:rsid w:val="00567975"/>
    <w:rsid w:val="00594C34"/>
    <w:rsid w:val="005C2CDD"/>
    <w:rsid w:val="005E786E"/>
    <w:rsid w:val="005F078A"/>
    <w:rsid w:val="00601005"/>
    <w:rsid w:val="00647E6C"/>
    <w:rsid w:val="0066364C"/>
    <w:rsid w:val="006729FA"/>
    <w:rsid w:val="00695CA3"/>
    <w:rsid w:val="0069630F"/>
    <w:rsid w:val="006966DD"/>
    <w:rsid w:val="006A5498"/>
    <w:rsid w:val="006A7675"/>
    <w:rsid w:val="006B06B1"/>
    <w:rsid w:val="006C377E"/>
    <w:rsid w:val="006C577A"/>
    <w:rsid w:val="006D33F2"/>
    <w:rsid w:val="006D731C"/>
    <w:rsid w:val="006D73C9"/>
    <w:rsid w:val="006F3D02"/>
    <w:rsid w:val="007008B1"/>
    <w:rsid w:val="00714F4F"/>
    <w:rsid w:val="00723162"/>
    <w:rsid w:val="00725E92"/>
    <w:rsid w:val="00756BF1"/>
    <w:rsid w:val="00774658"/>
    <w:rsid w:val="00774C28"/>
    <w:rsid w:val="00786B8D"/>
    <w:rsid w:val="00794A15"/>
    <w:rsid w:val="007A10EB"/>
    <w:rsid w:val="007B4790"/>
    <w:rsid w:val="007B5728"/>
    <w:rsid w:val="007D03AB"/>
    <w:rsid w:val="007D714C"/>
    <w:rsid w:val="007E3008"/>
    <w:rsid w:val="0080088D"/>
    <w:rsid w:val="008067C7"/>
    <w:rsid w:val="00817949"/>
    <w:rsid w:val="00823974"/>
    <w:rsid w:val="00830816"/>
    <w:rsid w:val="00834FC9"/>
    <w:rsid w:val="00846060"/>
    <w:rsid w:val="00851C26"/>
    <w:rsid w:val="00852132"/>
    <w:rsid w:val="0085363C"/>
    <w:rsid w:val="00871033"/>
    <w:rsid w:val="0088374A"/>
    <w:rsid w:val="00893920"/>
    <w:rsid w:val="008A02EF"/>
    <w:rsid w:val="008A361B"/>
    <w:rsid w:val="008A71E9"/>
    <w:rsid w:val="008B1C52"/>
    <w:rsid w:val="008B75FC"/>
    <w:rsid w:val="008B770E"/>
    <w:rsid w:val="008C2369"/>
    <w:rsid w:val="008F1205"/>
    <w:rsid w:val="008F36B7"/>
    <w:rsid w:val="00903A9A"/>
    <w:rsid w:val="0092223F"/>
    <w:rsid w:val="009241FE"/>
    <w:rsid w:val="009379E4"/>
    <w:rsid w:val="00943460"/>
    <w:rsid w:val="00946D6B"/>
    <w:rsid w:val="00965C11"/>
    <w:rsid w:val="0097352A"/>
    <w:rsid w:val="009756B7"/>
    <w:rsid w:val="0097631C"/>
    <w:rsid w:val="00983077"/>
    <w:rsid w:val="00984BF2"/>
    <w:rsid w:val="00985932"/>
    <w:rsid w:val="00993B7E"/>
    <w:rsid w:val="009973EE"/>
    <w:rsid w:val="009C41E0"/>
    <w:rsid w:val="009C4846"/>
    <w:rsid w:val="009D65C0"/>
    <w:rsid w:val="009E4458"/>
    <w:rsid w:val="009E5F9E"/>
    <w:rsid w:val="00A01139"/>
    <w:rsid w:val="00A12117"/>
    <w:rsid w:val="00A15DDE"/>
    <w:rsid w:val="00A331BF"/>
    <w:rsid w:val="00A4017A"/>
    <w:rsid w:val="00A55146"/>
    <w:rsid w:val="00A60D87"/>
    <w:rsid w:val="00A72133"/>
    <w:rsid w:val="00A73C09"/>
    <w:rsid w:val="00A779F4"/>
    <w:rsid w:val="00A85990"/>
    <w:rsid w:val="00A91976"/>
    <w:rsid w:val="00AA2048"/>
    <w:rsid w:val="00AC0D82"/>
    <w:rsid w:val="00AE558D"/>
    <w:rsid w:val="00AE6E8F"/>
    <w:rsid w:val="00B001ED"/>
    <w:rsid w:val="00B10680"/>
    <w:rsid w:val="00B326A5"/>
    <w:rsid w:val="00B34B3F"/>
    <w:rsid w:val="00B44A1D"/>
    <w:rsid w:val="00B53856"/>
    <w:rsid w:val="00B717E3"/>
    <w:rsid w:val="00B748BB"/>
    <w:rsid w:val="00BA74BC"/>
    <w:rsid w:val="00BC5D8A"/>
    <w:rsid w:val="00BD2A43"/>
    <w:rsid w:val="00BD67AD"/>
    <w:rsid w:val="00BE7FBA"/>
    <w:rsid w:val="00C02935"/>
    <w:rsid w:val="00C03D34"/>
    <w:rsid w:val="00C10B83"/>
    <w:rsid w:val="00C26E2A"/>
    <w:rsid w:val="00C43E79"/>
    <w:rsid w:val="00C7221E"/>
    <w:rsid w:val="00C749B1"/>
    <w:rsid w:val="00C77AE1"/>
    <w:rsid w:val="00C82C0D"/>
    <w:rsid w:val="00CA14FC"/>
    <w:rsid w:val="00CB6ACE"/>
    <w:rsid w:val="00CC32D2"/>
    <w:rsid w:val="00CC6F12"/>
    <w:rsid w:val="00CC7E54"/>
    <w:rsid w:val="00CE7438"/>
    <w:rsid w:val="00CF2459"/>
    <w:rsid w:val="00D061B5"/>
    <w:rsid w:val="00D13734"/>
    <w:rsid w:val="00D15333"/>
    <w:rsid w:val="00D17F65"/>
    <w:rsid w:val="00D25124"/>
    <w:rsid w:val="00D26E23"/>
    <w:rsid w:val="00D40E57"/>
    <w:rsid w:val="00D463D9"/>
    <w:rsid w:val="00D52D3A"/>
    <w:rsid w:val="00D77609"/>
    <w:rsid w:val="00D857C1"/>
    <w:rsid w:val="00D944C4"/>
    <w:rsid w:val="00DC3122"/>
    <w:rsid w:val="00DC7142"/>
    <w:rsid w:val="00DD1C6B"/>
    <w:rsid w:val="00DF423F"/>
    <w:rsid w:val="00DF6094"/>
    <w:rsid w:val="00E11812"/>
    <w:rsid w:val="00E2604A"/>
    <w:rsid w:val="00E457C2"/>
    <w:rsid w:val="00E467A9"/>
    <w:rsid w:val="00E60C10"/>
    <w:rsid w:val="00E63BBD"/>
    <w:rsid w:val="00EA6A79"/>
    <w:rsid w:val="00EB4CD2"/>
    <w:rsid w:val="00EC175A"/>
    <w:rsid w:val="00EC4C8C"/>
    <w:rsid w:val="00EC51DC"/>
    <w:rsid w:val="00EE3B88"/>
    <w:rsid w:val="00EE4A55"/>
    <w:rsid w:val="00F076F2"/>
    <w:rsid w:val="00F3075B"/>
    <w:rsid w:val="00F414ED"/>
    <w:rsid w:val="00F42CCE"/>
    <w:rsid w:val="00F65FEB"/>
    <w:rsid w:val="00F87A8F"/>
    <w:rsid w:val="00F93271"/>
    <w:rsid w:val="00F95AFA"/>
    <w:rsid w:val="00FA792E"/>
    <w:rsid w:val="00FB3527"/>
    <w:rsid w:val="00FB3B4E"/>
    <w:rsid w:val="00FB3E78"/>
    <w:rsid w:val="00FC49CE"/>
    <w:rsid w:val="00FC4F50"/>
    <w:rsid w:val="00FF4F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4:docId w14:val="19207328"/>
  <w15:chartTrackingRefBased/>
  <w15:docId w15:val="{597FECB0-0FBD-40C9-8D2E-65DED7C09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3" w:unhideWhenUsed="1" w:qFormat="1"/>
    <w:lsdException w:name="heading 3" w:semiHidden="1" w:uiPriority="0" w:unhideWhenUsed="1" w:qFormat="1"/>
    <w:lsdException w:name="heading 4" w:semiHidden="1" w:uiPriority="0"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8A2"/>
    <w:pPr>
      <w:spacing w:after="200" w:line="276" w:lineRule="auto"/>
    </w:pPr>
    <w:rPr>
      <w:rFonts w:ascii="Cambria" w:hAnsi="Cambria"/>
    </w:rPr>
  </w:style>
  <w:style w:type="paragraph" w:styleId="Heading1">
    <w:name w:val="heading 1"/>
    <w:next w:val="Normal"/>
    <w:link w:val="Heading1Char"/>
    <w:uiPriority w:val="9"/>
    <w:qFormat/>
    <w:rsid w:val="003438A2"/>
    <w:pPr>
      <w:keepNext/>
      <w:keepLines/>
      <w:pBdr>
        <w:bottom w:val="single" w:sz="4" w:space="1" w:color="auto"/>
      </w:pBdr>
      <w:spacing w:before="480" w:after="120" w:line="240" w:lineRule="auto"/>
      <w:outlineLvl w:val="0"/>
    </w:pPr>
    <w:rPr>
      <w:rFonts w:ascii="Calibri" w:eastAsiaTheme="majorEastAsia" w:hAnsi="Calibri" w:cstheme="majorBidi"/>
      <w:b/>
      <w:bCs/>
      <w:sz w:val="72"/>
      <w:szCs w:val="28"/>
    </w:rPr>
  </w:style>
  <w:style w:type="paragraph" w:styleId="Heading2">
    <w:name w:val="heading 2"/>
    <w:next w:val="Normal"/>
    <w:link w:val="Heading2Char"/>
    <w:uiPriority w:val="13"/>
    <w:qFormat/>
    <w:rsid w:val="003438A2"/>
    <w:pPr>
      <w:keepNext/>
      <w:keepLines/>
      <w:numPr>
        <w:numId w:val="11"/>
      </w:numPr>
      <w:spacing w:after="120" w:line="240" w:lineRule="auto"/>
      <w:outlineLvl w:val="1"/>
    </w:pPr>
    <w:rPr>
      <w:rFonts w:ascii="Calibri" w:eastAsiaTheme="majorEastAsia" w:hAnsi="Calibri" w:cstheme="majorBidi"/>
      <w:b/>
      <w:bCs/>
      <w:color w:val="D52B1E"/>
      <w:sz w:val="34"/>
      <w:szCs w:val="26"/>
    </w:rPr>
  </w:style>
  <w:style w:type="paragraph" w:styleId="Heading3">
    <w:name w:val="heading 3"/>
    <w:next w:val="Normal"/>
    <w:link w:val="Heading3Char"/>
    <w:qFormat/>
    <w:rsid w:val="003438A2"/>
    <w:pPr>
      <w:keepNext/>
      <w:keepLines/>
      <w:numPr>
        <w:ilvl w:val="1"/>
        <w:numId w:val="11"/>
      </w:numPr>
      <w:tabs>
        <w:tab w:val="clear" w:pos="936"/>
        <w:tab w:val="num" w:pos="794"/>
      </w:tabs>
      <w:spacing w:before="120" w:after="0" w:line="240" w:lineRule="auto"/>
      <w:ind w:left="794"/>
      <w:outlineLvl w:val="2"/>
    </w:pPr>
    <w:rPr>
      <w:rFonts w:ascii="Calibri" w:hAnsi="Calibri"/>
      <w:b/>
      <w:bCs/>
      <w:color w:val="773141"/>
      <w:sz w:val="28"/>
    </w:rPr>
  </w:style>
  <w:style w:type="paragraph" w:styleId="Heading4">
    <w:name w:val="heading 4"/>
    <w:next w:val="Normal"/>
    <w:link w:val="Heading4Char"/>
    <w:qFormat/>
    <w:rsid w:val="003438A2"/>
    <w:pPr>
      <w:keepNext/>
      <w:keepLines/>
      <w:numPr>
        <w:ilvl w:val="2"/>
        <w:numId w:val="11"/>
      </w:numPr>
      <w:spacing w:before="120" w:after="120" w:line="240" w:lineRule="auto"/>
      <w:outlineLvl w:val="3"/>
    </w:pPr>
    <w:rPr>
      <w:rFonts w:ascii="Calibri" w:hAnsi="Calibri"/>
      <w:b/>
      <w:bCs/>
      <w:iCs/>
      <w:sz w:val="24"/>
    </w:rPr>
  </w:style>
  <w:style w:type="paragraph" w:styleId="Heading5">
    <w:name w:val="heading 5"/>
    <w:next w:val="Normal"/>
    <w:link w:val="Heading5Char"/>
    <w:uiPriority w:val="6"/>
    <w:qFormat/>
    <w:rsid w:val="003438A2"/>
    <w:pPr>
      <w:keepNext/>
      <w:keepLines/>
      <w:spacing w:before="120" w:after="120" w:line="240" w:lineRule="auto"/>
      <w:outlineLvl w:val="4"/>
    </w:pPr>
    <w:rPr>
      <w:rFonts w:ascii="Calibri" w:hAnsi="Calibri"/>
      <w:b/>
    </w:rPr>
  </w:style>
  <w:style w:type="paragraph" w:styleId="Heading6">
    <w:name w:val="heading 6"/>
    <w:next w:val="Normal"/>
    <w:link w:val="Heading6Char"/>
    <w:uiPriority w:val="9"/>
    <w:qFormat/>
    <w:rsid w:val="003438A2"/>
    <w:pPr>
      <w:keepNext/>
      <w:keepLines/>
      <w:spacing w:before="120" w:after="120" w:line="240" w:lineRule="auto"/>
      <w:outlineLvl w:val="5"/>
    </w:pPr>
    <w:rPr>
      <w:rFonts w:ascii="Calibri" w:eastAsiaTheme="majorEastAsia" w:hAnsi="Calibri" w:cstheme="majorBidi"/>
      <w:i/>
    </w:rPr>
  </w:style>
  <w:style w:type="paragraph" w:styleId="Heading7">
    <w:name w:val="heading 7"/>
    <w:next w:val="Normal"/>
    <w:link w:val="Heading7Char"/>
    <w:uiPriority w:val="9"/>
    <w:qFormat/>
    <w:rsid w:val="003438A2"/>
    <w:pPr>
      <w:spacing w:after="0" w:line="240" w:lineRule="auto"/>
      <w:outlineLvl w:val="6"/>
    </w:pPr>
    <w:rPr>
      <w:rFonts w:asciiTheme="majorHAnsi" w:eastAsiaTheme="majorEastAsia" w:hAnsiTheme="majorHAnsi" w:cstheme="majorBidi"/>
      <w:i/>
      <w:color w:val="1F3763" w:themeColor="accent1" w:themeShade="7F"/>
    </w:rPr>
  </w:style>
  <w:style w:type="paragraph" w:styleId="Heading8">
    <w:name w:val="heading 8"/>
    <w:basedOn w:val="Normal"/>
    <w:next w:val="Normal"/>
    <w:link w:val="Heading8Char"/>
    <w:uiPriority w:val="9"/>
    <w:unhideWhenUsed/>
    <w:qFormat/>
    <w:rsid w:val="003438A2"/>
    <w:pPr>
      <w:tabs>
        <w:tab w:val="num" w:pos="1440"/>
      </w:tabs>
      <w:spacing w:before="240" w:after="60" w:line="275" w:lineRule="atLeast"/>
      <w:ind w:left="1440" w:hanging="1440"/>
      <w:outlineLvl w:val="7"/>
    </w:pPr>
    <w:rPr>
      <w:rFonts w:ascii="Times New Roman" w:eastAsia="Times New Roman" w:hAnsi="Times New Roman" w:cs="Times New Roman"/>
      <w:i/>
      <w:iCs/>
      <w:color w:val="000000"/>
      <w:sz w:val="24"/>
      <w:szCs w:val="24"/>
    </w:rPr>
  </w:style>
  <w:style w:type="paragraph" w:styleId="Heading9">
    <w:name w:val="heading 9"/>
    <w:basedOn w:val="Normal"/>
    <w:next w:val="Normal"/>
    <w:link w:val="Heading9Char"/>
    <w:semiHidden/>
    <w:unhideWhenUsed/>
    <w:qFormat/>
    <w:rsid w:val="003438A2"/>
    <w:pPr>
      <w:tabs>
        <w:tab w:val="num" w:pos="1584"/>
      </w:tabs>
      <w:spacing w:before="240" w:after="60" w:line="275" w:lineRule="atLeast"/>
      <w:ind w:left="1584" w:hanging="1584"/>
      <w:outlineLvl w:val="8"/>
    </w:pPr>
    <w:rPr>
      <w:rFonts w:ascii="Arial" w:eastAsia="Times New Roman"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38A2"/>
    <w:rPr>
      <w:rFonts w:ascii="Calibri" w:eastAsiaTheme="majorEastAsia" w:hAnsi="Calibri" w:cstheme="majorBidi"/>
      <w:b/>
      <w:bCs/>
      <w:sz w:val="72"/>
      <w:szCs w:val="28"/>
    </w:rPr>
  </w:style>
  <w:style w:type="character" w:customStyle="1" w:styleId="Heading2Char">
    <w:name w:val="Heading 2 Char"/>
    <w:basedOn w:val="DefaultParagraphFont"/>
    <w:link w:val="Heading2"/>
    <w:uiPriority w:val="13"/>
    <w:rsid w:val="003438A2"/>
    <w:rPr>
      <w:rFonts w:ascii="Calibri" w:eastAsiaTheme="majorEastAsia" w:hAnsi="Calibri" w:cstheme="majorBidi"/>
      <w:b/>
      <w:bCs/>
      <w:color w:val="D52B1E"/>
      <w:sz w:val="34"/>
      <w:szCs w:val="26"/>
    </w:rPr>
  </w:style>
  <w:style w:type="character" w:customStyle="1" w:styleId="Heading3Char">
    <w:name w:val="Heading 3 Char"/>
    <w:basedOn w:val="DefaultParagraphFont"/>
    <w:link w:val="Heading3"/>
    <w:rsid w:val="003438A2"/>
    <w:rPr>
      <w:rFonts w:ascii="Calibri" w:hAnsi="Calibri"/>
      <w:b/>
      <w:bCs/>
      <w:color w:val="773141"/>
      <w:sz w:val="28"/>
    </w:rPr>
  </w:style>
  <w:style w:type="character" w:customStyle="1" w:styleId="Heading4Char">
    <w:name w:val="Heading 4 Char"/>
    <w:basedOn w:val="DefaultParagraphFont"/>
    <w:link w:val="Heading4"/>
    <w:rsid w:val="003438A2"/>
    <w:rPr>
      <w:rFonts w:ascii="Calibri" w:hAnsi="Calibri"/>
      <w:b/>
      <w:bCs/>
      <w:iCs/>
      <w:sz w:val="24"/>
    </w:rPr>
  </w:style>
  <w:style w:type="character" w:customStyle="1" w:styleId="Heading5Char">
    <w:name w:val="Heading 5 Char"/>
    <w:basedOn w:val="DefaultParagraphFont"/>
    <w:link w:val="Heading5"/>
    <w:uiPriority w:val="6"/>
    <w:rsid w:val="003438A2"/>
    <w:rPr>
      <w:rFonts w:ascii="Calibri" w:hAnsi="Calibri"/>
      <w:b/>
    </w:rPr>
  </w:style>
  <w:style w:type="character" w:customStyle="1" w:styleId="Heading6Char">
    <w:name w:val="Heading 6 Char"/>
    <w:basedOn w:val="DefaultParagraphFont"/>
    <w:link w:val="Heading6"/>
    <w:uiPriority w:val="9"/>
    <w:rsid w:val="003438A2"/>
    <w:rPr>
      <w:rFonts w:ascii="Calibri" w:eastAsiaTheme="majorEastAsia" w:hAnsi="Calibri" w:cstheme="majorBidi"/>
      <w:i/>
    </w:rPr>
  </w:style>
  <w:style w:type="character" w:customStyle="1" w:styleId="Heading7Char">
    <w:name w:val="Heading 7 Char"/>
    <w:basedOn w:val="DefaultParagraphFont"/>
    <w:link w:val="Heading7"/>
    <w:uiPriority w:val="9"/>
    <w:rsid w:val="003438A2"/>
    <w:rPr>
      <w:rFonts w:asciiTheme="majorHAnsi" w:eastAsiaTheme="majorEastAsia" w:hAnsiTheme="majorHAnsi" w:cstheme="majorBidi"/>
      <w:i/>
      <w:color w:val="1F3763" w:themeColor="accent1" w:themeShade="7F"/>
    </w:rPr>
  </w:style>
  <w:style w:type="character" w:customStyle="1" w:styleId="Heading8Char">
    <w:name w:val="Heading 8 Char"/>
    <w:basedOn w:val="DefaultParagraphFont"/>
    <w:link w:val="Heading8"/>
    <w:uiPriority w:val="9"/>
    <w:rsid w:val="003438A2"/>
    <w:rPr>
      <w:rFonts w:ascii="Times New Roman" w:eastAsia="Times New Roman" w:hAnsi="Times New Roman" w:cs="Times New Roman"/>
      <w:i/>
      <w:iCs/>
      <w:color w:val="000000"/>
      <w:sz w:val="24"/>
      <w:szCs w:val="24"/>
    </w:rPr>
  </w:style>
  <w:style w:type="character" w:customStyle="1" w:styleId="Heading9Char">
    <w:name w:val="Heading 9 Char"/>
    <w:basedOn w:val="DefaultParagraphFont"/>
    <w:link w:val="Heading9"/>
    <w:semiHidden/>
    <w:rsid w:val="003438A2"/>
    <w:rPr>
      <w:rFonts w:ascii="Arial" w:eastAsia="Times New Roman" w:hAnsi="Arial" w:cs="Arial"/>
      <w:color w:val="000000"/>
    </w:rPr>
  </w:style>
  <w:style w:type="paragraph" w:styleId="CommentText">
    <w:name w:val="annotation text"/>
    <w:basedOn w:val="Normal"/>
    <w:link w:val="CommentTextChar"/>
    <w:uiPriority w:val="99"/>
    <w:unhideWhenUsed/>
    <w:rsid w:val="003438A2"/>
    <w:rPr>
      <w:sz w:val="20"/>
      <w:szCs w:val="20"/>
    </w:rPr>
  </w:style>
  <w:style w:type="character" w:customStyle="1" w:styleId="CommentTextChar">
    <w:name w:val="Comment Text Char"/>
    <w:basedOn w:val="DefaultParagraphFont"/>
    <w:link w:val="CommentText"/>
    <w:uiPriority w:val="99"/>
    <w:rsid w:val="003438A2"/>
    <w:rPr>
      <w:rFonts w:ascii="Cambria" w:hAnsi="Cambria"/>
      <w:sz w:val="20"/>
      <w:szCs w:val="20"/>
    </w:rPr>
  </w:style>
  <w:style w:type="paragraph" w:styleId="Header">
    <w:name w:val="header"/>
    <w:basedOn w:val="Normal"/>
    <w:link w:val="HeaderChar"/>
    <w:uiPriority w:val="26"/>
    <w:rsid w:val="003438A2"/>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3438A2"/>
    <w:rPr>
      <w:rFonts w:ascii="Calibri" w:hAnsi="Calibri"/>
      <w:sz w:val="20"/>
    </w:rPr>
  </w:style>
  <w:style w:type="paragraph" w:styleId="Footer">
    <w:name w:val="footer"/>
    <w:basedOn w:val="Normal"/>
    <w:link w:val="FooterChar"/>
    <w:uiPriority w:val="99"/>
    <w:rsid w:val="003438A2"/>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3438A2"/>
    <w:rPr>
      <w:rFonts w:ascii="Calibri" w:hAnsi="Calibri"/>
      <w:sz w:val="20"/>
    </w:rPr>
  </w:style>
  <w:style w:type="character" w:styleId="CommentReference">
    <w:name w:val="annotation reference"/>
    <w:basedOn w:val="DefaultParagraphFont"/>
    <w:uiPriority w:val="99"/>
    <w:unhideWhenUsed/>
    <w:rsid w:val="003438A2"/>
    <w:rPr>
      <w:sz w:val="16"/>
      <w:szCs w:val="16"/>
    </w:rPr>
  </w:style>
  <w:style w:type="paragraph" w:styleId="CommentSubject">
    <w:name w:val="annotation subject"/>
    <w:basedOn w:val="CommentText"/>
    <w:next w:val="CommentText"/>
    <w:link w:val="CommentSubjectChar"/>
    <w:uiPriority w:val="99"/>
    <w:semiHidden/>
    <w:unhideWhenUsed/>
    <w:rsid w:val="003438A2"/>
    <w:rPr>
      <w:b/>
      <w:bCs/>
    </w:rPr>
  </w:style>
  <w:style w:type="character" w:customStyle="1" w:styleId="CommentSubjectChar">
    <w:name w:val="Comment Subject Char"/>
    <w:basedOn w:val="CommentTextChar"/>
    <w:link w:val="CommentSubject"/>
    <w:uiPriority w:val="99"/>
    <w:semiHidden/>
    <w:rsid w:val="003438A2"/>
    <w:rPr>
      <w:rFonts w:ascii="Cambria" w:hAnsi="Cambria"/>
      <w:b/>
      <w:bCs/>
      <w:sz w:val="20"/>
      <w:szCs w:val="20"/>
    </w:rPr>
  </w:style>
  <w:style w:type="paragraph" w:styleId="BalloonText">
    <w:name w:val="Balloon Text"/>
    <w:basedOn w:val="Normal"/>
    <w:link w:val="BalloonTextChar"/>
    <w:uiPriority w:val="99"/>
    <w:semiHidden/>
    <w:unhideWhenUsed/>
    <w:rsid w:val="003438A2"/>
    <w:rPr>
      <w:rFonts w:ascii="Calibri" w:hAnsi="Calibri"/>
      <w:sz w:val="18"/>
      <w:szCs w:val="18"/>
    </w:rPr>
  </w:style>
  <w:style w:type="character" w:customStyle="1" w:styleId="BalloonTextChar">
    <w:name w:val="Balloon Text Char"/>
    <w:basedOn w:val="DefaultParagraphFont"/>
    <w:link w:val="BalloonText"/>
    <w:uiPriority w:val="99"/>
    <w:semiHidden/>
    <w:rsid w:val="003438A2"/>
    <w:rPr>
      <w:rFonts w:ascii="Calibri" w:hAnsi="Calibri"/>
      <w:sz w:val="18"/>
      <w:szCs w:val="18"/>
    </w:rPr>
  </w:style>
  <w:style w:type="table" w:styleId="TableGrid">
    <w:name w:val="Table Grid"/>
    <w:basedOn w:val="TableNormal"/>
    <w:uiPriority w:val="59"/>
    <w:rsid w:val="003438A2"/>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3438A2"/>
    <w:rPr>
      <w:sz w:val="16"/>
    </w:rPr>
  </w:style>
  <w:style w:type="numbering" w:customStyle="1" w:styleId="Headings">
    <w:name w:val="Headings"/>
    <w:uiPriority w:val="99"/>
    <w:rsid w:val="003438A2"/>
    <w:pPr>
      <w:numPr>
        <w:numId w:val="4"/>
      </w:numPr>
    </w:pPr>
  </w:style>
  <w:style w:type="paragraph" w:styleId="ListParagraph">
    <w:name w:val="List Paragraph"/>
    <w:aliases w:val="List Paragraph1,Recommendation,List Paragraph11,NFP GP Bulleted List,Bulleted Para,FooterText,numbered,Paragraphe de liste1,Bulletr List Paragraph,列出段落,列出段落1,List Paragraph2,List Paragraph21,Listeafsnit1,Parágrafo da Lista1,Table Dots,L,列"/>
    <w:basedOn w:val="Normal"/>
    <w:link w:val="ListParagraphChar"/>
    <w:uiPriority w:val="99"/>
    <w:qFormat/>
    <w:rsid w:val="003438A2"/>
    <w:pPr>
      <w:ind w:left="720"/>
    </w:pPr>
  </w:style>
  <w:style w:type="paragraph" w:styleId="Quote">
    <w:name w:val="Quote"/>
    <w:basedOn w:val="Normal"/>
    <w:next w:val="Normal"/>
    <w:link w:val="QuoteChar"/>
    <w:uiPriority w:val="18"/>
    <w:qFormat/>
    <w:rsid w:val="003438A2"/>
    <w:pPr>
      <w:ind w:left="709" w:right="567"/>
    </w:pPr>
    <w:rPr>
      <w:iCs/>
      <w:color w:val="000000"/>
    </w:rPr>
  </w:style>
  <w:style w:type="character" w:customStyle="1" w:styleId="QuoteChar">
    <w:name w:val="Quote Char"/>
    <w:basedOn w:val="DefaultParagraphFont"/>
    <w:link w:val="Quote"/>
    <w:uiPriority w:val="18"/>
    <w:rsid w:val="003438A2"/>
    <w:rPr>
      <w:rFonts w:ascii="Cambria" w:hAnsi="Cambria"/>
      <w:iCs/>
      <w:color w:val="000000"/>
    </w:rPr>
  </w:style>
  <w:style w:type="paragraph" w:customStyle="1" w:styleId="BoxText">
    <w:name w:val="Box Text"/>
    <w:basedOn w:val="Normal"/>
    <w:uiPriority w:val="19"/>
    <w:qFormat/>
    <w:rsid w:val="003438A2"/>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rsid w:val="003438A2"/>
    <w:pPr>
      <w:keepNext/>
      <w:spacing w:after="120" w:line="240" w:lineRule="auto"/>
    </w:pPr>
    <w:rPr>
      <w:rFonts w:ascii="Cambria" w:eastAsiaTheme="majorEastAsia" w:hAnsi="Cambria" w:cstheme="majorBidi"/>
      <w:b/>
      <w:bCs/>
      <w:color w:val="595959" w:themeColor="text1" w:themeTint="A6"/>
      <w:sz w:val="20"/>
      <w:szCs w:val="18"/>
    </w:rPr>
  </w:style>
  <w:style w:type="paragraph" w:customStyle="1" w:styleId="FigureTableNoteSource">
    <w:name w:val="Figure/Table Note/Source"/>
    <w:basedOn w:val="Normal"/>
    <w:next w:val="Normal"/>
    <w:uiPriority w:val="16"/>
    <w:qFormat/>
    <w:rsid w:val="003438A2"/>
    <w:pPr>
      <w:spacing w:before="120" w:line="264" w:lineRule="auto"/>
      <w:contextualSpacing/>
    </w:pPr>
    <w:rPr>
      <w:rFonts w:ascii="Calibri" w:hAnsi="Calibri"/>
      <w:sz w:val="18"/>
    </w:rPr>
  </w:style>
  <w:style w:type="paragraph" w:styleId="TOCHeading">
    <w:name w:val="TOC Heading"/>
    <w:next w:val="Normal"/>
    <w:uiPriority w:val="39"/>
    <w:qFormat/>
    <w:rsid w:val="003438A2"/>
    <w:pPr>
      <w:spacing w:after="0" w:line="240" w:lineRule="auto"/>
    </w:pPr>
    <w:rPr>
      <w:rFonts w:ascii="Calibri" w:eastAsiaTheme="majorEastAsia" w:hAnsi="Calibri" w:cstheme="majorBidi"/>
      <w:b/>
      <w:bCs/>
      <w:color w:val="D52B1E"/>
      <w:sz w:val="34"/>
      <w:szCs w:val="28"/>
      <w:lang w:val="en-US"/>
    </w:rPr>
  </w:style>
  <w:style w:type="paragraph" w:styleId="TOC1">
    <w:name w:val="toc 1"/>
    <w:next w:val="Normal"/>
    <w:uiPriority w:val="39"/>
    <w:unhideWhenUsed/>
    <w:qFormat/>
    <w:rsid w:val="003438A2"/>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3438A2"/>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qFormat/>
    <w:rsid w:val="003438A2"/>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3438A2"/>
    <w:rPr>
      <w:color w:val="165788"/>
      <w:u w:val="single"/>
    </w:rPr>
  </w:style>
  <w:style w:type="paragraph" w:styleId="ListBullet">
    <w:name w:val="List Bullet"/>
    <w:link w:val="ListBulletChar"/>
    <w:uiPriority w:val="7"/>
    <w:qFormat/>
    <w:rsid w:val="003438A2"/>
    <w:pPr>
      <w:numPr>
        <w:numId w:val="7"/>
      </w:numPr>
      <w:spacing w:before="120" w:after="120" w:line="240" w:lineRule="auto"/>
    </w:pPr>
    <w:rPr>
      <w:rFonts w:ascii="Cambria" w:hAnsi="Cambria"/>
    </w:rPr>
  </w:style>
  <w:style w:type="paragraph" w:styleId="TableofFigures">
    <w:name w:val="table of figures"/>
    <w:basedOn w:val="Normal"/>
    <w:next w:val="Normal"/>
    <w:uiPriority w:val="99"/>
    <w:rsid w:val="003438A2"/>
    <w:pPr>
      <w:spacing w:before="120" w:after="120" w:line="240" w:lineRule="auto"/>
    </w:pPr>
    <w:rPr>
      <w:rFonts w:asciiTheme="minorHAnsi" w:hAnsiTheme="minorHAnsi"/>
    </w:rPr>
  </w:style>
  <w:style w:type="paragraph" w:styleId="ListBullet2">
    <w:name w:val="List Bullet 2"/>
    <w:uiPriority w:val="8"/>
    <w:qFormat/>
    <w:rsid w:val="003438A2"/>
    <w:pPr>
      <w:numPr>
        <w:ilvl w:val="1"/>
        <w:numId w:val="7"/>
      </w:numPr>
      <w:spacing w:before="120" w:after="120" w:line="240" w:lineRule="auto"/>
      <w:contextualSpacing/>
    </w:pPr>
    <w:rPr>
      <w:rFonts w:ascii="Cambria" w:hAnsi="Cambria"/>
    </w:rPr>
  </w:style>
  <w:style w:type="paragraph" w:styleId="ListNumber">
    <w:name w:val="List Number"/>
    <w:basedOn w:val="Normal"/>
    <w:uiPriority w:val="9"/>
    <w:qFormat/>
    <w:rsid w:val="003438A2"/>
    <w:pPr>
      <w:numPr>
        <w:numId w:val="9"/>
      </w:numPr>
      <w:spacing w:before="120" w:after="120" w:line="280" w:lineRule="atLeast"/>
    </w:pPr>
    <w:rPr>
      <w:szCs w:val="20"/>
    </w:rPr>
  </w:style>
  <w:style w:type="paragraph" w:styleId="ListNumber2">
    <w:name w:val="List Number 2"/>
    <w:uiPriority w:val="10"/>
    <w:qFormat/>
    <w:rsid w:val="003438A2"/>
    <w:pPr>
      <w:numPr>
        <w:ilvl w:val="1"/>
        <w:numId w:val="9"/>
      </w:numPr>
      <w:spacing w:before="120" w:after="120" w:line="264" w:lineRule="auto"/>
    </w:pPr>
    <w:rPr>
      <w:rFonts w:ascii="Cambria" w:eastAsia="Times New Roman" w:hAnsi="Cambria" w:cs="Times New Roman"/>
      <w:szCs w:val="24"/>
    </w:rPr>
  </w:style>
  <w:style w:type="paragraph" w:styleId="ListNumber3">
    <w:name w:val="List Number 3"/>
    <w:uiPriority w:val="11"/>
    <w:qFormat/>
    <w:rsid w:val="003438A2"/>
    <w:pPr>
      <w:numPr>
        <w:ilvl w:val="2"/>
        <w:numId w:val="9"/>
      </w:numPr>
      <w:spacing w:before="120" w:after="120" w:line="264" w:lineRule="auto"/>
    </w:pPr>
    <w:rPr>
      <w:rFonts w:ascii="Cambria" w:eastAsia="Times New Roman" w:hAnsi="Cambria" w:cs="Times New Roman"/>
      <w:szCs w:val="24"/>
    </w:rPr>
  </w:style>
  <w:style w:type="table" w:customStyle="1" w:styleId="LightShading1">
    <w:name w:val="Light Shading1"/>
    <w:basedOn w:val="TableNormal"/>
    <w:uiPriority w:val="60"/>
    <w:rsid w:val="003438A2"/>
    <w:pPr>
      <w:spacing w:after="0" w:line="240" w:lineRule="auto"/>
    </w:pPr>
    <w:rPr>
      <w:rFonts w:ascii="Cambria" w:eastAsia="Cambria" w:hAnsi="Cambria"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3438A2"/>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qFormat/>
    <w:rsid w:val="003438A2"/>
    <w:pPr>
      <w:spacing w:before="60" w:after="60" w:line="240" w:lineRule="auto"/>
    </w:pPr>
    <w:rPr>
      <w:rFonts w:ascii="Cambria" w:hAnsi="Cambria"/>
      <w:sz w:val="18"/>
    </w:rPr>
  </w:style>
  <w:style w:type="table" w:styleId="TableGrid1">
    <w:name w:val="Table Grid 1"/>
    <w:basedOn w:val="TableNormal"/>
    <w:uiPriority w:val="99"/>
    <w:semiHidden/>
    <w:unhideWhenUsed/>
    <w:rsid w:val="003438A2"/>
    <w:pPr>
      <w:spacing w:after="200" w:line="280" w:lineRule="atLeast"/>
    </w:pPr>
    <w:rPr>
      <w:rFonts w:ascii="Cambria" w:eastAsia="Cambria" w:hAnsi="Cambr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link w:val="TableHeadingChar"/>
    <w:uiPriority w:val="14"/>
    <w:qFormat/>
    <w:rsid w:val="003438A2"/>
    <w:pPr>
      <w:keepNext/>
    </w:pPr>
    <w:rPr>
      <w:b/>
    </w:rPr>
  </w:style>
  <w:style w:type="character" w:styleId="PlaceholderText">
    <w:name w:val="Placeholder Text"/>
    <w:basedOn w:val="DefaultParagraphFont"/>
    <w:uiPriority w:val="99"/>
    <w:semiHidden/>
    <w:rsid w:val="003438A2"/>
    <w:rPr>
      <w:color w:val="808080"/>
    </w:rPr>
  </w:style>
  <w:style w:type="paragraph" w:customStyle="1" w:styleId="Author">
    <w:name w:val="Author"/>
    <w:basedOn w:val="Normal"/>
    <w:next w:val="Normal"/>
    <w:uiPriority w:val="24"/>
    <w:qFormat/>
    <w:rsid w:val="003438A2"/>
    <w:pPr>
      <w:spacing w:after="60"/>
    </w:pPr>
    <w:rPr>
      <w:b/>
      <w:sz w:val="28"/>
      <w:szCs w:val="28"/>
    </w:rPr>
  </w:style>
  <w:style w:type="paragraph" w:customStyle="1" w:styleId="AuthorOrganisationAffiliation">
    <w:name w:val="Author Organisation/Affiliation"/>
    <w:basedOn w:val="Normal"/>
    <w:next w:val="Normal"/>
    <w:uiPriority w:val="25"/>
    <w:qFormat/>
    <w:rsid w:val="003438A2"/>
    <w:pPr>
      <w:spacing w:after="720"/>
    </w:pPr>
  </w:style>
  <w:style w:type="character" w:styleId="Strong">
    <w:name w:val="Strong"/>
    <w:uiPriority w:val="22"/>
    <w:qFormat/>
    <w:rsid w:val="003438A2"/>
    <w:rPr>
      <w:b/>
      <w:bCs/>
    </w:rPr>
  </w:style>
  <w:style w:type="character" w:styleId="Emphasis">
    <w:name w:val="Emphasis"/>
    <w:basedOn w:val="DefaultParagraphFont"/>
    <w:uiPriority w:val="99"/>
    <w:qFormat/>
    <w:rsid w:val="003438A2"/>
    <w:rPr>
      <w:i/>
      <w:iCs/>
    </w:rPr>
  </w:style>
  <w:style w:type="paragraph" w:styleId="TOAHeading">
    <w:name w:val="toa heading"/>
    <w:basedOn w:val="Heading1"/>
    <w:next w:val="Normal"/>
    <w:uiPriority w:val="99"/>
    <w:semiHidden/>
    <w:unhideWhenUsed/>
    <w:rsid w:val="003438A2"/>
    <w:pPr>
      <w:spacing w:before="120"/>
    </w:pPr>
    <w:rPr>
      <w:bCs w:val="0"/>
      <w:sz w:val="24"/>
    </w:rPr>
  </w:style>
  <w:style w:type="paragraph" w:styleId="NormalWeb">
    <w:name w:val="Normal (Web)"/>
    <w:basedOn w:val="Normal"/>
    <w:uiPriority w:val="99"/>
    <w:semiHidden/>
    <w:unhideWhenUsed/>
    <w:rsid w:val="003438A2"/>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3438A2"/>
    <w:pPr>
      <w:numPr>
        <w:numId w:val="1"/>
      </w:numPr>
      <w:ind w:left="357" w:hanging="357"/>
    </w:pPr>
  </w:style>
  <w:style w:type="paragraph" w:customStyle="1" w:styleId="TableBullet">
    <w:name w:val="Table Bullet"/>
    <w:basedOn w:val="TableText"/>
    <w:uiPriority w:val="15"/>
    <w:qFormat/>
    <w:rsid w:val="003438A2"/>
    <w:pPr>
      <w:numPr>
        <w:numId w:val="2"/>
      </w:numPr>
      <w:ind w:left="284" w:hanging="284"/>
    </w:pPr>
  </w:style>
  <w:style w:type="paragraph" w:styleId="DocumentMap">
    <w:name w:val="Document Map"/>
    <w:basedOn w:val="Normal"/>
    <w:link w:val="DocumentMapChar"/>
    <w:uiPriority w:val="99"/>
    <w:semiHidden/>
    <w:unhideWhenUsed/>
    <w:rsid w:val="003438A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438A2"/>
    <w:rPr>
      <w:rFonts w:ascii="Tahoma" w:hAnsi="Tahoma" w:cs="Tahoma"/>
      <w:sz w:val="16"/>
      <w:szCs w:val="16"/>
    </w:rPr>
  </w:style>
  <w:style w:type="paragraph" w:customStyle="1" w:styleId="TOCHeadingsamepage">
    <w:name w:val="TOC Heading (same page)"/>
    <w:basedOn w:val="TOCHeading"/>
    <w:next w:val="Normal"/>
    <w:uiPriority w:val="39"/>
    <w:rsid w:val="003438A2"/>
  </w:style>
  <w:style w:type="paragraph" w:customStyle="1" w:styleId="BoxHeading">
    <w:name w:val="Box Heading"/>
    <w:basedOn w:val="BoxText"/>
    <w:uiPriority w:val="20"/>
    <w:qFormat/>
    <w:rsid w:val="003438A2"/>
    <w:pPr>
      <w:spacing w:line="240" w:lineRule="auto"/>
    </w:pPr>
    <w:rPr>
      <w:b/>
    </w:rPr>
  </w:style>
  <w:style w:type="paragraph" w:customStyle="1" w:styleId="Picture">
    <w:name w:val="Picture"/>
    <w:basedOn w:val="Normal"/>
    <w:uiPriority w:val="17"/>
    <w:qFormat/>
    <w:rsid w:val="003438A2"/>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3438A2"/>
    <w:pPr>
      <w:spacing w:after="0"/>
    </w:pPr>
    <w:rPr>
      <w:b/>
      <w:caps/>
      <w:color w:val="FF0000"/>
      <w:sz w:val="36"/>
      <w:szCs w:val="36"/>
    </w:rPr>
  </w:style>
  <w:style w:type="paragraph" w:customStyle="1" w:styleId="DisseminationLimitingMarker">
    <w:name w:val="Dissemination Limiting Marker"/>
    <w:basedOn w:val="Header"/>
    <w:next w:val="Header"/>
    <w:uiPriority w:val="27"/>
    <w:qFormat/>
    <w:rsid w:val="003438A2"/>
    <w:pPr>
      <w:spacing w:after="0"/>
    </w:pPr>
    <w:rPr>
      <w:b/>
      <w:color w:val="FF0000"/>
      <w:sz w:val="36"/>
      <w:szCs w:val="36"/>
    </w:rPr>
  </w:style>
  <w:style w:type="paragraph" w:styleId="FootnoteText">
    <w:name w:val="footnote text"/>
    <w:basedOn w:val="Normal"/>
    <w:link w:val="FootnoteTextChar"/>
    <w:uiPriority w:val="99"/>
    <w:unhideWhenUsed/>
    <w:rsid w:val="003438A2"/>
    <w:pPr>
      <w:spacing w:after="60" w:line="264" w:lineRule="auto"/>
    </w:pPr>
    <w:rPr>
      <w:sz w:val="20"/>
      <w:szCs w:val="20"/>
    </w:rPr>
  </w:style>
  <w:style w:type="character" w:customStyle="1" w:styleId="FootnoteTextChar">
    <w:name w:val="Footnote Text Char"/>
    <w:basedOn w:val="DefaultParagraphFont"/>
    <w:link w:val="FootnoteText"/>
    <w:uiPriority w:val="99"/>
    <w:rsid w:val="003438A2"/>
    <w:rPr>
      <w:rFonts w:ascii="Cambria" w:hAnsi="Cambria"/>
      <w:sz w:val="20"/>
      <w:szCs w:val="20"/>
    </w:rPr>
  </w:style>
  <w:style w:type="character" w:styleId="FootnoteReference">
    <w:name w:val="footnote reference"/>
    <w:basedOn w:val="DefaultParagraphFont"/>
    <w:uiPriority w:val="99"/>
    <w:semiHidden/>
    <w:unhideWhenUsed/>
    <w:rsid w:val="003438A2"/>
    <w:rPr>
      <w:vertAlign w:val="superscript"/>
    </w:rPr>
  </w:style>
  <w:style w:type="paragraph" w:styleId="EndnoteText">
    <w:name w:val="endnote text"/>
    <w:basedOn w:val="Normal"/>
    <w:link w:val="EndnoteTextChar"/>
    <w:uiPriority w:val="99"/>
    <w:unhideWhenUsed/>
    <w:rsid w:val="003438A2"/>
    <w:pPr>
      <w:spacing w:before="120" w:after="240" w:line="240" w:lineRule="auto"/>
    </w:pPr>
    <w:rPr>
      <w:szCs w:val="20"/>
    </w:rPr>
  </w:style>
  <w:style w:type="character" w:customStyle="1" w:styleId="EndnoteTextChar">
    <w:name w:val="Endnote Text Char"/>
    <w:basedOn w:val="DefaultParagraphFont"/>
    <w:link w:val="EndnoteText"/>
    <w:uiPriority w:val="99"/>
    <w:rsid w:val="003438A2"/>
    <w:rPr>
      <w:rFonts w:ascii="Cambria" w:hAnsi="Cambria"/>
      <w:szCs w:val="20"/>
    </w:rPr>
  </w:style>
  <w:style w:type="character" w:styleId="EndnoteReference">
    <w:name w:val="endnote reference"/>
    <w:basedOn w:val="DefaultParagraphFont"/>
    <w:uiPriority w:val="99"/>
    <w:semiHidden/>
    <w:unhideWhenUsed/>
    <w:rsid w:val="003438A2"/>
    <w:rPr>
      <w:vertAlign w:val="superscript"/>
    </w:rPr>
  </w:style>
  <w:style w:type="character" w:styleId="FollowedHyperlink">
    <w:name w:val="FollowedHyperlink"/>
    <w:basedOn w:val="DefaultParagraphFont"/>
    <w:uiPriority w:val="99"/>
    <w:semiHidden/>
    <w:unhideWhenUsed/>
    <w:rsid w:val="003438A2"/>
    <w:rPr>
      <w:color w:val="800080"/>
      <w:u w:val="single"/>
    </w:rPr>
  </w:style>
  <w:style w:type="paragraph" w:customStyle="1" w:styleId="BoxSource">
    <w:name w:val="Box Source"/>
    <w:basedOn w:val="FigureTableNoteSource"/>
    <w:uiPriority w:val="22"/>
    <w:qFormat/>
    <w:rsid w:val="003438A2"/>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rsid w:val="003438A2"/>
    <w:pPr>
      <w:numPr>
        <w:numId w:val="10"/>
      </w:numPr>
    </w:pPr>
  </w:style>
  <w:style w:type="numbering" w:customStyle="1" w:styleId="captions">
    <w:name w:val="captions"/>
    <w:uiPriority w:val="99"/>
    <w:rsid w:val="003438A2"/>
    <w:pPr>
      <w:numPr>
        <w:numId w:val="5"/>
      </w:numPr>
    </w:pPr>
  </w:style>
  <w:style w:type="paragraph" w:customStyle="1" w:styleId="TableNotes">
    <w:name w:val="TableNotes"/>
    <w:basedOn w:val="Normal"/>
    <w:link w:val="TableNotesChar"/>
    <w:rsid w:val="003438A2"/>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sid w:val="003438A2"/>
    <w:rPr>
      <w:rFonts w:ascii="Arial Narrow" w:hAnsi="Arial Narrow"/>
      <w:color w:val="000000"/>
      <w:sz w:val="16"/>
    </w:rPr>
  </w:style>
  <w:style w:type="character" w:customStyle="1" w:styleId="TableTextChar">
    <w:name w:val="Table Text Char"/>
    <w:basedOn w:val="DefaultParagraphFont"/>
    <w:link w:val="TableText"/>
    <w:rsid w:val="003438A2"/>
    <w:rPr>
      <w:rFonts w:ascii="Cambria" w:hAnsi="Cambria"/>
      <w:sz w:val="18"/>
    </w:rPr>
  </w:style>
  <w:style w:type="numbering" w:customStyle="1" w:styleId="List1">
    <w:name w:val="List1"/>
    <w:basedOn w:val="NoList"/>
    <w:uiPriority w:val="99"/>
    <w:rsid w:val="003438A2"/>
    <w:pPr>
      <w:numPr>
        <w:numId w:val="3"/>
      </w:numPr>
    </w:pPr>
  </w:style>
  <w:style w:type="character" w:customStyle="1" w:styleId="CaptionChar">
    <w:name w:val="Caption Char"/>
    <w:basedOn w:val="Heading1Char"/>
    <w:link w:val="Caption"/>
    <w:uiPriority w:val="12"/>
    <w:rsid w:val="003438A2"/>
    <w:rPr>
      <w:rFonts w:ascii="Cambria" w:eastAsiaTheme="majorEastAsia" w:hAnsi="Cambria" w:cstheme="majorBidi"/>
      <w:b/>
      <w:bCs/>
      <w:color w:val="595959" w:themeColor="text1" w:themeTint="A6"/>
      <w:sz w:val="20"/>
      <w:szCs w:val="18"/>
    </w:rPr>
  </w:style>
  <w:style w:type="numbering" w:customStyle="1" w:styleId="listbullets">
    <w:name w:val="list bullets"/>
    <w:uiPriority w:val="99"/>
    <w:rsid w:val="003438A2"/>
    <w:pPr>
      <w:numPr>
        <w:numId w:val="6"/>
      </w:numPr>
    </w:pPr>
  </w:style>
  <w:style w:type="numbering" w:customStyle="1" w:styleId="ListNumber1">
    <w:name w:val="List Number1"/>
    <w:uiPriority w:val="99"/>
    <w:rsid w:val="003438A2"/>
    <w:pPr>
      <w:numPr>
        <w:numId w:val="8"/>
      </w:numPr>
    </w:pPr>
  </w:style>
  <w:style w:type="paragraph" w:customStyle="1" w:styleId="EndNoteBibliographyTitle">
    <w:name w:val="EndNote Bibliography Title"/>
    <w:basedOn w:val="Normal"/>
    <w:link w:val="EndNoteBibliographyTitleChar"/>
    <w:rsid w:val="003438A2"/>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3438A2"/>
    <w:rPr>
      <w:rFonts w:ascii="Cambria" w:hAnsi="Cambria"/>
      <w:noProof/>
      <w:lang w:val="en-US"/>
    </w:rPr>
  </w:style>
  <w:style w:type="paragraph" w:customStyle="1" w:styleId="EndNoteBibliography">
    <w:name w:val="EndNote Bibliography"/>
    <w:basedOn w:val="Normal"/>
    <w:link w:val="EndNoteBibliographyChar"/>
    <w:rsid w:val="003438A2"/>
    <w:pPr>
      <w:spacing w:before="120" w:after="240" w:line="240" w:lineRule="auto"/>
    </w:pPr>
    <w:rPr>
      <w:noProof/>
      <w:lang w:val="en-US"/>
    </w:rPr>
  </w:style>
  <w:style w:type="character" w:customStyle="1" w:styleId="EndNoteBibliographyChar">
    <w:name w:val="EndNote Bibliography Char"/>
    <w:basedOn w:val="DefaultParagraphFont"/>
    <w:link w:val="EndNoteBibliography"/>
    <w:rsid w:val="003438A2"/>
    <w:rPr>
      <w:rFonts w:ascii="Cambria" w:hAnsi="Cambria"/>
      <w:noProof/>
      <w:lang w:val="en-US"/>
    </w:rPr>
  </w:style>
  <w:style w:type="paragraph" w:styleId="Revision">
    <w:name w:val="Revision"/>
    <w:hidden/>
    <w:uiPriority w:val="99"/>
    <w:semiHidden/>
    <w:rsid w:val="003438A2"/>
    <w:pPr>
      <w:spacing w:after="0" w:line="240" w:lineRule="auto"/>
    </w:pPr>
    <w:rPr>
      <w:rFonts w:ascii="Cambria" w:hAnsi="Cambria"/>
    </w:rPr>
  </w:style>
  <w:style w:type="paragraph" w:customStyle="1" w:styleId="Bullet">
    <w:name w:val="Bullet"/>
    <w:basedOn w:val="Normal"/>
    <w:rsid w:val="003438A2"/>
    <w:pPr>
      <w:numPr>
        <w:numId w:val="13"/>
      </w:numPr>
      <w:tabs>
        <w:tab w:val="clear" w:pos="-360"/>
        <w:tab w:val="num" w:pos="567"/>
      </w:tabs>
      <w:spacing w:after="180" w:line="275" w:lineRule="atLeast"/>
      <w:ind w:left="397" w:hanging="397"/>
    </w:pPr>
    <w:rPr>
      <w:rFonts w:ascii="Times New Roman" w:eastAsia="Times New Roman" w:hAnsi="Times New Roman" w:cs="Times New Roman"/>
      <w:color w:val="000000"/>
      <w:sz w:val="24"/>
      <w:szCs w:val="24"/>
    </w:rPr>
  </w:style>
  <w:style w:type="paragraph" w:customStyle="1" w:styleId="TableText0">
    <w:name w:val="TableText"/>
    <w:basedOn w:val="Normal"/>
    <w:link w:val="TableTextChar0"/>
    <w:rsid w:val="003438A2"/>
    <w:pPr>
      <w:keepNext/>
      <w:spacing w:before="60" w:after="60" w:line="240" w:lineRule="auto"/>
    </w:pPr>
    <w:rPr>
      <w:rFonts w:ascii="Times New Roman" w:hAnsi="Times New Roman"/>
      <w:color w:val="000000"/>
      <w:sz w:val="16"/>
      <w:szCs w:val="20"/>
    </w:rPr>
  </w:style>
  <w:style w:type="character" w:customStyle="1" w:styleId="TableTextChar0">
    <w:name w:val="TableText Char"/>
    <w:basedOn w:val="DefaultParagraphFont"/>
    <w:link w:val="TableText0"/>
    <w:rsid w:val="003438A2"/>
    <w:rPr>
      <w:rFonts w:ascii="Times New Roman" w:hAnsi="Times New Roman"/>
      <w:color w:val="000000"/>
      <w:sz w:val="16"/>
      <w:szCs w:val="20"/>
    </w:rPr>
  </w:style>
  <w:style w:type="character" w:customStyle="1" w:styleId="ListParagraphChar">
    <w:name w:val="List Paragraph Char"/>
    <w:aliases w:val="List Paragraph1 Char,Recommendation Char,List Paragraph11 Char,NFP GP Bulleted List Char,Bulleted Para Char,FooterText Char,numbered Char,Paragraphe de liste1 Char,Bulletr List Paragraph Char,列出段落 Char,列出段落1 Char,List Paragraph2 Char"/>
    <w:basedOn w:val="DefaultParagraphFont"/>
    <w:link w:val="ListParagraph"/>
    <w:uiPriority w:val="99"/>
    <w:qFormat/>
    <w:rsid w:val="003438A2"/>
    <w:rPr>
      <w:rFonts w:ascii="Cambria" w:hAnsi="Cambria"/>
    </w:rPr>
  </w:style>
  <w:style w:type="paragraph" w:customStyle="1" w:styleId="batext1">
    <w:name w:val="batext1"/>
    <w:basedOn w:val="Normal"/>
    <w:rsid w:val="003438A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itle">
    <w:name w:val="Title"/>
    <w:basedOn w:val="Normal"/>
    <w:link w:val="TitleChar"/>
    <w:qFormat/>
    <w:rsid w:val="003438A2"/>
    <w:pPr>
      <w:spacing w:before="480" w:after="240" w:line="275" w:lineRule="atLeast"/>
      <w:jc w:val="center"/>
    </w:pPr>
    <w:rPr>
      <w:rFonts w:ascii="Arial" w:eastAsia="Times New Roman" w:hAnsi="Arial" w:cs="Times New Roman"/>
      <w:color w:val="000000"/>
      <w:sz w:val="52"/>
      <w:szCs w:val="24"/>
    </w:rPr>
  </w:style>
  <w:style w:type="character" w:customStyle="1" w:styleId="TitleChar">
    <w:name w:val="Title Char"/>
    <w:basedOn w:val="DefaultParagraphFont"/>
    <w:link w:val="Title"/>
    <w:rsid w:val="003438A2"/>
    <w:rPr>
      <w:rFonts w:ascii="Arial" w:eastAsia="Times New Roman" w:hAnsi="Arial" w:cs="Times New Roman"/>
      <w:color w:val="000000"/>
      <w:sz w:val="52"/>
      <w:szCs w:val="24"/>
    </w:rPr>
  </w:style>
  <w:style w:type="paragraph" w:customStyle="1" w:styleId="FigureName">
    <w:name w:val="FigureName"/>
    <w:basedOn w:val="Normal"/>
    <w:rsid w:val="003438A2"/>
    <w:pPr>
      <w:keepNext/>
      <w:keepLines/>
      <w:tabs>
        <w:tab w:val="left" w:pos="1276"/>
      </w:tabs>
      <w:spacing w:before="360" w:after="360" w:line="240" w:lineRule="atLeast"/>
      <w:ind w:left="1276" w:hanging="1276"/>
      <w:outlineLvl w:val="8"/>
    </w:pPr>
    <w:rPr>
      <w:rFonts w:ascii="Arial" w:eastAsia="Times New Roman" w:hAnsi="Arial" w:cs="Times New Roman"/>
      <w:b/>
      <w:color w:val="000000"/>
      <w:szCs w:val="24"/>
    </w:rPr>
  </w:style>
  <w:style w:type="paragraph" w:customStyle="1" w:styleId="TableName">
    <w:name w:val="TableName"/>
    <w:basedOn w:val="Normal"/>
    <w:rsid w:val="003438A2"/>
    <w:pPr>
      <w:keepNext/>
      <w:keepLines/>
      <w:tabs>
        <w:tab w:val="left" w:pos="1440"/>
      </w:tabs>
      <w:spacing w:before="240" w:after="120" w:line="240" w:lineRule="auto"/>
      <w:ind w:left="1440" w:hanging="1440"/>
    </w:pPr>
    <w:rPr>
      <w:rFonts w:ascii="Arial Bold" w:eastAsia="Times New Roman" w:hAnsi="Arial Bold" w:cs="Times New Roman"/>
      <w:b/>
      <w:color w:val="000000"/>
    </w:rPr>
  </w:style>
  <w:style w:type="table" w:styleId="TableGridLight">
    <w:name w:val="Grid Table Light"/>
    <w:basedOn w:val="TableNormal"/>
    <w:uiPriority w:val="40"/>
    <w:rsid w:val="003438A2"/>
    <w:pPr>
      <w:spacing w:after="0" w:line="240" w:lineRule="auto"/>
    </w:pPr>
    <w:rPr>
      <w:rFonts w:ascii="Cambria" w:eastAsia="Cambria" w:hAnsi="Cambria"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2a">
    <w:name w:val="Heading 2a"/>
    <w:basedOn w:val="Heading2"/>
    <w:rsid w:val="003438A2"/>
    <w:pPr>
      <w:keepLines w:val="0"/>
      <w:numPr>
        <w:numId w:val="0"/>
      </w:numPr>
      <w:overflowPunct w:val="0"/>
      <w:autoSpaceDE w:val="0"/>
      <w:autoSpaceDN w:val="0"/>
      <w:adjustRightInd w:val="0"/>
      <w:spacing w:before="360" w:line="340" w:lineRule="atLeast"/>
      <w:outlineLvl w:val="9"/>
    </w:pPr>
    <w:rPr>
      <w:rFonts w:ascii="Arial" w:eastAsia="Times New Roman" w:hAnsi="Arial" w:cs="Arial"/>
      <w:color w:val="000000"/>
      <w:sz w:val="28"/>
      <w:szCs w:val="20"/>
    </w:rPr>
  </w:style>
  <w:style w:type="table" w:styleId="PlainTable1">
    <w:name w:val="Plain Table 1"/>
    <w:basedOn w:val="TableNormal"/>
    <w:uiPriority w:val="41"/>
    <w:rsid w:val="003438A2"/>
    <w:pPr>
      <w:spacing w:after="0" w:line="240" w:lineRule="auto"/>
    </w:pPr>
    <w:rPr>
      <w:rFonts w:ascii="Cambria" w:eastAsia="Cambria" w:hAnsi="Cambria" w:cs="Times New Roman"/>
      <w:sz w:val="20"/>
      <w:szCs w:val="20"/>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AText10">
    <w:name w:val="BA Text 1"/>
    <w:basedOn w:val="Normal"/>
    <w:link w:val="BAText1Char"/>
    <w:rsid w:val="003438A2"/>
    <w:pPr>
      <w:spacing w:after="0" w:line="280" w:lineRule="atLeast"/>
      <w:jc w:val="both"/>
    </w:pPr>
    <w:rPr>
      <w:rFonts w:ascii="Times" w:eastAsia="Times New Roman" w:hAnsi="Times" w:cs="Times New Roman"/>
      <w:sz w:val="24"/>
      <w:szCs w:val="24"/>
    </w:rPr>
  </w:style>
  <w:style w:type="character" w:customStyle="1" w:styleId="BAText1Char">
    <w:name w:val="BA Text 1 Char"/>
    <w:link w:val="BAText10"/>
    <w:rsid w:val="003438A2"/>
    <w:rPr>
      <w:rFonts w:ascii="Times" w:eastAsia="Times New Roman" w:hAnsi="Times" w:cs="Times New Roman"/>
      <w:sz w:val="24"/>
      <w:szCs w:val="24"/>
    </w:rPr>
  </w:style>
  <w:style w:type="character" w:customStyle="1" w:styleId="addmd1">
    <w:name w:val="addmd1"/>
    <w:rsid w:val="003438A2"/>
    <w:rPr>
      <w:rFonts w:ascii="Arial" w:hAnsi="Arial" w:cs="Arial" w:hint="default"/>
      <w:sz w:val="20"/>
      <w:szCs w:val="20"/>
    </w:rPr>
  </w:style>
  <w:style w:type="paragraph" w:customStyle="1" w:styleId="BAText1bullet">
    <w:name w:val="BA Text 1 bullet"/>
    <w:basedOn w:val="BAText10"/>
    <w:link w:val="BAText1bulletChar"/>
    <w:rsid w:val="003438A2"/>
    <w:pPr>
      <w:tabs>
        <w:tab w:val="num" w:pos="520"/>
      </w:tabs>
      <w:ind w:left="520" w:hanging="340"/>
    </w:pPr>
  </w:style>
  <w:style w:type="character" w:customStyle="1" w:styleId="BAText1bulletChar">
    <w:name w:val="BA Text 1 bullet Char"/>
    <w:basedOn w:val="BAText1Char"/>
    <w:link w:val="BAText1bullet"/>
    <w:rsid w:val="003438A2"/>
    <w:rPr>
      <w:rFonts w:ascii="Times" w:eastAsia="Times New Roman" w:hAnsi="Times" w:cs="Times New Roman"/>
      <w:sz w:val="24"/>
      <w:szCs w:val="24"/>
    </w:rPr>
  </w:style>
  <w:style w:type="paragraph" w:customStyle="1" w:styleId="batext1bullet0">
    <w:name w:val="batext1bullet"/>
    <w:basedOn w:val="Normal"/>
    <w:rsid w:val="003438A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Header2">
    <w:name w:val="BA Header 2"/>
    <w:basedOn w:val="Normal"/>
    <w:next w:val="Normal"/>
    <w:link w:val="BAHeader2CharChar"/>
    <w:rsid w:val="003438A2"/>
    <w:pPr>
      <w:keepNext/>
      <w:keepLines/>
      <w:widowControl w:val="0"/>
      <w:tabs>
        <w:tab w:val="num" w:pos="696"/>
      </w:tabs>
      <w:spacing w:before="360" w:after="120" w:line="340" w:lineRule="atLeast"/>
      <w:ind w:left="696" w:hanging="576"/>
      <w:outlineLvl w:val="1"/>
    </w:pPr>
    <w:rPr>
      <w:rFonts w:ascii="Arial" w:eastAsia="Times New Roman" w:hAnsi="Arial" w:cs="Times New Roman"/>
      <w:b/>
      <w:sz w:val="28"/>
      <w:szCs w:val="28"/>
    </w:rPr>
  </w:style>
  <w:style w:type="character" w:customStyle="1" w:styleId="BAHeader2CharChar">
    <w:name w:val="BA Header 2 Char Char"/>
    <w:link w:val="BAHeader2"/>
    <w:rsid w:val="003438A2"/>
    <w:rPr>
      <w:rFonts w:ascii="Arial" w:eastAsia="Times New Roman" w:hAnsi="Arial" w:cs="Times New Roman"/>
      <w:b/>
      <w:sz w:val="28"/>
      <w:szCs w:val="28"/>
    </w:rPr>
  </w:style>
  <w:style w:type="character" w:customStyle="1" w:styleId="Heading5Char1">
    <w:name w:val="Heading 5 Char1"/>
    <w:aliases w:val="s Char"/>
    <w:basedOn w:val="DefaultParagraphFont"/>
    <w:semiHidden/>
    <w:rsid w:val="003438A2"/>
    <w:rPr>
      <w:rFonts w:asciiTheme="majorHAnsi" w:eastAsiaTheme="majorEastAsia" w:hAnsiTheme="majorHAnsi" w:cstheme="majorBidi"/>
      <w:color w:val="2F5496" w:themeColor="accent1" w:themeShade="BF"/>
      <w:sz w:val="24"/>
      <w:szCs w:val="24"/>
      <w:lang w:eastAsia="en-US"/>
    </w:rPr>
  </w:style>
  <w:style w:type="paragraph" w:styleId="TOC4">
    <w:name w:val="toc 4"/>
    <w:basedOn w:val="TOC1"/>
    <w:next w:val="Normal"/>
    <w:autoRedefine/>
    <w:uiPriority w:val="39"/>
    <w:unhideWhenUsed/>
    <w:rsid w:val="003438A2"/>
    <w:pPr>
      <w:tabs>
        <w:tab w:val="clear" w:pos="426"/>
        <w:tab w:val="clear" w:pos="9072"/>
        <w:tab w:val="left" w:pos="900"/>
        <w:tab w:val="left" w:pos="1588"/>
        <w:tab w:val="right" w:leader="dot" w:pos="9060"/>
      </w:tabs>
      <w:spacing w:before="240" w:after="180" w:line="240" w:lineRule="atLeast"/>
      <w:ind w:left="1588" w:right="720" w:hanging="1588"/>
    </w:pPr>
    <w:rPr>
      <w:rFonts w:ascii="Arial" w:eastAsia="Times New Roman" w:hAnsi="Arial" w:cs="Arial"/>
      <w:sz w:val="24"/>
      <w:szCs w:val="28"/>
      <w:lang w:eastAsia="en-AU"/>
    </w:rPr>
  </w:style>
  <w:style w:type="paragraph" w:styleId="Subtitle">
    <w:name w:val="Subtitle"/>
    <w:basedOn w:val="Normal"/>
    <w:link w:val="SubtitleChar"/>
    <w:qFormat/>
    <w:rsid w:val="003438A2"/>
    <w:pPr>
      <w:spacing w:before="240" w:after="240" w:line="275" w:lineRule="atLeast"/>
      <w:jc w:val="center"/>
      <w:outlineLvl w:val="1"/>
    </w:pPr>
    <w:rPr>
      <w:rFonts w:ascii="Arial" w:eastAsia="Times New Roman" w:hAnsi="Arial" w:cs="Arial"/>
      <w:color w:val="000000"/>
      <w:sz w:val="40"/>
      <w:szCs w:val="24"/>
    </w:rPr>
  </w:style>
  <w:style w:type="character" w:customStyle="1" w:styleId="SubtitleChar">
    <w:name w:val="Subtitle Char"/>
    <w:basedOn w:val="DefaultParagraphFont"/>
    <w:link w:val="Subtitle"/>
    <w:rsid w:val="003438A2"/>
    <w:rPr>
      <w:rFonts w:ascii="Arial" w:eastAsia="Times New Roman" w:hAnsi="Arial" w:cs="Arial"/>
      <w:color w:val="000000"/>
      <w:sz w:val="40"/>
      <w:szCs w:val="24"/>
    </w:rPr>
  </w:style>
  <w:style w:type="paragraph" w:customStyle="1" w:styleId="References">
    <w:name w:val="References"/>
    <w:basedOn w:val="Normal"/>
    <w:rsid w:val="003438A2"/>
    <w:pPr>
      <w:spacing w:before="160" w:after="180" w:line="280" w:lineRule="atLeast"/>
      <w:ind w:left="547" w:hanging="547"/>
    </w:pPr>
    <w:rPr>
      <w:rFonts w:ascii="Times New Roman" w:eastAsia="Times New Roman" w:hAnsi="Times New Roman" w:cs="Times New Roman"/>
      <w:color w:val="000000"/>
      <w:szCs w:val="20"/>
    </w:rPr>
  </w:style>
  <w:style w:type="paragraph" w:customStyle="1" w:styleId="Heading1appendix">
    <w:name w:val="Heading 1 (appendix)"/>
    <w:basedOn w:val="Normal"/>
    <w:rsid w:val="003438A2"/>
    <w:pPr>
      <w:keepNext/>
      <w:pageBreakBefore/>
      <w:widowControl w:val="0"/>
      <w:pBdr>
        <w:bottom w:val="single" w:sz="4" w:space="1" w:color="auto"/>
      </w:pBdr>
      <w:tabs>
        <w:tab w:val="num" w:pos="2160"/>
      </w:tabs>
      <w:spacing w:before="120" w:after="360" w:line="340" w:lineRule="atLeast"/>
      <w:ind w:left="2160" w:right="-230" w:hanging="2160"/>
      <w:outlineLvl w:val="0"/>
    </w:pPr>
    <w:rPr>
      <w:rFonts w:ascii="Arial" w:eastAsia="Times New Roman" w:hAnsi="Arial" w:cs="Times New Roman"/>
      <w:b/>
      <w:color w:val="000000"/>
      <w:sz w:val="28"/>
      <w:szCs w:val="28"/>
    </w:rPr>
  </w:style>
  <w:style w:type="paragraph" w:customStyle="1" w:styleId="Heading2b">
    <w:name w:val="Heading 2b"/>
    <w:basedOn w:val="Normal"/>
    <w:rsid w:val="003438A2"/>
    <w:pPr>
      <w:widowControl w:val="0"/>
      <w:pBdr>
        <w:bottom w:val="single" w:sz="4" w:space="1" w:color="auto"/>
      </w:pBdr>
      <w:spacing w:before="120" w:after="360" w:line="340" w:lineRule="atLeast"/>
      <w:outlineLvl w:val="0"/>
    </w:pPr>
    <w:rPr>
      <w:rFonts w:ascii="Arial" w:eastAsia="Times New Roman" w:hAnsi="Arial" w:cs="Times New Roman"/>
      <w:b/>
      <w:color w:val="000000"/>
      <w:sz w:val="28"/>
      <w:szCs w:val="28"/>
    </w:rPr>
  </w:style>
  <w:style w:type="paragraph" w:customStyle="1" w:styleId="Dash">
    <w:name w:val="Dash"/>
    <w:basedOn w:val="Normal"/>
    <w:rsid w:val="003438A2"/>
    <w:pPr>
      <w:tabs>
        <w:tab w:val="num" w:pos="720"/>
      </w:tabs>
      <w:spacing w:after="180" w:line="275" w:lineRule="atLeast"/>
      <w:ind w:left="720" w:hanging="360"/>
    </w:pPr>
    <w:rPr>
      <w:rFonts w:ascii="Times New Roman" w:eastAsia="Times New Roman" w:hAnsi="Times New Roman" w:cs="Times New Roman"/>
      <w:color w:val="000000"/>
      <w:sz w:val="24"/>
      <w:szCs w:val="24"/>
    </w:rPr>
  </w:style>
  <w:style w:type="paragraph" w:customStyle="1" w:styleId="TableHeadings">
    <w:name w:val="TableHeadings"/>
    <w:basedOn w:val="TableText0"/>
    <w:rsid w:val="003438A2"/>
    <w:pPr>
      <w:spacing w:before="40"/>
    </w:pPr>
    <w:rPr>
      <w:rFonts w:ascii="Arial" w:eastAsia="Cambria" w:hAnsi="Arial" w:cs="Arial"/>
      <w:b/>
    </w:rPr>
  </w:style>
  <w:style w:type="paragraph" w:customStyle="1" w:styleId="Headerlandscape">
    <w:name w:val="Header (landscape)"/>
    <w:basedOn w:val="Header"/>
    <w:rsid w:val="003438A2"/>
    <w:pPr>
      <w:tabs>
        <w:tab w:val="clear" w:pos="4820"/>
        <w:tab w:val="right" w:pos="14040"/>
      </w:tabs>
      <w:spacing w:after="0"/>
      <w:ind w:right="-1118"/>
      <w:jc w:val="left"/>
    </w:pPr>
    <w:rPr>
      <w:rFonts w:ascii="Times New Roman" w:eastAsia="Times New Roman" w:hAnsi="Times New Roman" w:cs="Times New Roman"/>
      <w:i/>
      <w:color w:val="000000"/>
      <w:szCs w:val="20"/>
    </w:rPr>
  </w:style>
  <w:style w:type="paragraph" w:customStyle="1" w:styleId="tabletext1">
    <w:name w:val="tabletext"/>
    <w:basedOn w:val="Normal"/>
    <w:rsid w:val="003438A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BATextCharChar">
    <w:name w:val="BA Text Char Char"/>
    <w:link w:val="BAText"/>
    <w:locked/>
    <w:rsid w:val="003438A2"/>
    <w:rPr>
      <w:bCs/>
    </w:rPr>
  </w:style>
  <w:style w:type="paragraph" w:customStyle="1" w:styleId="BAText">
    <w:name w:val="BA Text"/>
    <w:basedOn w:val="Normal"/>
    <w:link w:val="BATextCharChar"/>
    <w:rsid w:val="003438A2"/>
    <w:pPr>
      <w:spacing w:after="120" w:line="260" w:lineRule="atLeast"/>
    </w:pPr>
    <w:rPr>
      <w:rFonts w:asciiTheme="minorHAnsi" w:hAnsiTheme="minorHAnsi"/>
      <w:bCs/>
    </w:rPr>
  </w:style>
  <w:style w:type="paragraph" w:customStyle="1" w:styleId="BAAppend1">
    <w:name w:val="BA Append 1"/>
    <w:basedOn w:val="Normal"/>
    <w:rsid w:val="003438A2"/>
    <w:pPr>
      <w:pageBreakBefore/>
      <w:widowControl w:val="0"/>
      <w:pBdr>
        <w:bottom w:val="single" w:sz="4" w:space="1" w:color="auto"/>
      </w:pBdr>
      <w:tabs>
        <w:tab w:val="num" w:pos="432"/>
      </w:tabs>
      <w:spacing w:before="120" w:after="360" w:line="340" w:lineRule="atLeast"/>
      <w:ind w:left="432" w:hanging="432"/>
      <w:outlineLvl w:val="0"/>
    </w:pPr>
    <w:rPr>
      <w:rFonts w:ascii="Arial" w:eastAsia="Times New Roman" w:hAnsi="Arial" w:cs="Times New Roman"/>
      <w:b/>
      <w:sz w:val="28"/>
      <w:szCs w:val="28"/>
    </w:rPr>
  </w:style>
  <w:style w:type="paragraph" w:customStyle="1" w:styleId="BAAppend2">
    <w:name w:val="BA Append 2"/>
    <w:basedOn w:val="Normal"/>
    <w:rsid w:val="003438A2"/>
    <w:pPr>
      <w:keepNext/>
      <w:keepLines/>
      <w:widowControl w:val="0"/>
      <w:tabs>
        <w:tab w:val="num" w:pos="1116"/>
      </w:tabs>
      <w:spacing w:before="360" w:after="120" w:line="340" w:lineRule="atLeast"/>
      <w:ind w:left="1116" w:hanging="576"/>
      <w:outlineLvl w:val="1"/>
    </w:pPr>
    <w:rPr>
      <w:rFonts w:ascii="Arial" w:eastAsia="Times New Roman" w:hAnsi="Arial" w:cs="Times New Roman"/>
      <w:b/>
      <w:sz w:val="28"/>
      <w:szCs w:val="28"/>
    </w:rPr>
  </w:style>
  <w:style w:type="paragraph" w:customStyle="1" w:styleId="BAAppend3">
    <w:name w:val="BA Append 3"/>
    <w:basedOn w:val="Normal"/>
    <w:rsid w:val="003438A2"/>
    <w:pPr>
      <w:keepNext/>
      <w:keepLines/>
      <w:tabs>
        <w:tab w:val="num" w:pos="720"/>
      </w:tabs>
      <w:spacing w:before="360" w:after="120" w:line="340" w:lineRule="atLeast"/>
      <w:ind w:left="720" w:hanging="720"/>
      <w:outlineLvl w:val="2"/>
    </w:pPr>
    <w:rPr>
      <w:rFonts w:ascii="Arial" w:eastAsia="Times New Roman" w:hAnsi="Arial" w:cs="Times New Roman"/>
      <w:b/>
      <w:sz w:val="24"/>
      <w:szCs w:val="24"/>
    </w:rPr>
  </w:style>
  <w:style w:type="character" w:customStyle="1" w:styleId="TableheaderCharChar">
    <w:name w:val="Table header Char Char"/>
    <w:link w:val="Tableheader"/>
    <w:locked/>
    <w:rsid w:val="003438A2"/>
    <w:rPr>
      <w:rFonts w:ascii="Arial" w:hAnsi="Arial" w:cs="Arial"/>
      <w:b/>
      <w:bCs/>
      <w:szCs w:val="24"/>
    </w:rPr>
  </w:style>
  <w:style w:type="paragraph" w:customStyle="1" w:styleId="Tableheader">
    <w:name w:val="Table header"/>
    <w:basedOn w:val="Normal"/>
    <w:link w:val="TableheaderCharChar"/>
    <w:rsid w:val="003438A2"/>
    <w:pPr>
      <w:keepNext/>
      <w:keepLines/>
      <w:spacing w:before="360" w:after="120" w:line="240" w:lineRule="atLeast"/>
      <w:outlineLvl w:val="8"/>
    </w:pPr>
    <w:rPr>
      <w:rFonts w:ascii="Arial" w:hAnsi="Arial" w:cs="Arial"/>
      <w:b/>
      <w:bCs/>
      <w:szCs w:val="24"/>
    </w:rPr>
  </w:style>
  <w:style w:type="paragraph" w:customStyle="1" w:styleId="default">
    <w:name w:val="default"/>
    <w:basedOn w:val="Normal"/>
    <w:rsid w:val="003438A2"/>
    <w:pPr>
      <w:autoSpaceDE w:val="0"/>
      <w:autoSpaceDN w:val="0"/>
      <w:spacing w:after="0" w:line="240" w:lineRule="auto"/>
    </w:pPr>
    <w:rPr>
      <w:rFonts w:ascii="Times New Roman" w:eastAsia="Times New Roman" w:hAnsi="Times New Roman" w:cs="Times New Roman"/>
      <w:color w:val="000000"/>
      <w:sz w:val="24"/>
      <w:szCs w:val="24"/>
      <w:lang w:eastAsia="en-AU"/>
    </w:rPr>
  </w:style>
  <w:style w:type="character" w:customStyle="1" w:styleId="StyleTableTextChar">
    <w:name w:val="Style Table Text Char"/>
    <w:basedOn w:val="TableTextChar"/>
    <w:link w:val="StyleTableText"/>
    <w:locked/>
    <w:rsid w:val="003438A2"/>
    <w:rPr>
      <w:rFonts w:ascii="Arial" w:hAnsi="Arial" w:cs="Arial"/>
      <w:sz w:val="16"/>
    </w:rPr>
  </w:style>
  <w:style w:type="paragraph" w:customStyle="1" w:styleId="StyleTableText">
    <w:name w:val="Style Table Text"/>
    <w:basedOn w:val="TableText"/>
    <w:next w:val="TableText"/>
    <w:link w:val="StyleTableTextChar"/>
    <w:rsid w:val="003438A2"/>
    <w:pPr>
      <w:spacing w:line="0" w:lineRule="atLeast"/>
    </w:pPr>
    <w:rPr>
      <w:rFonts w:ascii="Arial" w:hAnsi="Arial" w:cs="Arial"/>
      <w:sz w:val="16"/>
    </w:rPr>
  </w:style>
  <w:style w:type="character" w:customStyle="1" w:styleId="BAHeader4CharChar">
    <w:name w:val="BA Header 4 Char Char"/>
    <w:link w:val="BAHeader4"/>
    <w:locked/>
    <w:rsid w:val="003438A2"/>
    <w:rPr>
      <w:rFonts w:ascii="Arial" w:hAnsi="Arial" w:cs="Arial"/>
      <w:i/>
      <w:sz w:val="24"/>
    </w:rPr>
  </w:style>
  <w:style w:type="paragraph" w:customStyle="1" w:styleId="BAHeader4">
    <w:name w:val="BA Header 4"/>
    <w:link w:val="BAHeader4CharChar"/>
    <w:rsid w:val="003438A2"/>
    <w:pPr>
      <w:spacing w:before="240" w:after="120" w:line="240" w:lineRule="auto"/>
    </w:pPr>
    <w:rPr>
      <w:rFonts w:ascii="Arial" w:hAnsi="Arial" w:cs="Arial"/>
      <w:i/>
      <w:sz w:val="24"/>
    </w:rPr>
  </w:style>
  <w:style w:type="paragraph" w:customStyle="1" w:styleId="authors1">
    <w:name w:val="authors1"/>
    <w:basedOn w:val="Normal"/>
    <w:rsid w:val="003438A2"/>
    <w:pPr>
      <w:spacing w:before="72" w:after="0" w:line="240" w:lineRule="atLeast"/>
      <w:ind w:left="733"/>
    </w:pPr>
    <w:rPr>
      <w:rFonts w:ascii="Times New Roman" w:eastAsia="Times New Roman" w:hAnsi="Times New Roman" w:cs="Times New Roman"/>
      <w:lang w:eastAsia="en-AU"/>
    </w:rPr>
  </w:style>
  <w:style w:type="character" w:customStyle="1" w:styleId="BAHeader3CharChar">
    <w:name w:val="BA Header 3 Char Char"/>
    <w:link w:val="BAHeader3"/>
    <w:locked/>
    <w:rsid w:val="003438A2"/>
    <w:rPr>
      <w:rFonts w:ascii="Arial" w:hAnsi="Arial" w:cs="Arial"/>
      <w:b/>
      <w:sz w:val="24"/>
      <w:szCs w:val="24"/>
    </w:rPr>
  </w:style>
  <w:style w:type="paragraph" w:customStyle="1" w:styleId="BAHeader3">
    <w:name w:val="BA Header 3"/>
    <w:basedOn w:val="Normal"/>
    <w:next w:val="Normal"/>
    <w:link w:val="BAHeader3CharChar"/>
    <w:rsid w:val="003438A2"/>
    <w:pPr>
      <w:keepNext/>
      <w:keepLines/>
      <w:tabs>
        <w:tab w:val="num" w:pos="862"/>
      </w:tabs>
      <w:spacing w:before="360" w:after="120" w:line="340" w:lineRule="atLeast"/>
      <w:ind w:left="862" w:hanging="720"/>
      <w:outlineLvl w:val="2"/>
    </w:pPr>
    <w:rPr>
      <w:rFonts w:ascii="Arial" w:hAnsi="Arial" w:cs="Arial"/>
      <w:b/>
      <w:sz w:val="24"/>
      <w:szCs w:val="24"/>
    </w:rPr>
  </w:style>
  <w:style w:type="paragraph" w:customStyle="1" w:styleId="BAHeader1">
    <w:name w:val="BA Header 1"/>
    <w:basedOn w:val="Normal"/>
    <w:next w:val="Normal"/>
    <w:rsid w:val="003438A2"/>
    <w:pPr>
      <w:pageBreakBefore/>
      <w:widowControl w:val="0"/>
      <w:pBdr>
        <w:bottom w:val="single" w:sz="4" w:space="1" w:color="auto"/>
      </w:pBdr>
      <w:tabs>
        <w:tab w:val="num" w:pos="567"/>
      </w:tabs>
      <w:spacing w:before="120" w:after="360" w:line="340" w:lineRule="atLeast"/>
      <w:ind w:left="397" w:hanging="397"/>
      <w:outlineLvl w:val="0"/>
    </w:pPr>
    <w:rPr>
      <w:rFonts w:ascii="Arial" w:eastAsia="Times New Roman" w:hAnsi="Arial" w:cs="Times New Roman"/>
      <w:b/>
      <w:sz w:val="28"/>
      <w:szCs w:val="28"/>
    </w:rPr>
  </w:style>
  <w:style w:type="paragraph" w:customStyle="1" w:styleId="Char1">
    <w:name w:val="Char1"/>
    <w:basedOn w:val="Normal"/>
    <w:rsid w:val="003438A2"/>
    <w:pPr>
      <w:spacing w:after="0" w:line="240" w:lineRule="auto"/>
    </w:pPr>
    <w:rPr>
      <w:rFonts w:ascii="Arial" w:eastAsia="Times New Roman" w:hAnsi="Arial" w:cs="Times New Roman"/>
      <w:szCs w:val="20"/>
    </w:rPr>
  </w:style>
  <w:style w:type="character" w:customStyle="1" w:styleId="Italiccharacters">
    <w:name w:val="Italic characters"/>
    <w:rsid w:val="003438A2"/>
    <w:rPr>
      <w:sz w:val="22"/>
      <w:lang w:val="en-AU" w:eastAsia="en-US" w:bidi="ar-SA"/>
    </w:rPr>
  </w:style>
  <w:style w:type="character" w:customStyle="1" w:styleId="arttitle1">
    <w:name w:val="art_title1"/>
    <w:rsid w:val="003438A2"/>
    <w:rPr>
      <w:b/>
      <w:bCs/>
    </w:rPr>
  </w:style>
  <w:style w:type="character" w:customStyle="1" w:styleId="BATextChar">
    <w:name w:val="BA Text Char"/>
    <w:rsid w:val="003438A2"/>
    <w:rPr>
      <w:bCs/>
      <w:sz w:val="22"/>
      <w:lang w:val="en-AU" w:eastAsia="en-US" w:bidi="ar-SA"/>
    </w:rPr>
  </w:style>
  <w:style w:type="character" w:customStyle="1" w:styleId="nlmarticle-title">
    <w:name w:val="nlm_article-title"/>
    <w:basedOn w:val="DefaultParagraphFont"/>
    <w:rsid w:val="003438A2"/>
  </w:style>
  <w:style w:type="character" w:customStyle="1" w:styleId="nlmfpage">
    <w:name w:val="nlm_fpage"/>
    <w:basedOn w:val="DefaultParagraphFont"/>
    <w:rsid w:val="003438A2"/>
  </w:style>
  <w:style w:type="character" w:customStyle="1" w:styleId="nlmlpage">
    <w:name w:val="nlm_lpage"/>
    <w:basedOn w:val="DefaultParagraphFont"/>
    <w:rsid w:val="003438A2"/>
  </w:style>
  <w:style w:type="character" w:customStyle="1" w:styleId="sn">
    <w:name w:val="sn"/>
    <w:basedOn w:val="DefaultParagraphFont"/>
    <w:rsid w:val="003438A2"/>
  </w:style>
  <w:style w:type="character" w:customStyle="1" w:styleId="seriestitle">
    <w:name w:val="seriestitle"/>
    <w:basedOn w:val="DefaultParagraphFont"/>
    <w:rsid w:val="003438A2"/>
  </w:style>
  <w:style w:type="character" w:customStyle="1" w:styleId="black9pt">
    <w:name w:val="black9pt"/>
    <w:basedOn w:val="DefaultParagraphFont"/>
    <w:rsid w:val="003438A2"/>
  </w:style>
  <w:style w:type="character" w:customStyle="1" w:styleId="journalname">
    <w:name w:val="journalname"/>
    <w:basedOn w:val="DefaultParagraphFont"/>
    <w:rsid w:val="003438A2"/>
  </w:style>
  <w:style w:type="character" w:customStyle="1" w:styleId="forenames">
    <w:name w:val="forenames"/>
    <w:basedOn w:val="DefaultParagraphFont"/>
    <w:rsid w:val="003438A2"/>
  </w:style>
  <w:style w:type="character" w:customStyle="1" w:styleId="ti">
    <w:name w:val="ti"/>
    <w:basedOn w:val="DefaultParagraphFont"/>
    <w:rsid w:val="003438A2"/>
  </w:style>
  <w:style w:type="character" w:customStyle="1" w:styleId="authorname">
    <w:name w:val="authorname"/>
    <w:basedOn w:val="DefaultParagraphFont"/>
    <w:rsid w:val="003438A2"/>
  </w:style>
  <w:style w:type="character" w:customStyle="1" w:styleId="nlmx">
    <w:name w:val="nlm_x"/>
    <w:basedOn w:val="DefaultParagraphFont"/>
    <w:rsid w:val="003438A2"/>
  </w:style>
  <w:style w:type="paragraph" w:customStyle="1" w:styleId="Default0">
    <w:name w:val="Default"/>
    <w:rsid w:val="003438A2"/>
    <w:pPr>
      <w:autoSpaceDE w:val="0"/>
      <w:autoSpaceDN w:val="0"/>
      <w:adjustRightInd w:val="0"/>
      <w:spacing w:after="0" w:line="240" w:lineRule="auto"/>
    </w:pPr>
    <w:rPr>
      <w:rFonts w:ascii="Arial" w:eastAsia="Cambria" w:hAnsi="Arial" w:cs="Arial"/>
      <w:color w:val="000000"/>
      <w:sz w:val="24"/>
      <w:szCs w:val="24"/>
      <w:lang w:eastAsia="en-AU"/>
    </w:rPr>
  </w:style>
  <w:style w:type="table" w:customStyle="1" w:styleId="TableGridLight2">
    <w:name w:val="Table Grid Light2"/>
    <w:basedOn w:val="TableNormal"/>
    <w:next w:val="TableGridLight"/>
    <w:uiPriority w:val="40"/>
    <w:rsid w:val="003438A2"/>
    <w:pPr>
      <w:spacing w:after="0" w:line="240" w:lineRule="auto"/>
    </w:pPr>
    <w:rPr>
      <w:rFonts w:ascii="Cambria" w:eastAsia="Cambria" w:hAnsi="Cambria" w:cs="Times New Roman"/>
      <w:sz w:val="20"/>
      <w:szCs w:val="20"/>
      <w:lang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2">
    <w:name w:val="Table Grid2"/>
    <w:basedOn w:val="TableNormal"/>
    <w:next w:val="TableGrid"/>
    <w:rsid w:val="003438A2"/>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
    <w:name w:val="Table Grid Light3"/>
    <w:basedOn w:val="TableNormal"/>
    <w:next w:val="TableGridLight"/>
    <w:uiPriority w:val="40"/>
    <w:rsid w:val="003438A2"/>
    <w:pPr>
      <w:spacing w:after="0" w:line="240" w:lineRule="auto"/>
    </w:pPr>
    <w:rPr>
      <w:rFonts w:ascii="Cambria" w:eastAsia="Cambria" w:hAnsi="Cambria" w:cs="Times New Roman"/>
      <w:sz w:val="20"/>
      <w:szCs w:val="20"/>
      <w:lang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ff1">
    <w:name w:val="ff1"/>
    <w:basedOn w:val="DefaultParagraphFont"/>
    <w:rsid w:val="003438A2"/>
  </w:style>
  <w:style w:type="character" w:customStyle="1" w:styleId="ls11">
    <w:name w:val="ls11"/>
    <w:basedOn w:val="DefaultParagraphFont"/>
    <w:rsid w:val="003438A2"/>
  </w:style>
  <w:style w:type="character" w:customStyle="1" w:styleId="ff5">
    <w:name w:val="ff5"/>
    <w:basedOn w:val="DefaultParagraphFont"/>
    <w:rsid w:val="003438A2"/>
  </w:style>
  <w:style w:type="table" w:customStyle="1" w:styleId="TableGrid10">
    <w:name w:val="Table Grid1"/>
    <w:basedOn w:val="TableNormal"/>
    <w:next w:val="TableGrid"/>
    <w:uiPriority w:val="59"/>
    <w:rsid w:val="003438A2"/>
    <w:pPr>
      <w:spacing w:after="0" w:line="240" w:lineRule="auto"/>
    </w:pPr>
    <w:rPr>
      <w:rFonts w:ascii="Cambria" w:eastAsia="Calibri" w:hAnsi="Cambria"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438A2"/>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BulletChar">
    <w:name w:val="List Bullet Char"/>
    <w:basedOn w:val="DefaultParagraphFont"/>
    <w:link w:val="ListBullet"/>
    <w:uiPriority w:val="7"/>
    <w:rsid w:val="003438A2"/>
    <w:rPr>
      <w:rFonts w:ascii="Cambria" w:hAnsi="Cambria"/>
    </w:rPr>
  </w:style>
  <w:style w:type="character" w:customStyle="1" w:styleId="st1">
    <w:name w:val="st1"/>
    <w:basedOn w:val="DefaultParagraphFont"/>
    <w:rsid w:val="003438A2"/>
  </w:style>
  <w:style w:type="paragraph" w:customStyle="1" w:styleId="Pa16">
    <w:name w:val="Pa16"/>
    <w:basedOn w:val="Default0"/>
    <w:next w:val="Default0"/>
    <w:uiPriority w:val="99"/>
    <w:rsid w:val="003438A2"/>
    <w:pPr>
      <w:spacing w:line="181" w:lineRule="atLeast"/>
    </w:pPr>
    <w:rPr>
      <w:rFonts w:ascii="Times New Roman" w:hAnsi="Times New Roman" w:cs="Times New Roman"/>
      <w:color w:val="auto"/>
    </w:rPr>
  </w:style>
  <w:style w:type="paragraph" w:customStyle="1" w:styleId="Pa7">
    <w:name w:val="Pa7"/>
    <w:basedOn w:val="Default0"/>
    <w:next w:val="Default0"/>
    <w:uiPriority w:val="99"/>
    <w:rsid w:val="003438A2"/>
    <w:pPr>
      <w:spacing w:line="181" w:lineRule="atLeast"/>
    </w:pPr>
    <w:rPr>
      <w:rFonts w:ascii="Times New Roman" w:hAnsi="Times New Roman" w:cs="Times New Roman"/>
      <w:color w:val="auto"/>
    </w:rPr>
  </w:style>
  <w:style w:type="paragraph" w:customStyle="1" w:styleId="Pa0">
    <w:name w:val="Pa0"/>
    <w:basedOn w:val="Default0"/>
    <w:next w:val="Default0"/>
    <w:uiPriority w:val="99"/>
    <w:rsid w:val="003438A2"/>
    <w:pPr>
      <w:spacing w:line="181" w:lineRule="atLeast"/>
    </w:pPr>
    <w:rPr>
      <w:rFonts w:ascii="Times New Roman" w:hAnsi="Times New Roman" w:cs="Times New Roman"/>
      <w:color w:val="auto"/>
    </w:rPr>
  </w:style>
  <w:style w:type="character" w:customStyle="1" w:styleId="text-bold">
    <w:name w:val="text-bold"/>
    <w:basedOn w:val="DefaultParagraphFont"/>
    <w:rsid w:val="003438A2"/>
    <w:rPr>
      <w:b w:val="0"/>
      <w:bCs w:val="0"/>
    </w:rPr>
  </w:style>
  <w:style w:type="paragraph" w:customStyle="1" w:styleId="caus-symp-txt">
    <w:name w:val="caus-symp-txt"/>
    <w:basedOn w:val="Normal"/>
    <w:rsid w:val="003438A2"/>
    <w:pPr>
      <w:spacing w:after="195" w:line="240" w:lineRule="auto"/>
    </w:pPr>
    <w:rPr>
      <w:rFonts w:ascii="Times New Roman" w:eastAsia="Times New Roman" w:hAnsi="Times New Roman" w:cs="Times New Roman"/>
      <w:sz w:val="24"/>
      <w:szCs w:val="24"/>
      <w:lang w:eastAsia="en-AU"/>
    </w:rPr>
  </w:style>
  <w:style w:type="character" w:customStyle="1" w:styleId="collapse2">
    <w:name w:val="collapse2"/>
    <w:basedOn w:val="DefaultParagraphFont"/>
    <w:rsid w:val="003438A2"/>
    <w:rPr>
      <w:vanish/>
      <w:webHidden w:val="0"/>
      <w:specVanish w:val="0"/>
    </w:rPr>
  </w:style>
  <w:style w:type="character" w:customStyle="1" w:styleId="UnresolvedMention1">
    <w:name w:val="Unresolved Mention1"/>
    <w:basedOn w:val="DefaultParagraphFont"/>
    <w:uiPriority w:val="99"/>
    <w:semiHidden/>
    <w:unhideWhenUsed/>
    <w:rsid w:val="003438A2"/>
    <w:rPr>
      <w:color w:val="605E5C"/>
      <w:shd w:val="clear" w:color="auto" w:fill="E1DFDD"/>
    </w:rPr>
  </w:style>
  <w:style w:type="character" w:customStyle="1" w:styleId="e24kjd">
    <w:name w:val="e24kjd"/>
    <w:basedOn w:val="DefaultParagraphFont"/>
    <w:rsid w:val="003438A2"/>
  </w:style>
  <w:style w:type="character" w:customStyle="1" w:styleId="lrzxr">
    <w:name w:val="lrzxr"/>
    <w:basedOn w:val="DefaultParagraphFont"/>
    <w:rsid w:val="003438A2"/>
  </w:style>
  <w:style w:type="character" w:styleId="UnresolvedMention">
    <w:name w:val="Unresolved Mention"/>
    <w:basedOn w:val="DefaultParagraphFont"/>
    <w:uiPriority w:val="99"/>
    <w:semiHidden/>
    <w:unhideWhenUsed/>
    <w:rsid w:val="003438A2"/>
    <w:rPr>
      <w:color w:val="605E5C"/>
      <w:shd w:val="clear" w:color="auto" w:fill="E1DFDD"/>
    </w:rPr>
  </w:style>
  <w:style w:type="paragraph" w:styleId="TOC5">
    <w:name w:val="toc 5"/>
    <w:basedOn w:val="Normal"/>
    <w:next w:val="Normal"/>
    <w:autoRedefine/>
    <w:uiPriority w:val="39"/>
    <w:unhideWhenUsed/>
    <w:rsid w:val="003438A2"/>
    <w:pPr>
      <w:spacing w:after="100" w:line="259"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3438A2"/>
    <w:pPr>
      <w:spacing w:after="100" w:line="259"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3438A2"/>
    <w:pPr>
      <w:spacing w:after="100" w:line="259"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3438A2"/>
    <w:pPr>
      <w:spacing w:after="100" w:line="259"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3438A2"/>
    <w:pPr>
      <w:spacing w:after="100" w:line="259" w:lineRule="auto"/>
      <w:ind w:left="1760"/>
    </w:pPr>
    <w:rPr>
      <w:rFonts w:asciiTheme="minorHAnsi" w:eastAsiaTheme="minorEastAsia" w:hAnsiTheme="minorHAnsi"/>
      <w:lang w:eastAsia="en-AU"/>
    </w:rPr>
  </w:style>
  <w:style w:type="character" w:customStyle="1" w:styleId="TableHeadingChar">
    <w:name w:val="Table Heading Char"/>
    <w:basedOn w:val="DefaultParagraphFont"/>
    <w:link w:val="TableHeading"/>
    <w:uiPriority w:val="14"/>
    <w:rsid w:val="003438A2"/>
    <w:rPr>
      <w:rFonts w:ascii="Cambria" w:hAnsi="Cambria"/>
      <w:b/>
      <w:sz w:val="18"/>
    </w:rPr>
  </w:style>
  <w:style w:type="table" w:customStyle="1" w:styleId="TableGrid8">
    <w:name w:val="Table Grid8"/>
    <w:basedOn w:val="TableNormal"/>
    <w:next w:val="TableGrid"/>
    <w:uiPriority w:val="59"/>
    <w:rsid w:val="003438A2"/>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
    <w:name w:val="Style Italic"/>
    <w:basedOn w:val="DefaultParagraphFont"/>
    <w:rsid w:val="003438A2"/>
    <w:rPr>
      <w:i/>
      <w:iCs/>
    </w:rPr>
  </w:style>
  <w:style w:type="paragraph" w:customStyle="1" w:styleId="body-text">
    <w:name w:val="body-text"/>
    <w:basedOn w:val="Normal"/>
    <w:rsid w:val="003438A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rmalsmall">
    <w:name w:val="Normal small"/>
    <w:qFormat/>
    <w:rsid w:val="00C26E2A"/>
    <w:pPr>
      <w:spacing w:after="120" w:line="276" w:lineRule="auto"/>
    </w:pPr>
    <w:rPr>
      <w:rFonts w:ascii="Cambria" w:hAnsi="Cambria"/>
      <w:sz w:val="18"/>
      <w:szCs w:val="18"/>
    </w:rPr>
  </w:style>
  <w:style w:type="paragraph" w:styleId="Bibliography">
    <w:name w:val="Bibliography"/>
    <w:basedOn w:val="Normal"/>
    <w:next w:val="Normal"/>
    <w:uiPriority w:val="37"/>
    <w:semiHidden/>
    <w:unhideWhenUsed/>
    <w:rsid w:val="007E3008"/>
  </w:style>
  <w:style w:type="paragraph" w:styleId="BlockText">
    <w:name w:val="Block Text"/>
    <w:basedOn w:val="Normal"/>
    <w:uiPriority w:val="99"/>
    <w:semiHidden/>
    <w:unhideWhenUsed/>
    <w:rsid w:val="007E300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
    <w:name w:val="Body Text"/>
    <w:basedOn w:val="Normal"/>
    <w:link w:val="BodyTextChar"/>
    <w:uiPriority w:val="99"/>
    <w:semiHidden/>
    <w:unhideWhenUsed/>
    <w:rsid w:val="007E3008"/>
    <w:pPr>
      <w:spacing w:after="120"/>
    </w:pPr>
  </w:style>
  <w:style w:type="character" w:customStyle="1" w:styleId="BodyTextChar">
    <w:name w:val="Body Text Char"/>
    <w:basedOn w:val="DefaultParagraphFont"/>
    <w:link w:val="BodyText"/>
    <w:uiPriority w:val="99"/>
    <w:semiHidden/>
    <w:rsid w:val="007E3008"/>
    <w:rPr>
      <w:rFonts w:ascii="Cambria" w:hAnsi="Cambria"/>
    </w:rPr>
  </w:style>
  <w:style w:type="paragraph" w:styleId="BodyText2">
    <w:name w:val="Body Text 2"/>
    <w:basedOn w:val="Normal"/>
    <w:link w:val="BodyText2Char"/>
    <w:uiPriority w:val="99"/>
    <w:semiHidden/>
    <w:unhideWhenUsed/>
    <w:rsid w:val="007E3008"/>
    <w:pPr>
      <w:spacing w:after="120" w:line="480" w:lineRule="auto"/>
    </w:pPr>
  </w:style>
  <w:style w:type="character" w:customStyle="1" w:styleId="BodyText2Char">
    <w:name w:val="Body Text 2 Char"/>
    <w:basedOn w:val="DefaultParagraphFont"/>
    <w:link w:val="BodyText2"/>
    <w:uiPriority w:val="99"/>
    <w:semiHidden/>
    <w:rsid w:val="007E3008"/>
    <w:rPr>
      <w:rFonts w:ascii="Cambria" w:hAnsi="Cambria"/>
    </w:rPr>
  </w:style>
  <w:style w:type="paragraph" w:styleId="BodyText3">
    <w:name w:val="Body Text 3"/>
    <w:basedOn w:val="Normal"/>
    <w:link w:val="BodyText3Char"/>
    <w:uiPriority w:val="99"/>
    <w:semiHidden/>
    <w:unhideWhenUsed/>
    <w:rsid w:val="007E3008"/>
    <w:pPr>
      <w:spacing w:after="120"/>
    </w:pPr>
    <w:rPr>
      <w:sz w:val="16"/>
      <w:szCs w:val="16"/>
    </w:rPr>
  </w:style>
  <w:style w:type="character" w:customStyle="1" w:styleId="BodyText3Char">
    <w:name w:val="Body Text 3 Char"/>
    <w:basedOn w:val="DefaultParagraphFont"/>
    <w:link w:val="BodyText3"/>
    <w:uiPriority w:val="99"/>
    <w:semiHidden/>
    <w:rsid w:val="007E3008"/>
    <w:rPr>
      <w:rFonts w:ascii="Cambria" w:hAnsi="Cambria"/>
      <w:sz w:val="16"/>
      <w:szCs w:val="16"/>
    </w:rPr>
  </w:style>
  <w:style w:type="paragraph" w:styleId="BodyTextFirstIndent">
    <w:name w:val="Body Text First Indent"/>
    <w:basedOn w:val="BodyText"/>
    <w:link w:val="BodyTextFirstIndentChar"/>
    <w:uiPriority w:val="99"/>
    <w:semiHidden/>
    <w:unhideWhenUsed/>
    <w:rsid w:val="007E3008"/>
    <w:pPr>
      <w:spacing w:after="200"/>
      <w:ind w:firstLine="360"/>
    </w:pPr>
  </w:style>
  <w:style w:type="character" w:customStyle="1" w:styleId="BodyTextFirstIndentChar">
    <w:name w:val="Body Text First Indent Char"/>
    <w:basedOn w:val="BodyTextChar"/>
    <w:link w:val="BodyTextFirstIndent"/>
    <w:uiPriority w:val="99"/>
    <w:semiHidden/>
    <w:rsid w:val="007E3008"/>
    <w:rPr>
      <w:rFonts w:ascii="Cambria" w:hAnsi="Cambria"/>
    </w:rPr>
  </w:style>
  <w:style w:type="paragraph" w:styleId="BodyTextIndent">
    <w:name w:val="Body Text Indent"/>
    <w:basedOn w:val="Normal"/>
    <w:link w:val="BodyTextIndentChar"/>
    <w:uiPriority w:val="99"/>
    <w:semiHidden/>
    <w:unhideWhenUsed/>
    <w:rsid w:val="007E3008"/>
    <w:pPr>
      <w:spacing w:after="120"/>
      <w:ind w:left="283"/>
    </w:pPr>
  </w:style>
  <w:style w:type="character" w:customStyle="1" w:styleId="BodyTextIndentChar">
    <w:name w:val="Body Text Indent Char"/>
    <w:basedOn w:val="DefaultParagraphFont"/>
    <w:link w:val="BodyTextIndent"/>
    <w:uiPriority w:val="99"/>
    <w:semiHidden/>
    <w:rsid w:val="007E3008"/>
    <w:rPr>
      <w:rFonts w:ascii="Cambria" w:hAnsi="Cambria"/>
    </w:rPr>
  </w:style>
  <w:style w:type="paragraph" w:styleId="BodyTextFirstIndent2">
    <w:name w:val="Body Text First Indent 2"/>
    <w:basedOn w:val="BodyTextIndent"/>
    <w:link w:val="BodyTextFirstIndent2Char"/>
    <w:uiPriority w:val="99"/>
    <w:semiHidden/>
    <w:unhideWhenUsed/>
    <w:rsid w:val="007E3008"/>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7E3008"/>
    <w:rPr>
      <w:rFonts w:ascii="Cambria" w:hAnsi="Cambria"/>
    </w:rPr>
  </w:style>
  <w:style w:type="paragraph" w:styleId="BodyTextIndent2">
    <w:name w:val="Body Text Indent 2"/>
    <w:basedOn w:val="Normal"/>
    <w:link w:val="BodyTextIndent2Char"/>
    <w:uiPriority w:val="99"/>
    <w:semiHidden/>
    <w:unhideWhenUsed/>
    <w:rsid w:val="007E3008"/>
    <w:pPr>
      <w:spacing w:after="120" w:line="480" w:lineRule="auto"/>
      <w:ind w:left="283"/>
    </w:pPr>
  </w:style>
  <w:style w:type="character" w:customStyle="1" w:styleId="BodyTextIndent2Char">
    <w:name w:val="Body Text Indent 2 Char"/>
    <w:basedOn w:val="DefaultParagraphFont"/>
    <w:link w:val="BodyTextIndent2"/>
    <w:uiPriority w:val="99"/>
    <w:semiHidden/>
    <w:rsid w:val="007E3008"/>
    <w:rPr>
      <w:rFonts w:ascii="Cambria" w:hAnsi="Cambria"/>
    </w:rPr>
  </w:style>
  <w:style w:type="paragraph" w:styleId="BodyTextIndent3">
    <w:name w:val="Body Text Indent 3"/>
    <w:basedOn w:val="Normal"/>
    <w:link w:val="BodyTextIndent3Char"/>
    <w:uiPriority w:val="99"/>
    <w:semiHidden/>
    <w:unhideWhenUsed/>
    <w:rsid w:val="007E300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E3008"/>
    <w:rPr>
      <w:rFonts w:ascii="Cambria" w:hAnsi="Cambria"/>
      <w:sz w:val="16"/>
      <w:szCs w:val="16"/>
    </w:rPr>
  </w:style>
  <w:style w:type="paragraph" w:styleId="Closing">
    <w:name w:val="Closing"/>
    <w:basedOn w:val="Normal"/>
    <w:link w:val="ClosingChar"/>
    <w:uiPriority w:val="99"/>
    <w:semiHidden/>
    <w:unhideWhenUsed/>
    <w:rsid w:val="007E3008"/>
    <w:pPr>
      <w:spacing w:after="0" w:line="240" w:lineRule="auto"/>
      <w:ind w:left="4252"/>
    </w:pPr>
  </w:style>
  <w:style w:type="character" w:customStyle="1" w:styleId="ClosingChar">
    <w:name w:val="Closing Char"/>
    <w:basedOn w:val="DefaultParagraphFont"/>
    <w:link w:val="Closing"/>
    <w:uiPriority w:val="99"/>
    <w:semiHidden/>
    <w:rsid w:val="007E3008"/>
    <w:rPr>
      <w:rFonts w:ascii="Cambria" w:hAnsi="Cambria"/>
    </w:rPr>
  </w:style>
  <w:style w:type="paragraph" w:styleId="Date">
    <w:name w:val="Date"/>
    <w:basedOn w:val="Normal"/>
    <w:next w:val="Normal"/>
    <w:link w:val="DateChar"/>
    <w:uiPriority w:val="99"/>
    <w:semiHidden/>
    <w:unhideWhenUsed/>
    <w:rsid w:val="007E3008"/>
  </w:style>
  <w:style w:type="character" w:customStyle="1" w:styleId="DateChar">
    <w:name w:val="Date Char"/>
    <w:basedOn w:val="DefaultParagraphFont"/>
    <w:link w:val="Date"/>
    <w:uiPriority w:val="99"/>
    <w:semiHidden/>
    <w:rsid w:val="007E3008"/>
    <w:rPr>
      <w:rFonts w:ascii="Cambria" w:hAnsi="Cambria"/>
    </w:rPr>
  </w:style>
  <w:style w:type="paragraph" w:styleId="E-mailSignature">
    <w:name w:val="E-mail Signature"/>
    <w:basedOn w:val="Normal"/>
    <w:link w:val="E-mailSignatureChar"/>
    <w:uiPriority w:val="99"/>
    <w:semiHidden/>
    <w:unhideWhenUsed/>
    <w:rsid w:val="007E3008"/>
    <w:pPr>
      <w:spacing w:after="0" w:line="240" w:lineRule="auto"/>
    </w:pPr>
  </w:style>
  <w:style w:type="character" w:customStyle="1" w:styleId="E-mailSignatureChar">
    <w:name w:val="E-mail Signature Char"/>
    <w:basedOn w:val="DefaultParagraphFont"/>
    <w:link w:val="E-mailSignature"/>
    <w:uiPriority w:val="99"/>
    <w:semiHidden/>
    <w:rsid w:val="007E3008"/>
    <w:rPr>
      <w:rFonts w:ascii="Cambria" w:hAnsi="Cambria"/>
    </w:rPr>
  </w:style>
  <w:style w:type="paragraph" w:styleId="EnvelopeAddress">
    <w:name w:val="envelope address"/>
    <w:basedOn w:val="Normal"/>
    <w:uiPriority w:val="99"/>
    <w:semiHidden/>
    <w:unhideWhenUsed/>
    <w:rsid w:val="007E300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E3008"/>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7E3008"/>
    <w:pPr>
      <w:spacing w:after="0" w:line="240" w:lineRule="auto"/>
    </w:pPr>
    <w:rPr>
      <w:i/>
      <w:iCs/>
    </w:rPr>
  </w:style>
  <w:style w:type="character" w:customStyle="1" w:styleId="HTMLAddressChar">
    <w:name w:val="HTML Address Char"/>
    <w:basedOn w:val="DefaultParagraphFont"/>
    <w:link w:val="HTMLAddress"/>
    <w:uiPriority w:val="99"/>
    <w:semiHidden/>
    <w:rsid w:val="007E3008"/>
    <w:rPr>
      <w:rFonts w:ascii="Cambria" w:hAnsi="Cambria"/>
      <w:i/>
      <w:iCs/>
    </w:rPr>
  </w:style>
  <w:style w:type="paragraph" w:styleId="HTMLPreformatted">
    <w:name w:val="HTML Preformatted"/>
    <w:basedOn w:val="Normal"/>
    <w:link w:val="HTMLPreformattedChar"/>
    <w:uiPriority w:val="99"/>
    <w:semiHidden/>
    <w:unhideWhenUsed/>
    <w:rsid w:val="007E300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E3008"/>
    <w:rPr>
      <w:rFonts w:ascii="Consolas" w:hAnsi="Consolas"/>
      <w:sz w:val="20"/>
      <w:szCs w:val="20"/>
    </w:rPr>
  </w:style>
  <w:style w:type="paragraph" w:styleId="Index1">
    <w:name w:val="index 1"/>
    <w:basedOn w:val="Normal"/>
    <w:next w:val="Normal"/>
    <w:autoRedefine/>
    <w:uiPriority w:val="99"/>
    <w:semiHidden/>
    <w:unhideWhenUsed/>
    <w:rsid w:val="007E3008"/>
    <w:pPr>
      <w:spacing w:after="0" w:line="240" w:lineRule="auto"/>
      <w:ind w:left="220" w:hanging="220"/>
    </w:pPr>
  </w:style>
  <w:style w:type="paragraph" w:styleId="Index2">
    <w:name w:val="index 2"/>
    <w:basedOn w:val="Normal"/>
    <w:next w:val="Normal"/>
    <w:autoRedefine/>
    <w:uiPriority w:val="99"/>
    <w:semiHidden/>
    <w:unhideWhenUsed/>
    <w:rsid w:val="007E3008"/>
    <w:pPr>
      <w:spacing w:after="0" w:line="240" w:lineRule="auto"/>
      <w:ind w:left="440" w:hanging="220"/>
    </w:pPr>
  </w:style>
  <w:style w:type="paragraph" w:styleId="Index3">
    <w:name w:val="index 3"/>
    <w:basedOn w:val="Normal"/>
    <w:next w:val="Normal"/>
    <w:autoRedefine/>
    <w:uiPriority w:val="99"/>
    <w:semiHidden/>
    <w:unhideWhenUsed/>
    <w:rsid w:val="007E3008"/>
    <w:pPr>
      <w:spacing w:after="0" w:line="240" w:lineRule="auto"/>
      <w:ind w:left="660" w:hanging="220"/>
    </w:pPr>
  </w:style>
  <w:style w:type="paragraph" w:styleId="Index4">
    <w:name w:val="index 4"/>
    <w:basedOn w:val="Normal"/>
    <w:next w:val="Normal"/>
    <w:autoRedefine/>
    <w:uiPriority w:val="99"/>
    <w:semiHidden/>
    <w:unhideWhenUsed/>
    <w:rsid w:val="007E3008"/>
    <w:pPr>
      <w:spacing w:after="0" w:line="240" w:lineRule="auto"/>
      <w:ind w:left="880" w:hanging="220"/>
    </w:pPr>
  </w:style>
  <w:style w:type="paragraph" w:styleId="Index5">
    <w:name w:val="index 5"/>
    <w:basedOn w:val="Normal"/>
    <w:next w:val="Normal"/>
    <w:autoRedefine/>
    <w:uiPriority w:val="99"/>
    <w:semiHidden/>
    <w:unhideWhenUsed/>
    <w:rsid w:val="007E3008"/>
    <w:pPr>
      <w:spacing w:after="0" w:line="240" w:lineRule="auto"/>
      <w:ind w:left="1100" w:hanging="220"/>
    </w:pPr>
  </w:style>
  <w:style w:type="paragraph" w:styleId="Index6">
    <w:name w:val="index 6"/>
    <w:basedOn w:val="Normal"/>
    <w:next w:val="Normal"/>
    <w:autoRedefine/>
    <w:uiPriority w:val="99"/>
    <w:semiHidden/>
    <w:unhideWhenUsed/>
    <w:rsid w:val="007E3008"/>
    <w:pPr>
      <w:spacing w:after="0" w:line="240" w:lineRule="auto"/>
      <w:ind w:left="1320" w:hanging="220"/>
    </w:pPr>
  </w:style>
  <w:style w:type="paragraph" w:styleId="Index7">
    <w:name w:val="index 7"/>
    <w:basedOn w:val="Normal"/>
    <w:next w:val="Normal"/>
    <w:autoRedefine/>
    <w:uiPriority w:val="99"/>
    <w:semiHidden/>
    <w:unhideWhenUsed/>
    <w:rsid w:val="007E3008"/>
    <w:pPr>
      <w:spacing w:after="0" w:line="240" w:lineRule="auto"/>
      <w:ind w:left="1540" w:hanging="220"/>
    </w:pPr>
  </w:style>
  <w:style w:type="paragraph" w:styleId="Index8">
    <w:name w:val="index 8"/>
    <w:basedOn w:val="Normal"/>
    <w:next w:val="Normal"/>
    <w:autoRedefine/>
    <w:uiPriority w:val="99"/>
    <w:semiHidden/>
    <w:unhideWhenUsed/>
    <w:rsid w:val="007E3008"/>
    <w:pPr>
      <w:spacing w:after="0" w:line="240" w:lineRule="auto"/>
      <w:ind w:left="1760" w:hanging="220"/>
    </w:pPr>
  </w:style>
  <w:style w:type="paragraph" w:styleId="Index9">
    <w:name w:val="index 9"/>
    <w:basedOn w:val="Normal"/>
    <w:next w:val="Normal"/>
    <w:autoRedefine/>
    <w:uiPriority w:val="99"/>
    <w:semiHidden/>
    <w:unhideWhenUsed/>
    <w:rsid w:val="007E3008"/>
    <w:pPr>
      <w:spacing w:after="0" w:line="240" w:lineRule="auto"/>
      <w:ind w:left="1980" w:hanging="220"/>
    </w:pPr>
  </w:style>
  <w:style w:type="paragraph" w:styleId="IndexHeading">
    <w:name w:val="index heading"/>
    <w:basedOn w:val="Normal"/>
    <w:next w:val="Index1"/>
    <w:uiPriority w:val="99"/>
    <w:semiHidden/>
    <w:unhideWhenUsed/>
    <w:rsid w:val="007E300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E300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E3008"/>
    <w:rPr>
      <w:rFonts w:ascii="Cambria" w:hAnsi="Cambria"/>
      <w:i/>
      <w:iCs/>
      <w:color w:val="4472C4" w:themeColor="accent1"/>
    </w:rPr>
  </w:style>
  <w:style w:type="paragraph" w:styleId="List">
    <w:name w:val="List"/>
    <w:basedOn w:val="Normal"/>
    <w:uiPriority w:val="99"/>
    <w:semiHidden/>
    <w:unhideWhenUsed/>
    <w:rsid w:val="007E3008"/>
    <w:pPr>
      <w:ind w:left="283" w:hanging="283"/>
      <w:contextualSpacing/>
    </w:pPr>
  </w:style>
  <w:style w:type="paragraph" w:styleId="List2">
    <w:name w:val="List 2"/>
    <w:basedOn w:val="Normal"/>
    <w:uiPriority w:val="99"/>
    <w:semiHidden/>
    <w:unhideWhenUsed/>
    <w:rsid w:val="007E3008"/>
    <w:pPr>
      <w:ind w:left="566" w:hanging="283"/>
      <w:contextualSpacing/>
    </w:pPr>
  </w:style>
  <w:style w:type="paragraph" w:styleId="List3">
    <w:name w:val="List 3"/>
    <w:basedOn w:val="Normal"/>
    <w:uiPriority w:val="99"/>
    <w:semiHidden/>
    <w:unhideWhenUsed/>
    <w:rsid w:val="007E3008"/>
    <w:pPr>
      <w:ind w:left="849" w:hanging="283"/>
      <w:contextualSpacing/>
    </w:pPr>
  </w:style>
  <w:style w:type="paragraph" w:styleId="List4">
    <w:name w:val="List 4"/>
    <w:basedOn w:val="Normal"/>
    <w:uiPriority w:val="99"/>
    <w:semiHidden/>
    <w:unhideWhenUsed/>
    <w:rsid w:val="007E3008"/>
    <w:pPr>
      <w:ind w:left="1132" w:hanging="283"/>
      <w:contextualSpacing/>
    </w:pPr>
  </w:style>
  <w:style w:type="paragraph" w:styleId="List5">
    <w:name w:val="List 5"/>
    <w:basedOn w:val="Normal"/>
    <w:uiPriority w:val="99"/>
    <w:semiHidden/>
    <w:unhideWhenUsed/>
    <w:rsid w:val="007E3008"/>
    <w:pPr>
      <w:ind w:left="1415" w:hanging="283"/>
      <w:contextualSpacing/>
    </w:pPr>
  </w:style>
  <w:style w:type="paragraph" w:styleId="ListBullet3">
    <w:name w:val="List Bullet 3"/>
    <w:basedOn w:val="Normal"/>
    <w:uiPriority w:val="99"/>
    <w:semiHidden/>
    <w:unhideWhenUsed/>
    <w:rsid w:val="007E3008"/>
    <w:pPr>
      <w:numPr>
        <w:numId w:val="46"/>
      </w:numPr>
      <w:contextualSpacing/>
    </w:pPr>
  </w:style>
  <w:style w:type="paragraph" w:styleId="ListBullet4">
    <w:name w:val="List Bullet 4"/>
    <w:basedOn w:val="Normal"/>
    <w:uiPriority w:val="99"/>
    <w:semiHidden/>
    <w:unhideWhenUsed/>
    <w:rsid w:val="007E3008"/>
    <w:pPr>
      <w:numPr>
        <w:numId w:val="47"/>
      </w:numPr>
      <w:contextualSpacing/>
    </w:pPr>
  </w:style>
  <w:style w:type="paragraph" w:styleId="ListBullet5">
    <w:name w:val="List Bullet 5"/>
    <w:basedOn w:val="Normal"/>
    <w:uiPriority w:val="99"/>
    <w:semiHidden/>
    <w:unhideWhenUsed/>
    <w:rsid w:val="007E3008"/>
    <w:pPr>
      <w:numPr>
        <w:numId w:val="48"/>
      </w:numPr>
      <w:contextualSpacing/>
    </w:pPr>
  </w:style>
  <w:style w:type="paragraph" w:styleId="ListContinue">
    <w:name w:val="List Continue"/>
    <w:basedOn w:val="Normal"/>
    <w:uiPriority w:val="99"/>
    <w:semiHidden/>
    <w:unhideWhenUsed/>
    <w:rsid w:val="007E3008"/>
    <w:pPr>
      <w:spacing w:after="120"/>
      <w:ind w:left="283"/>
      <w:contextualSpacing/>
    </w:pPr>
  </w:style>
  <w:style w:type="paragraph" w:styleId="ListContinue2">
    <w:name w:val="List Continue 2"/>
    <w:basedOn w:val="Normal"/>
    <w:uiPriority w:val="99"/>
    <w:semiHidden/>
    <w:unhideWhenUsed/>
    <w:rsid w:val="007E3008"/>
    <w:pPr>
      <w:spacing w:after="120"/>
      <w:ind w:left="566"/>
      <w:contextualSpacing/>
    </w:pPr>
  </w:style>
  <w:style w:type="paragraph" w:styleId="ListContinue3">
    <w:name w:val="List Continue 3"/>
    <w:basedOn w:val="Normal"/>
    <w:uiPriority w:val="99"/>
    <w:semiHidden/>
    <w:unhideWhenUsed/>
    <w:rsid w:val="007E3008"/>
    <w:pPr>
      <w:spacing w:after="120"/>
      <w:ind w:left="849"/>
      <w:contextualSpacing/>
    </w:pPr>
  </w:style>
  <w:style w:type="paragraph" w:styleId="ListContinue4">
    <w:name w:val="List Continue 4"/>
    <w:basedOn w:val="Normal"/>
    <w:uiPriority w:val="99"/>
    <w:semiHidden/>
    <w:unhideWhenUsed/>
    <w:rsid w:val="007E3008"/>
    <w:pPr>
      <w:spacing w:after="120"/>
      <w:ind w:left="1132"/>
      <w:contextualSpacing/>
    </w:pPr>
  </w:style>
  <w:style w:type="paragraph" w:styleId="ListContinue5">
    <w:name w:val="List Continue 5"/>
    <w:basedOn w:val="Normal"/>
    <w:uiPriority w:val="99"/>
    <w:semiHidden/>
    <w:unhideWhenUsed/>
    <w:rsid w:val="007E3008"/>
    <w:pPr>
      <w:spacing w:after="120"/>
      <w:ind w:left="1415"/>
      <w:contextualSpacing/>
    </w:pPr>
  </w:style>
  <w:style w:type="paragraph" w:styleId="ListNumber4">
    <w:name w:val="List Number 4"/>
    <w:basedOn w:val="Normal"/>
    <w:uiPriority w:val="99"/>
    <w:semiHidden/>
    <w:unhideWhenUsed/>
    <w:rsid w:val="007E3008"/>
    <w:pPr>
      <w:numPr>
        <w:numId w:val="49"/>
      </w:numPr>
      <w:contextualSpacing/>
    </w:pPr>
  </w:style>
  <w:style w:type="paragraph" w:styleId="ListNumber5">
    <w:name w:val="List Number 5"/>
    <w:basedOn w:val="Normal"/>
    <w:uiPriority w:val="99"/>
    <w:semiHidden/>
    <w:unhideWhenUsed/>
    <w:rsid w:val="007E3008"/>
    <w:pPr>
      <w:numPr>
        <w:numId w:val="50"/>
      </w:numPr>
      <w:contextualSpacing/>
    </w:pPr>
  </w:style>
  <w:style w:type="paragraph" w:styleId="MacroText">
    <w:name w:val="macro"/>
    <w:link w:val="MacroTextChar"/>
    <w:uiPriority w:val="99"/>
    <w:semiHidden/>
    <w:unhideWhenUsed/>
    <w:rsid w:val="007E3008"/>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7E3008"/>
    <w:rPr>
      <w:rFonts w:ascii="Consolas" w:hAnsi="Consolas"/>
      <w:sz w:val="20"/>
      <w:szCs w:val="20"/>
    </w:rPr>
  </w:style>
  <w:style w:type="paragraph" w:styleId="MessageHeader">
    <w:name w:val="Message Header"/>
    <w:basedOn w:val="Normal"/>
    <w:link w:val="MessageHeaderChar"/>
    <w:uiPriority w:val="99"/>
    <w:semiHidden/>
    <w:unhideWhenUsed/>
    <w:rsid w:val="007E300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E3008"/>
    <w:rPr>
      <w:rFonts w:asciiTheme="majorHAnsi" w:eastAsiaTheme="majorEastAsia" w:hAnsiTheme="majorHAnsi" w:cstheme="majorBidi"/>
      <w:sz w:val="24"/>
      <w:szCs w:val="24"/>
      <w:shd w:val="pct20" w:color="auto" w:fill="auto"/>
    </w:rPr>
  </w:style>
  <w:style w:type="paragraph" w:styleId="NoSpacing">
    <w:name w:val="No Spacing"/>
    <w:uiPriority w:val="1"/>
    <w:qFormat/>
    <w:rsid w:val="007E3008"/>
    <w:pPr>
      <w:spacing w:after="0" w:line="240" w:lineRule="auto"/>
    </w:pPr>
    <w:rPr>
      <w:rFonts w:ascii="Cambria" w:hAnsi="Cambria"/>
    </w:rPr>
  </w:style>
  <w:style w:type="paragraph" w:styleId="NormalIndent">
    <w:name w:val="Normal Indent"/>
    <w:basedOn w:val="Normal"/>
    <w:uiPriority w:val="99"/>
    <w:semiHidden/>
    <w:unhideWhenUsed/>
    <w:rsid w:val="007E3008"/>
    <w:pPr>
      <w:ind w:left="720"/>
    </w:pPr>
  </w:style>
  <w:style w:type="paragraph" w:styleId="NoteHeading">
    <w:name w:val="Note Heading"/>
    <w:basedOn w:val="Normal"/>
    <w:next w:val="Normal"/>
    <w:link w:val="NoteHeadingChar"/>
    <w:uiPriority w:val="99"/>
    <w:semiHidden/>
    <w:unhideWhenUsed/>
    <w:rsid w:val="007E3008"/>
    <w:pPr>
      <w:spacing w:after="0" w:line="240" w:lineRule="auto"/>
    </w:pPr>
  </w:style>
  <w:style w:type="character" w:customStyle="1" w:styleId="NoteHeadingChar">
    <w:name w:val="Note Heading Char"/>
    <w:basedOn w:val="DefaultParagraphFont"/>
    <w:link w:val="NoteHeading"/>
    <w:uiPriority w:val="99"/>
    <w:semiHidden/>
    <w:rsid w:val="007E3008"/>
    <w:rPr>
      <w:rFonts w:ascii="Cambria" w:hAnsi="Cambria"/>
    </w:rPr>
  </w:style>
  <w:style w:type="paragraph" w:styleId="PlainText">
    <w:name w:val="Plain Text"/>
    <w:basedOn w:val="Normal"/>
    <w:link w:val="PlainTextChar"/>
    <w:uiPriority w:val="99"/>
    <w:semiHidden/>
    <w:unhideWhenUsed/>
    <w:rsid w:val="007E300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E3008"/>
    <w:rPr>
      <w:rFonts w:ascii="Consolas" w:hAnsi="Consolas"/>
      <w:sz w:val="21"/>
      <w:szCs w:val="21"/>
    </w:rPr>
  </w:style>
  <w:style w:type="paragraph" w:styleId="Salutation">
    <w:name w:val="Salutation"/>
    <w:basedOn w:val="Normal"/>
    <w:next w:val="Normal"/>
    <w:link w:val="SalutationChar"/>
    <w:uiPriority w:val="99"/>
    <w:semiHidden/>
    <w:unhideWhenUsed/>
    <w:rsid w:val="007E3008"/>
  </w:style>
  <w:style w:type="character" w:customStyle="1" w:styleId="SalutationChar">
    <w:name w:val="Salutation Char"/>
    <w:basedOn w:val="DefaultParagraphFont"/>
    <w:link w:val="Salutation"/>
    <w:uiPriority w:val="99"/>
    <w:semiHidden/>
    <w:rsid w:val="007E3008"/>
    <w:rPr>
      <w:rFonts w:ascii="Cambria" w:hAnsi="Cambria"/>
    </w:rPr>
  </w:style>
  <w:style w:type="paragraph" w:styleId="Signature">
    <w:name w:val="Signature"/>
    <w:basedOn w:val="Normal"/>
    <w:link w:val="SignatureChar"/>
    <w:uiPriority w:val="99"/>
    <w:semiHidden/>
    <w:unhideWhenUsed/>
    <w:rsid w:val="007E3008"/>
    <w:pPr>
      <w:spacing w:after="0" w:line="240" w:lineRule="auto"/>
      <w:ind w:left="4252"/>
    </w:pPr>
  </w:style>
  <w:style w:type="character" w:customStyle="1" w:styleId="SignatureChar">
    <w:name w:val="Signature Char"/>
    <w:basedOn w:val="DefaultParagraphFont"/>
    <w:link w:val="Signature"/>
    <w:uiPriority w:val="99"/>
    <w:semiHidden/>
    <w:rsid w:val="007E3008"/>
    <w:rPr>
      <w:rFonts w:ascii="Cambria" w:hAnsi="Cambria"/>
    </w:rPr>
  </w:style>
  <w:style w:type="paragraph" w:styleId="TableofAuthorities">
    <w:name w:val="table of authorities"/>
    <w:basedOn w:val="Normal"/>
    <w:next w:val="Normal"/>
    <w:uiPriority w:val="99"/>
    <w:semiHidden/>
    <w:unhideWhenUsed/>
    <w:rsid w:val="007E3008"/>
    <w:pPr>
      <w:spacing w:after="0"/>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treefruit.wsu.edu/article/update-on-the-newly-reported-apple-yellow-rot-caused-by-lambertella/" TargetMode="External"/><Relationship Id="rId299" Type="http://schemas.openxmlformats.org/officeDocument/2006/relationships/hyperlink" Target="http://www.ipm.ucdavis.edu/PMG/r105301811.html" TargetMode="External"/><Relationship Id="rId21" Type="http://schemas.openxmlformats.org/officeDocument/2006/relationships/image" Target="media/image5.jpeg"/><Relationship Id="rId63" Type="http://schemas.openxmlformats.org/officeDocument/2006/relationships/header" Target="header27.xml"/><Relationship Id="rId159" Type="http://schemas.openxmlformats.org/officeDocument/2006/relationships/hyperlink" Target="https://gd.eppo.int/taxon/PHYSSL/documents" TargetMode="External"/><Relationship Id="rId170" Type="http://schemas.openxmlformats.org/officeDocument/2006/relationships/hyperlink" Target="https://ag.umass.edu/landscape/fact-sheets/winter-moth-identification-management" TargetMode="External"/><Relationship Id="rId226" Type="http://schemas.openxmlformats.org/officeDocument/2006/relationships/hyperlink" Target="https://www.agric.wa.gov.au/bam/western-australian-organism-list-waol" TargetMode="External"/><Relationship Id="rId268" Type="http://schemas.openxmlformats.org/officeDocument/2006/relationships/hyperlink" Target="http://www.virginiafruit.ento.vt.edu/Blueberryfruitworms.html" TargetMode="External"/><Relationship Id="rId32" Type="http://schemas.openxmlformats.org/officeDocument/2006/relationships/header" Target="header14.xml"/><Relationship Id="rId74" Type="http://schemas.openxmlformats.org/officeDocument/2006/relationships/header" Target="header38.xml"/><Relationship Id="rId128" Type="http://schemas.openxmlformats.org/officeDocument/2006/relationships/hyperlink" Target="http://esa.confex.com/esa/2001/techprogram/paper_3993.htm" TargetMode="External"/><Relationship Id="rId5" Type="http://schemas.openxmlformats.org/officeDocument/2006/relationships/webSettings" Target="webSettings.xml"/><Relationship Id="rId181" Type="http://schemas.openxmlformats.org/officeDocument/2006/relationships/hyperlink" Target="https://www.agriculture.gov.au/biosecurity-trade/policy/risk-analysis/group-pest-risk-analyses/group-pra-thrips-orthotospoviruses/final-report" TargetMode="External"/><Relationship Id="rId237" Type="http://schemas.openxmlformats.org/officeDocument/2006/relationships/hyperlink" Target="https://idfg.idaho.gov/species/taxa/22742" TargetMode="External"/><Relationship Id="rId279" Type="http://schemas.openxmlformats.org/officeDocument/2006/relationships/hyperlink" Target="https://ecommons.cornell.edu/handle/1813/43071" TargetMode="External"/><Relationship Id="rId43" Type="http://schemas.openxmlformats.org/officeDocument/2006/relationships/header" Target="header20.xml"/><Relationship Id="rId139" Type="http://schemas.openxmlformats.org/officeDocument/2006/relationships/hyperlink" Target="https://www.agriculture.gov.au/biosecurity-trade/policy/risk-analysis/plant/apples-nz" TargetMode="External"/><Relationship Id="rId290" Type="http://schemas.openxmlformats.org/officeDocument/2006/relationships/hyperlink" Target="http://ipm.uiuc.edu/insects/eastern_flower_thrips/" TargetMode="External"/><Relationship Id="rId304" Type="http://schemas.openxmlformats.org/officeDocument/2006/relationships/hyperlink" Target="http://treefruit.wsu.edu/orchard-management/pollination/honey-bees/" TargetMode="External"/><Relationship Id="rId85" Type="http://schemas.openxmlformats.org/officeDocument/2006/relationships/hyperlink" Target="https://www.awe.gov.au/biosecurity-trade/import/goods/food/inspection-compliance/inspection-scheme" TargetMode="External"/><Relationship Id="rId150" Type="http://schemas.openxmlformats.org/officeDocument/2006/relationships/hyperlink" Target="http://www.bom.gov.au" TargetMode="External"/><Relationship Id="rId192" Type="http://schemas.openxmlformats.org/officeDocument/2006/relationships/hyperlink" Target="https://gd.eppo.int/" TargetMode="External"/><Relationship Id="rId206" Type="http://schemas.openxmlformats.org/officeDocument/2006/relationships/hyperlink" Target="https://nt.ars-grin.gov/fungaldatabases/" TargetMode="External"/><Relationship Id="rId248" Type="http://schemas.openxmlformats.org/officeDocument/2006/relationships/hyperlink" Target="http://www.ct.gov/caes/cwp/view.asp?a=2815&amp;Q=376728" TargetMode="External"/><Relationship Id="rId12" Type="http://schemas.openxmlformats.org/officeDocument/2006/relationships/hyperlink" Target="mailto:copyright@agriculture.gov.au" TargetMode="External"/><Relationship Id="rId108" Type="http://schemas.openxmlformats.org/officeDocument/2006/relationships/header" Target="header59.xml"/><Relationship Id="rId315" Type="http://schemas.openxmlformats.org/officeDocument/2006/relationships/header" Target="header63.xml"/><Relationship Id="rId54" Type="http://schemas.openxmlformats.org/officeDocument/2006/relationships/chart" Target="charts/chart2.xml"/><Relationship Id="rId96" Type="http://schemas.openxmlformats.org/officeDocument/2006/relationships/header" Target="header52.xml"/><Relationship Id="rId161" Type="http://schemas.openxmlformats.org/officeDocument/2006/relationships/hyperlink" Target="http://ipm.ucanr.edu/PMG/PESTNOTES/pn7412.html" TargetMode="External"/><Relationship Id="rId217" Type="http://schemas.openxmlformats.org/officeDocument/2006/relationships/hyperlink" Target="http://scalenet.info" TargetMode="External"/><Relationship Id="rId259" Type="http://schemas.openxmlformats.org/officeDocument/2006/relationships/hyperlink" Target="http://www.ncbi.nlm.nih.gov/Taxonomy/Browser/wwwtax.cgi?id=12052" TargetMode="External"/><Relationship Id="rId23" Type="http://schemas.openxmlformats.org/officeDocument/2006/relationships/header" Target="header6.xml"/><Relationship Id="rId119" Type="http://schemas.openxmlformats.org/officeDocument/2006/relationships/hyperlink" Target="http://treefruit.wsu.edu/article/prevalence-of-storage-decays-of-apple-lessons-from-the-2016-statewide-survey/?print-view=true" TargetMode="External"/><Relationship Id="rId270" Type="http://schemas.openxmlformats.org/officeDocument/2006/relationships/hyperlink" Target="http://ipm.ucdavis.edu/PDF/PMG/pmgpeach.pdf" TargetMode="External"/><Relationship Id="rId65" Type="http://schemas.openxmlformats.org/officeDocument/2006/relationships/header" Target="header29.xml"/><Relationship Id="rId130" Type="http://schemas.openxmlformats.org/officeDocument/2006/relationships/hyperlink" Target="http://treefruit.wsu.edu/crop-protection/opm/weevils/" TargetMode="External"/><Relationship Id="rId172" Type="http://schemas.openxmlformats.org/officeDocument/2006/relationships/hyperlink" Target="http://ccenassau.org/resources/-apple-maggot-apple-scab" TargetMode="External"/><Relationship Id="rId228" Type="http://schemas.openxmlformats.org/officeDocument/2006/relationships/hyperlink" Target="http://www.ipm.ucdavis.edu/PDF/PMG/pmggrape.pdf" TargetMode="External"/><Relationship Id="rId13" Type="http://schemas.openxmlformats.org/officeDocument/2006/relationships/image" Target="media/image3.png"/><Relationship Id="rId109" Type="http://schemas.openxmlformats.org/officeDocument/2006/relationships/hyperlink" Target="https://www.britannica.com/science/fungus" TargetMode="External"/><Relationship Id="rId260" Type="http://schemas.openxmlformats.org/officeDocument/2006/relationships/hyperlink" Target="https://www.ncbi.nlm.nih.gov/taxonomy" TargetMode="External"/><Relationship Id="rId281" Type="http://schemas.openxmlformats.org/officeDocument/2006/relationships/hyperlink" Target="https://doi.org/10.1371/journal.pone.0217492" TargetMode="External"/><Relationship Id="rId316" Type="http://schemas.openxmlformats.org/officeDocument/2006/relationships/header" Target="header64.xml"/><Relationship Id="rId34" Type="http://schemas.openxmlformats.org/officeDocument/2006/relationships/header" Target="header15.xml"/><Relationship Id="rId55" Type="http://schemas.openxmlformats.org/officeDocument/2006/relationships/chart" Target="charts/chart3.xml"/><Relationship Id="rId76" Type="http://schemas.openxmlformats.org/officeDocument/2006/relationships/header" Target="header40.xml"/><Relationship Id="rId97" Type="http://schemas.openxmlformats.org/officeDocument/2006/relationships/footer" Target="footer5.xml"/><Relationship Id="rId120" Type="http://schemas.openxmlformats.org/officeDocument/2006/relationships/hyperlink" Target="http://treefruit.wsu.edu/crop-protection/opm/lygus-bugs/" TargetMode="External"/><Relationship Id="rId141" Type="http://schemas.openxmlformats.org/officeDocument/2006/relationships/hyperlink" Target="https://www.agriculture.gov.au/biosecurity-trade/policy/risk-analysis/plant/apples-china" TargetMode="External"/><Relationship Id="rId7" Type="http://schemas.openxmlformats.org/officeDocument/2006/relationships/endnotes" Target="endnotes.xml"/><Relationship Id="rId162" Type="http://schemas.openxmlformats.org/officeDocument/2006/relationships/hyperlink" Target="http://ipm.ucanr.edu/PMG/GARDEN/FRUIT/PESTS/applemaggot.html" TargetMode="External"/><Relationship Id="rId183" Type="http://schemas.openxmlformats.org/officeDocument/2006/relationships/hyperlink" Target="https://www.agriculture.gov.au/biosecurity-trade/policy/risk-analysis/plant/table-grapes-japan" TargetMode="External"/><Relationship Id="rId218" Type="http://schemas.openxmlformats.org/officeDocument/2006/relationships/hyperlink" Target="http://scalenet.info" TargetMode="External"/><Relationship Id="rId239" Type="http://schemas.openxmlformats.org/officeDocument/2006/relationships/hyperlink" Target="https://www.ippc.int/en/countries/australia/pestreports/2016/05/absence-of-cherry-rasp-leaf-virus-from-australia/" TargetMode="External"/><Relationship Id="rId250" Type="http://schemas.openxmlformats.org/officeDocument/2006/relationships/hyperlink" Target="https://www.horticulture.com.au/globalassets/hort-innovation/resource-assets/ny15002-scale-insects-pest-mgmt-plan.pdf" TargetMode="External"/><Relationship Id="rId271" Type="http://schemas.openxmlformats.org/officeDocument/2006/relationships/hyperlink" Target="http://www.planthealthaustralia.com.au/resources/australian-plant-pest-database/" TargetMode="External"/><Relationship Id="rId292" Type="http://schemas.openxmlformats.org/officeDocument/2006/relationships/hyperlink" Target="https://www.path2usa.com/us-map-with-states-and-their-abbreviations" TargetMode="External"/><Relationship Id="rId306" Type="http://schemas.openxmlformats.org/officeDocument/2006/relationships/hyperlink" Target="http://tfrec.cahnrs.wsu.edu/postharvest-export/postharvest-diseases" TargetMode="External"/><Relationship Id="rId24" Type="http://schemas.openxmlformats.org/officeDocument/2006/relationships/header" Target="header7.xml"/><Relationship Id="rId45" Type="http://schemas.openxmlformats.org/officeDocument/2006/relationships/header" Target="header22.xml"/><Relationship Id="rId66" Type="http://schemas.openxmlformats.org/officeDocument/2006/relationships/header" Target="header30.xml"/><Relationship Id="rId87" Type="http://schemas.openxmlformats.org/officeDocument/2006/relationships/header" Target="header46.xml"/><Relationship Id="rId110" Type="http://schemas.openxmlformats.org/officeDocument/2006/relationships/hyperlink" Target="https://www.britannica.com/science/spore-biology" TargetMode="External"/><Relationship Id="rId131" Type="http://schemas.openxmlformats.org/officeDocument/2006/relationships/hyperlink" Target="http://treefruit.wsu.edu/crop-protection/opm/apple-leafcurling-midge/" TargetMode="External"/><Relationship Id="rId152" Type="http://schemas.openxmlformats.org/officeDocument/2006/relationships/hyperlink" Target="http://www.chemical-ecology.net/insects/leafmine.htm" TargetMode="External"/><Relationship Id="rId173" Type="http://schemas.openxmlformats.org/officeDocument/2006/relationships/hyperlink" Target="http://pnwmoths.biol.wwu.edu/" TargetMode="External"/><Relationship Id="rId194" Type="http://schemas.openxmlformats.org/officeDocument/2006/relationships/hyperlink" Target="https://www.ippc.int/en/core-activities/standards-setting/ispms/" TargetMode="External"/><Relationship Id="rId208" Type="http://schemas.openxmlformats.org/officeDocument/2006/relationships/hyperlink" Target="https://nt.ars-grin.gov/fungaldatabases/" TargetMode="External"/><Relationship Id="rId229" Type="http://schemas.openxmlformats.org/officeDocument/2006/relationships/hyperlink" Target="https://entnemdept.ufl.edu/creatures/veg/bean/brown_marmorated_stink_bug.htm" TargetMode="External"/><Relationship Id="rId240" Type="http://schemas.openxmlformats.org/officeDocument/2006/relationships/hyperlink" Target="https://www.ippc.int/static/media/files/publication/en/2016/11/DP_13_2016_En_2016-11-01_cQFAHo4.pdf" TargetMode="External"/><Relationship Id="rId261" Type="http://schemas.openxmlformats.org/officeDocument/2006/relationships/hyperlink" Target="https://www.ncdc.noaa.gov/cdo-web/datasets/GSOY/locations/FIPS:53/detail" TargetMode="External"/><Relationship Id="rId14" Type="http://schemas.openxmlformats.org/officeDocument/2006/relationships/hyperlink" Target="https://www.agriculture.gov.au/biosecurity-trade/policy/risk-analysis/plant/apples-usa-2018" TargetMode="External"/><Relationship Id="rId35" Type="http://schemas.openxmlformats.org/officeDocument/2006/relationships/header" Target="header16.xml"/><Relationship Id="rId56" Type="http://schemas.openxmlformats.org/officeDocument/2006/relationships/chart" Target="charts/chart4.xml"/><Relationship Id="rId77" Type="http://schemas.openxmlformats.org/officeDocument/2006/relationships/footer" Target="footer3.xml"/><Relationship Id="rId100" Type="http://schemas.openxmlformats.org/officeDocument/2006/relationships/header" Target="header55.xml"/><Relationship Id="rId282" Type="http://schemas.openxmlformats.org/officeDocument/2006/relationships/hyperlink" Target="https://doi.org/10.1371/journal.pone.0267890" TargetMode="External"/><Relationship Id="rId317" Type="http://schemas.openxmlformats.org/officeDocument/2006/relationships/header" Target="header65.xml"/><Relationship Id="rId8" Type="http://schemas.openxmlformats.org/officeDocument/2006/relationships/image" Target="media/image1.jpeg"/><Relationship Id="rId98" Type="http://schemas.openxmlformats.org/officeDocument/2006/relationships/header" Target="header53.xml"/><Relationship Id="rId121" Type="http://schemas.openxmlformats.org/officeDocument/2006/relationships/hyperlink" Target="http://treefruit.wsu.edu/crop-protection/opm/western-boxelder-bug/" TargetMode="External"/><Relationship Id="rId142" Type="http://schemas.openxmlformats.org/officeDocument/2006/relationships/hyperlink" Target="https://www.agriculture.gov.au/biosecurity-trade/policy/risk-analysis/plant/stonefruit-usa" TargetMode="External"/><Relationship Id="rId163" Type="http://schemas.openxmlformats.org/officeDocument/2006/relationships/hyperlink" Target="http://ipm.ucdavis.edu/PDF/PMG/pmgapple.pdf" TargetMode="External"/><Relationship Id="rId184" Type="http://schemas.openxmlformats.org/officeDocument/2006/relationships/hyperlink" Target="http://treefruit.wsu.edu/crop-protection/opm/lacanobia/?print-view=true" TargetMode="External"/><Relationship Id="rId219" Type="http://schemas.openxmlformats.org/officeDocument/2006/relationships/hyperlink" Target="http://treefruit.wsu.edu/crop-protection/disease-management/apple-anthracnose/" TargetMode="External"/><Relationship Id="rId230" Type="http://schemas.openxmlformats.org/officeDocument/2006/relationships/hyperlink" Target="https://doi.org/10.1673/031.010.12701" TargetMode="External"/><Relationship Id="rId251" Type="http://schemas.openxmlformats.org/officeDocument/2006/relationships/hyperlink" Target="http://www.extento.hawaii.edu/kbase/crop/Type/peridrom.htm" TargetMode="External"/><Relationship Id="rId25" Type="http://schemas.openxmlformats.org/officeDocument/2006/relationships/header" Target="header8.xml"/><Relationship Id="rId46" Type="http://schemas.openxmlformats.org/officeDocument/2006/relationships/header" Target="header23.xml"/><Relationship Id="rId67" Type="http://schemas.openxmlformats.org/officeDocument/2006/relationships/header" Target="header31.xml"/><Relationship Id="rId272" Type="http://schemas.openxmlformats.org/officeDocument/2006/relationships/hyperlink" Target="http://www.plantwise.org/KnowledgeBank/Home.aspx" TargetMode="External"/><Relationship Id="rId293" Type="http://schemas.openxmlformats.org/officeDocument/2006/relationships/hyperlink" Target="https://www.nass.usda.gov/Statistics_by_State/" TargetMode="External"/><Relationship Id="rId307" Type="http://schemas.openxmlformats.org/officeDocument/2006/relationships/hyperlink" Target="http://diaspididae.linnaeus.naturalis.nl/linnaeus_ng/app/views/introduction/topic.php?id=3377&amp;epi=155" TargetMode="External"/><Relationship Id="rId88" Type="http://schemas.openxmlformats.org/officeDocument/2006/relationships/header" Target="header47.xml"/><Relationship Id="rId111" Type="http://schemas.openxmlformats.org/officeDocument/2006/relationships/header" Target="header60.xml"/><Relationship Id="rId132" Type="http://schemas.openxmlformats.org/officeDocument/2006/relationships/hyperlink" Target="http://treefruit.wsu.edu/crop-protection/opm/less-common-aphids/" TargetMode="External"/><Relationship Id="rId153" Type="http://schemas.openxmlformats.org/officeDocument/2006/relationships/hyperlink" Target="http://www.cabi.org/cpc/" TargetMode="External"/><Relationship Id="rId174" Type="http://schemas.openxmlformats.org/officeDocument/2006/relationships/hyperlink" Target="http://pnwmoths.biol.wwu.edu/" TargetMode="External"/><Relationship Id="rId195" Type="http://schemas.openxmlformats.org/officeDocument/2006/relationships/hyperlink" Target="http://www.fao.org/faostat/en/" TargetMode="External"/><Relationship Id="rId209" Type="http://schemas.openxmlformats.org/officeDocument/2006/relationships/hyperlink" Target="https://nt.ars-grin.gov/fungaldatabases/" TargetMode="External"/><Relationship Id="rId220" Type="http://schemas.openxmlformats.org/officeDocument/2006/relationships/hyperlink" Target="http://www.tortricidae.com/catalogue.asp" TargetMode="External"/><Relationship Id="rId241" Type="http://schemas.openxmlformats.org/officeDocument/2006/relationships/hyperlink" Target="https://www.dpvweb.net/dpv/showdpv/?dpvno=14" TargetMode="External"/><Relationship Id="rId15" Type="http://schemas.openxmlformats.org/officeDocument/2006/relationships/hyperlink" Target="mailto:plantstakeholders@daff.gov.au" TargetMode="External"/><Relationship Id="rId36" Type="http://schemas.openxmlformats.org/officeDocument/2006/relationships/footer" Target="footer2.xml"/><Relationship Id="rId57" Type="http://schemas.openxmlformats.org/officeDocument/2006/relationships/chart" Target="charts/chart5.xml"/><Relationship Id="rId262" Type="http://schemas.openxmlformats.org/officeDocument/2006/relationships/hyperlink" Target="https://secure.sos.state.or.us/oard/viewSingleRule.action?ruleVrsnRsn=158012" TargetMode="External"/><Relationship Id="rId283" Type="http://schemas.openxmlformats.org/officeDocument/2006/relationships/hyperlink" Target="https://www.agcenter.org/progpest.html" TargetMode="External"/><Relationship Id="rId318" Type="http://schemas.openxmlformats.org/officeDocument/2006/relationships/fontTable" Target="fontTable.xml"/><Relationship Id="rId78" Type="http://schemas.openxmlformats.org/officeDocument/2006/relationships/header" Target="header41.xml"/><Relationship Id="rId99" Type="http://schemas.openxmlformats.org/officeDocument/2006/relationships/header" Target="header54.xml"/><Relationship Id="rId101" Type="http://schemas.openxmlformats.org/officeDocument/2006/relationships/footer" Target="footer6.xml"/><Relationship Id="rId122" Type="http://schemas.openxmlformats.org/officeDocument/2006/relationships/hyperlink" Target="https://s3.wp.wsu.edu/uploads/sites/408/2015/02/PLS-18-Apple-Leaf-Curling-Midge.pdf" TargetMode="External"/><Relationship Id="rId143" Type="http://schemas.openxmlformats.org/officeDocument/2006/relationships/hyperlink" Target="https://www.agriculture.gov.au/biosecurity-trade/policy/risk-analysis/plant/table-grapes-china" TargetMode="External"/><Relationship Id="rId164" Type="http://schemas.openxmlformats.org/officeDocument/2006/relationships/hyperlink" Target="https://www2.ipm.ucanr.edu/agriculture/apple/Fruittree-leafroller/" TargetMode="External"/><Relationship Id="rId185" Type="http://schemas.openxmlformats.org/officeDocument/2006/relationships/hyperlink" Target="http://www.ct.gov/caes/cwp/view.asp?a=2815&amp;q=376796" TargetMode="External"/><Relationship Id="rId9" Type="http://schemas.openxmlformats.org/officeDocument/2006/relationships/header" Target="header1.xml"/><Relationship Id="rId210" Type="http://schemas.openxmlformats.org/officeDocument/2006/relationships/hyperlink" Target="https://nt.ars-grin.gov/fungaldatabases" TargetMode="External"/><Relationship Id="rId26" Type="http://schemas.openxmlformats.org/officeDocument/2006/relationships/image" Target="media/image7.jpeg"/><Relationship Id="rId231" Type="http://schemas.openxmlformats.org/officeDocument/2006/relationships/hyperlink" Target="https://www.landcareresearch.co.nz/discover-our-research/biodiversity/plants-invertebrates-fungi-and-bacteria/invertebrate-systematics/scale-insects/factsheets/parthenolacanium-corni/" TargetMode="External"/><Relationship Id="rId252" Type="http://schemas.openxmlformats.org/officeDocument/2006/relationships/hyperlink" Target="http://www.leps.it/indexjs.htm?speciespages/graphAugur.htm" TargetMode="External"/><Relationship Id="rId273" Type="http://schemas.openxmlformats.org/officeDocument/2006/relationships/hyperlink" Target="https://pnwhandbooks.org/plantdisease/host-disease/pear-pyrus-spp-pacific-coast-pear-rust" TargetMode="External"/><Relationship Id="rId294" Type="http://schemas.openxmlformats.org/officeDocument/2006/relationships/hyperlink" Target="https://quickstats.nass.usda.gov/" TargetMode="External"/><Relationship Id="rId308" Type="http://schemas.openxmlformats.org/officeDocument/2006/relationships/hyperlink" Target="http://entomology.ifas.ufl.edu/creatures/fruit/tropical/apple_maggot_fly.htm" TargetMode="External"/><Relationship Id="rId47" Type="http://schemas.openxmlformats.org/officeDocument/2006/relationships/image" Target="media/image8.png"/><Relationship Id="rId68" Type="http://schemas.openxmlformats.org/officeDocument/2006/relationships/header" Target="header32.xml"/><Relationship Id="rId89" Type="http://schemas.openxmlformats.org/officeDocument/2006/relationships/hyperlink" Target="https://www.awe.gov.au/biosecurity-trade/import/goods/food/safety-management-certificates" TargetMode="External"/><Relationship Id="rId112" Type="http://schemas.openxmlformats.org/officeDocument/2006/relationships/header" Target="header61.xml"/><Relationship Id="rId133" Type="http://schemas.openxmlformats.org/officeDocument/2006/relationships/hyperlink" Target="http://treefruit.wsu.edu/crop-protection/opm/rose-leafhopper/" TargetMode="External"/><Relationship Id="rId154" Type="http://schemas.openxmlformats.org/officeDocument/2006/relationships/hyperlink" Target="http://www.cabi.org/cpc" TargetMode="External"/><Relationship Id="rId175" Type="http://schemas.openxmlformats.org/officeDocument/2006/relationships/hyperlink" Target="https://www.csiro.au/en/about/facilities-collections/Collections/ANIC" TargetMode="External"/><Relationship Id="rId196" Type="http://schemas.openxmlformats.org/officeDocument/2006/relationships/hyperlink" Target="https://www.ippc.int/en/core-activities/standards-setting/ispms/" TargetMode="External"/><Relationship Id="rId200" Type="http://schemas.openxmlformats.org/officeDocument/2006/relationships/hyperlink" Target="https://www.ippc.int/en/core-activities/standards-setting/ispms/" TargetMode="External"/><Relationship Id="rId16" Type="http://schemas.openxmlformats.org/officeDocument/2006/relationships/header" Target="header3.xml"/><Relationship Id="rId221" Type="http://schemas.openxmlformats.org/officeDocument/2006/relationships/hyperlink" Target="http://idtools.org/id/leps/tortai/index.html" TargetMode="External"/><Relationship Id="rId242" Type="http://schemas.openxmlformats.org/officeDocument/2006/relationships/hyperlink" Target="https://www.ukmoths.org.uk/" TargetMode="External"/><Relationship Id="rId263" Type="http://schemas.openxmlformats.org/officeDocument/2006/relationships/hyperlink" Target="https://agsci.oregonstate.edu/tree-fruits-and-nuts/apple-production-oregon" TargetMode="External"/><Relationship Id="rId284" Type="http://schemas.openxmlformats.org/officeDocument/2006/relationships/hyperlink" Target="https://ipmdata.ipmcenters.org/documents/cropprofiles/WAApples.pdf" TargetMode="External"/><Relationship Id="rId319" Type="http://schemas.openxmlformats.org/officeDocument/2006/relationships/theme" Target="theme/theme1.xml"/><Relationship Id="rId37" Type="http://schemas.openxmlformats.org/officeDocument/2006/relationships/header" Target="header17.xml"/><Relationship Id="rId58" Type="http://schemas.openxmlformats.org/officeDocument/2006/relationships/chart" Target="charts/chart6.xml"/><Relationship Id="rId79" Type="http://schemas.openxmlformats.org/officeDocument/2006/relationships/header" Target="header42.xml"/><Relationship Id="rId102" Type="http://schemas.openxmlformats.org/officeDocument/2006/relationships/header" Target="header56.xml"/><Relationship Id="rId123" Type="http://schemas.openxmlformats.org/officeDocument/2006/relationships/hyperlink" Target="http://www.apal.org.au/" TargetMode="External"/><Relationship Id="rId144" Type="http://schemas.openxmlformats.org/officeDocument/2006/relationships/hyperlink" Target="https://www.agriculture.gov.au/biosecurity-trade/policy/risk-analysis/plant/non-regulated_analysis_apples_from_new_zealand" TargetMode="External"/><Relationship Id="rId90" Type="http://schemas.openxmlformats.org/officeDocument/2006/relationships/header" Target="header48.xml"/><Relationship Id="rId165" Type="http://schemas.openxmlformats.org/officeDocument/2006/relationships/hyperlink" Target="http://www.ipm.ucdavis.edu/PMG/r4300411.html" TargetMode="External"/><Relationship Id="rId186" Type="http://schemas.openxmlformats.org/officeDocument/2006/relationships/hyperlink" Target="https://www.agric.wa.gov.au/plant-biosecurity/codling-moth-declared-pest" TargetMode="External"/><Relationship Id="rId211" Type="http://schemas.openxmlformats.org/officeDocument/2006/relationships/hyperlink" Target="https://www.ndsu.edu/ndmoths/ndmoths/photo_gallerylist.htm" TargetMode="External"/><Relationship Id="rId232" Type="http://schemas.openxmlformats.org/officeDocument/2006/relationships/hyperlink" Target="http://pnwpest.org/pnw/insects" TargetMode="External"/><Relationship Id="rId253" Type="http://schemas.openxmlformats.org/officeDocument/2006/relationships/hyperlink" Target="https://entnemdept.ufl.edu/creatures/trees/forest_tent_caterpillar.htm" TargetMode="External"/><Relationship Id="rId274" Type="http://schemas.openxmlformats.org/officeDocument/2006/relationships/hyperlink" Target="https://pnwhandbooks.org/plantdisease/host-disease/apple-malus-spp-nectria-canker-european-canker" TargetMode="External"/><Relationship Id="rId295" Type="http://schemas.openxmlformats.org/officeDocument/2006/relationships/hyperlink" Target="https://www.fas.usda.gov/sites/default/files/011609specialtycrops.pdf" TargetMode="External"/><Relationship Id="rId309" Type="http://schemas.openxmlformats.org/officeDocument/2006/relationships/hyperlink" Target="https://pnwhandbooks.org/insect/tree-fruit/field-characteristics-fruit-tree-attacking-spider-mites-pacific-northwest" TargetMode="External"/><Relationship Id="rId27" Type="http://schemas.openxmlformats.org/officeDocument/2006/relationships/header" Target="header9.xml"/><Relationship Id="rId48" Type="http://schemas.openxmlformats.org/officeDocument/2006/relationships/image" Target="media/image9.jpeg"/><Relationship Id="rId69" Type="http://schemas.openxmlformats.org/officeDocument/2006/relationships/header" Target="header33.xml"/><Relationship Id="rId113" Type="http://schemas.openxmlformats.org/officeDocument/2006/relationships/header" Target="header62.xml"/><Relationship Id="rId134" Type="http://schemas.openxmlformats.org/officeDocument/2006/relationships/hyperlink" Target="http://treefruit.wsu.edu/crop-protection/opm/apple-aphid-and-spirea-aphid/" TargetMode="External"/><Relationship Id="rId80" Type="http://schemas.openxmlformats.org/officeDocument/2006/relationships/header" Target="header43.xml"/><Relationship Id="rId155" Type="http://schemas.openxmlformats.org/officeDocument/2006/relationships/hyperlink" Target="http://www.cabi.org/cpc/" TargetMode="External"/><Relationship Id="rId176" Type="http://schemas.openxmlformats.org/officeDocument/2006/relationships/hyperlink" Target="https://www.agriculture.gov.au/biosecurity-trade/policy/risk-analysis/memos/2013/ba2013-16-final-tg-california-wa" TargetMode="External"/><Relationship Id="rId197" Type="http://schemas.openxmlformats.org/officeDocument/2006/relationships/hyperlink" Target="https://www.ippc.int/en/core-activities/standards-setting/ispms/" TargetMode="External"/><Relationship Id="rId201" Type="http://schemas.openxmlformats.org/officeDocument/2006/relationships/hyperlink" Target="https://www.ippc.int/en/core-activities/standards-setting/ispms/" TargetMode="External"/><Relationship Id="rId222" Type="http://schemas.openxmlformats.org/officeDocument/2006/relationships/hyperlink" Target="https://catalog.extension.oregonstate.edu/sites/catalog/files/project/pdf/em8877.pdf" TargetMode="External"/><Relationship Id="rId243" Type="http://schemas.openxmlformats.org/officeDocument/2006/relationships/hyperlink" Target="https://ukmoths.org.uk/" TargetMode="External"/><Relationship Id="rId264" Type="http://schemas.openxmlformats.org/officeDocument/2006/relationships/hyperlink" Target="http://www.agroatlas.ru/en/content/pests/Hedya_nubiferana/index.html" TargetMode="External"/><Relationship Id="rId285" Type="http://schemas.openxmlformats.org/officeDocument/2006/relationships/hyperlink" Target="http://ipm.ucanr.edu/PMG/GARDEN/PLANTS/INVERT/cyptipminer.html" TargetMode="External"/><Relationship Id="rId17" Type="http://schemas.openxmlformats.org/officeDocument/2006/relationships/header" Target="header4.xml"/><Relationship Id="rId38" Type="http://schemas.openxmlformats.org/officeDocument/2006/relationships/hyperlink" Target="http://www.agriculture.gov.au/biosecurity/risk-analysis/guidelines" TargetMode="External"/><Relationship Id="rId59" Type="http://schemas.openxmlformats.org/officeDocument/2006/relationships/hyperlink" Target="https://www.usclimatedata.com/" TargetMode="External"/><Relationship Id="rId103" Type="http://schemas.openxmlformats.org/officeDocument/2006/relationships/hyperlink" Target="https://www.aqsiq.net/us-apples.htm" TargetMode="External"/><Relationship Id="rId124" Type="http://schemas.openxmlformats.org/officeDocument/2006/relationships/hyperlink" Target="https://www.aphis.usda.gov/plant_health/plant_pest_info/pram/downloads/pdf_files/NPB-RWGR.pdf" TargetMode="External"/><Relationship Id="rId310" Type="http://schemas.openxmlformats.org/officeDocument/2006/relationships/hyperlink" Target="http://download.ceris.purdue.edu/file/2305" TargetMode="External"/><Relationship Id="rId70" Type="http://schemas.openxmlformats.org/officeDocument/2006/relationships/header" Target="header34.xml"/><Relationship Id="rId91" Type="http://schemas.openxmlformats.org/officeDocument/2006/relationships/header" Target="header49.xml"/><Relationship Id="rId145" Type="http://schemas.openxmlformats.org/officeDocument/2006/relationships/hyperlink" Target="https://openprairie.sdstate.edu/cgi/viewcontent.cgi?article=1006&amp;context=agexperimentsta_tb" TargetMode="External"/><Relationship Id="rId166" Type="http://schemas.openxmlformats.org/officeDocument/2006/relationships/hyperlink" Target="https://www2.ipm.ucanr.edu/agriculture/apple/" TargetMode="External"/><Relationship Id="rId187" Type="http://schemas.openxmlformats.org/officeDocument/2006/relationships/hyperlink" Target="https://d1ied5g1xfgpx8.cloudfront.net/pdfs/26133.pdf" TargetMode="External"/><Relationship Id="rId1" Type="http://schemas.openxmlformats.org/officeDocument/2006/relationships/customXml" Target="../customXml/item1.xml"/><Relationship Id="rId212" Type="http://schemas.openxmlformats.org/officeDocument/2006/relationships/hyperlink" Target="https://agsci.oregonstate.edu/sites/agscid7/files/horticulture/attachments/ec1633.pdf" TargetMode="External"/><Relationship Id="rId233" Type="http://schemas.openxmlformats.org/officeDocument/2006/relationships/hyperlink" Target="http://pnwhandbooks.org/insect" TargetMode="External"/><Relationship Id="rId254" Type="http://schemas.openxmlformats.org/officeDocument/2006/relationships/hyperlink" Target="https://pnwhandbooks.org/sites/pnwhandbooks/files/insect/chapterpdf/tree-fruit.pdf" TargetMode="External"/><Relationship Id="rId28" Type="http://schemas.openxmlformats.org/officeDocument/2006/relationships/header" Target="header10.xml"/><Relationship Id="rId49" Type="http://schemas.openxmlformats.org/officeDocument/2006/relationships/hyperlink" Target="https://www.freeworldmaps.net/united-states/washington/washington-counties-map.jpg" TargetMode="External"/><Relationship Id="rId114" Type="http://schemas.openxmlformats.org/officeDocument/2006/relationships/hyperlink" Target="http://www.ala.org.au" TargetMode="External"/><Relationship Id="rId275" Type="http://schemas.openxmlformats.org/officeDocument/2006/relationships/hyperlink" Target="https://pnwhandbooks.org/plantdisease/host-disease/apple-malus-spp-anthracnose-bulls-eye-rot" TargetMode="External"/><Relationship Id="rId296" Type="http://schemas.openxmlformats.org/officeDocument/2006/relationships/hyperlink" Target="https://www.ams.usda.gov/sites/default/files/media/Apple_Standards.pdf" TargetMode="External"/><Relationship Id="rId300" Type="http://schemas.openxmlformats.org/officeDocument/2006/relationships/hyperlink" Target="https://agr.wa.gov/getmedia/3ced49d4-768a-4eab-88f6-faa947566967/final-appleindustryguideapplemaggotquarantine" TargetMode="External"/><Relationship Id="rId60" Type="http://schemas.openxmlformats.org/officeDocument/2006/relationships/header" Target="header24.xml"/><Relationship Id="rId81" Type="http://schemas.openxmlformats.org/officeDocument/2006/relationships/footer" Target="footer4.xml"/><Relationship Id="rId135" Type="http://schemas.openxmlformats.org/officeDocument/2006/relationships/hyperlink" Target="http://treefruit.wsu.edu/crop-protection/opm/rosy-apple-aphid/?print-view=true" TargetMode="External"/><Relationship Id="rId156" Type="http://schemas.openxmlformats.org/officeDocument/2006/relationships/hyperlink" Target="http://www.cabi.org/isc" TargetMode="External"/><Relationship Id="rId177" Type="http://schemas.openxmlformats.org/officeDocument/2006/relationships/hyperlink" Target="https://www.agriculture.gov.au/biosecurity-trade/policy/risk-analysis/memos/2013/ba2013-09-drosophila-suzukii-final" TargetMode="External"/><Relationship Id="rId198" Type="http://schemas.openxmlformats.org/officeDocument/2006/relationships/hyperlink" Target="https://www.ippc.int/en/core-activities/standards-setting/ispms/" TargetMode="External"/><Relationship Id="rId202" Type="http://schemas.openxmlformats.org/officeDocument/2006/relationships/hyperlink" Target="https://www.ippc.int/en/core-activities/standards-setting/ispms/" TargetMode="External"/><Relationship Id="rId223" Type="http://schemas.openxmlformats.org/officeDocument/2006/relationships/hyperlink" Target="https://www.goodfruit.com/how-to-harvest-and-store-wa-38-cosmic-crisp-apples/" TargetMode="External"/><Relationship Id="rId244" Type="http://schemas.openxmlformats.org/officeDocument/2006/relationships/hyperlink" Target="https://extension.psu.edu/tree-fruit-insect-pest-lesser-appleworm" TargetMode="External"/><Relationship Id="rId18" Type="http://schemas.openxmlformats.org/officeDocument/2006/relationships/footer" Target="footer1.xml"/><Relationship Id="rId39" Type="http://schemas.openxmlformats.org/officeDocument/2006/relationships/hyperlink" Target="https://www.agriculture.gov.au/biosecurity-trade/policy/risk-analysis/guidelines" TargetMode="External"/><Relationship Id="rId265" Type="http://schemas.openxmlformats.org/officeDocument/2006/relationships/hyperlink" Target="http://www.agroatlas.ru/en/content/pests/Pandemis_heparana/index.html" TargetMode="External"/><Relationship Id="rId286" Type="http://schemas.openxmlformats.org/officeDocument/2006/relationships/hyperlink" Target="http://dx.doi.org/10.1603/EN10210" TargetMode="External"/><Relationship Id="rId50" Type="http://schemas.openxmlformats.org/officeDocument/2006/relationships/image" Target="media/image10.jpeg"/><Relationship Id="rId104" Type="http://schemas.openxmlformats.org/officeDocument/2006/relationships/hyperlink" Target="https://www.agric.wa.gov.au/iaquarantine/" TargetMode="External"/><Relationship Id="rId125" Type="http://schemas.openxmlformats.org/officeDocument/2006/relationships/hyperlink" Target="https://www.agriculture.gov.au/biosecurity-trade/policy/risk-analysis/plant/fujiapple-japan" TargetMode="External"/><Relationship Id="rId146" Type="http://schemas.openxmlformats.org/officeDocument/2006/relationships/hyperlink" Target="http://treefruit.wsu.edu/crop-protection/opm/am-control_waapple-growers/" TargetMode="External"/><Relationship Id="rId167" Type="http://schemas.openxmlformats.org/officeDocument/2006/relationships/hyperlink" Target="http://aggie-horticulture.tamu.edu/citrus/l2310.htm" TargetMode="External"/><Relationship Id="rId188" Type="http://schemas.openxmlformats.org/officeDocument/2006/relationships/hyperlink" Target="http://treefruit.wsu.edu/crop-protection/disease-management/fire-blight/?print-view=true" TargetMode="External"/><Relationship Id="rId311" Type="http://schemas.openxmlformats.org/officeDocument/2006/relationships/hyperlink" Target="http://cpg.treefruit.wsu.edu/apple-programs/overview/" TargetMode="External"/><Relationship Id="rId71" Type="http://schemas.openxmlformats.org/officeDocument/2006/relationships/header" Target="header35.xml"/><Relationship Id="rId92" Type="http://schemas.openxmlformats.org/officeDocument/2006/relationships/header" Target="header50.xml"/><Relationship Id="rId213" Type="http://schemas.openxmlformats.org/officeDocument/2006/relationships/hyperlink" Target="https://www.gladescropcare.com/thrips/wfthp.html" TargetMode="External"/><Relationship Id="rId234" Type="http://schemas.openxmlformats.org/officeDocument/2006/relationships/hyperlink" Target="http://treefruit.wsu.edu/crop-protection/opm/fruitworms/" TargetMode="External"/><Relationship Id="rId2" Type="http://schemas.openxmlformats.org/officeDocument/2006/relationships/numbering" Target="numbering.xml"/><Relationship Id="rId29" Type="http://schemas.openxmlformats.org/officeDocument/2006/relationships/header" Target="header11.xml"/><Relationship Id="rId255" Type="http://schemas.openxmlformats.org/officeDocument/2006/relationships/hyperlink" Target="http://www.meristem.com/ipm/ipm02_03.html" TargetMode="External"/><Relationship Id="rId276" Type="http://schemas.openxmlformats.org/officeDocument/2006/relationships/hyperlink" Target="https://pnwhandbooks.org/insect/tree-fruit/apple/apple-apple-maggot" TargetMode="External"/><Relationship Id="rId297" Type="http://schemas.openxmlformats.org/officeDocument/2006/relationships/hyperlink" Target="https://apps.fas.usda.gov/psdonline/circulars/fruit.pdf" TargetMode="External"/><Relationship Id="rId40" Type="http://schemas.openxmlformats.org/officeDocument/2006/relationships/hyperlink" Target="https://bicon.agriculture.gov.au/BiconWeb4.0" TargetMode="External"/><Relationship Id="rId115" Type="http://schemas.openxmlformats.org/officeDocument/2006/relationships/hyperlink" Target="http://www.ala.org.au" TargetMode="External"/><Relationship Id="rId136" Type="http://schemas.openxmlformats.org/officeDocument/2006/relationships/hyperlink" Target="https://www.ippc.int/static/media/files/publication/en/2015/09/13_EWG_ISPM6_2015_Sept_EFSA_PERSEUS_Appendix_C_to_the_Final_report.pdf" TargetMode="External"/><Relationship Id="rId157" Type="http://schemas.openxmlformats.org/officeDocument/2006/relationships/hyperlink" Target="http://www.cabi.org/cpc/" TargetMode="External"/><Relationship Id="rId178" Type="http://schemas.openxmlformats.org/officeDocument/2006/relationships/hyperlink" Target="https://www.agriculture.gov.au/biosecurity-trade/policy/risk-analysis/group-pest-risk-analyses/scales" TargetMode="External"/><Relationship Id="rId301" Type="http://schemas.openxmlformats.org/officeDocument/2006/relationships/hyperlink" Target="https://apps.leg.wa.gov/wac/default.aspx?cite=16-470" TargetMode="External"/><Relationship Id="rId61" Type="http://schemas.openxmlformats.org/officeDocument/2006/relationships/header" Target="header25.xml"/><Relationship Id="rId82" Type="http://schemas.openxmlformats.org/officeDocument/2006/relationships/header" Target="header44.xml"/><Relationship Id="rId199" Type="http://schemas.openxmlformats.org/officeDocument/2006/relationships/hyperlink" Target="https://www.ippc.int/en/core-activities/standards-setting/ispms/" TargetMode="External"/><Relationship Id="rId203" Type="http://schemas.openxmlformats.org/officeDocument/2006/relationships/hyperlink" Target="https://www.ippc.int/en/core-activities/standards-setting/ispms/" TargetMode="External"/><Relationship Id="rId19" Type="http://schemas.openxmlformats.org/officeDocument/2006/relationships/header" Target="header5.xml"/><Relationship Id="rId224" Type="http://schemas.openxmlformats.org/officeDocument/2006/relationships/hyperlink" Target="https://www.agric.wa.gov.au/bam/western-australian-organism-list-waol" TargetMode="External"/><Relationship Id="rId245" Type="http://schemas.openxmlformats.org/officeDocument/2006/relationships/hyperlink" Target="http://treefruit.wsu.edu/crop-protection/opm/stink-bugs/" TargetMode="External"/><Relationship Id="rId266" Type="http://schemas.openxmlformats.org/officeDocument/2006/relationships/hyperlink" Target="http://www.agroatlas.ru/en/content/pests/Argyresthia_conjugella/index.html" TargetMode="External"/><Relationship Id="rId287" Type="http://schemas.openxmlformats.org/officeDocument/2006/relationships/hyperlink" Target="https://ucanr.edu/sites/sjcoeh/files/77086.pdf" TargetMode="External"/><Relationship Id="rId30" Type="http://schemas.openxmlformats.org/officeDocument/2006/relationships/header" Target="header12.xml"/><Relationship Id="rId105" Type="http://schemas.openxmlformats.org/officeDocument/2006/relationships/hyperlink" Target="https://www.agriculture.gov.au/import/arrival/pests/brown-marmorated-stink-bugs-factsheet" TargetMode="External"/><Relationship Id="rId126" Type="http://schemas.openxmlformats.org/officeDocument/2006/relationships/hyperlink" Target="https://www.agriculture.gov.au/biosecurity-trade/policy/risk-analysis/plant/yapear-china" TargetMode="External"/><Relationship Id="rId147" Type="http://schemas.openxmlformats.org/officeDocument/2006/relationships/hyperlink" Target="http://treefruit.wsu.edu/crop-protection/opm/codling-moth/" TargetMode="External"/><Relationship Id="rId168" Type="http://schemas.openxmlformats.org/officeDocument/2006/relationships/hyperlink" Target="https://www.aphis.usda.gov/plant_health/plant_pest_info/pram/downloads/pdf_files/pra-cphst-08.pdf" TargetMode="External"/><Relationship Id="rId312" Type="http://schemas.openxmlformats.org/officeDocument/2006/relationships/hyperlink" Target="http://treefruit.wsu.edu/web-article/shipping/" TargetMode="External"/><Relationship Id="rId51" Type="http://schemas.openxmlformats.org/officeDocument/2006/relationships/image" Target="media/image11.jpeg"/><Relationship Id="rId72" Type="http://schemas.openxmlformats.org/officeDocument/2006/relationships/header" Target="header36.xml"/><Relationship Id="rId93" Type="http://schemas.openxmlformats.org/officeDocument/2006/relationships/hyperlink" Target="file:///P:\Plant%20Horticulture\Imports\United%20States\Apples\Draft%20report\Stakeholder\Stakeholder%20submissions\Paragraph%20on%20Existing%20policy%20adoption.docx" TargetMode="External"/><Relationship Id="rId189" Type="http://schemas.openxmlformats.org/officeDocument/2006/relationships/hyperlink" Target="http://treefruit.wsu.edu/crop-protection/disease-management/fire-blight/cougar-blight-model/" TargetMode="External"/><Relationship Id="rId3" Type="http://schemas.openxmlformats.org/officeDocument/2006/relationships/styles" Target="styles.xml"/><Relationship Id="rId214" Type="http://schemas.openxmlformats.org/officeDocument/2006/relationships/hyperlink" Target="https://www.gladescropcare.com/thrips/fthrp.html" TargetMode="External"/><Relationship Id="rId235" Type="http://schemas.openxmlformats.org/officeDocument/2006/relationships/hyperlink" Target="http://treefruit.wsu.edu/crop-protection/opm/spider-mites" TargetMode="External"/><Relationship Id="rId256" Type="http://schemas.openxmlformats.org/officeDocument/2006/relationships/hyperlink" Target="https://www2.gov.bc.ca/assets/gov/farming-natural-resources-and-industry/agriculture-and-seafood/animal-and-crops/plant-health/phu-apple-leafcurling-midge.pdf" TargetMode="External"/><Relationship Id="rId277" Type="http://schemas.openxmlformats.org/officeDocument/2006/relationships/hyperlink" Target="https://pnwhandbooks.org/plantdisease/host-disease/crabapple-malus-spp-twig-dieback-canker" TargetMode="External"/><Relationship Id="rId298" Type="http://schemas.openxmlformats.org/officeDocument/2006/relationships/hyperlink" Target="https://doi.org/10.1016/j.cropro.2019.104994" TargetMode="External"/><Relationship Id="rId116" Type="http://schemas.openxmlformats.org/officeDocument/2006/relationships/hyperlink" Target="http://www.ala.org.au" TargetMode="External"/><Relationship Id="rId137" Type="http://schemas.openxmlformats.org/officeDocument/2006/relationships/hyperlink" Target="http://www.ipm.ucdavis.edu/PDF/PMG/pmgnectarine.pdf" TargetMode="External"/><Relationship Id="rId158" Type="http://schemas.openxmlformats.org/officeDocument/2006/relationships/hyperlink" Target="http://www.cabi.org/cpc/" TargetMode="External"/><Relationship Id="rId302" Type="http://schemas.openxmlformats.org/officeDocument/2006/relationships/hyperlink" Target="https://app.leg.wa.gov/wac/default.aspx?cite=16-470-101" TargetMode="External"/><Relationship Id="rId20" Type="http://schemas.openxmlformats.org/officeDocument/2006/relationships/image" Target="media/image4.png"/><Relationship Id="rId41" Type="http://schemas.openxmlformats.org/officeDocument/2006/relationships/header" Target="header18.xml"/><Relationship Id="rId62" Type="http://schemas.openxmlformats.org/officeDocument/2006/relationships/header" Target="header26.xml"/><Relationship Id="rId83" Type="http://schemas.openxmlformats.org/officeDocument/2006/relationships/image" Target="media/image13.emf"/><Relationship Id="rId179" Type="http://schemas.openxmlformats.org/officeDocument/2006/relationships/hyperlink" Target="https://www.agriculture.gov.au/biosecurity-trade/policy/risk-analysis/plant/nectarines-from-china" TargetMode="External"/><Relationship Id="rId190" Type="http://schemas.openxmlformats.org/officeDocument/2006/relationships/hyperlink" Target="https://doi.org/10.1094/PDIS-05-14-0462-PDN" TargetMode="External"/><Relationship Id="rId204" Type="http://schemas.openxmlformats.org/officeDocument/2006/relationships/hyperlink" Target="https://nt.ars-grin.gov/fungaldatabases/" TargetMode="External"/><Relationship Id="rId225" Type="http://schemas.openxmlformats.org/officeDocument/2006/relationships/hyperlink" Target="https://www.agric.wa.gov.au/bam/western-australian-organism-list-waol" TargetMode="External"/><Relationship Id="rId246" Type="http://schemas.openxmlformats.org/officeDocument/2006/relationships/hyperlink" Target="http://www.whatcom.wsu.edu/pestsurvey/2002%20Archips%20podana%20Host%20Survey%20Report.pdf" TargetMode="External"/><Relationship Id="rId267" Type="http://schemas.openxmlformats.org/officeDocument/2006/relationships/hyperlink" Target="https://www.wto.org/english/tratop_e/dispu_e/cases_e/ds367_e.htm" TargetMode="External"/><Relationship Id="rId288" Type="http://schemas.openxmlformats.org/officeDocument/2006/relationships/hyperlink" Target="http://keys.lucidcentral.org" TargetMode="External"/><Relationship Id="rId106" Type="http://schemas.openxmlformats.org/officeDocument/2006/relationships/header" Target="header57.xml"/><Relationship Id="rId127" Type="http://schemas.openxmlformats.org/officeDocument/2006/relationships/hyperlink" Target="https://www.abs.gov.au/AUSSTATS/abs@.nsf/Lookup/7503.0Main+Features12016-17?OpenDocument" TargetMode="External"/><Relationship Id="rId313" Type="http://schemas.openxmlformats.org/officeDocument/2006/relationships/hyperlink" Target="https://www.wto.org/english/docs_e/legal_e/15-sps.pdf" TargetMode="External"/><Relationship Id="rId10" Type="http://schemas.openxmlformats.org/officeDocument/2006/relationships/header" Target="header2.xml"/><Relationship Id="rId31" Type="http://schemas.openxmlformats.org/officeDocument/2006/relationships/header" Target="header13.xml"/><Relationship Id="rId52" Type="http://schemas.openxmlformats.org/officeDocument/2006/relationships/image" Target="media/image12.jpeg"/><Relationship Id="rId73" Type="http://schemas.openxmlformats.org/officeDocument/2006/relationships/header" Target="header37.xml"/><Relationship Id="rId94" Type="http://schemas.openxmlformats.org/officeDocument/2006/relationships/hyperlink" Target="http://www.ncbi.nlm.nih.gov/ICTVdb/ICTVdB/00.111.0.01.htm" TargetMode="External"/><Relationship Id="rId148" Type="http://schemas.openxmlformats.org/officeDocument/2006/relationships/hyperlink" Target="http://treefruit.wsu.edu/crop-protection/opm/leafrollers/?print-view=true" TargetMode="External"/><Relationship Id="rId169" Type="http://schemas.openxmlformats.org/officeDocument/2006/relationships/hyperlink" Target="https://blogs.cdfa.ca.gov/Section3162/?p=618" TargetMode="External"/><Relationship Id="rId4" Type="http://schemas.openxmlformats.org/officeDocument/2006/relationships/settings" Target="settings.xml"/><Relationship Id="rId180" Type="http://schemas.openxmlformats.org/officeDocument/2006/relationships/hyperlink" Target="https://www.agriculture.gov.au/biosecurity-trade/policy/risk-analysis/memos/ba2016-25" TargetMode="External"/><Relationship Id="rId215" Type="http://schemas.openxmlformats.org/officeDocument/2006/relationships/hyperlink" Target="https://www.foodstandards.gov.au/publications/pages/applerisk/fsanzriskassessmento5163.aspx" TargetMode="External"/><Relationship Id="rId236" Type="http://schemas.openxmlformats.org/officeDocument/2006/relationships/hyperlink" Target="https://hort.extension.wisc.edu/articles/cedar-apple-rust/" TargetMode="External"/><Relationship Id="rId257" Type="http://schemas.openxmlformats.org/officeDocument/2006/relationships/hyperlink" Target="https://www2.gov.bc.ca/assets/gov/farming-natural-resources-and-industry/agriculture-and-seafood/animal-and-crops/plant-health/phu-apple-curculio2.pdf" TargetMode="External"/><Relationship Id="rId278" Type="http://schemas.openxmlformats.org/officeDocument/2006/relationships/hyperlink" Target="https://extension.usu.edu/pests/ipm/images/ezplug/uploads/pdfdocs/factsheet-pdf/apple-aphid97.pdf" TargetMode="External"/><Relationship Id="rId303" Type="http://schemas.openxmlformats.org/officeDocument/2006/relationships/hyperlink" Target="http://treefruit.wsu.edu/crop-protection/disease-management/phacidiopycnis-rot/" TargetMode="External"/><Relationship Id="rId42" Type="http://schemas.openxmlformats.org/officeDocument/2006/relationships/header" Target="header19.xml"/><Relationship Id="rId84" Type="http://schemas.openxmlformats.org/officeDocument/2006/relationships/hyperlink" Target="https://www.foodstandards.gov.au/code/Pages/default.aspx" TargetMode="External"/><Relationship Id="rId138" Type="http://schemas.openxmlformats.org/officeDocument/2006/relationships/hyperlink" Target="https://www.agriculture.gov.au/biosecurity-trade/policy/risk-analysis/plant/pears-china" TargetMode="External"/><Relationship Id="rId191" Type="http://schemas.openxmlformats.org/officeDocument/2006/relationships/hyperlink" Target="https://gd.eppo.int/" TargetMode="External"/><Relationship Id="rId205" Type="http://schemas.openxmlformats.org/officeDocument/2006/relationships/hyperlink" Target="https://nt.ars-grin.gov/fungaldatabases/" TargetMode="External"/><Relationship Id="rId247" Type="http://schemas.openxmlformats.org/officeDocument/2006/relationships/hyperlink" Target="https://www.gov.mb.ca/agriculture/crops/insects/print,apple-curculio.html" TargetMode="External"/><Relationship Id="rId107" Type="http://schemas.openxmlformats.org/officeDocument/2006/relationships/header" Target="header58.xml"/><Relationship Id="rId289" Type="http://schemas.openxmlformats.org/officeDocument/2006/relationships/hyperlink" Target="http://ipm.ucanr.edu/PDF/PMG/pmgapple.pdf" TargetMode="External"/><Relationship Id="rId11" Type="http://schemas.openxmlformats.org/officeDocument/2006/relationships/hyperlink" Target="https://creativecommons.org/licenses/by/4.0/legalcode" TargetMode="External"/><Relationship Id="rId53" Type="http://schemas.openxmlformats.org/officeDocument/2006/relationships/chart" Target="charts/chart1.xml"/><Relationship Id="rId149" Type="http://schemas.openxmlformats.org/officeDocument/2006/relationships/hyperlink" Target="https://bugguide.net/node/view/15740" TargetMode="External"/><Relationship Id="rId314" Type="http://schemas.openxmlformats.org/officeDocument/2006/relationships/hyperlink" Target="https://docs.wto.org/dol2fe/Pages/FE_Search/FE_S_S006.aspx?Query=(@Symbol=%20wt/ds367/*)&amp;Language=ENGLISH&amp;Context=FomerScriptedSearch&amp;languageUIChanged=true" TargetMode="External"/><Relationship Id="rId95" Type="http://schemas.openxmlformats.org/officeDocument/2006/relationships/header" Target="header51.xml"/><Relationship Id="rId160" Type="http://schemas.openxmlformats.org/officeDocument/2006/relationships/hyperlink" Target="https://www2.ipm.ucanr.edu/agriculture/apple/Webspinning-spider-mites/" TargetMode="External"/><Relationship Id="rId216" Type="http://schemas.openxmlformats.org/officeDocument/2006/relationships/hyperlink" Target="https://entnemdept.ufl.edu/creatures/bfly/moth2/cecropia_moth.htm" TargetMode="External"/><Relationship Id="rId258" Type="http://schemas.openxmlformats.org/officeDocument/2006/relationships/hyperlink" Target="https://search.museums.ualberta.ca/g/2-4693" TargetMode="External"/><Relationship Id="rId22" Type="http://schemas.openxmlformats.org/officeDocument/2006/relationships/image" Target="media/image6.png"/><Relationship Id="rId64" Type="http://schemas.openxmlformats.org/officeDocument/2006/relationships/header" Target="header28.xml"/><Relationship Id="rId118" Type="http://schemas.openxmlformats.org/officeDocument/2006/relationships/hyperlink" Target="http://treefruit.wsu.edu/article/the-importance-of-room-and-bin-sanitation-to-reduce-postharvest-decay/" TargetMode="External"/><Relationship Id="rId171" Type="http://schemas.openxmlformats.org/officeDocument/2006/relationships/hyperlink" Target="http://www.ipm.ucdavis.edu/PDF/PMG/pmgapricot.pdf" TargetMode="External"/><Relationship Id="rId227" Type="http://schemas.openxmlformats.org/officeDocument/2006/relationships/hyperlink" Target="https://www.agric.wa.gov.au/bam/western-australian-organism-list-waol" TargetMode="External"/><Relationship Id="rId269" Type="http://schemas.openxmlformats.org/officeDocument/2006/relationships/hyperlink" Target="http://www.ipm.ucdavis.edu/PDF/PMG/pmgavocado.pdf" TargetMode="External"/><Relationship Id="rId33" Type="http://schemas.openxmlformats.org/officeDocument/2006/relationships/hyperlink" Target="https://bicon.agriculture.gov.au/BiconWeb4.0" TargetMode="External"/><Relationship Id="rId129" Type="http://schemas.openxmlformats.org/officeDocument/2006/relationships/hyperlink" Target="http://treefruit.wsu.edu/crop-protection/opm/apple-mealybug/" TargetMode="External"/><Relationship Id="rId280" Type="http://schemas.openxmlformats.org/officeDocument/2006/relationships/hyperlink" Target="https://pnwhandbooks.org/insect/crop-pests?combine=apple" TargetMode="External"/><Relationship Id="rId75" Type="http://schemas.openxmlformats.org/officeDocument/2006/relationships/header" Target="header39.xml"/><Relationship Id="rId140" Type="http://schemas.openxmlformats.org/officeDocument/2006/relationships/hyperlink" Target="https://www.agriculture.gov.au/biosecurity-trade/policy/risk-analysis/plant/stonefruit-nztowa" TargetMode="External"/><Relationship Id="rId182" Type="http://schemas.openxmlformats.org/officeDocument/2006/relationships/hyperlink" Target="https://www.agriculture.gov.au/biosecurity-trade/policy/risk-analysis/group-pest-risk-analyses/mealybugs/final-report" TargetMode="External"/><Relationship Id="rId6" Type="http://schemas.openxmlformats.org/officeDocument/2006/relationships/footnotes" Target="footnotes.xml"/><Relationship Id="rId238" Type="http://schemas.openxmlformats.org/officeDocument/2006/relationships/hyperlink" Target="https://store.extension.iastate.edu/Product/4409" TargetMode="External"/><Relationship Id="rId291" Type="http://schemas.openxmlformats.org/officeDocument/2006/relationships/hyperlink" Target="https://extension.umaine.edu/fruit/harvest-and-storage-of-tree-fruits/cold-storage-conditions/" TargetMode="External"/><Relationship Id="rId305" Type="http://schemas.openxmlformats.org/officeDocument/2006/relationships/hyperlink" Target="http://treefruit.wsu.edu/orchard-management/organic-production/" TargetMode="External"/><Relationship Id="rId44" Type="http://schemas.openxmlformats.org/officeDocument/2006/relationships/header" Target="header21.xml"/><Relationship Id="rId86" Type="http://schemas.openxmlformats.org/officeDocument/2006/relationships/header" Target="header45.xml"/><Relationship Id="rId151" Type="http://schemas.openxmlformats.org/officeDocument/2006/relationships/hyperlink" Target="http://treefruit.wsu.edu/crop-protection/opm/grape-mealybug" TargetMode="External"/><Relationship Id="rId193" Type="http://schemas.openxmlformats.org/officeDocument/2006/relationships/hyperlink" Target="https://gd.eppo.int" TargetMode="External"/><Relationship Id="rId207" Type="http://schemas.openxmlformats.org/officeDocument/2006/relationships/hyperlink" Target="https://nt.ars-grin.gov/fungaldatabases/" TargetMode="External"/><Relationship Id="rId249" Type="http://schemas.openxmlformats.org/officeDocument/2006/relationships/hyperlink" Target="https://portal.ct.gov/CAES/Fact-Sheets/Entomology/Green-Pu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Act001cl04fs07\biosecuritydata$\Plant%20Horticulture\Imports\United%20States\Apples\USA\IRA\Final%20drafts%20-%20March-2018-DO%20NOT%20TOUCH\Draft%20report%202018\Final%20draft\weather%20data%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ct001cl04fs07\biosecuritydata$\Plant%20Horticulture\Imports\United%20States\Apples\USA\IRA\Final%20drafts%20-%20March-2018-DO%20NOT%20TOUCH\Draft%20report%202018\Final%20draft\weather%20data%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ct001cl04fs07\biosecuritydata$\Plant%20Horticulture\Imports\United%20States\Apples\USA\IRA\Final%20drafts%20-%20March-2018-DO%20NOT%20TOUCH\Draft%20report%202018\Final%20draft\weather%20data%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ct001cl04fs07\biosecuritydata$\Plant%20Horticulture\Imports\United%20States\Apples\USA\IRA\Final%20drafts%20-%20March-2018-DO%20NOT%20TOUCH\Draft%20report%202018\Final%20draft\weather%20data%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ct001cl04fs07\biosecuritydata$\Plant%20Horticulture\Imports\United%20States\Apples\USA\IRA\Final%20drafts%20-%20March-2018-DO%20NOT%20TOUCH\Draft%20report%202018\Final%20draft\Tash\weather%20data%2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Act001cl04fs07\biosecuritydata$\Plant%20Horticulture\Imports\United%20States\Apples\USA\IRA\Final%20drafts%20-%20March-2018-DO%20NOT%20TOUCH\Draft%20report%202018\Final%20draft\Tash\weather%20data%20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solidFill>
                  <a:schemeClr val="tx1"/>
                </a:solidFill>
              </a:rPr>
              <a:t>Yakima (WA)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Mean maximum temperature</c:v>
                </c:pt>
              </c:strCache>
            </c:strRef>
          </c:tx>
          <c:spPr>
            <a:ln w="28575" cap="rnd">
              <a:solidFill>
                <a:srgbClr val="C00000"/>
              </a:solidFill>
              <a:round/>
            </a:ln>
            <a:effectLst/>
          </c:spPr>
          <c:marker>
            <c:symbol val="diamond"/>
            <c:size val="7"/>
            <c:spPr>
              <a:solidFill>
                <a:srgbClr val="C00000"/>
              </a:solidFill>
              <a:ln w="9525">
                <a:noFill/>
              </a:ln>
              <a:effectLst/>
            </c:spPr>
          </c:marker>
          <c:cat>
            <c:strRef>
              <c:f>Sheet1!$A$2:$A$13</c:f>
              <c:strCache>
                <c:ptCount val="11"/>
                <c:pt idx="0">
                  <c:v>Jan</c:v>
                </c:pt>
                <c:pt idx="2">
                  <c:v>Mar</c:v>
                </c:pt>
                <c:pt idx="4">
                  <c:v>May</c:v>
                </c:pt>
                <c:pt idx="6">
                  <c:v>Jul</c:v>
                </c:pt>
                <c:pt idx="8">
                  <c:v>Sep</c:v>
                </c:pt>
                <c:pt idx="10">
                  <c:v>Nov</c:v>
                </c:pt>
              </c:strCache>
            </c:strRef>
          </c:cat>
          <c:val>
            <c:numRef>
              <c:f>Sheet1!$B$2:$B$13</c:f>
              <c:numCache>
                <c:formatCode>General</c:formatCode>
                <c:ptCount val="12"/>
                <c:pt idx="0">
                  <c:v>3.7</c:v>
                </c:pt>
                <c:pt idx="1">
                  <c:v>7.9</c:v>
                </c:pt>
                <c:pt idx="2">
                  <c:v>13.4</c:v>
                </c:pt>
                <c:pt idx="3">
                  <c:v>17.7</c:v>
                </c:pt>
                <c:pt idx="4">
                  <c:v>22.4</c:v>
                </c:pt>
                <c:pt idx="5">
                  <c:v>26.4</c:v>
                </c:pt>
                <c:pt idx="6">
                  <c:v>31.1</c:v>
                </c:pt>
                <c:pt idx="7">
                  <c:v>30.4</c:v>
                </c:pt>
                <c:pt idx="8">
                  <c:v>25.6</c:v>
                </c:pt>
                <c:pt idx="9">
                  <c:v>17.7</c:v>
                </c:pt>
                <c:pt idx="10">
                  <c:v>8.8000000000000007</c:v>
                </c:pt>
                <c:pt idx="11">
                  <c:v>2.1</c:v>
                </c:pt>
              </c:numCache>
            </c:numRef>
          </c:val>
          <c:smooth val="0"/>
          <c:extLst>
            <c:ext xmlns:c16="http://schemas.microsoft.com/office/drawing/2014/chart" uri="{C3380CC4-5D6E-409C-BE32-E72D297353CC}">
              <c16:uniqueId val="{00000000-5FB0-4BDC-A73F-CA55680D49DE}"/>
            </c:ext>
          </c:extLst>
        </c:ser>
        <c:ser>
          <c:idx val="1"/>
          <c:order val="1"/>
          <c:tx>
            <c:strRef>
              <c:f>Sheet1!$C$1</c:f>
              <c:strCache>
                <c:ptCount val="1"/>
                <c:pt idx="0">
                  <c:v>Mean minimum temperature</c:v>
                </c:pt>
              </c:strCache>
            </c:strRef>
          </c:tx>
          <c:spPr>
            <a:ln w="28575" cap="sq">
              <a:solidFill>
                <a:srgbClr val="0070C0"/>
              </a:solidFill>
              <a:round/>
            </a:ln>
            <a:effectLst/>
          </c:spPr>
          <c:marker>
            <c:symbol val="square"/>
            <c:size val="4"/>
            <c:spPr>
              <a:solidFill>
                <a:srgbClr val="0070C0"/>
              </a:solidFill>
              <a:ln w="9525">
                <a:noFill/>
                <a:bevel/>
              </a:ln>
              <a:effectLst/>
            </c:spPr>
          </c:marker>
          <c:cat>
            <c:strRef>
              <c:f>Sheet1!$A$2:$A$13</c:f>
              <c:strCache>
                <c:ptCount val="11"/>
                <c:pt idx="0">
                  <c:v>Jan</c:v>
                </c:pt>
                <c:pt idx="2">
                  <c:v>Mar</c:v>
                </c:pt>
                <c:pt idx="4">
                  <c:v>May</c:v>
                </c:pt>
                <c:pt idx="6">
                  <c:v>Jul</c:v>
                </c:pt>
                <c:pt idx="8">
                  <c:v>Sep</c:v>
                </c:pt>
                <c:pt idx="10">
                  <c:v>Nov</c:v>
                </c:pt>
              </c:strCache>
            </c:strRef>
          </c:cat>
          <c:val>
            <c:numRef>
              <c:f>Sheet1!$C$2:$C$13</c:f>
              <c:numCache>
                <c:formatCode>General</c:formatCode>
                <c:ptCount val="12"/>
                <c:pt idx="0">
                  <c:v>-4.8</c:v>
                </c:pt>
                <c:pt idx="1">
                  <c:v>-3.4</c:v>
                </c:pt>
                <c:pt idx="2">
                  <c:v>-1.1000000000000001</c:v>
                </c:pt>
                <c:pt idx="3">
                  <c:v>1.3</c:v>
                </c:pt>
                <c:pt idx="4">
                  <c:v>5.5</c:v>
                </c:pt>
                <c:pt idx="5">
                  <c:v>9.1</c:v>
                </c:pt>
                <c:pt idx="6">
                  <c:v>11.8</c:v>
                </c:pt>
                <c:pt idx="7">
                  <c:v>11</c:v>
                </c:pt>
                <c:pt idx="8">
                  <c:v>6.4</c:v>
                </c:pt>
                <c:pt idx="9">
                  <c:v>1.2</c:v>
                </c:pt>
                <c:pt idx="10">
                  <c:v>-2.9</c:v>
                </c:pt>
                <c:pt idx="11">
                  <c:v>-5.9</c:v>
                </c:pt>
              </c:numCache>
            </c:numRef>
          </c:val>
          <c:smooth val="0"/>
          <c:extLst>
            <c:ext xmlns:c16="http://schemas.microsoft.com/office/drawing/2014/chart" uri="{C3380CC4-5D6E-409C-BE32-E72D297353CC}">
              <c16:uniqueId val="{00000001-5FB0-4BDC-A73F-CA55680D49DE}"/>
            </c:ext>
          </c:extLst>
        </c:ser>
        <c:dLbls>
          <c:showLegendKey val="0"/>
          <c:showVal val="0"/>
          <c:showCatName val="0"/>
          <c:showSerName val="0"/>
          <c:showPercent val="0"/>
          <c:showBubbleSize val="0"/>
        </c:dLbls>
        <c:marker val="1"/>
        <c:smooth val="0"/>
        <c:axId val="821485000"/>
        <c:axId val="821482648"/>
      </c:lineChart>
      <c:lineChart>
        <c:grouping val="standard"/>
        <c:varyColors val="0"/>
        <c:ser>
          <c:idx val="2"/>
          <c:order val="2"/>
          <c:tx>
            <c:strRef>
              <c:f>Sheet1!$D$1</c:f>
              <c:strCache>
                <c:ptCount val="1"/>
                <c:pt idx="0">
                  <c:v>Mean precipitation</c:v>
                </c:pt>
              </c:strCache>
            </c:strRef>
          </c:tx>
          <c:spPr>
            <a:ln w="28575" cap="sq">
              <a:solidFill>
                <a:srgbClr val="92D050"/>
              </a:solidFill>
              <a:bevel/>
              <a:tailEnd w="med" len="med"/>
            </a:ln>
            <a:effectLst/>
          </c:spPr>
          <c:marker>
            <c:symbol val="triangle"/>
            <c:size val="7"/>
            <c:spPr>
              <a:solidFill>
                <a:srgbClr val="92D050"/>
              </a:solidFill>
              <a:ln w="9525" cap="sq">
                <a:solidFill>
                  <a:srgbClr val="92D050"/>
                </a:solidFill>
                <a:prstDash val="solid"/>
                <a:bevel/>
                <a:headEnd type="none"/>
              </a:ln>
              <a:effectLst/>
            </c:spPr>
          </c:marker>
          <c:cat>
            <c:strRef>
              <c:f>Sheet1!$A$2:$A$13</c:f>
              <c:strCache>
                <c:ptCount val="11"/>
                <c:pt idx="0">
                  <c:v>Jan</c:v>
                </c:pt>
                <c:pt idx="2">
                  <c:v>Mar</c:v>
                </c:pt>
                <c:pt idx="4">
                  <c:v>May</c:v>
                </c:pt>
                <c:pt idx="6">
                  <c:v>Jul</c:v>
                </c:pt>
                <c:pt idx="8">
                  <c:v>Sep</c:v>
                </c:pt>
                <c:pt idx="10">
                  <c:v>Nov</c:v>
                </c:pt>
              </c:strCache>
            </c:strRef>
          </c:cat>
          <c:val>
            <c:numRef>
              <c:f>Sheet1!$D$2:$D$13</c:f>
              <c:numCache>
                <c:formatCode>General</c:formatCode>
                <c:ptCount val="12"/>
                <c:pt idx="0">
                  <c:v>29</c:v>
                </c:pt>
                <c:pt idx="1">
                  <c:v>20</c:v>
                </c:pt>
                <c:pt idx="2">
                  <c:v>16</c:v>
                </c:pt>
                <c:pt idx="3">
                  <c:v>14</c:v>
                </c:pt>
                <c:pt idx="4">
                  <c:v>15</c:v>
                </c:pt>
                <c:pt idx="5">
                  <c:v>16</c:v>
                </c:pt>
                <c:pt idx="6">
                  <c:v>6</c:v>
                </c:pt>
                <c:pt idx="7">
                  <c:v>7</c:v>
                </c:pt>
                <c:pt idx="8">
                  <c:v>9</c:v>
                </c:pt>
                <c:pt idx="9">
                  <c:v>14</c:v>
                </c:pt>
                <c:pt idx="10">
                  <c:v>27</c:v>
                </c:pt>
                <c:pt idx="11">
                  <c:v>39</c:v>
                </c:pt>
              </c:numCache>
            </c:numRef>
          </c:val>
          <c:smooth val="0"/>
          <c:extLst>
            <c:ext xmlns:c16="http://schemas.microsoft.com/office/drawing/2014/chart" uri="{C3380CC4-5D6E-409C-BE32-E72D297353CC}">
              <c16:uniqueId val="{00000002-5FB0-4BDC-A73F-CA55680D49DE}"/>
            </c:ext>
          </c:extLst>
        </c:ser>
        <c:dLbls>
          <c:showLegendKey val="0"/>
          <c:showVal val="0"/>
          <c:showCatName val="0"/>
          <c:showSerName val="0"/>
          <c:showPercent val="0"/>
          <c:showBubbleSize val="0"/>
        </c:dLbls>
        <c:marker val="1"/>
        <c:smooth val="0"/>
        <c:axId val="821485392"/>
        <c:axId val="821484216"/>
      </c:lineChart>
      <c:catAx>
        <c:axId val="821485000"/>
        <c:scaling>
          <c:orientation val="minMax"/>
        </c:scaling>
        <c:delete val="0"/>
        <c:axPos val="b"/>
        <c:title>
          <c:tx>
            <c:rich>
              <a:bodyPr rot="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r>
                  <a:rPr lang="en-AU" b="1">
                    <a:solidFill>
                      <a:schemeClr val="tx1"/>
                    </a:solidFill>
                  </a:rPr>
                  <a:t>Month</a:t>
                </a:r>
              </a:p>
            </c:rich>
          </c:tx>
          <c:overlay val="0"/>
          <c:spPr>
            <a:noFill/>
            <a:ln>
              <a:noFill/>
            </a:ln>
            <a:effectLst/>
          </c:spPr>
          <c:txPr>
            <a:bodyPr rot="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b" anchorCtr="0"/>
          <a:lstStyle/>
          <a:p>
            <a:pPr>
              <a:defRPr sz="900" b="0" i="0" u="none" strike="noStrike" kern="1200" baseline="0">
                <a:solidFill>
                  <a:schemeClr val="tx1"/>
                </a:solidFill>
                <a:latin typeface="+mn-lt"/>
                <a:ea typeface="+mn-ea"/>
                <a:cs typeface="+mn-cs"/>
              </a:defRPr>
            </a:pPr>
            <a:endParaRPr lang="en-US"/>
          </a:p>
        </c:txPr>
        <c:crossAx val="821482648"/>
        <c:crosses val="autoZero"/>
        <c:auto val="1"/>
        <c:lblAlgn val="ctr"/>
        <c:lblOffset val="100"/>
        <c:noMultiLvlLbl val="0"/>
      </c:catAx>
      <c:valAx>
        <c:axId val="82148264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r>
                  <a:rPr lang="en-AU" sz="1000" b="1" i="0" baseline="0">
                    <a:solidFill>
                      <a:schemeClr val="tx1"/>
                    </a:solidFill>
                    <a:effectLst/>
                  </a:rPr>
                  <a:t>Mean Temperature (</a:t>
                </a:r>
                <a:r>
                  <a:rPr lang="en-AU" sz="1000" b="1" i="0" u="none" strike="noStrike" kern="1200" baseline="0">
                    <a:solidFill>
                      <a:schemeClr val="tx1"/>
                    </a:solidFill>
                    <a:effectLst/>
                    <a:latin typeface="+mn-lt"/>
                    <a:ea typeface="+mn-ea"/>
                    <a:cs typeface="+mn-cs"/>
                  </a:rPr>
                  <a:t> °C</a:t>
                </a:r>
                <a:r>
                  <a:rPr lang="en-AU" sz="1000" b="1" i="0" baseline="0">
                    <a:solidFill>
                      <a:schemeClr val="tx1"/>
                    </a:solidFill>
                    <a:effectLst/>
                  </a:rPr>
                  <a:t>)</a:t>
                </a:r>
                <a:endParaRPr lang="en-AU" sz="1000">
                  <a:solidFill>
                    <a:schemeClr val="tx1"/>
                  </a:solidFill>
                  <a:effectLst/>
                </a:endParaRPr>
              </a:p>
            </c:rich>
          </c:tx>
          <c:layout>
            <c:manualLayout>
              <c:xMode val="edge"/>
              <c:yMode val="edge"/>
              <c:x val="4.8812019566736545E-2"/>
              <c:y val="0.14213395224321904"/>
            </c:manualLayout>
          </c:layout>
          <c:overlay val="0"/>
          <c:spPr>
            <a:noFill/>
            <a:ln>
              <a:noFill/>
            </a:ln>
            <a:effectLst/>
          </c:spPr>
          <c:txPr>
            <a:bodyPr rot="-540000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cap="flat">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485000"/>
        <c:crosses val="autoZero"/>
        <c:crossBetween val="between"/>
      </c:valAx>
      <c:valAx>
        <c:axId val="821484216"/>
        <c:scaling>
          <c:orientation val="minMax"/>
        </c:scaling>
        <c:delete val="0"/>
        <c:axPos val="r"/>
        <c:title>
          <c:tx>
            <c:rich>
              <a:bodyPr rot="-540000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r>
                  <a:rPr lang="en-AU" b="1">
                    <a:solidFill>
                      <a:sysClr val="windowText" lastClr="000000"/>
                    </a:solidFill>
                  </a:rPr>
                  <a:t>Mean Rainfall </a:t>
                </a:r>
                <a:r>
                  <a:rPr lang="en-AU" b="1" baseline="0">
                    <a:solidFill>
                      <a:sysClr val="windowText" lastClr="000000"/>
                    </a:solidFill>
                  </a:rPr>
                  <a:t>(mm)</a:t>
                </a:r>
                <a:endParaRPr lang="en-AU" b="1">
                  <a:solidFill>
                    <a:sysClr val="windowText" lastClr="000000"/>
                  </a:solidFill>
                </a:endParaRPr>
              </a:p>
            </c:rich>
          </c:tx>
          <c:layout>
            <c:manualLayout>
              <c:xMode val="edge"/>
              <c:yMode val="edge"/>
              <c:x val="0.88371628232005606"/>
              <c:y val="0.16143688826538552"/>
            </c:manualLayout>
          </c:layout>
          <c:overlay val="0"/>
          <c:spPr>
            <a:noFill/>
            <a:ln>
              <a:noFill/>
            </a:ln>
            <a:effectLst/>
          </c:spPr>
          <c:txPr>
            <a:bodyPr rot="-540000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21485392"/>
        <c:crosses val="max"/>
        <c:crossBetween val="between"/>
      </c:valAx>
      <c:catAx>
        <c:axId val="821485392"/>
        <c:scaling>
          <c:orientation val="minMax"/>
        </c:scaling>
        <c:delete val="1"/>
        <c:axPos val="b"/>
        <c:numFmt formatCode="General" sourceLinked="1"/>
        <c:majorTickMark val="out"/>
        <c:minorTickMark val="none"/>
        <c:tickLblPos val="nextTo"/>
        <c:crossAx val="82148421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solidFill>
                  <a:schemeClr val="tx1"/>
                </a:solidFill>
              </a:rPr>
              <a:t>Wenatchee (WA)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Mean maximum temperature</c:v>
                </c:pt>
              </c:strCache>
            </c:strRef>
          </c:tx>
          <c:spPr>
            <a:ln w="28575" cap="rnd">
              <a:solidFill>
                <a:srgbClr val="C00000"/>
              </a:solidFill>
              <a:round/>
            </a:ln>
            <a:effectLst/>
          </c:spPr>
          <c:marker>
            <c:symbol val="diamond"/>
            <c:size val="7"/>
            <c:spPr>
              <a:solidFill>
                <a:srgbClr val="C00000"/>
              </a:solidFill>
              <a:ln w="9525">
                <a:noFill/>
              </a:ln>
              <a:effectLst/>
            </c:spPr>
          </c:marker>
          <c:cat>
            <c:strRef>
              <c:f>Sheet1!$A$2:$A$13</c:f>
              <c:strCache>
                <c:ptCount val="11"/>
                <c:pt idx="0">
                  <c:v>Jan</c:v>
                </c:pt>
                <c:pt idx="2">
                  <c:v>Mar</c:v>
                </c:pt>
                <c:pt idx="4">
                  <c:v>May</c:v>
                </c:pt>
                <c:pt idx="6">
                  <c:v>Jul</c:v>
                </c:pt>
                <c:pt idx="8">
                  <c:v>Sep</c:v>
                </c:pt>
                <c:pt idx="10">
                  <c:v>Nov</c:v>
                </c:pt>
              </c:strCache>
            </c:strRef>
          </c:cat>
          <c:val>
            <c:numRef>
              <c:f>Sheet1!$B$19:$B$30</c:f>
              <c:numCache>
                <c:formatCode>General</c:formatCode>
                <c:ptCount val="12"/>
                <c:pt idx="0">
                  <c:v>2.2000000000000002</c:v>
                </c:pt>
                <c:pt idx="1">
                  <c:v>6.3</c:v>
                </c:pt>
                <c:pt idx="2">
                  <c:v>12.8</c:v>
                </c:pt>
                <c:pt idx="3">
                  <c:v>17.899999999999999</c:v>
                </c:pt>
                <c:pt idx="4">
                  <c:v>22.8</c:v>
                </c:pt>
                <c:pt idx="5">
                  <c:v>26.6</c:v>
                </c:pt>
                <c:pt idx="6">
                  <c:v>31.2</c:v>
                </c:pt>
                <c:pt idx="7">
                  <c:v>30.9</c:v>
                </c:pt>
                <c:pt idx="8">
                  <c:v>25.7</c:v>
                </c:pt>
                <c:pt idx="9">
                  <c:v>17.5</c:v>
                </c:pt>
                <c:pt idx="10">
                  <c:v>8.1</c:v>
                </c:pt>
                <c:pt idx="11">
                  <c:v>1.6</c:v>
                </c:pt>
              </c:numCache>
            </c:numRef>
          </c:val>
          <c:smooth val="0"/>
          <c:extLst>
            <c:ext xmlns:c16="http://schemas.microsoft.com/office/drawing/2014/chart" uri="{C3380CC4-5D6E-409C-BE32-E72D297353CC}">
              <c16:uniqueId val="{00000000-1987-4B0A-A1E3-D233751D31BC}"/>
            </c:ext>
          </c:extLst>
        </c:ser>
        <c:ser>
          <c:idx val="1"/>
          <c:order val="1"/>
          <c:tx>
            <c:strRef>
              <c:f>Sheet1!$C$1</c:f>
              <c:strCache>
                <c:ptCount val="1"/>
                <c:pt idx="0">
                  <c:v>Mean minimum temperature</c:v>
                </c:pt>
              </c:strCache>
            </c:strRef>
          </c:tx>
          <c:spPr>
            <a:ln w="28575" cap="rnd">
              <a:solidFill>
                <a:srgbClr val="0070C0"/>
              </a:solidFill>
              <a:round/>
            </a:ln>
            <a:effectLst/>
          </c:spPr>
          <c:marker>
            <c:symbol val="square"/>
            <c:size val="4"/>
            <c:spPr>
              <a:solidFill>
                <a:srgbClr val="0070C0"/>
              </a:solidFill>
              <a:ln w="9525">
                <a:noFill/>
                <a:bevel/>
              </a:ln>
              <a:effectLst/>
            </c:spPr>
          </c:marker>
          <c:cat>
            <c:strRef>
              <c:f>Sheet1!$A$2:$A$13</c:f>
              <c:strCache>
                <c:ptCount val="11"/>
                <c:pt idx="0">
                  <c:v>Jan</c:v>
                </c:pt>
                <c:pt idx="2">
                  <c:v>Mar</c:v>
                </c:pt>
                <c:pt idx="4">
                  <c:v>May</c:v>
                </c:pt>
                <c:pt idx="6">
                  <c:v>Jul</c:v>
                </c:pt>
                <c:pt idx="8">
                  <c:v>Sep</c:v>
                </c:pt>
                <c:pt idx="10">
                  <c:v>Nov</c:v>
                </c:pt>
              </c:strCache>
            </c:strRef>
          </c:cat>
          <c:val>
            <c:numRef>
              <c:f>Sheet1!$C$19:$C$30</c:f>
              <c:numCache>
                <c:formatCode>General</c:formatCode>
                <c:ptCount val="12"/>
                <c:pt idx="0">
                  <c:v>-3.7</c:v>
                </c:pt>
                <c:pt idx="1">
                  <c:v>-2.4</c:v>
                </c:pt>
                <c:pt idx="2">
                  <c:v>1.3</c:v>
                </c:pt>
                <c:pt idx="3">
                  <c:v>4.8</c:v>
                </c:pt>
                <c:pt idx="4">
                  <c:v>9.3000000000000007</c:v>
                </c:pt>
                <c:pt idx="5">
                  <c:v>13.1</c:v>
                </c:pt>
                <c:pt idx="6">
                  <c:v>16.399999999999999</c:v>
                </c:pt>
                <c:pt idx="7">
                  <c:v>15.8</c:v>
                </c:pt>
                <c:pt idx="8">
                  <c:v>10.9</c:v>
                </c:pt>
                <c:pt idx="9">
                  <c:v>5.0999999999999996</c:v>
                </c:pt>
                <c:pt idx="10">
                  <c:v>0.1</c:v>
                </c:pt>
                <c:pt idx="11">
                  <c:v>-3.8</c:v>
                </c:pt>
              </c:numCache>
            </c:numRef>
          </c:val>
          <c:smooth val="0"/>
          <c:extLst>
            <c:ext xmlns:c16="http://schemas.microsoft.com/office/drawing/2014/chart" uri="{C3380CC4-5D6E-409C-BE32-E72D297353CC}">
              <c16:uniqueId val="{00000001-1987-4B0A-A1E3-D233751D31BC}"/>
            </c:ext>
          </c:extLst>
        </c:ser>
        <c:dLbls>
          <c:showLegendKey val="0"/>
          <c:showVal val="0"/>
          <c:showCatName val="0"/>
          <c:showSerName val="0"/>
          <c:showPercent val="0"/>
          <c:showBubbleSize val="0"/>
        </c:dLbls>
        <c:marker val="1"/>
        <c:smooth val="0"/>
        <c:axId val="821482256"/>
        <c:axId val="821483040"/>
      </c:lineChart>
      <c:lineChart>
        <c:grouping val="standard"/>
        <c:varyColors val="0"/>
        <c:ser>
          <c:idx val="2"/>
          <c:order val="2"/>
          <c:tx>
            <c:strRef>
              <c:f>Sheet1!$D$1</c:f>
              <c:strCache>
                <c:ptCount val="1"/>
                <c:pt idx="0">
                  <c:v>Mean precipitation</c:v>
                </c:pt>
              </c:strCache>
            </c:strRef>
          </c:tx>
          <c:spPr>
            <a:ln w="28575" cap="rnd">
              <a:solidFill>
                <a:srgbClr val="92D050"/>
              </a:solidFill>
              <a:round/>
            </a:ln>
            <a:effectLst/>
          </c:spPr>
          <c:marker>
            <c:symbol val="triangle"/>
            <c:size val="7"/>
            <c:spPr>
              <a:solidFill>
                <a:srgbClr val="92D050"/>
              </a:solidFill>
              <a:ln w="9525" cap="sq">
                <a:solidFill>
                  <a:srgbClr val="92D050"/>
                </a:solidFill>
                <a:prstDash val="solid"/>
                <a:bevel/>
                <a:headEnd type="none"/>
              </a:ln>
              <a:effectLst/>
            </c:spPr>
          </c:marker>
          <c:cat>
            <c:strRef>
              <c:f>Sheet1!$A$2:$A$13</c:f>
              <c:strCache>
                <c:ptCount val="11"/>
                <c:pt idx="0">
                  <c:v>Jan</c:v>
                </c:pt>
                <c:pt idx="2">
                  <c:v>Mar</c:v>
                </c:pt>
                <c:pt idx="4">
                  <c:v>May</c:v>
                </c:pt>
                <c:pt idx="6">
                  <c:v>Jul</c:v>
                </c:pt>
                <c:pt idx="8">
                  <c:v>Sep</c:v>
                </c:pt>
                <c:pt idx="10">
                  <c:v>Nov</c:v>
                </c:pt>
              </c:strCache>
            </c:strRef>
          </c:cat>
          <c:val>
            <c:numRef>
              <c:f>Sheet1!$D$19:$D$30</c:f>
              <c:numCache>
                <c:formatCode>General</c:formatCode>
                <c:ptCount val="12"/>
                <c:pt idx="0">
                  <c:v>34</c:v>
                </c:pt>
                <c:pt idx="1">
                  <c:v>25</c:v>
                </c:pt>
                <c:pt idx="2">
                  <c:v>15</c:v>
                </c:pt>
                <c:pt idx="3">
                  <c:v>13</c:v>
                </c:pt>
                <c:pt idx="4">
                  <c:v>18</c:v>
                </c:pt>
                <c:pt idx="5">
                  <c:v>17</c:v>
                </c:pt>
                <c:pt idx="6">
                  <c:v>9</c:v>
                </c:pt>
                <c:pt idx="7">
                  <c:v>5</c:v>
                </c:pt>
                <c:pt idx="8">
                  <c:v>8</c:v>
                </c:pt>
                <c:pt idx="9">
                  <c:v>13</c:v>
                </c:pt>
                <c:pt idx="10">
                  <c:v>35</c:v>
                </c:pt>
                <c:pt idx="11">
                  <c:v>39</c:v>
                </c:pt>
              </c:numCache>
            </c:numRef>
          </c:val>
          <c:smooth val="0"/>
          <c:extLst>
            <c:ext xmlns:c16="http://schemas.microsoft.com/office/drawing/2014/chart" uri="{C3380CC4-5D6E-409C-BE32-E72D297353CC}">
              <c16:uniqueId val="{00000002-1987-4B0A-A1E3-D233751D31BC}"/>
            </c:ext>
          </c:extLst>
        </c:ser>
        <c:dLbls>
          <c:showLegendKey val="0"/>
          <c:showVal val="0"/>
          <c:showCatName val="0"/>
          <c:showSerName val="0"/>
          <c:showPercent val="0"/>
          <c:showBubbleSize val="0"/>
        </c:dLbls>
        <c:marker val="1"/>
        <c:smooth val="0"/>
        <c:axId val="694315336"/>
        <c:axId val="694314944"/>
      </c:lineChart>
      <c:catAx>
        <c:axId val="821482256"/>
        <c:scaling>
          <c:orientation val="minMax"/>
        </c:scaling>
        <c:delete val="0"/>
        <c:axPos val="b"/>
        <c:title>
          <c:tx>
            <c:rich>
              <a:bodyPr rot="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r>
                  <a:rPr lang="en-AU" b="1">
                    <a:solidFill>
                      <a:schemeClr val="tx1"/>
                    </a:solidFill>
                  </a:rPr>
                  <a:t>Month</a:t>
                </a:r>
              </a:p>
            </c:rich>
          </c:tx>
          <c:overlay val="0"/>
          <c:spPr>
            <a:noFill/>
            <a:ln>
              <a:noFill/>
            </a:ln>
            <a:effectLst/>
          </c:spPr>
          <c:txPr>
            <a:bodyPr rot="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b" anchorCtr="0"/>
          <a:lstStyle/>
          <a:p>
            <a:pPr>
              <a:defRPr sz="900" b="0" i="0" u="none" strike="noStrike" kern="1200" baseline="0">
                <a:solidFill>
                  <a:schemeClr val="tx1"/>
                </a:solidFill>
                <a:latin typeface="+mn-lt"/>
                <a:ea typeface="+mn-ea"/>
                <a:cs typeface="+mn-cs"/>
              </a:defRPr>
            </a:pPr>
            <a:endParaRPr lang="en-US"/>
          </a:p>
        </c:txPr>
        <c:crossAx val="821483040"/>
        <c:crosses val="autoZero"/>
        <c:auto val="1"/>
        <c:lblAlgn val="ctr"/>
        <c:lblOffset val="100"/>
        <c:noMultiLvlLbl val="0"/>
      </c:catAx>
      <c:valAx>
        <c:axId val="82148304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r>
                  <a:rPr lang="en-AU" sz="1000" b="1" i="0" baseline="0">
                    <a:solidFill>
                      <a:schemeClr val="tx1"/>
                    </a:solidFill>
                    <a:effectLst/>
                  </a:rPr>
                  <a:t>Mean Temperature (</a:t>
                </a:r>
                <a:r>
                  <a:rPr lang="en-AU" sz="1000" b="1" i="0" u="none" strike="noStrike" kern="1200" baseline="0">
                    <a:solidFill>
                      <a:schemeClr val="tx1"/>
                    </a:solidFill>
                    <a:effectLst/>
                    <a:latin typeface="+mn-lt"/>
                    <a:ea typeface="+mn-ea"/>
                    <a:cs typeface="+mn-cs"/>
                  </a:rPr>
                  <a:t> °C</a:t>
                </a:r>
                <a:r>
                  <a:rPr lang="en-AU" sz="1000" b="1" i="0" baseline="0">
                    <a:solidFill>
                      <a:schemeClr val="tx1"/>
                    </a:solidFill>
                    <a:effectLst/>
                  </a:rPr>
                  <a:t>)</a:t>
                </a:r>
                <a:endParaRPr lang="en-AU" sz="1000">
                  <a:solidFill>
                    <a:schemeClr val="tx1"/>
                  </a:solidFill>
                  <a:effectLst/>
                </a:endParaRPr>
              </a:p>
            </c:rich>
          </c:tx>
          <c:layout>
            <c:manualLayout>
              <c:xMode val="edge"/>
              <c:yMode val="edge"/>
              <c:x val="4.8812019566736545E-2"/>
              <c:y val="0.14213395224321904"/>
            </c:manualLayout>
          </c:layout>
          <c:overlay val="0"/>
          <c:spPr>
            <a:noFill/>
            <a:ln>
              <a:noFill/>
            </a:ln>
            <a:effectLst/>
          </c:spPr>
          <c:txPr>
            <a:bodyPr rot="-540000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482256"/>
        <c:crosses val="autoZero"/>
        <c:crossBetween val="between"/>
      </c:valAx>
      <c:valAx>
        <c:axId val="694314944"/>
        <c:scaling>
          <c:orientation val="minMax"/>
        </c:scaling>
        <c:delete val="0"/>
        <c:axPos val="r"/>
        <c:title>
          <c:tx>
            <c:rich>
              <a:bodyPr rot="-540000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r>
                  <a:rPr lang="en-AU" b="1">
                    <a:solidFill>
                      <a:sysClr val="windowText" lastClr="000000"/>
                    </a:solidFill>
                  </a:rPr>
                  <a:t>Mean Rainfall </a:t>
                </a:r>
                <a:r>
                  <a:rPr lang="en-AU" b="1" baseline="0">
                    <a:solidFill>
                      <a:sysClr val="windowText" lastClr="000000"/>
                    </a:solidFill>
                  </a:rPr>
                  <a:t>(mm)</a:t>
                </a:r>
                <a:endParaRPr lang="en-AU" b="1">
                  <a:solidFill>
                    <a:sysClr val="windowText" lastClr="000000"/>
                  </a:solidFill>
                </a:endParaRPr>
              </a:p>
            </c:rich>
          </c:tx>
          <c:layout>
            <c:manualLayout>
              <c:xMode val="edge"/>
              <c:yMode val="edge"/>
              <c:x val="0.88371628232005606"/>
              <c:y val="0.16143688826538552"/>
            </c:manualLayout>
          </c:layout>
          <c:overlay val="0"/>
          <c:spPr>
            <a:noFill/>
            <a:ln>
              <a:noFill/>
            </a:ln>
            <a:effectLst/>
          </c:spPr>
          <c:txPr>
            <a:bodyPr rot="-540000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94315336"/>
        <c:crosses val="max"/>
        <c:crossBetween val="between"/>
      </c:valAx>
      <c:catAx>
        <c:axId val="694315336"/>
        <c:scaling>
          <c:orientation val="minMax"/>
        </c:scaling>
        <c:delete val="1"/>
        <c:axPos val="b"/>
        <c:numFmt formatCode="General" sourceLinked="1"/>
        <c:majorTickMark val="out"/>
        <c:minorTickMark val="none"/>
        <c:tickLblPos val="nextTo"/>
        <c:crossAx val="69431494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rPr>
              <a:t>Lind (Columbia basin, WA)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Mean maximum temperature</c:v>
                </c:pt>
              </c:strCache>
            </c:strRef>
          </c:tx>
          <c:spPr>
            <a:ln w="28575" cap="rnd">
              <a:solidFill>
                <a:srgbClr val="C00000"/>
              </a:solidFill>
              <a:round/>
            </a:ln>
            <a:effectLst/>
          </c:spPr>
          <c:marker>
            <c:symbol val="diamond"/>
            <c:size val="7"/>
            <c:spPr>
              <a:solidFill>
                <a:srgbClr val="C00000"/>
              </a:solidFill>
              <a:ln w="9525">
                <a:noFill/>
              </a:ln>
              <a:effectLst/>
            </c:spPr>
          </c:marker>
          <c:cat>
            <c:strRef>
              <c:f>Sheet1!$A$2:$A$13</c:f>
              <c:strCache>
                <c:ptCount val="11"/>
                <c:pt idx="0">
                  <c:v>Jan</c:v>
                </c:pt>
                <c:pt idx="2">
                  <c:v>Mar</c:v>
                </c:pt>
                <c:pt idx="4">
                  <c:v>May</c:v>
                </c:pt>
                <c:pt idx="6">
                  <c:v>Jul</c:v>
                </c:pt>
                <c:pt idx="8">
                  <c:v>Sep</c:v>
                </c:pt>
                <c:pt idx="10">
                  <c:v>Nov</c:v>
                </c:pt>
              </c:strCache>
            </c:strRef>
          </c:cat>
          <c:val>
            <c:numRef>
              <c:f>Sheet1!$B$36:$B$47</c:f>
              <c:numCache>
                <c:formatCode>General</c:formatCode>
                <c:ptCount val="12"/>
                <c:pt idx="0">
                  <c:v>2.8</c:v>
                </c:pt>
                <c:pt idx="1">
                  <c:v>6.5</c:v>
                </c:pt>
                <c:pt idx="2">
                  <c:v>12.2</c:v>
                </c:pt>
                <c:pt idx="3">
                  <c:v>16.8</c:v>
                </c:pt>
                <c:pt idx="4">
                  <c:v>21.9</c:v>
                </c:pt>
                <c:pt idx="5">
                  <c:v>26.2</c:v>
                </c:pt>
                <c:pt idx="6">
                  <c:v>31.3</c:v>
                </c:pt>
                <c:pt idx="7">
                  <c:v>30.8</c:v>
                </c:pt>
                <c:pt idx="8">
                  <c:v>25.5</c:v>
                </c:pt>
                <c:pt idx="9">
                  <c:v>17.100000000000001</c:v>
                </c:pt>
                <c:pt idx="10">
                  <c:v>7.6</c:v>
                </c:pt>
                <c:pt idx="11">
                  <c:v>1.4</c:v>
                </c:pt>
              </c:numCache>
            </c:numRef>
          </c:val>
          <c:smooth val="0"/>
          <c:extLst>
            <c:ext xmlns:c16="http://schemas.microsoft.com/office/drawing/2014/chart" uri="{C3380CC4-5D6E-409C-BE32-E72D297353CC}">
              <c16:uniqueId val="{00000000-7FFE-41F8-91D4-B483C8887D25}"/>
            </c:ext>
          </c:extLst>
        </c:ser>
        <c:ser>
          <c:idx val="1"/>
          <c:order val="1"/>
          <c:tx>
            <c:strRef>
              <c:f>Sheet1!$C$1</c:f>
              <c:strCache>
                <c:ptCount val="1"/>
                <c:pt idx="0">
                  <c:v>Mean minimum temperature</c:v>
                </c:pt>
              </c:strCache>
            </c:strRef>
          </c:tx>
          <c:spPr>
            <a:ln w="28575" cap="rnd">
              <a:solidFill>
                <a:srgbClr val="0070C0"/>
              </a:solidFill>
              <a:round/>
            </a:ln>
            <a:effectLst/>
          </c:spPr>
          <c:marker>
            <c:symbol val="square"/>
            <c:size val="4"/>
            <c:spPr>
              <a:solidFill>
                <a:srgbClr val="0070C0"/>
              </a:solidFill>
              <a:ln w="9525">
                <a:noFill/>
                <a:bevel/>
              </a:ln>
              <a:effectLst/>
            </c:spPr>
          </c:marker>
          <c:cat>
            <c:strRef>
              <c:f>Sheet1!$A$2:$A$13</c:f>
              <c:strCache>
                <c:ptCount val="11"/>
                <c:pt idx="0">
                  <c:v>Jan</c:v>
                </c:pt>
                <c:pt idx="2">
                  <c:v>Mar</c:v>
                </c:pt>
                <c:pt idx="4">
                  <c:v>May</c:v>
                </c:pt>
                <c:pt idx="6">
                  <c:v>Jul</c:v>
                </c:pt>
                <c:pt idx="8">
                  <c:v>Sep</c:v>
                </c:pt>
                <c:pt idx="10">
                  <c:v>Nov</c:v>
                </c:pt>
              </c:strCache>
            </c:strRef>
          </c:cat>
          <c:val>
            <c:numRef>
              <c:f>Sheet1!$C$36:$C$47</c:f>
              <c:numCache>
                <c:formatCode>General</c:formatCode>
                <c:ptCount val="12"/>
                <c:pt idx="0">
                  <c:v>-3.7</c:v>
                </c:pt>
                <c:pt idx="1">
                  <c:v>-2.2999999999999998</c:v>
                </c:pt>
                <c:pt idx="2">
                  <c:v>0.1</c:v>
                </c:pt>
                <c:pt idx="3">
                  <c:v>2.2000000000000002</c:v>
                </c:pt>
                <c:pt idx="4">
                  <c:v>5.3</c:v>
                </c:pt>
                <c:pt idx="5">
                  <c:v>8.6999999999999993</c:v>
                </c:pt>
                <c:pt idx="6">
                  <c:v>11.8</c:v>
                </c:pt>
                <c:pt idx="7">
                  <c:v>11.6</c:v>
                </c:pt>
                <c:pt idx="8">
                  <c:v>7.4</c:v>
                </c:pt>
                <c:pt idx="9">
                  <c:v>2.4</c:v>
                </c:pt>
                <c:pt idx="10">
                  <c:v>-0.9</c:v>
                </c:pt>
                <c:pt idx="11">
                  <c:v>-4.7</c:v>
                </c:pt>
              </c:numCache>
            </c:numRef>
          </c:val>
          <c:smooth val="0"/>
          <c:extLst>
            <c:ext xmlns:c16="http://schemas.microsoft.com/office/drawing/2014/chart" uri="{C3380CC4-5D6E-409C-BE32-E72D297353CC}">
              <c16:uniqueId val="{00000001-7FFE-41F8-91D4-B483C8887D25}"/>
            </c:ext>
          </c:extLst>
        </c:ser>
        <c:dLbls>
          <c:showLegendKey val="0"/>
          <c:showVal val="0"/>
          <c:showCatName val="0"/>
          <c:showSerName val="0"/>
          <c:showPercent val="0"/>
          <c:showBubbleSize val="0"/>
        </c:dLbls>
        <c:marker val="1"/>
        <c:smooth val="0"/>
        <c:axId val="694315728"/>
        <c:axId val="694312592"/>
      </c:lineChart>
      <c:lineChart>
        <c:grouping val="standard"/>
        <c:varyColors val="0"/>
        <c:ser>
          <c:idx val="2"/>
          <c:order val="2"/>
          <c:tx>
            <c:strRef>
              <c:f>Sheet1!$D$1</c:f>
              <c:strCache>
                <c:ptCount val="1"/>
                <c:pt idx="0">
                  <c:v>Mean precipitation</c:v>
                </c:pt>
              </c:strCache>
            </c:strRef>
          </c:tx>
          <c:spPr>
            <a:ln w="28575" cap="rnd">
              <a:solidFill>
                <a:srgbClr val="92D050"/>
              </a:solidFill>
              <a:round/>
            </a:ln>
            <a:effectLst/>
          </c:spPr>
          <c:marker>
            <c:symbol val="triangle"/>
            <c:size val="7"/>
            <c:spPr>
              <a:solidFill>
                <a:srgbClr val="92D050"/>
              </a:solidFill>
              <a:ln w="9525" cap="sq">
                <a:solidFill>
                  <a:srgbClr val="92D050"/>
                </a:solidFill>
                <a:prstDash val="solid"/>
                <a:bevel/>
                <a:headEnd type="none"/>
              </a:ln>
              <a:effectLst/>
            </c:spPr>
          </c:marker>
          <c:cat>
            <c:strRef>
              <c:f>Sheet1!$A$2:$A$13</c:f>
              <c:strCache>
                <c:ptCount val="11"/>
                <c:pt idx="0">
                  <c:v>Jan</c:v>
                </c:pt>
                <c:pt idx="2">
                  <c:v>Mar</c:v>
                </c:pt>
                <c:pt idx="4">
                  <c:v>May</c:v>
                </c:pt>
                <c:pt idx="6">
                  <c:v>Jul</c:v>
                </c:pt>
                <c:pt idx="8">
                  <c:v>Sep</c:v>
                </c:pt>
                <c:pt idx="10">
                  <c:v>Nov</c:v>
                </c:pt>
              </c:strCache>
            </c:strRef>
          </c:cat>
          <c:val>
            <c:numRef>
              <c:f>Sheet1!$D$36:$D$47</c:f>
              <c:numCache>
                <c:formatCode>General</c:formatCode>
                <c:ptCount val="12"/>
                <c:pt idx="0">
                  <c:v>30</c:v>
                </c:pt>
                <c:pt idx="1">
                  <c:v>21</c:v>
                </c:pt>
                <c:pt idx="2">
                  <c:v>26</c:v>
                </c:pt>
                <c:pt idx="3">
                  <c:v>21</c:v>
                </c:pt>
                <c:pt idx="4">
                  <c:v>21</c:v>
                </c:pt>
                <c:pt idx="5">
                  <c:v>15</c:v>
                </c:pt>
                <c:pt idx="6">
                  <c:v>9</c:v>
                </c:pt>
                <c:pt idx="7">
                  <c:v>8</c:v>
                </c:pt>
                <c:pt idx="8">
                  <c:v>10</c:v>
                </c:pt>
                <c:pt idx="9">
                  <c:v>21</c:v>
                </c:pt>
                <c:pt idx="10">
                  <c:v>35</c:v>
                </c:pt>
                <c:pt idx="11">
                  <c:v>32</c:v>
                </c:pt>
              </c:numCache>
            </c:numRef>
          </c:val>
          <c:smooth val="0"/>
          <c:extLst>
            <c:ext xmlns:c16="http://schemas.microsoft.com/office/drawing/2014/chart" uri="{C3380CC4-5D6E-409C-BE32-E72D297353CC}">
              <c16:uniqueId val="{00000002-7FFE-41F8-91D4-B483C8887D25}"/>
            </c:ext>
          </c:extLst>
        </c:ser>
        <c:dLbls>
          <c:showLegendKey val="0"/>
          <c:showVal val="0"/>
          <c:showCatName val="0"/>
          <c:showSerName val="0"/>
          <c:showPercent val="0"/>
          <c:showBubbleSize val="0"/>
        </c:dLbls>
        <c:marker val="1"/>
        <c:smooth val="0"/>
        <c:axId val="694316120"/>
        <c:axId val="694313376"/>
      </c:lineChart>
      <c:catAx>
        <c:axId val="694315728"/>
        <c:scaling>
          <c:orientation val="minMax"/>
        </c:scaling>
        <c:delete val="0"/>
        <c:axPos val="b"/>
        <c:title>
          <c:tx>
            <c:rich>
              <a:bodyPr rot="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r>
                  <a:rPr lang="en-AU" b="1">
                    <a:solidFill>
                      <a:schemeClr val="tx1"/>
                    </a:solidFill>
                  </a:rPr>
                  <a:t>Month</a:t>
                </a:r>
              </a:p>
            </c:rich>
          </c:tx>
          <c:overlay val="0"/>
          <c:spPr>
            <a:noFill/>
            <a:ln>
              <a:noFill/>
            </a:ln>
            <a:effectLst/>
          </c:spPr>
          <c:txPr>
            <a:bodyPr rot="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b" anchorCtr="0"/>
          <a:lstStyle/>
          <a:p>
            <a:pPr>
              <a:defRPr sz="900" b="0" i="0" u="none" strike="noStrike" kern="1200" baseline="0">
                <a:solidFill>
                  <a:schemeClr val="tx1"/>
                </a:solidFill>
                <a:latin typeface="+mn-lt"/>
                <a:ea typeface="+mn-ea"/>
                <a:cs typeface="+mn-cs"/>
              </a:defRPr>
            </a:pPr>
            <a:endParaRPr lang="en-US"/>
          </a:p>
        </c:txPr>
        <c:crossAx val="694312592"/>
        <c:crosses val="autoZero"/>
        <c:auto val="1"/>
        <c:lblAlgn val="ctr"/>
        <c:lblOffset val="100"/>
        <c:noMultiLvlLbl val="0"/>
      </c:catAx>
      <c:valAx>
        <c:axId val="69431259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r>
                  <a:rPr lang="en-AU" sz="1000" b="1" i="0" baseline="0">
                    <a:solidFill>
                      <a:schemeClr val="tx1"/>
                    </a:solidFill>
                    <a:effectLst/>
                  </a:rPr>
                  <a:t>Mean Temperature (</a:t>
                </a:r>
                <a:r>
                  <a:rPr lang="en-AU" sz="1000" b="1" i="0" u="none" strike="noStrike" kern="1200" baseline="0">
                    <a:solidFill>
                      <a:schemeClr val="tx1"/>
                    </a:solidFill>
                    <a:effectLst/>
                    <a:latin typeface="+mn-lt"/>
                    <a:ea typeface="+mn-ea"/>
                    <a:cs typeface="+mn-cs"/>
                  </a:rPr>
                  <a:t> °C</a:t>
                </a:r>
                <a:r>
                  <a:rPr lang="en-AU" sz="1000" b="1" i="0" baseline="0">
                    <a:solidFill>
                      <a:schemeClr val="tx1"/>
                    </a:solidFill>
                    <a:effectLst/>
                  </a:rPr>
                  <a:t>)</a:t>
                </a:r>
                <a:endParaRPr lang="en-AU" sz="1000">
                  <a:solidFill>
                    <a:schemeClr val="tx1"/>
                  </a:solidFill>
                  <a:effectLst/>
                </a:endParaRPr>
              </a:p>
            </c:rich>
          </c:tx>
          <c:layout>
            <c:manualLayout>
              <c:xMode val="edge"/>
              <c:yMode val="edge"/>
              <c:x val="4.8812019566736545E-2"/>
              <c:y val="0.14213395224321904"/>
            </c:manualLayout>
          </c:layout>
          <c:overlay val="0"/>
          <c:spPr>
            <a:noFill/>
            <a:ln>
              <a:noFill/>
            </a:ln>
            <a:effectLst/>
          </c:spPr>
          <c:txPr>
            <a:bodyPr rot="-540000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315728"/>
        <c:crosses val="autoZero"/>
        <c:crossBetween val="between"/>
      </c:valAx>
      <c:valAx>
        <c:axId val="694313376"/>
        <c:scaling>
          <c:orientation val="minMax"/>
        </c:scaling>
        <c:delete val="0"/>
        <c:axPos val="r"/>
        <c:title>
          <c:tx>
            <c:rich>
              <a:bodyPr rot="-540000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r>
                  <a:rPr lang="en-AU" b="1">
                    <a:solidFill>
                      <a:sysClr val="windowText" lastClr="000000"/>
                    </a:solidFill>
                  </a:rPr>
                  <a:t>Mean Rainfall </a:t>
                </a:r>
                <a:r>
                  <a:rPr lang="en-AU" b="1" baseline="0">
                    <a:solidFill>
                      <a:sysClr val="windowText" lastClr="000000"/>
                    </a:solidFill>
                  </a:rPr>
                  <a:t>(mm)</a:t>
                </a:r>
                <a:endParaRPr lang="en-AU" b="1">
                  <a:solidFill>
                    <a:sysClr val="windowText" lastClr="000000"/>
                  </a:solidFill>
                </a:endParaRPr>
              </a:p>
            </c:rich>
          </c:tx>
          <c:layout>
            <c:manualLayout>
              <c:xMode val="edge"/>
              <c:yMode val="edge"/>
              <c:x val="0.88371628232005606"/>
              <c:y val="0.16143688826538552"/>
            </c:manualLayout>
          </c:layout>
          <c:overlay val="0"/>
          <c:spPr>
            <a:noFill/>
            <a:ln>
              <a:noFill/>
            </a:ln>
            <a:effectLst/>
          </c:spPr>
          <c:txPr>
            <a:bodyPr rot="-540000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94316120"/>
        <c:crosses val="max"/>
        <c:crossBetween val="between"/>
      </c:valAx>
      <c:catAx>
        <c:axId val="694316120"/>
        <c:scaling>
          <c:orientation val="minMax"/>
        </c:scaling>
        <c:delete val="1"/>
        <c:axPos val="b"/>
        <c:numFmt formatCode="General" sourceLinked="1"/>
        <c:majorTickMark val="out"/>
        <c:minorTickMark val="none"/>
        <c:tickLblPos val="nextTo"/>
        <c:crossAx val="69431337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solidFill>
                  <a:schemeClr val="tx1"/>
                </a:solidFill>
              </a:rPr>
              <a:t>Walla Walla</a:t>
            </a:r>
            <a:r>
              <a:rPr lang="en-AU" b="1" baseline="0">
                <a:solidFill>
                  <a:schemeClr val="tx1"/>
                </a:solidFill>
              </a:rPr>
              <a:t> (WA)</a:t>
            </a:r>
            <a:endParaRPr lang="en-AU"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Sheet1!$B$51</c:f>
              <c:strCache>
                <c:ptCount val="1"/>
                <c:pt idx="0">
                  <c:v>Mean maximum temperature</c:v>
                </c:pt>
              </c:strCache>
            </c:strRef>
          </c:tx>
          <c:spPr>
            <a:ln w="28575" cap="rnd">
              <a:solidFill>
                <a:srgbClr val="C00000"/>
              </a:solidFill>
              <a:round/>
            </a:ln>
            <a:effectLst/>
          </c:spPr>
          <c:marker>
            <c:symbol val="diamond"/>
            <c:size val="7"/>
            <c:spPr>
              <a:solidFill>
                <a:srgbClr val="C00000"/>
              </a:solidFill>
              <a:ln w="9525">
                <a:noFill/>
              </a:ln>
              <a:effectLst/>
            </c:spPr>
          </c:marker>
          <c:cat>
            <c:strRef>
              <c:f>Sheet1!$A$2:$A$13</c:f>
              <c:strCache>
                <c:ptCount val="11"/>
                <c:pt idx="0">
                  <c:v>Jan</c:v>
                </c:pt>
                <c:pt idx="2">
                  <c:v>Mar</c:v>
                </c:pt>
                <c:pt idx="4">
                  <c:v>May</c:v>
                </c:pt>
                <c:pt idx="6">
                  <c:v>Jul</c:v>
                </c:pt>
                <c:pt idx="8">
                  <c:v>Sep</c:v>
                </c:pt>
                <c:pt idx="10">
                  <c:v>Nov</c:v>
                </c:pt>
              </c:strCache>
            </c:strRef>
          </c:cat>
          <c:val>
            <c:numRef>
              <c:f>Sheet1!$B$52:$B$63</c:f>
              <c:numCache>
                <c:formatCode>General</c:formatCode>
                <c:ptCount val="12"/>
                <c:pt idx="0">
                  <c:v>4.8</c:v>
                </c:pt>
                <c:pt idx="1">
                  <c:v>8.3000000000000007</c:v>
                </c:pt>
                <c:pt idx="2">
                  <c:v>13.3</c:v>
                </c:pt>
                <c:pt idx="3">
                  <c:v>17.8</c:v>
                </c:pt>
                <c:pt idx="4">
                  <c:v>22.2</c:v>
                </c:pt>
                <c:pt idx="5">
                  <c:v>26.8</c:v>
                </c:pt>
                <c:pt idx="6">
                  <c:v>32.200000000000003</c:v>
                </c:pt>
                <c:pt idx="7">
                  <c:v>31.7</c:v>
                </c:pt>
                <c:pt idx="8">
                  <c:v>26.3</c:v>
                </c:pt>
                <c:pt idx="9">
                  <c:v>18.8</c:v>
                </c:pt>
                <c:pt idx="10">
                  <c:v>10.1</c:v>
                </c:pt>
                <c:pt idx="11">
                  <c:v>4.9000000000000004</c:v>
                </c:pt>
              </c:numCache>
            </c:numRef>
          </c:val>
          <c:smooth val="0"/>
          <c:extLst>
            <c:ext xmlns:c16="http://schemas.microsoft.com/office/drawing/2014/chart" uri="{C3380CC4-5D6E-409C-BE32-E72D297353CC}">
              <c16:uniqueId val="{00000000-A8F6-48A9-9734-0600B72EBBE9}"/>
            </c:ext>
          </c:extLst>
        </c:ser>
        <c:ser>
          <c:idx val="1"/>
          <c:order val="1"/>
          <c:tx>
            <c:strRef>
              <c:f>Sheet1!$C$51</c:f>
              <c:strCache>
                <c:ptCount val="1"/>
                <c:pt idx="0">
                  <c:v>Mean minimum temperature</c:v>
                </c:pt>
              </c:strCache>
            </c:strRef>
          </c:tx>
          <c:spPr>
            <a:ln w="28575" cap="rnd">
              <a:solidFill>
                <a:srgbClr val="0070C0"/>
              </a:solidFill>
              <a:round/>
            </a:ln>
            <a:effectLst/>
          </c:spPr>
          <c:marker>
            <c:symbol val="square"/>
            <c:size val="4"/>
            <c:spPr>
              <a:solidFill>
                <a:srgbClr val="0070C0"/>
              </a:solidFill>
              <a:ln w="9525">
                <a:noFill/>
                <a:bevel/>
              </a:ln>
              <a:effectLst/>
            </c:spPr>
          </c:marker>
          <c:cat>
            <c:strRef>
              <c:f>Sheet1!$A$2:$A$13</c:f>
              <c:strCache>
                <c:ptCount val="11"/>
                <c:pt idx="0">
                  <c:v>Jan</c:v>
                </c:pt>
                <c:pt idx="2">
                  <c:v>Mar</c:v>
                </c:pt>
                <c:pt idx="4">
                  <c:v>May</c:v>
                </c:pt>
                <c:pt idx="6">
                  <c:v>Jul</c:v>
                </c:pt>
                <c:pt idx="8">
                  <c:v>Sep</c:v>
                </c:pt>
                <c:pt idx="10">
                  <c:v>Nov</c:v>
                </c:pt>
              </c:strCache>
            </c:strRef>
          </c:cat>
          <c:val>
            <c:numRef>
              <c:f>Sheet1!$C$52:$C$63</c:f>
              <c:numCache>
                <c:formatCode>General</c:formatCode>
                <c:ptCount val="12"/>
                <c:pt idx="0">
                  <c:v>-1.8</c:v>
                </c:pt>
                <c:pt idx="1">
                  <c:v>0.3</c:v>
                </c:pt>
                <c:pt idx="2">
                  <c:v>2.7</c:v>
                </c:pt>
                <c:pt idx="3">
                  <c:v>5.2</c:v>
                </c:pt>
                <c:pt idx="4">
                  <c:v>8.6999999999999993</c:v>
                </c:pt>
                <c:pt idx="5">
                  <c:v>12.4</c:v>
                </c:pt>
                <c:pt idx="6">
                  <c:v>15.9</c:v>
                </c:pt>
                <c:pt idx="7">
                  <c:v>16.2</c:v>
                </c:pt>
                <c:pt idx="8">
                  <c:v>11.6</c:v>
                </c:pt>
                <c:pt idx="9">
                  <c:v>6.4</c:v>
                </c:pt>
                <c:pt idx="10">
                  <c:v>2.2000000000000002</c:v>
                </c:pt>
                <c:pt idx="11">
                  <c:v>-1.5</c:v>
                </c:pt>
              </c:numCache>
            </c:numRef>
          </c:val>
          <c:smooth val="0"/>
          <c:extLst>
            <c:ext xmlns:c16="http://schemas.microsoft.com/office/drawing/2014/chart" uri="{C3380CC4-5D6E-409C-BE32-E72D297353CC}">
              <c16:uniqueId val="{00000001-A8F6-48A9-9734-0600B72EBBE9}"/>
            </c:ext>
          </c:extLst>
        </c:ser>
        <c:dLbls>
          <c:showLegendKey val="0"/>
          <c:showVal val="0"/>
          <c:showCatName val="0"/>
          <c:showSerName val="0"/>
          <c:showPercent val="0"/>
          <c:showBubbleSize val="0"/>
        </c:dLbls>
        <c:marker val="1"/>
        <c:smooth val="0"/>
        <c:axId val="694313768"/>
        <c:axId val="694314160"/>
      </c:lineChart>
      <c:lineChart>
        <c:grouping val="standard"/>
        <c:varyColors val="0"/>
        <c:ser>
          <c:idx val="2"/>
          <c:order val="2"/>
          <c:tx>
            <c:strRef>
              <c:f>Sheet1!$D$51</c:f>
              <c:strCache>
                <c:ptCount val="1"/>
                <c:pt idx="0">
                  <c:v>Mean precipitation</c:v>
                </c:pt>
              </c:strCache>
            </c:strRef>
          </c:tx>
          <c:spPr>
            <a:ln w="28575" cap="rnd">
              <a:solidFill>
                <a:srgbClr val="92D050"/>
              </a:solidFill>
              <a:round/>
            </a:ln>
            <a:effectLst/>
          </c:spPr>
          <c:marker>
            <c:symbol val="triangle"/>
            <c:size val="7"/>
            <c:spPr>
              <a:solidFill>
                <a:srgbClr val="92D050"/>
              </a:solidFill>
              <a:ln w="9525" cap="sq">
                <a:solidFill>
                  <a:srgbClr val="92D050"/>
                </a:solidFill>
                <a:prstDash val="solid"/>
                <a:bevel/>
                <a:headEnd type="none"/>
              </a:ln>
              <a:effectLst/>
            </c:spPr>
          </c:marker>
          <c:cat>
            <c:strRef>
              <c:f>Sheet1!$A$2:$A$13</c:f>
              <c:strCache>
                <c:ptCount val="11"/>
                <c:pt idx="0">
                  <c:v>Jan</c:v>
                </c:pt>
                <c:pt idx="2">
                  <c:v>Mar</c:v>
                </c:pt>
                <c:pt idx="4">
                  <c:v>May</c:v>
                </c:pt>
                <c:pt idx="6">
                  <c:v>Jul</c:v>
                </c:pt>
                <c:pt idx="8">
                  <c:v>Sep</c:v>
                </c:pt>
                <c:pt idx="10">
                  <c:v>Nov</c:v>
                </c:pt>
              </c:strCache>
            </c:strRef>
          </c:cat>
          <c:val>
            <c:numRef>
              <c:f>Sheet1!$D$52:$D$63</c:f>
              <c:numCache>
                <c:formatCode>General</c:formatCode>
                <c:ptCount val="12"/>
                <c:pt idx="0">
                  <c:v>57</c:v>
                </c:pt>
                <c:pt idx="1">
                  <c:v>50</c:v>
                </c:pt>
                <c:pt idx="2">
                  <c:v>56</c:v>
                </c:pt>
                <c:pt idx="3">
                  <c:v>46</c:v>
                </c:pt>
                <c:pt idx="4">
                  <c:v>50</c:v>
                </c:pt>
                <c:pt idx="5">
                  <c:v>26</c:v>
                </c:pt>
                <c:pt idx="6">
                  <c:v>19</c:v>
                </c:pt>
                <c:pt idx="7">
                  <c:v>21</c:v>
                </c:pt>
                <c:pt idx="8">
                  <c:v>21</c:v>
                </c:pt>
                <c:pt idx="9">
                  <c:v>45</c:v>
                </c:pt>
                <c:pt idx="10">
                  <c:v>72</c:v>
                </c:pt>
                <c:pt idx="11">
                  <c:v>64</c:v>
                </c:pt>
              </c:numCache>
            </c:numRef>
          </c:val>
          <c:smooth val="0"/>
          <c:extLst>
            <c:ext xmlns:c16="http://schemas.microsoft.com/office/drawing/2014/chart" uri="{C3380CC4-5D6E-409C-BE32-E72D297353CC}">
              <c16:uniqueId val="{00000002-A8F6-48A9-9734-0600B72EBBE9}"/>
            </c:ext>
          </c:extLst>
        </c:ser>
        <c:dLbls>
          <c:showLegendKey val="0"/>
          <c:showVal val="0"/>
          <c:showCatName val="0"/>
          <c:showSerName val="0"/>
          <c:showPercent val="0"/>
          <c:showBubbleSize val="0"/>
        </c:dLbls>
        <c:marker val="1"/>
        <c:smooth val="0"/>
        <c:axId val="698073768"/>
        <c:axId val="698075336"/>
      </c:lineChart>
      <c:catAx>
        <c:axId val="694313768"/>
        <c:scaling>
          <c:orientation val="minMax"/>
        </c:scaling>
        <c:delete val="0"/>
        <c:axPos val="b"/>
        <c:title>
          <c:tx>
            <c:rich>
              <a:bodyPr rot="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r>
                  <a:rPr lang="en-AU" b="1">
                    <a:solidFill>
                      <a:schemeClr val="tx1"/>
                    </a:solidFill>
                  </a:rPr>
                  <a:t>Month</a:t>
                </a:r>
              </a:p>
            </c:rich>
          </c:tx>
          <c:overlay val="0"/>
          <c:spPr>
            <a:noFill/>
            <a:ln>
              <a:noFill/>
            </a:ln>
            <a:effectLst/>
          </c:spPr>
          <c:txPr>
            <a:bodyPr rot="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b" anchorCtr="0"/>
          <a:lstStyle/>
          <a:p>
            <a:pPr>
              <a:defRPr sz="900" b="0" i="0" u="none" strike="noStrike" kern="1200" baseline="0">
                <a:solidFill>
                  <a:schemeClr val="tx1"/>
                </a:solidFill>
                <a:latin typeface="+mn-lt"/>
                <a:ea typeface="+mn-ea"/>
                <a:cs typeface="+mn-cs"/>
              </a:defRPr>
            </a:pPr>
            <a:endParaRPr lang="en-US"/>
          </a:p>
        </c:txPr>
        <c:crossAx val="694314160"/>
        <c:crosses val="autoZero"/>
        <c:auto val="1"/>
        <c:lblAlgn val="ctr"/>
        <c:lblOffset val="100"/>
        <c:noMultiLvlLbl val="0"/>
      </c:catAx>
      <c:valAx>
        <c:axId val="69431416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r>
                  <a:rPr lang="en-AU" sz="1000" b="1" i="0" baseline="0">
                    <a:solidFill>
                      <a:schemeClr val="tx1"/>
                    </a:solidFill>
                    <a:effectLst/>
                  </a:rPr>
                  <a:t>Mean Temperature (</a:t>
                </a:r>
                <a:r>
                  <a:rPr lang="en-AU" sz="1000" b="1" i="0" u="none" strike="noStrike" kern="1200" baseline="0">
                    <a:solidFill>
                      <a:schemeClr val="tx1"/>
                    </a:solidFill>
                    <a:effectLst/>
                    <a:latin typeface="+mn-lt"/>
                    <a:ea typeface="+mn-ea"/>
                    <a:cs typeface="+mn-cs"/>
                  </a:rPr>
                  <a:t> °C</a:t>
                </a:r>
                <a:r>
                  <a:rPr lang="en-AU" sz="1000" b="1" i="0" baseline="0">
                    <a:solidFill>
                      <a:schemeClr val="tx1"/>
                    </a:solidFill>
                    <a:effectLst/>
                  </a:rPr>
                  <a:t>)</a:t>
                </a:r>
                <a:endParaRPr lang="en-AU" sz="1000">
                  <a:solidFill>
                    <a:schemeClr val="tx1"/>
                  </a:solidFill>
                  <a:effectLst/>
                </a:endParaRPr>
              </a:p>
            </c:rich>
          </c:tx>
          <c:layout>
            <c:manualLayout>
              <c:xMode val="edge"/>
              <c:yMode val="edge"/>
              <c:x val="4.8812019566736545E-2"/>
              <c:y val="0.14213395224321904"/>
            </c:manualLayout>
          </c:layout>
          <c:overlay val="0"/>
          <c:spPr>
            <a:noFill/>
            <a:ln>
              <a:noFill/>
            </a:ln>
            <a:effectLst/>
          </c:spPr>
          <c:txPr>
            <a:bodyPr rot="-540000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313768"/>
        <c:crosses val="autoZero"/>
        <c:crossBetween val="between"/>
      </c:valAx>
      <c:valAx>
        <c:axId val="698075336"/>
        <c:scaling>
          <c:orientation val="minMax"/>
        </c:scaling>
        <c:delete val="0"/>
        <c:axPos val="r"/>
        <c:title>
          <c:tx>
            <c:rich>
              <a:bodyPr rot="-540000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r>
                  <a:rPr lang="en-AU" b="1">
                    <a:solidFill>
                      <a:sysClr val="windowText" lastClr="000000"/>
                    </a:solidFill>
                  </a:rPr>
                  <a:t>Mean Rainfall </a:t>
                </a:r>
                <a:r>
                  <a:rPr lang="en-AU" b="1" baseline="0">
                    <a:solidFill>
                      <a:sysClr val="windowText" lastClr="000000"/>
                    </a:solidFill>
                  </a:rPr>
                  <a:t>(mm)</a:t>
                </a:r>
                <a:endParaRPr lang="en-AU" b="1">
                  <a:solidFill>
                    <a:sysClr val="windowText" lastClr="000000"/>
                  </a:solidFill>
                </a:endParaRPr>
              </a:p>
            </c:rich>
          </c:tx>
          <c:layout>
            <c:manualLayout>
              <c:xMode val="edge"/>
              <c:yMode val="edge"/>
              <c:x val="0.88371628232005606"/>
              <c:y val="0.16143688826538552"/>
            </c:manualLayout>
          </c:layout>
          <c:overlay val="0"/>
          <c:spPr>
            <a:noFill/>
            <a:ln>
              <a:noFill/>
            </a:ln>
            <a:effectLst/>
          </c:spPr>
          <c:txPr>
            <a:bodyPr rot="-540000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98073768"/>
        <c:crosses val="max"/>
        <c:crossBetween val="between"/>
      </c:valAx>
      <c:catAx>
        <c:axId val="698073768"/>
        <c:scaling>
          <c:orientation val="minMax"/>
        </c:scaling>
        <c:delete val="1"/>
        <c:axPos val="b"/>
        <c:numFmt formatCode="General" sourceLinked="1"/>
        <c:majorTickMark val="out"/>
        <c:minorTickMark val="none"/>
        <c:tickLblPos val="nextTo"/>
        <c:crossAx val="69807533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solidFill>
                  <a:schemeClr val="tx1"/>
                </a:solidFill>
              </a:rPr>
              <a:t>Payette (ID)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Sheet1!$B$51</c:f>
              <c:strCache>
                <c:ptCount val="1"/>
                <c:pt idx="0">
                  <c:v>Mean maximum temperature</c:v>
                </c:pt>
              </c:strCache>
            </c:strRef>
          </c:tx>
          <c:spPr>
            <a:ln w="28575" cap="rnd">
              <a:solidFill>
                <a:srgbClr val="C00000"/>
              </a:solidFill>
              <a:round/>
            </a:ln>
            <a:effectLst/>
          </c:spPr>
          <c:marker>
            <c:symbol val="diamond"/>
            <c:size val="7"/>
            <c:spPr>
              <a:solidFill>
                <a:srgbClr val="C00000"/>
              </a:solidFill>
              <a:ln w="9525">
                <a:noFill/>
              </a:ln>
              <a:effectLst/>
            </c:spPr>
          </c:marker>
          <c:cat>
            <c:strRef>
              <c:f>Sheet1!$A$2:$A$13</c:f>
              <c:strCache>
                <c:ptCount val="11"/>
                <c:pt idx="0">
                  <c:v>Jan</c:v>
                </c:pt>
                <c:pt idx="2">
                  <c:v>Mar</c:v>
                </c:pt>
                <c:pt idx="4">
                  <c:v>May</c:v>
                </c:pt>
                <c:pt idx="6">
                  <c:v>Jul</c:v>
                </c:pt>
                <c:pt idx="8">
                  <c:v>Sep</c:v>
                </c:pt>
                <c:pt idx="10">
                  <c:v>Nov</c:v>
                </c:pt>
              </c:strCache>
            </c:strRef>
          </c:cat>
          <c:val>
            <c:numRef>
              <c:f>Sheet1!$B$70:$B$81</c:f>
              <c:numCache>
                <c:formatCode>General</c:formatCode>
                <c:ptCount val="12"/>
                <c:pt idx="0">
                  <c:v>2.5</c:v>
                </c:pt>
                <c:pt idx="1">
                  <c:v>7.2</c:v>
                </c:pt>
                <c:pt idx="2">
                  <c:v>13.9</c:v>
                </c:pt>
                <c:pt idx="3">
                  <c:v>18.2</c:v>
                </c:pt>
                <c:pt idx="4">
                  <c:v>22.9</c:v>
                </c:pt>
                <c:pt idx="5">
                  <c:v>27.3</c:v>
                </c:pt>
                <c:pt idx="6">
                  <c:v>32.6</c:v>
                </c:pt>
                <c:pt idx="7">
                  <c:v>31.7</c:v>
                </c:pt>
                <c:pt idx="8">
                  <c:v>26.4</c:v>
                </c:pt>
                <c:pt idx="9">
                  <c:v>19.3</c:v>
                </c:pt>
                <c:pt idx="10">
                  <c:v>9.8000000000000007</c:v>
                </c:pt>
                <c:pt idx="11">
                  <c:v>3</c:v>
                </c:pt>
              </c:numCache>
            </c:numRef>
          </c:val>
          <c:smooth val="0"/>
          <c:extLst>
            <c:ext xmlns:c16="http://schemas.microsoft.com/office/drawing/2014/chart" uri="{C3380CC4-5D6E-409C-BE32-E72D297353CC}">
              <c16:uniqueId val="{00000000-0809-4347-AC5C-80BB7EC42772}"/>
            </c:ext>
          </c:extLst>
        </c:ser>
        <c:ser>
          <c:idx val="1"/>
          <c:order val="1"/>
          <c:tx>
            <c:strRef>
              <c:f>Sheet1!$C$51</c:f>
              <c:strCache>
                <c:ptCount val="1"/>
                <c:pt idx="0">
                  <c:v>Mean minimum temperature</c:v>
                </c:pt>
              </c:strCache>
            </c:strRef>
          </c:tx>
          <c:spPr>
            <a:ln w="28575" cap="rnd">
              <a:solidFill>
                <a:srgbClr val="0070C0"/>
              </a:solidFill>
              <a:round/>
            </a:ln>
            <a:effectLst/>
          </c:spPr>
          <c:marker>
            <c:symbol val="square"/>
            <c:size val="4"/>
            <c:spPr>
              <a:solidFill>
                <a:srgbClr val="0070C0"/>
              </a:solidFill>
              <a:ln w="9525">
                <a:noFill/>
                <a:bevel/>
              </a:ln>
              <a:effectLst/>
            </c:spPr>
          </c:marker>
          <c:cat>
            <c:strRef>
              <c:f>Sheet1!$A$2:$A$13</c:f>
              <c:strCache>
                <c:ptCount val="11"/>
                <c:pt idx="0">
                  <c:v>Jan</c:v>
                </c:pt>
                <c:pt idx="2">
                  <c:v>Mar</c:v>
                </c:pt>
                <c:pt idx="4">
                  <c:v>May</c:v>
                </c:pt>
                <c:pt idx="6">
                  <c:v>Jul</c:v>
                </c:pt>
                <c:pt idx="8">
                  <c:v>Sep</c:v>
                </c:pt>
                <c:pt idx="10">
                  <c:v>Nov</c:v>
                </c:pt>
              </c:strCache>
            </c:strRef>
          </c:cat>
          <c:val>
            <c:numRef>
              <c:f>Sheet1!$C$70:$C$81</c:f>
              <c:numCache>
                <c:formatCode>General</c:formatCode>
                <c:ptCount val="12"/>
                <c:pt idx="0">
                  <c:v>-6.2</c:v>
                </c:pt>
                <c:pt idx="1">
                  <c:v>-4.2</c:v>
                </c:pt>
                <c:pt idx="2">
                  <c:v>-0.1</c:v>
                </c:pt>
                <c:pt idx="3">
                  <c:v>2.9</c:v>
                </c:pt>
                <c:pt idx="4">
                  <c:v>7.5</c:v>
                </c:pt>
                <c:pt idx="5">
                  <c:v>11.4</c:v>
                </c:pt>
                <c:pt idx="6">
                  <c:v>14.7</c:v>
                </c:pt>
                <c:pt idx="7">
                  <c:v>13.7</c:v>
                </c:pt>
                <c:pt idx="8">
                  <c:v>8.6999999999999993</c:v>
                </c:pt>
                <c:pt idx="9">
                  <c:v>2.6</c:v>
                </c:pt>
                <c:pt idx="10">
                  <c:v>-2.1</c:v>
                </c:pt>
                <c:pt idx="11">
                  <c:v>-5.9</c:v>
                </c:pt>
              </c:numCache>
            </c:numRef>
          </c:val>
          <c:smooth val="0"/>
          <c:extLst>
            <c:ext xmlns:c16="http://schemas.microsoft.com/office/drawing/2014/chart" uri="{C3380CC4-5D6E-409C-BE32-E72D297353CC}">
              <c16:uniqueId val="{00000001-0809-4347-AC5C-80BB7EC42772}"/>
            </c:ext>
          </c:extLst>
        </c:ser>
        <c:dLbls>
          <c:showLegendKey val="0"/>
          <c:showVal val="0"/>
          <c:showCatName val="0"/>
          <c:showSerName val="0"/>
          <c:showPercent val="0"/>
          <c:showBubbleSize val="0"/>
        </c:dLbls>
        <c:marker val="1"/>
        <c:smooth val="0"/>
        <c:axId val="698074160"/>
        <c:axId val="698077296"/>
      </c:lineChart>
      <c:lineChart>
        <c:grouping val="standard"/>
        <c:varyColors val="0"/>
        <c:ser>
          <c:idx val="2"/>
          <c:order val="2"/>
          <c:tx>
            <c:strRef>
              <c:f>Sheet1!$D$51</c:f>
              <c:strCache>
                <c:ptCount val="1"/>
                <c:pt idx="0">
                  <c:v>Mean precipitation</c:v>
                </c:pt>
              </c:strCache>
            </c:strRef>
          </c:tx>
          <c:spPr>
            <a:ln w="28575" cap="rnd">
              <a:solidFill>
                <a:srgbClr val="92D050"/>
              </a:solidFill>
              <a:round/>
            </a:ln>
            <a:effectLst/>
          </c:spPr>
          <c:marker>
            <c:symbol val="triangle"/>
            <c:size val="7"/>
            <c:spPr>
              <a:solidFill>
                <a:srgbClr val="92D050"/>
              </a:solidFill>
              <a:ln w="9525" cap="sq">
                <a:solidFill>
                  <a:srgbClr val="92D050"/>
                </a:solidFill>
                <a:prstDash val="solid"/>
                <a:bevel/>
                <a:headEnd type="none"/>
              </a:ln>
              <a:effectLst/>
            </c:spPr>
          </c:marker>
          <c:cat>
            <c:strRef>
              <c:f>Sheet1!$A$2:$A$13</c:f>
              <c:strCache>
                <c:ptCount val="11"/>
                <c:pt idx="0">
                  <c:v>Jan</c:v>
                </c:pt>
                <c:pt idx="2">
                  <c:v>Mar</c:v>
                </c:pt>
                <c:pt idx="4">
                  <c:v>May</c:v>
                </c:pt>
                <c:pt idx="6">
                  <c:v>Jul</c:v>
                </c:pt>
                <c:pt idx="8">
                  <c:v>Sep</c:v>
                </c:pt>
                <c:pt idx="10">
                  <c:v>Nov</c:v>
                </c:pt>
              </c:strCache>
            </c:strRef>
          </c:cat>
          <c:val>
            <c:numRef>
              <c:f>Sheet1!$D$70:$D$81</c:f>
              <c:numCache>
                <c:formatCode>General</c:formatCode>
                <c:ptCount val="12"/>
                <c:pt idx="0">
                  <c:v>34</c:v>
                </c:pt>
                <c:pt idx="1">
                  <c:v>27</c:v>
                </c:pt>
                <c:pt idx="2">
                  <c:v>29</c:v>
                </c:pt>
                <c:pt idx="3">
                  <c:v>21</c:v>
                </c:pt>
                <c:pt idx="4">
                  <c:v>30</c:v>
                </c:pt>
                <c:pt idx="5">
                  <c:v>22</c:v>
                </c:pt>
                <c:pt idx="6">
                  <c:v>7</c:v>
                </c:pt>
                <c:pt idx="7">
                  <c:v>5</c:v>
                </c:pt>
                <c:pt idx="8">
                  <c:v>10</c:v>
                </c:pt>
                <c:pt idx="9">
                  <c:v>17</c:v>
                </c:pt>
                <c:pt idx="10">
                  <c:v>34</c:v>
                </c:pt>
                <c:pt idx="11">
                  <c:v>47</c:v>
                </c:pt>
              </c:numCache>
            </c:numRef>
          </c:val>
          <c:smooth val="0"/>
          <c:extLst>
            <c:ext xmlns:c16="http://schemas.microsoft.com/office/drawing/2014/chart" uri="{C3380CC4-5D6E-409C-BE32-E72D297353CC}">
              <c16:uniqueId val="{00000002-0809-4347-AC5C-80BB7EC42772}"/>
            </c:ext>
          </c:extLst>
        </c:ser>
        <c:dLbls>
          <c:showLegendKey val="0"/>
          <c:showVal val="0"/>
          <c:showCatName val="0"/>
          <c:showSerName val="0"/>
          <c:showPercent val="0"/>
          <c:showBubbleSize val="0"/>
        </c:dLbls>
        <c:marker val="1"/>
        <c:smooth val="0"/>
        <c:axId val="698076512"/>
        <c:axId val="698074944"/>
      </c:lineChart>
      <c:catAx>
        <c:axId val="698074160"/>
        <c:scaling>
          <c:orientation val="minMax"/>
        </c:scaling>
        <c:delete val="0"/>
        <c:axPos val="b"/>
        <c:title>
          <c:tx>
            <c:rich>
              <a:bodyPr rot="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r>
                  <a:rPr lang="en-AU" b="1">
                    <a:solidFill>
                      <a:schemeClr val="tx1"/>
                    </a:solidFill>
                  </a:rPr>
                  <a:t>Month</a:t>
                </a:r>
              </a:p>
            </c:rich>
          </c:tx>
          <c:overlay val="0"/>
          <c:spPr>
            <a:noFill/>
            <a:ln>
              <a:noFill/>
            </a:ln>
            <a:effectLst/>
          </c:spPr>
          <c:txPr>
            <a:bodyPr rot="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b" anchorCtr="0"/>
          <a:lstStyle/>
          <a:p>
            <a:pPr>
              <a:defRPr sz="900" b="0" i="0" u="none" strike="noStrike" kern="1200" baseline="0">
                <a:solidFill>
                  <a:schemeClr val="tx1"/>
                </a:solidFill>
                <a:latin typeface="+mn-lt"/>
                <a:ea typeface="+mn-ea"/>
                <a:cs typeface="+mn-cs"/>
              </a:defRPr>
            </a:pPr>
            <a:endParaRPr lang="en-US"/>
          </a:p>
        </c:txPr>
        <c:crossAx val="698077296"/>
        <c:crosses val="autoZero"/>
        <c:auto val="1"/>
        <c:lblAlgn val="ctr"/>
        <c:lblOffset val="100"/>
        <c:noMultiLvlLbl val="0"/>
      </c:catAx>
      <c:valAx>
        <c:axId val="69807729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r>
                  <a:rPr lang="en-AU" sz="1000" b="1" i="0" baseline="0">
                    <a:solidFill>
                      <a:schemeClr val="tx1"/>
                    </a:solidFill>
                    <a:effectLst/>
                  </a:rPr>
                  <a:t>Mean Temperature (</a:t>
                </a:r>
                <a:r>
                  <a:rPr lang="en-AU" sz="1000" b="1" i="0" u="none" strike="noStrike" kern="1200" baseline="0">
                    <a:solidFill>
                      <a:schemeClr val="tx1"/>
                    </a:solidFill>
                    <a:effectLst/>
                    <a:latin typeface="+mn-lt"/>
                    <a:ea typeface="+mn-ea"/>
                    <a:cs typeface="+mn-cs"/>
                  </a:rPr>
                  <a:t> °C</a:t>
                </a:r>
                <a:r>
                  <a:rPr lang="en-AU" sz="1000" b="1" i="0" baseline="0">
                    <a:solidFill>
                      <a:schemeClr val="tx1"/>
                    </a:solidFill>
                    <a:effectLst/>
                  </a:rPr>
                  <a:t>)</a:t>
                </a:r>
                <a:endParaRPr lang="en-AU" sz="1000">
                  <a:solidFill>
                    <a:schemeClr val="tx1"/>
                  </a:solidFill>
                  <a:effectLst/>
                </a:endParaRPr>
              </a:p>
            </c:rich>
          </c:tx>
          <c:layout>
            <c:manualLayout>
              <c:xMode val="edge"/>
              <c:yMode val="edge"/>
              <c:x val="4.8812019566736545E-2"/>
              <c:y val="0.14213395224321904"/>
            </c:manualLayout>
          </c:layout>
          <c:overlay val="0"/>
          <c:spPr>
            <a:noFill/>
            <a:ln>
              <a:noFill/>
            </a:ln>
            <a:effectLst/>
          </c:spPr>
          <c:txPr>
            <a:bodyPr rot="-540000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8074160"/>
        <c:crosses val="autoZero"/>
        <c:crossBetween val="between"/>
      </c:valAx>
      <c:valAx>
        <c:axId val="698074944"/>
        <c:scaling>
          <c:orientation val="minMax"/>
        </c:scaling>
        <c:delete val="0"/>
        <c:axPos val="r"/>
        <c:title>
          <c:tx>
            <c:rich>
              <a:bodyPr rot="-540000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r>
                  <a:rPr lang="en-AU" b="1">
                    <a:solidFill>
                      <a:sysClr val="windowText" lastClr="000000"/>
                    </a:solidFill>
                  </a:rPr>
                  <a:t>Mean Rainfall </a:t>
                </a:r>
                <a:r>
                  <a:rPr lang="en-AU" b="1" baseline="0">
                    <a:solidFill>
                      <a:sysClr val="windowText" lastClr="000000"/>
                    </a:solidFill>
                  </a:rPr>
                  <a:t>(mm)</a:t>
                </a:r>
                <a:endParaRPr lang="en-AU" b="1">
                  <a:solidFill>
                    <a:sysClr val="windowText" lastClr="000000"/>
                  </a:solidFill>
                </a:endParaRPr>
              </a:p>
            </c:rich>
          </c:tx>
          <c:layout>
            <c:manualLayout>
              <c:xMode val="edge"/>
              <c:yMode val="edge"/>
              <c:x val="0.88371628232005606"/>
              <c:y val="0.16143688826538552"/>
            </c:manualLayout>
          </c:layout>
          <c:overlay val="0"/>
          <c:spPr>
            <a:noFill/>
            <a:ln>
              <a:noFill/>
            </a:ln>
            <a:effectLst/>
          </c:spPr>
          <c:txPr>
            <a:bodyPr rot="-540000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98076512"/>
        <c:crosses val="max"/>
        <c:crossBetween val="between"/>
      </c:valAx>
      <c:catAx>
        <c:axId val="698076512"/>
        <c:scaling>
          <c:orientation val="minMax"/>
        </c:scaling>
        <c:delete val="1"/>
        <c:axPos val="b"/>
        <c:numFmt formatCode="General" sourceLinked="1"/>
        <c:majorTickMark val="out"/>
        <c:minorTickMark val="none"/>
        <c:tickLblPos val="nextTo"/>
        <c:crossAx val="69807494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solidFill>
                  <a:schemeClr val="tx1"/>
                </a:solidFill>
              </a:rPr>
              <a:t>Umatilla (OR)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Sheet1!$B$87</c:f>
              <c:strCache>
                <c:ptCount val="1"/>
                <c:pt idx="0">
                  <c:v>Mean maximum temperature</c:v>
                </c:pt>
              </c:strCache>
            </c:strRef>
          </c:tx>
          <c:spPr>
            <a:ln w="28575" cap="rnd">
              <a:solidFill>
                <a:srgbClr val="C00000"/>
              </a:solidFill>
              <a:round/>
            </a:ln>
            <a:effectLst/>
          </c:spPr>
          <c:marker>
            <c:symbol val="diamond"/>
            <c:size val="7"/>
            <c:spPr>
              <a:solidFill>
                <a:srgbClr val="C00000"/>
              </a:solidFill>
              <a:ln w="9525">
                <a:noFill/>
              </a:ln>
              <a:effectLst/>
            </c:spPr>
          </c:marker>
          <c:cat>
            <c:strRef>
              <c:f>Sheet1!$A$2:$A$13</c:f>
              <c:strCache>
                <c:ptCount val="11"/>
                <c:pt idx="0">
                  <c:v>Jan</c:v>
                </c:pt>
                <c:pt idx="2">
                  <c:v>Mar</c:v>
                </c:pt>
                <c:pt idx="4">
                  <c:v>May</c:v>
                </c:pt>
                <c:pt idx="6">
                  <c:v>Jul</c:v>
                </c:pt>
                <c:pt idx="8">
                  <c:v>Sep</c:v>
                </c:pt>
                <c:pt idx="10">
                  <c:v>Nov</c:v>
                </c:pt>
              </c:strCache>
            </c:strRef>
          </c:cat>
          <c:val>
            <c:numRef>
              <c:f>Sheet1!$B$88:$B$99</c:f>
              <c:numCache>
                <c:formatCode>General</c:formatCode>
                <c:ptCount val="12"/>
                <c:pt idx="0">
                  <c:v>5.3</c:v>
                </c:pt>
                <c:pt idx="1">
                  <c:v>7.8</c:v>
                </c:pt>
                <c:pt idx="2">
                  <c:v>12.9</c:v>
                </c:pt>
                <c:pt idx="3">
                  <c:v>17.2</c:v>
                </c:pt>
                <c:pt idx="4">
                  <c:v>22.1</c:v>
                </c:pt>
                <c:pt idx="5">
                  <c:v>26.3</c:v>
                </c:pt>
                <c:pt idx="6">
                  <c:v>31.1</c:v>
                </c:pt>
                <c:pt idx="7">
                  <c:v>30.9</c:v>
                </c:pt>
                <c:pt idx="8">
                  <c:v>25</c:v>
                </c:pt>
                <c:pt idx="9">
                  <c:v>18.100000000000001</c:v>
                </c:pt>
                <c:pt idx="10">
                  <c:v>10.3</c:v>
                </c:pt>
                <c:pt idx="11">
                  <c:v>4.3</c:v>
                </c:pt>
              </c:numCache>
            </c:numRef>
          </c:val>
          <c:smooth val="0"/>
          <c:extLst>
            <c:ext xmlns:c16="http://schemas.microsoft.com/office/drawing/2014/chart" uri="{C3380CC4-5D6E-409C-BE32-E72D297353CC}">
              <c16:uniqueId val="{00000000-8ECD-42C4-9F18-2E5722E154C3}"/>
            </c:ext>
          </c:extLst>
        </c:ser>
        <c:ser>
          <c:idx val="1"/>
          <c:order val="1"/>
          <c:tx>
            <c:strRef>
              <c:f>Sheet1!$C$87</c:f>
              <c:strCache>
                <c:ptCount val="1"/>
                <c:pt idx="0">
                  <c:v>Mean minimum temperature</c:v>
                </c:pt>
              </c:strCache>
            </c:strRef>
          </c:tx>
          <c:spPr>
            <a:ln w="28575" cap="rnd">
              <a:solidFill>
                <a:srgbClr val="0070C0"/>
              </a:solidFill>
              <a:round/>
            </a:ln>
            <a:effectLst/>
          </c:spPr>
          <c:marker>
            <c:symbol val="square"/>
            <c:size val="4"/>
            <c:spPr>
              <a:solidFill>
                <a:srgbClr val="0070C0"/>
              </a:solidFill>
              <a:ln w="9525">
                <a:noFill/>
                <a:bevel/>
              </a:ln>
              <a:effectLst/>
            </c:spPr>
          </c:marker>
          <c:cat>
            <c:strRef>
              <c:f>Sheet1!$A$2:$A$13</c:f>
              <c:strCache>
                <c:ptCount val="11"/>
                <c:pt idx="0">
                  <c:v>Jan</c:v>
                </c:pt>
                <c:pt idx="2">
                  <c:v>Mar</c:v>
                </c:pt>
                <c:pt idx="4">
                  <c:v>May</c:v>
                </c:pt>
                <c:pt idx="6">
                  <c:v>Jul</c:v>
                </c:pt>
                <c:pt idx="8">
                  <c:v>Sep</c:v>
                </c:pt>
                <c:pt idx="10">
                  <c:v>Nov</c:v>
                </c:pt>
              </c:strCache>
            </c:strRef>
          </c:cat>
          <c:val>
            <c:numRef>
              <c:f>Sheet1!$C$88:$C$99</c:f>
              <c:numCache>
                <c:formatCode>General</c:formatCode>
                <c:ptCount val="12"/>
                <c:pt idx="0">
                  <c:v>-1.6</c:v>
                </c:pt>
                <c:pt idx="1">
                  <c:v>-0.5</c:v>
                </c:pt>
                <c:pt idx="2">
                  <c:v>2.5</c:v>
                </c:pt>
                <c:pt idx="3">
                  <c:v>5.3</c:v>
                </c:pt>
                <c:pt idx="4">
                  <c:v>9</c:v>
                </c:pt>
                <c:pt idx="5">
                  <c:v>12.3</c:v>
                </c:pt>
                <c:pt idx="6">
                  <c:v>15.4</c:v>
                </c:pt>
                <c:pt idx="7">
                  <c:v>15.8</c:v>
                </c:pt>
                <c:pt idx="8">
                  <c:v>11.3</c:v>
                </c:pt>
                <c:pt idx="9">
                  <c:v>6.3</c:v>
                </c:pt>
                <c:pt idx="10">
                  <c:v>1.7</c:v>
                </c:pt>
                <c:pt idx="11">
                  <c:v>-1.8</c:v>
                </c:pt>
              </c:numCache>
            </c:numRef>
          </c:val>
          <c:smooth val="0"/>
          <c:extLst>
            <c:ext xmlns:c16="http://schemas.microsoft.com/office/drawing/2014/chart" uri="{C3380CC4-5D6E-409C-BE32-E72D297353CC}">
              <c16:uniqueId val="{00000001-8ECD-42C4-9F18-2E5722E154C3}"/>
            </c:ext>
          </c:extLst>
        </c:ser>
        <c:dLbls>
          <c:showLegendKey val="0"/>
          <c:showVal val="0"/>
          <c:showCatName val="0"/>
          <c:showSerName val="0"/>
          <c:showPercent val="0"/>
          <c:showBubbleSize val="0"/>
        </c:dLbls>
        <c:marker val="1"/>
        <c:smooth val="0"/>
        <c:axId val="698074552"/>
        <c:axId val="698075728"/>
      </c:lineChart>
      <c:lineChart>
        <c:grouping val="standard"/>
        <c:varyColors val="0"/>
        <c:ser>
          <c:idx val="2"/>
          <c:order val="2"/>
          <c:tx>
            <c:strRef>
              <c:f>Sheet1!$D$87</c:f>
              <c:strCache>
                <c:ptCount val="1"/>
                <c:pt idx="0">
                  <c:v>Mean precipitation</c:v>
                </c:pt>
              </c:strCache>
            </c:strRef>
          </c:tx>
          <c:spPr>
            <a:ln w="28575" cap="rnd">
              <a:solidFill>
                <a:srgbClr val="92D050"/>
              </a:solidFill>
              <a:round/>
            </a:ln>
            <a:effectLst/>
          </c:spPr>
          <c:marker>
            <c:symbol val="triangle"/>
            <c:size val="7"/>
            <c:spPr>
              <a:solidFill>
                <a:srgbClr val="92D050"/>
              </a:solidFill>
              <a:ln w="9525" cap="sq">
                <a:solidFill>
                  <a:srgbClr val="92D050"/>
                </a:solidFill>
                <a:prstDash val="solid"/>
                <a:bevel/>
                <a:headEnd type="none"/>
              </a:ln>
              <a:effectLst/>
            </c:spPr>
          </c:marker>
          <c:cat>
            <c:strRef>
              <c:f>Sheet1!$A$2:$A$13</c:f>
              <c:strCache>
                <c:ptCount val="11"/>
                <c:pt idx="0">
                  <c:v>Jan</c:v>
                </c:pt>
                <c:pt idx="2">
                  <c:v>Mar</c:v>
                </c:pt>
                <c:pt idx="4">
                  <c:v>May</c:v>
                </c:pt>
                <c:pt idx="6">
                  <c:v>Jul</c:v>
                </c:pt>
                <c:pt idx="8">
                  <c:v>Sep</c:v>
                </c:pt>
                <c:pt idx="10">
                  <c:v>Nov</c:v>
                </c:pt>
              </c:strCache>
            </c:strRef>
          </c:cat>
          <c:val>
            <c:numRef>
              <c:f>Sheet1!$D$88:$D$99</c:f>
              <c:numCache>
                <c:formatCode>General</c:formatCode>
                <c:ptCount val="12"/>
                <c:pt idx="0">
                  <c:v>24</c:v>
                </c:pt>
                <c:pt idx="1">
                  <c:v>22</c:v>
                </c:pt>
                <c:pt idx="2">
                  <c:v>13</c:v>
                </c:pt>
                <c:pt idx="3">
                  <c:v>22</c:v>
                </c:pt>
                <c:pt idx="4">
                  <c:v>18</c:v>
                </c:pt>
                <c:pt idx="5">
                  <c:v>15</c:v>
                </c:pt>
                <c:pt idx="6">
                  <c:v>7</c:v>
                </c:pt>
                <c:pt idx="7">
                  <c:v>8</c:v>
                </c:pt>
                <c:pt idx="8">
                  <c:v>11</c:v>
                </c:pt>
                <c:pt idx="9">
                  <c:v>24</c:v>
                </c:pt>
                <c:pt idx="10">
                  <c:v>28</c:v>
                </c:pt>
                <c:pt idx="11">
                  <c:v>34</c:v>
                </c:pt>
              </c:numCache>
            </c:numRef>
          </c:val>
          <c:smooth val="0"/>
          <c:extLst>
            <c:ext xmlns:c16="http://schemas.microsoft.com/office/drawing/2014/chart" uri="{C3380CC4-5D6E-409C-BE32-E72D297353CC}">
              <c16:uniqueId val="{00000002-8ECD-42C4-9F18-2E5722E154C3}"/>
            </c:ext>
          </c:extLst>
        </c:ser>
        <c:dLbls>
          <c:showLegendKey val="0"/>
          <c:showVal val="0"/>
          <c:showCatName val="0"/>
          <c:showSerName val="0"/>
          <c:showPercent val="0"/>
          <c:showBubbleSize val="0"/>
        </c:dLbls>
        <c:marker val="1"/>
        <c:smooth val="0"/>
        <c:axId val="829116168"/>
        <c:axId val="829114600"/>
      </c:lineChart>
      <c:catAx>
        <c:axId val="698074552"/>
        <c:scaling>
          <c:orientation val="minMax"/>
        </c:scaling>
        <c:delete val="0"/>
        <c:axPos val="b"/>
        <c:title>
          <c:tx>
            <c:rich>
              <a:bodyPr rot="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r>
                  <a:rPr lang="en-AU" b="1">
                    <a:solidFill>
                      <a:schemeClr val="tx1"/>
                    </a:solidFill>
                  </a:rPr>
                  <a:t>Month</a:t>
                </a:r>
              </a:p>
            </c:rich>
          </c:tx>
          <c:overlay val="0"/>
          <c:spPr>
            <a:noFill/>
            <a:ln>
              <a:noFill/>
            </a:ln>
            <a:effectLst/>
          </c:spPr>
          <c:txPr>
            <a:bodyPr rot="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b" anchorCtr="0"/>
          <a:lstStyle/>
          <a:p>
            <a:pPr>
              <a:defRPr sz="900" b="0" i="0" u="none" strike="noStrike" kern="1200" baseline="0">
                <a:solidFill>
                  <a:schemeClr val="tx1"/>
                </a:solidFill>
                <a:latin typeface="+mn-lt"/>
                <a:ea typeface="+mn-ea"/>
                <a:cs typeface="+mn-cs"/>
              </a:defRPr>
            </a:pPr>
            <a:endParaRPr lang="en-US"/>
          </a:p>
        </c:txPr>
        <c:crossAx val="698075728"/>
        <c:crosses val="autoZero"/>
        <c:auto val="1"/>
        <c:lblAlgn val="ctr"/>
        <c:lblOffset val="100"/>
        <c:noMultiLvlLbl val="0"/>
      </c:catAx>
      <c:valAx>
        <c:axId val="69807572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r>
                  <a:rPr lang="en-AU" sz="1000" b="1" i="0" baseline="0">
                    <a:solidFill>
                      <a:schemeClr val="tx1"/>
                    </a:solidFill>
                    <a:effectLst/>
                  </a:rPr>
                  <a:t>Mean Temperature (</a:t>
                </a:r>
                <a:r>
                  <a:rPr lang="en-AU" sz="1000" b="1" i="0" u="none" strike="noStrike" kern="1200" baseline="0">
                    <a:solidFill>
                      <a:schemeClr val="tx1"/>
                    </a:solidFill>
                    <a:effectLst/>
                    <a:latin typeface="+mn-lt"/>
                    <a:ea typeface="+mn-ea"/>
                    <a:cs typeface="+mn-cs"/>
                  </a:rPr>
                  <a:t> °C</a:t>
                </a:r>
                <a:r>
                  <a:rPr lang="en-AU" sz="1000" b="1" i="0" baseline="0">
                    <a:solidFill>
                      <a:schemeClr val="tx1"/>
                    </a:solidFill>
                    <a:effectLst/>
                  </a:rPr>
                  <a:t>)</a:t>
                </a:r>
                <a:endParaRPr lang="en-AU" sz="1000">
                  <a:solidFill>
                    <a:schemeClr val="tx1"/>
                  </a:solidFill>
                  <a:effectLst/>
                </a:endParaRPr>
              </a:p>
            </c:rich>
          </c:tx>
          <c:layout>
            <c:manualLayout>
              <c:xMode val="edge"/>
              <c:yMode val="edge"/>
              <c:x val="4.8812019566736545E-2"/>
              <c:y val="0.14213395224321904"/>
            </c:manualLayout>
          </c:layout>
          <c:overlay val="0"/>
          <c:spPr>
            <a:noFill/>
            <a:ln>
              <a:noFill/>
            </a:ln>
            <a:effectLst/>
          </c:spPr>
          <c:txPr>
            <a:bodyPr rot="-540000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8074552"/>
        <c:crosses val="autoZero"/>
        <c:crossBetween val="between"/>
      </c:valAx>
      <c:valAx>
        <c:axId val="829114600"/>
        <c:scaling>
          <c:orientation val="minMax"/>
        </c:scaling>
        <c:delete val="0"/>
        <c:axPos val="r"/>
        <c:title>
          <c:tx>
            <c:rich>
              <a:bodyPr rot="-540000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r>
                  <a:rPr lang="en-AU" b="1">
                    <a:solidFill>
                      <a:sysClr val="windowText" lastClr="000000"/>
                    </a:solidFill>
                  </a:rPr>
                  <a:t>Mean Rainfall </a:t>
                </a:r>
                <a:r>
                  <a:rPr lang="en-AU" b="1" baseline="0">
                    <a:solidFill>
                      <a:sysClr val="windowText" lastClr="000000"/>
                    </a:solidFill>
                  </a:rPr>
                  <a:t>(mm)</a:t>
                </a:r>
                <a:endParaRPr lang="en-AU" b="1">
                  <a:solidFill>
                    <a:sysClr val="windowText" lastClr="000000"/>
                  </a:solidFill>
                </a:endParaRPr>
              </a:p>
            </c:rich>
          </c:tx>
          <c:layout>
            <c:manualLayout>
              <c:xMode val="edge"/>
              <c:yMode val="edge"/>
              <c:x val="0.88371628232005606"/>
              <c:y val="0.16143688826538552"/>
            </c:manualLayout>
          </c:layout>
          <c:overlay val="0"/>
          <c:spPr>
            <a:noFill/>
            <a:ln>
              <a:noFill/>
            </a:ln>
            <a:effectLst/>
          </c:spPr>
          <c:txPr>
            <a:bodyPr rot="-540000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29116168"/>
        <c:crosses val="max"/>
        <c:crossBetween val="between"/>
      </c:valAx>
      <c:catAx>
        <c:axId val="829116168"/>
        <c:scaling>
          <c:orientation val="minMax"/>
        </c:scaling>
        <c:delete val="1"/>
        <c:axPos val="b"/>
        <c:numFmt formatCode="General" sourceLinked="1"/>
        <c:majorTickMark val="out"/>
        <c:minorTickMark val="none"/>
        <c:tickLblPos val="nextTo"/>
        <c:crossAx val="82911460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05170-6725-4E4F-A866-9D62E9743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328</Pages>
  <Words>149135</Words>
  <Characters>850076</Characters>
  <Application>Microsoft Office Word</Application>
  <DocSecurity>0</DocSecurity>
  <Lines>7083</Lines>
  <Paragraphs>1994</Paragraphs>
  <ScaleCrop>false</ScaleCrop>
  <HeadingPairs>
    <vt:vector size="2" baseType="variant">
      <vt:variant>
        <vt:lpstr>Title</vt:lpstr>
      </vt:variant>
      <vt:variant>
        <vt:i4>1</vt:i4>
      </vt:variant>
    </vt:vector>
  </HeadingPairs>
  <TitlesOfParts>
    <vt:vector size="1" baseType="lpstr">
      <vt:lpstr>Final report for the review of biosecurity import requirements for fresh apple fruit from the Pacific Northwest states of the United States of America</vt:lpstr>
    </vt:vector>
  </TitlesOfParts>
  <Company/>
  <LinksUpToDate>false</LinksUpToDate>
  <CharactersWithSpaces>997217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for the review of biosecurity import requirements for fresh apple fruit from the Pacific Northwest states of the United States of America</dc:title>
  <dc:subject/>
  <dc:creator>Department of Agriculture, Fisheries and Forestry</dc:creator>
  <cp:keywords/>
  <dc:description/>
  <cp:lastModifiedBy>Nov, Amanda</cp:lastModifiedBy>
  <cp:revision>38</cp:revision>
  <cp:lastPrinted>2022-10-17T04:25:00Z</cp:lastPrinted>
  <dcterms:created xsi:type="dcterms:W3CDTF">2022-10-24T00:18:00Z</dcterms:created>
  <dcterms:modified xsi:type="dcterms:W3CDTF">2022-10-27T08:38:00Z</dcterms:modified>
</cp:coreProperties>
</file>