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C224" w14:textId="2270540C" w:rsidR="00DE1F02" w:rsidRPr="00E1287E" w:rsidRDefault="003378E3" w:rsidP="00E1287E">
      <w:pPr>
        <w:pStyle w:val="Title"/>
        <w:rPr>
          <w:b/>
          <w:bCs/>
        </w:rPr>
      </w:pPr>
      <w:r w:rsidRPr="00E1287E">
        <w:rPr>
          <w:b/>
          <w:bCs/>
        </w:rPr>
        <w:t>Farm Management Deposits Scheme evaluation 2021—</w:t>
      </w:r>
      <w:r w:rsidR="00DE1F02" w:rsidRPr="00E1287E">
        <w:rPr>
          <w:b/>
          <w:bCs/>
        </w:rPr>
        <w:t xml:space="preserve">Australian Government </w:t>
      </w:r>
      <w:r w:rsidRPr="00E1287E">
        <w:rPr>
          <w:b/>
          <w:bCs/>
        </w:rPr>
        <w:t>r</w:t>
      </w:r>
      <w:r w:rsidR="00DE1F02" w:rsidRPr="00E1287E">
        <w:rPr>
          <w:b/>
          <w:bCs/>
        </w:rPr>
        <w:t>esponse</w:t>
      </w:r>
    </w:p>
    <w:p w14:paraId="199AE9C2" w14:textId="77777777" w:rsidR="00E1287E" w:rsidRDefault="00E1287E" w:rsidP="00E1287E"/>
    <w:p w14:paraId="0FCD6AB5" w14:textId="36EF68F9" w:rsidR="00B41EA5" w:rsidRDefault="008526FF" w:rsidP="00E1287E">
      <w:r w:rsidRPr="008526FF">
        <w:t>The F</w:t>
      </w:r>
      <w:r w:rsidR="001677A6">
        <w:t xml:space="preserve">arm </w:t>
      </w:r>
      <w:r w:rsidRPr="008526FF">
        <w:t>M</w:t>
      </w:r>
      <w:r w:rsidR="001677A6">
        <w:t xml:space="preserve">anagement </w:t>
      </w:r>
      <w:r w:rsidRPr="008526FF">
        <w:t>D</w:t>
      </w:r>
      <w:r w:rsidR="001677A6">
        <w:t>eposits (FMD)</w:t>
      </w:r>
      <w:r w:rsidRPr="008526FF">
        <w:t xml:space="preserve"> Scheme </w:t>
      </w:r>
      <w:r w:rsidR="00F922AE">
        <w:t xml:space="preserve">was established in 1999 to </w:t>
      </w:r>
      <w:r w:rsidR="00C933D4">
        <w:t>help primary producers manage fluctuating cash flows and to increase their financial self-reliance.</w:t>
      </w:r>
    </w:p>
    <w:p w14:paraId="613FF9BB" w14:textId="69BD56B6" w:rsidR="00C933D4" w:rsidRDefault="00B41EA5" w:rsidP="00E1287E">
      <w:r>
        <w:t xml:space="preserve">The scheme </w:t>
      </w:r>
      <w:r w:rsidR="0093701D" w:rsidRPr="0093701D">
        <w:t xml:space="preserve">allows eligible primary producers to set aside pre-tax income, which they can draw on in future years when they need it. Income deposited into an FMD account is tax deductible in the financial year the deposit is made. It becomes taxable income in the financial year it is withdrawn. </w:t>
      </w:r>
      <w:r w:rsidR="00C933D4">
        <w:t>This reduces the impact of marginal income tax rates on income that can be highly variable from year to year</w:t>
      </w:r>
      <w:r w:rsidR="00670751">
        <w:t xml:space="preserve">, while </w:t>
      </w:r>
      <w:r w:rsidR="00C933D4">
        <w:t>encourag</w:t>
      </w:r>
      <w:r w:rsidR="00670751">
        <w:t>ing</w:t>
      </w:r>
      <w:r w:rsidR="00C933D4">
        <w:t xml:space="preserve"> the accumulation of cash reserves necessary to manage difficult years.</w:t>
      </w:r>
    </w:p>
    <w:p w14:paraId="2B1939B0" w14:textId="4532CE2C" w:rsidR="00B41EA5" w:rsidRDefault="00817051" w:rsidP="00E1287E">
      <w:pPr>
        <w:spacing w:after="0"/>
      </w:pPr>
      <w:r>
        <w:t>The FMD Scheme demonstrates the Australian Government’s ongoing commitment to</w:t>
      </w:r>
      <w:r w:rsidR="0051437D">
        <w:t xml:space="preserve"> </w:t>
      </w:r>
      <w:r w:rsidR="00ED38B5">
        <w:t>strengthen the resilience of Australian farm businesses and communities.</w:t>
      </w:r>
    </w:p>
    <w:p w14:paraId="491C353E" w14:textId="77777777" w:rsidR="00E1287E" w:rsidRPr="008526FF" w:rsidRDefault="00E1287E" w:rsidP="00E1287E">
      <w:pPr>
        <w:spacing w:after="0"/>
      </w:pPr>
    </w:p>
    <w:tbl>
      <w:tblPr>
        <w:tblStyle w:val="TableGrid"/>
        <w:tblW w:w="0" w:type="auto"/>
        <w:tblLook w:val="04A0" w:firstRow="1" w:lastRow="0" w:firstColumn="1" w:lastColumn="0" w:noHBand="0" w:noVBand="1"/>
      </w:tblPr>
      <w:tblGrid>
        <w:gridCol w:w="988"/>
        <w:gridCol w:w="3969"/>
        <w:gridCol w:w="4059"/>
      </w:tblGrid>
      <w:tr w:rsidR="00DE1F02" w14:paraId="229A6591" w14:textId="77777777" w:rsidTr="00DE1F02">
        <w:tc>
          <w:tcPr>
            <w:tcW w:w="988" w:type="dxa"/>
          </w:tcPr>
          <w:p w14:paraId="1F6370D1" w14:textId="6B5D5D6F" w:rsidR="00DE1F02" w:rsidRPr="00E1287E" w:rsidRDefault="00DE1F02" w:rsidP="002B7EBE">
            <w:pPr>
              <w:jc w:val="center"/>
              <w:rPr>
                <w:rStyle w:val="Strong"/>
              </w:rPr>
            </w:pPr>
            <w:r w:rsidRPr="00E1287E">
              <w:rPr>
                <w:rStyle w:val="Strong"/>
              </w:rPr>
              <w:t>Number</w:t>
            </w:r>
          </w:p>
        </w:tc>
        <w:tc>
          <w:tcPr>
            <w:tcW w:w="3969" w:type="dxa"/>
          </w:tcPr>
          <w:p w14:paraId="44EBC211" w14:textId="22E71DDF" w:rsidR="00DE1F02" w:rsidRPr="00E1287E" w:rsidRDefault="00DE1F02" w:rsidP="00E1287E">
            <w:pPr>
              <w:rPr>
                <w:rStyle w:val="Strong"/>
              </w:rPr>
            </w:pPr>
            <w:r w:rsidRPr="00E1287E">
              <w:rPr>
                <w:rStyle w:val="Strong"/>
              </w:rPr>
              <w:t>Recommendation</w:t>
            </w:r>
          </w:p>
        </w:tc>
        <w:tc>
          <w:tcPr>
            <w:tcW w:w="4059" w:type="dxa"/>
          </w:tcPr>
          <w:p w14:paraId="2380E33D" w14:textId="6AFABC28" w:rsidR="00DE1F02" w:rsidRPr="00E1287E" w:rsidRDefault="00DE1F02" w:rsidP="00E1287E">
            <w:pPr>
              <w:rPr>
                <w:rStyle w:val="Strong"/>
              </w:rPr>
            </w:pPr>
            <w:r w:rsidRPr="00E1287E">
              <w:rPr>
                <w:rStyle w:val="Strong"/>
              </w:rPr>
              <w:t>Government response</w:t>
            </w:r>
          </w:p>
        </w:tc>
      </w:tr>
      <w:tr w:rsidR="00DE1F02" w14:paraId="501385AF" w14:textId="77777777" w:rsidTr="00DE1F02">
        <w:tc>
          <w:tcPr>
            <w:tcW w:w="988" w:type="dxa"/>
          </w:tcPr>
          <w:p w14:paraId="18372D51" w14:textId="254E0572" w:rsidR="00DE1F02" w:rsidRPr="00DE1F02" w:rsidRDefault="00DE1F02" w:rsidP="002B7EBE">
            <w:pPr>
              <w:jc w:val="center"/>
              <w:rPr>
                <w:rFonts w:cstheme="minorHAnsi"/>
              </w:rPr>
            </w:pPr>
            <w:r>
              <w:rPr>
                <w:rFonts w:cstheme="minorHAnsi"/>
              </w:rPr>
              <w:t>1.</w:t>
            </w:r>
          </w:p>
        </w:tc>
        <w:tc>
          <w:tcPr>
            <w:tcW w:w="3969" w:type="dxa"/>
          </w:tcPr>
          <w:p w14:paraId="17D23466" w14:textId="7999A417" w:rsidR="00DE1F02" w:rsidRPr="00DE1F02" w:rsidRDefault="00DE1F02" w:rsidP="00E1287E">
            <w:pPr>
              <w:rPr>
                <w:rFonts w:cstheme="minorHAnsi"/>
              </w:rPr>
            </w:pPr>
            <w:r w:rsidRPr="00DE1F02">
              <w:rPr>
                <w:rFonts w:cstheme="minorHAnsi"/>
              </w:rPr>
              <w:t xml:space="preserve">Ensure consistency and alignment between the FMD Scheme and related government programs focussing on preparedness, </w:t>
            </w:r>
            <w:proofErr w:type="gramStart"/>
            <w:r w:rsidRPr="00DE1F02">
              <w:rPr>
                <w:rFonts w:cstheme="minorHAnsi"/>
              </w:rPr>
              <w:t>resilience</w:t>
            </w:r>
            <w:proofErr w:type="gramEnd"/>
            <w:r w:rsidRPr="00DE1F02">
              <w:rPr>
                <w:rFonts w:cstheme="minorHAnsi"/>
              </w:rPr>
              <w:t xml:space="preserve"> and recovery, including the Future Drought Fund.</w:t>
            </w:r>
          </w:p>
        </w:tc>
        <w:tc>
          <w:tcPr>
            <w:tcW w:w="4059" w:type="dxa"/>
          </w:tcPr>
          <w:p w14:paraId="7B385330" w14:textId="77777777" w:rsidR="00DE1F02" w:rsidRPr="00C57D41" w:rsidRDefault="003B265E" w:rsidP="00E1287E">
            <w:pPr>
              <w:rPr>
                <w:i/>
                <w:iCs/>
              </w:rPr>
            </w:pPr>
            <w:r w:rsidRPr="00C57D41">
              <w:rPr>
                <w:i/>
                <w:iCs/>
              </w:rPr>
              <w:t>Agree</w:t>
            </w:r>
          </w:p>
          <w:p w14:paraId="329A7964" w14:textId="77777777" w:rsidR="005B5788" w:rsidRDefault="005B5788" w:rsidP="00E1287E"/>
          <w:p w14:paraId="71603372" w14:textId="77777777" w:rsidR="00055182" w:rsidRDefault="00055182" w:rsidP="00E1287E">
            <w:r>
              <w:t>The gov</w:t>
            </w:r>
            <w:r w:rsidR="00244E02">
              <w:t>ernment</w:t>
            </w:r>
            <w:r w:rsidR="00F758F3">
              <w:t xml:space="preserve"> </w:t>
            </w:r>
            <w:r>
              <w:t xml:space="preserve">will </w:t>
            </w:r>
            <w:r w:rsidR="00E31C80">
              <w:t xml:space="preserve">consider the role of FMDs when </w:t>
            </w:r>
            <w:r w:rsidR="004D2192">
              <w:t>build</w:t>
            </w:r>
            <w:r w:rsidR="00E31C80">
              <w:t>ing</w:t>
            </w:r>
            <w:r w:rsidR="004D2192">
              <w:t xml:space="preserve"> on existing policies, frameworks and programs </w:t>
            </w:r>
            <w:r w:rsidR="00D151ED">
              <w:t xml:space="preserve">that support </w:t>
            </w:r>
            <w:r w:rsidR="00F65B5C">
              <w:t>preparedness</w:t>
            </w:r>
            <w:r w:rsidR="00D151ED">
              <w:t xml:space="preserve">, </w:t>
            </w:r>
            <w:proofErr w:type="gramStart"/>
            <w:r w:rsidR="00D151ED">
              <w:t>resilience</w:t>
            </w:r>
            <w:proofErr w:type="gramEnd"/>
            <w:r w:rsidR="00D151ED">
              <w:t xml:space="preserve"> and recovery</w:t>
            </w:r>
            <w:r w:rsidR="00F65B5C">
              <w:t xml:space="preserve"> outcomes</w:t>
            </w:r>
            <w:r w:rsidR="00771EA2">
              <w:t>.</w:t>
            </w:r>
            <w:r w:rsidR="003261F5">
              <w:t xml:space="preserve"> </w:t>
            </w:r>
          </w:p>
          <w:p w14:paraId="7630FAD4" w14:textId="40D2C86F" w:rsidR="00E1287E" w:rsidRDefault="00E1287E" w:rsidP="00E1287E"/>
        </w:tc>
      </w:tr>
      <w:tr w:rsidR="00DE1F02" w14:paraId="1971BF47" w14:textId="77777777" w:rsidTr="00DE1F02">
        <w:tc>
          <w:tcPr>
            <w:tcW w:w="988" w:type="dxa"/>
          </w:tcPr>
          <w:p w14:paraId="17FC6F5B" w14:textId="3D33A1FC" w:rsidR="00DE1F02" w:rsidRDefault="00DE1F02" w:rsidP="002B7EBE">
            <w:pPr>
              <w:jc w:val="center"/>
            </w:pPr>
            <w:r>
              <w:t>2.</w:t>
            </w:r>
          </w:p>
        </w:tc>
        <w:tc>
          <w:tcPr>
            <w:tcW w:w="3969" w:type="dxa"/>
          </w:tcPr>
          <w:p w14:paraId="4A48B54C" w14:textId="163901EA" w:rsidR="00DE1F02" w:rsidRPr="00DE1F02" w:rsidRDefault="00DE1F02" w:rsidP="00E1287E">
            <w:pPr>
              <w:rPr>
                <w:rFonts w:cstheme="minorHAnsi"/>
              </w:rPr>
            </w:pPr>
            <w:r w:rsidRPr="00DE1F02">
              <w:rPr>
                <w:rFonts w:cstheme="minorHAnsi"/>
              </w:rPr>
              <w:t xml:space="preserve">Government programs and initiatives related to risk management and building drought resilience, including the FMD Scheme, are maintained as a strategic, integrated package, including a unified approach to </w:t>
            </w:r>
            <w:proofErr w:type="gramStart"/>
            <w:r w:rsidRPr="00DE1F02">
              <w:rPr>
                <w:rFonts w:cstheme="minorHAnsi"/>
              </w:rPr>
              <w:t>communication</w:t>
            </w:r>
            <w:proofErr w:type="gramEnd"/>
            <w:r w:rsidRPr="00DE1F02">
              <w:rPr>
                <w:rFonts w:cstheme="minorHAnsi"/>
              </w:rPr>
              <w:t xml:space="preserve"> and monitoring and evaluation.</w:t>
            </w:r>
          </w:p>
        </w:tc>
        <w:tc>
          <w:tcPr>
            <w:tcW w:w="4059" w:type="dxa"/>
          </w:tcPr>
          <w:p w14:paraId="56834A44" w14:textId="7AB4F7A2" w:rsidR="00DE1F02" w:rsidRPr="00C57D41" w:rsidRDefault="003B265E" w:rsidP="00E1287E">
            <w:pPr>
              <w:rPr>
                <w:i/>
                <w:iCs/>
              </w:rPr>
            </w:pPr>
            <w:r w:rsidRPr="00C57D41">
              <w:rPr>
                <w:i/>
                <w:iCs/>
              </w:rPr>
              <w:t>Agree</w:t>
            </w:r>
            <w:r w:rsidR="00055182" w:rsidRPr="00C57D41">
              <w:rPr>
                <w:i/>
                <w:iCs/>
              </w:rPr>
              <w:t xml:space="preserve"> </w:t>
            </w:r>
          </w:p>
          <w:p w14:paraId="6D886F9E" w14:textId="77777777" w:rsidR="005B5788" w:rsidRDefault="005B5788" w:rsidP="00E1287E"/>
          <w:p w14:paraId="027655B3" w14:textId="77777777" w:rsidR="009E2FA3" w:rsidRDefault="00940F09" w:rsidP="00E1287E">
            <w:r>
              <w:t>The g</w:t>
            </w:r>
            <w:r w:rsidR="00F166CD">
              <w:t>overnment</w:t>
            </w:r>
            <w:r w:rsidR="00566576">
              <w:t xml:space="preserve"> </w:t>
            </w:r>
            <w:r w:rsidR="00AE6903">
              <w:t xml:space="preserve">will work to </w:t>
            </w:r>
            <w:r w:rsidR="00E31C80">
              <w:t xml:space="preserve">incorporate FMDs in </w:t>
            </w:r>
            <w:r w:rsidR="00AE6903">
              <w:t>drought resilience and risk management initiatives</w:t>
            </w:r>
            <w:r w:rsidR="00046BA7">
              <w:t>,</w:t>
            </w:r>
            <w:r w:rsidR="00AE6903">
              <w:t xml:space="preserve"> </w:t>
            </w:r>
            <w:r w:rsidR="00E31C80">
              <w:t xml:space="preserve">including </w:t>
            </w:r>
            <w:r w:rsidR="00C57D41">
              <w:t xml:space="preserve">coordinated communication </w:t>
            </w:r>
            <w:r w:rsidR="00E31C80">
              <w:t xml:space="preserve">and </w:t>
            </w:r>
            <w:r w:rsidR="00F166CD">
              <w:t>progress</w:t>
            </w:r>
            <w:r w:rsidR="00566576">
              <w:t>ing standardised monitoring and evaluation principles</w:t>
            </w:r>
            <w:r w:rsidR="00C57D41">
              <w:t>.</w:t>
            </w:r>
            <w:r w:rsidR="00AE6903">
              <w:t xml:space="preserve"> </w:t>
            </w:r>
          </w:p>
          <w:p w14:paraId="62600A23" w14:textId="12A2968D" w:rsidR="00E1287E" w:rsidRDefault="00E1287E" w:rsidP="00E1287E"/>
        </w:tc>
      </w:tr>
      <w:tr w:rsidR="00DE1F02" w14:paraId="3291BEE0" w14:textId="77777777" w:rsidTr="00DE1F02">
        <w:tc>
          <w:tcPr>
            <w:tcW w:w="988" w:type="dxa"/>
          </w:tcPr>
          <w:p w14:paraId="3BC3C31C" w14:textId="00DA0389" w:rsidR="00DE1F02" w:rsidRDefault="00DE1F02" w:rsidP="002B7EBE">
            <w:pPr>
              <w:jc w:val="center"/>
            </w:pPr>
            <w:r>
              <w:t>3</w:t>
            </w:r>
            <w:r w:rsidR="00F81358">
              <w:t>.</w:t>
            </w:r>
          </w:p>
        </w:tc>
        <w:tc>
          <w:tcPr>
            <w:tcW w:w="3969" w:type="dxa"/>
          </w:tcPr>
          <w:p w14:paraId="6020EB7A" w14:textId="522BE915" w:rsidR="00DE1F02" w:rsidRPr="00F81358" w:rsidRDefault="00F81358" w:rsidP="00E1287E">
            <w:pPr>
              <w:rPr>
                <w:rFonts w:cstheme="minorHAnsi"/>
              </w:rPr>
            </w:pPr>
            <w:r w:rsidRPr="00F81358">
              <w:rPr>
                <w:rFonts w:cstheme="minorHAnsi"/>
              </w:rPr>
              <w:t>The ATO considers undertaking specific and targeted communication with accountants and financial advisers on tax averaging for primary producers and how it relates to the FMD Scheme.</w:t>
            </w:r>
          </w:p>
        </w:tc>
        <w:tc>
          <w:tcPr>
            <w:tcW w:w="4059" w:type="dxa"/>
          </w:tcPr>
          <w:p w14:paraId="0D572E0D" w14:textId="77777777" w:rsidR="00DE1F02" w:rsidRDefault="003B265E" w:rsidP="00E1287E">
            <w:r w:rsidRPr="00C57D41">
              <w:rPr>
                <w:i/>
                <w:iCs/>
              </w:rPr>
              <w:t>Agree</w:t>
            </w:r>
            <w:r w:rsidR="005B5788">
              <w:br/>
            </w:r>
            <w:r w:rsidR="005B5788">
              <w:br/>
            </w:r>
            <w:r w:rsidR="002851A8" w:rsidRPr="002851A8">
              <w:t>The ATO will undertake targeted communication with tax professionals with clients that have FMD</w:t>
            </w:r>
            <w:r w:rsidR="00716985">
              <w:t>s</w:t>
            </w:r>
            <w:r w:rsidR="002851A8" w:rsidRPr="002851A8">
              <w:t>, and how income tax averaging for primary producers applies to the FMD Scheme.</w:t>
            </w:r>
          </w:p>
          <w:p w14:paraId="69F68D25" w14:textId="10C26988" w:rsidR="00E1287E" w:rsidRDefault="00E1287E" w:rsidP="00E1287E"/>
        </w:tc>
      </w:tr>
      <w:tr w:rsidR="00DE1F02" w14:paraId="70337511" w14:textId="77777777" w:rsidTr="00DE1F02">
        <w:tc>
          <w:tcPr>
            <w:tcW w:w="988" w:type="dxa"/>
          </w:tcPr>
          <w:p w14:paraId="1C546993" w14:textId="46C66115" w:rsidR="00DE1F02" w:rsidRDefault="00BB551D" w:rsidP="002B7EBE">
            <w:pPr>
              <w:jc w:val="center"/>
            </w:pPr>
            <w:r>
              <w:t>4.</w:t>
            </w:r>
          </w:p>
        </w:tc>
        <w:tc>
          <w:tcPr>
            <w:tcW w:w="3969" w:type="dxa"/>
          </w:tcPr>
          <w:p w14:paraId="42A7F6E4" w14:textId="77777777" w:rsidR="00DE1F02" w:rsidRDefault="00BB551D" w:rsidP="00E1287E">
            <w:pPr>
              <w:rPr>
                <w:rFonts w:cstheme="minorHAnsi"/>
              </w:rPr>
            </w:pPr>
            <w:r w:rsidRPr="00BB551D">
              <w:rPr>
                <w:rFonts w:cstheme="minorHAnsi"/>
              </w:rPr>
              <w:t xml:space="preserve">DAWE and ATO continue to work with the </w:t>
            </w:r>
            <w:r w:rsidR="00C57D41">
              <w:rPr>
                <w:rFonts w:cstheme="minorHAnsi"/>
              </w:rPr>
              <w:t>authorised deposit-taking institutions (</w:t>
            </w:r>
            <w:proofErr w:type="spellStart"/>
            <w:r w:rsidRPr="00BB551D">
              <w:rPr>
                <w:rFonts w:cstheme="minorHAnsi"/>
              </w:rPr>
              <w:t>ADIs</w:t>
            </w:r>
            <w:proofErr w:type="spellEnd"/>
            <w:r w:rsidR="00C57D41">
              <w:rPr>
                <w:rFonts w:cstheme="minorHAnsi"/>
              </w:rPr>
              <w:t>)</w:t>
            </w:r>
            <w:r w:rsidRPr="00BB551D">
              <w:rPr>
                <w:rFonts w:cstheme="minorHAnsi"/>
              </w:rPr>
              <w:t xml:space="preserve"> to improve the collection and reporting of data on the FMD Scheme, to improve transparency on the scheme’s outputs and outcomes.</w:t>
            </w:r>
          </w:p>
          <w:p w14:paraId="6D62E9D7" w14:textId="648E5035" w:rsidR="00E1287E" w:rsidRPr="00BB551D" w:rsidRDefault="00E1287E" w:rsidP="00E1287E">
            <w:pPr>
              <w:rPr>
                <w:rFonts w:cstheme="minorHAnsi"/>
              </w:rPr>
            </w:pPr>
          </w:p>
        </w:tc>
        <w:tc>
          <w:tcPr>
            <w:tcW w:w="4059" w:type="dxa"/>
          </w:tcPr>
          <w:p w14:paraId="6DF6650A" w14:textId="77777777" w:rsidR="00DE1F02" w:rsidRPr="00C57D41" w:rsidRDefault="00275FA9" w:rsidP="00E1287E">
            <w:pPr>
              <w:rPr>
                <w:i/>
                <w:iCs/>
              </w:rPr>
            </w:pPr>
            <w:r w:rsidRPr="00C57D41">
              <w:rPr>
                <w:i/>
                <w:iCs/>
              </w:rPr>
              <w:t xml:space="preserve">Agree </w:t>
            </w:r>
          </w:p>
          <w:p w14:paraId="2BB6C884" w14:textId="77777777" w:rsidR="007D50C6" w:rsidRDefault="007D50C6" w:rsidP="00E1287E"/>
          <w:p w14:paraId="06B1DB37" w14:textId="1691EBDA" w:rsidR="007D50C6" w:rsidRDefault="002E1B26" w:rsidP="00E1287E">
            <w:r>
              <w:t>DAWE and the ATO will continue to</w:t>
            </w:r>
            <w:r w:rsidR="001B01DC">
              <w:t xml:space="preserve"> work with </w:t>
            </w:r>
            <w:proofErr w:type="spellStart"/>
            <w:r w:rsidR="001B01DC">
              <w:t>ADIs</w:t>
            </w:r>
            <w:proofErr w:type="spellEnd"/>
            <w:r>
              <w:t xml:space="preserve"> </w:t>
            </w:r>
            <w:r w:rsidR="001B01DC">
              <w:t>to improve the quality and integrity of FMD data</w:t>
            </w:r>
            <w:r w:rsidR="00BD6975">
              <w:t xml:space="preserve">. </w:t>
            </w:r>
          </w:p>
        </w:tc>
      </w:tr>
      <w:tr w:rsidR="00DE1F02" w14:paraId="213C406A" w14:textId="77777777" w:rsidTr="00DE1F02">
        <w:tc>
          <w:tcPr>
            <w:tcW w:w="988" w:type="dxa"/>
          </w:tcPr>
          <w:p w14:paraId="011EEDD6" w14:textId="438732F4" w:rsidR="00DE1F02" w:rsidRDefault="00BB551D" w:rsidP="002B7EBE">
            <w:pPr>
              <w:jc w:val="center"/>
            </w:pPr>
            <w:r>
              <w:lastRenderedPageBreak/>
              <w:t>5.</w:t>
            </w:r>
          </w:p>
        </w:tc>
        <w:tc>
          <w:tcPr>
            <w:tcW w:w="3969" w:type="dxa"/>
          </w:tcPr>
          <w:p w14:paraId="1A96EA82" w14:textId="3D9EB94D" w:rsidR="00DE1F02" w:rsidRPr="00BB551D" w:rsidRDefault="00BB551D" w:rsidP="00E1287E">
            <w:pPr>
              <w:rPr>
                <w:rFonts w:cstheme="minorHAnsi"/>
              </w:rPr>
            </w:pPr>
            <w:r w:rsidRPr="00BB551D">
              <w:rPr>
                <w:rFonts w:cstheme="minorHAnsi"/>
              </w:rPr>
              <w:t>DAWE finalise the FMD Scheme Monitoring and Evaluation Plan with the outcomes of this evaluation.</w:t>
            </w:r>
          </w:p>
        </w:tc>
        <w:tc>
          <w:tcPr>
            <w:tcW w:w="4059" w:type="dxa"/>
          </w:tcPr>
          <w:p w14:paraId="7BE0631A" w14:textId="77777777" w:rsidR="00DE1F02" w:rsidRDefault="003B265E" w:rsidP="00E1287E">
            <w:r w:rsidRPr="00C57D41">
              <w:rPr>
                <w:i/>
                <w:iCs/>
              </w:rPr>
              <w:t>Agree</w:t>
            </w:r>
            <w:r w:rsidR="00584CD8">
              <w:br/>
            </w:r>
            <w:r w:rsidR="00584CD8">
              <w:br/>
            </w:r>
            <w:r w:rsidR="00865D4B">
              <w:t xml:space="preserve">In 2022 </w:t>
            </w:r>
            <w:r w:rsidR="00584CD8">
              <w:t xml:space="preserve">DAWE will </w:t>
            </w:r>
            <w:r w:rsidR="00865D4B">
              <w:t xml:space="preserve">update and </w:t>
            </w:r>
            <w:r w:rsidR="00A45B4C">
              <w:t xml:space="preserve">finalise the </w:t>
            </w:r>
            <w:r w:rsidR="00865D4B">
              <w:t xml:space="preserve">FMD Scheme Monitoring and Evaluation Plan, </w:t>
            </w:r>
            <w:r w:rsidR="00123054">
              <w:t>incorporating</w:t>
            </w:r>
            <w:r w:rsidR="00865D4B">
              <w:t xml:space="preserve"> </w:t>
            </w:r>
            <w:r w:rsidR="00123054">
              <w:t xml:space="preserve">evaluation outcomes, </w:t>
            </w:r>
            <w:r w:rsidR="00204D25">
              <w:t>including</w:t>
            </w:r>
            <w:r w:rsidR="00865D4B">
              <w:t xml:space="preserve"> </w:t>
            </w:r>
            <w:r w:rsidR="00204D25">
              <w:t xml:space="preserve">any </w:t>
            </w:r>
            <w:r w:rsidR="00865D4B">
              <w:t xml:space="preserve">revisions to </w:t>
            </w:r>
            <w:r w:rsidR="00204D25">
              <w:t xml:space="preserve">FMD </w:t>
            </w:r>
            <w:r w:rsidR="00865D4B">
              <w:t xml:space="preserve">data collection and analysis </w:t>
            </w:r>
            <w:r w:rsidR="00123054">
              <w:t>protocols</w:t>
            </w:r>
            <w:r w:rsidR="00865D4B">
              <w:t xml:space="preserve"> developed between DAWE and ATO.</w:t>
            </w:r>
          </w:p>
          <w:p w14:paraId="2AAF46CF" w14:textId="63D4F5A3" w:rsidR="00E1287E" w:rsidRDefault="00E1287E" w:rsidP="00E1287E"/>
        </w:tc>
      </w:tr>
      <w:tr w:rsidR="00DE1F02" w14:paraId="3EF07830" w14:textId="77777777" w:rsidTr="00DE1F02">
        <w:tc>
          <w:tcPr>
            <w:tcW w:w="988" w:type="dxa"/>
          </w:tcPr>
          <w:p w14:paraId="1F7FF019" w14:textId="34BA9528" w:rsidR="00DE1F02" w:rsidRDefault="00BB551D" w:rsidP="002B7EBE">
            <w:pPr>
              <w:jc w:val="center"/>
            </w:pPr>
            <w:r>
              <w:t>6.</w:t>
            </w:r>
          </w:p>
        </w:tc>
        <w:tc>
          <w:tcPr>
            <w:tcW w:w="3969" w:type="dxa"/>
          </w:tcPr>
          <w:p w14:paraId="0A2AB927" w14:textId="0D379957" w:rsidR="00DE1F02" w:rsidRPr="00BB551D" w:rsidRDefault="00BB551D" w:rsidP="00E1287E">
            <w:pPr>
              <w:rPr>
                <w:rFonts w:cstheme="minorHAnsi"/>
              </w:rPr>
            </w:pPr>
            <w:r w:rsidRPr="00BB551D">
              <w:rPr>
                <w:rFonts w:cstheme="minorHAnsi"/>
              </w:rPr>
              <w:t>DAWE review the FMD Scheme Agency Responsibilities Interim Plan in early 2022 and prepare a new Memorandum of Understanding if appropriate.</w:t>
            </w:r>
          </w:p>
        </w:tc>
        <w:tc>
          <w:tcPr>
            <w:tcW w:w="4059" w:type="dxa"/>
          </w:tcPr>
          <w:p w14:paraId="7ECA0F96" w14:textId="0B8CFB9D" w:rsidR="00DE1F02" w:rsidRPr="00C57D41" w:rsidRDefault="0030076A" w:rsidP="00E1287E">
            <w:pPr>
              <w:rPr>
                <w:i/>
                <w:iCs/>
              </w:rPr>
            </w:pPr>
            <w:r w:rsidRPr="00C57D41">
              <w:rPr>
                <w:i/>
                <w:iCs/>
              </w:rPr>
              <w:t>Agree</w:t>
            </w:r>
            <w:r w:rsidR="00387B93" w:rsidRPr="00C57D41">
              <w:rPr>
                <w:i/>
                <w:iCs/>
              </w:rPr>
              <w:t xml:space="preserve"> </w:t>
            </w:r>
          </w:p>
          <w:p w14:paraId="27806496" w14:textId="77777777" w:rsidR="00E04CCA" w:rsidRDefault="00E04CCA" w:rsidP="00E1287E"/>
          <w:p w14:paraId="37DCC879" w14:textId="77777777" w:rsidR="00E04CCA" w:rsidRDefault="00387FA8" w:rsidP="00E1287E">
            <w:r>
              <w:t xml:space="preserve">In 2022 </w:t>
            </w:r>
            <w:r w:rsidR="00E04CCA">
              <w:t xml:space="preserve">DAWE will review the FMD Scheme Agency Responsibilities </w:t>
            </w:r>
            <w:r w:rsidR="007F24CE">
              <w:t xml:space="preserve">Interim Plan and </w:t>
            </w:r>
            <w:proofErr w:type="gramStart"/>
            <w:r w:rsidR="007F24CE">
              <w:t>make a decision</w:t>
            </w:r>
            <w:proofErr w:type="gramEnd"/>
            <w:r w:rsidR="007F24CE">
              <w:t xml:space="preserve"> on its extension or </w:t>
            </w:r>
            <w:r w:rsidR="00FC5051">
              <w:t>r</w:t>
            </w:r>
            <w:r w:rsidR="007F24CE">
              <w:t xml:space="preserve">eplacement with </w:t>
            </w:r>
            <w:r w:rsidR="00FC5051">
              <w:t>a new Memorandum of Understanding.</w:t>
            </w:r>
            <w:r w:rsidR="0030076A">
              <w:t xml:space="preserve"> </w:t>
            </w:r>
          </w:p>
          <w:p w14:paraId="240DC2A2" w14:textId="6A46C412" w:rsidR="00E1287E" w:rsidRDefault="00E1287E" w:rsidP="00E1287E"/>
        </w:tc>
      </w:tr>
      <w:tr w:rsidR="00BB551D" w14:paraId="0D459C62" w14:textId="77777777" w:rsidTr="00DE1F02">
        <w:tc>
          <w:tcPr>
            <w:tcW w:w="988" w:type="dxa"/>
          </w:tcPr>
          <w:p w14:paraId="231E9501" w14:textId="74F8E330" w:rsidR="00BB551D" w:rsidRDefault="00BB551D" w:rsidP="002B7EBE">
            <w:pPr>
              <w:jc w:val="center"/>
            </w:pPr>
            <w:r>
              <w:t>7.</w:t>
            </w:r>
          </w:p>
        </w:tc>
        <w:tc>
          <w:tcPr>
            <w:tcW w:w="3969" w:type="dxa"/>
          </w:tcPr>
          <w:p w14:paraId="67470A1F" w14:textId="29025455" w:rsidR="00BB551D" w:rsidRPr="00BB551D" w:rsidRDefault="00BB551D" w:rsidP="00E1287E">
            <w:pPr>
              <w:rPr>
                <w:rFonts w:cstheme="minorHAnsi"/>
              </w:rPr>
            </w:pPr>
            <w:r w:rsidRPr="00BB551D">
              <w:rPr>
                <w:rFonts w:cstheme="minorHAnsi"/>
              </w:rPr>
              <w:t>DAWE consider the cost-effectiveness of the mechanism used to determine whether FMD holders can access the early access provision of the FMD Scheme.</w:t>
            </w:r>
          </w:p>
        </w:tc>
        <w:tc>
          <w:tcPr>
            <w:tcW w:w="4059" w:type="dxa"/>
          </w:tcPr>
          <w:p w14:paraId="6AC9A60E" w14:textId="3A9D6FF5" w:rsidR="00BB551D" w:rsidRPr="00C57D41" w:rsidRDefault="00BC2BC4" w:rsidP="00E1287E">
            <w:pPr>
              <w:rPr>
                <w:i/>
                <w:iCs/>
              </w:rPr>
            </w:pPr>
            <w:r w:rsidRPr="00C57D41">
              <w:rPr>
                <w:i/>
                <w:iCs/>
              </w:rPr>
              <w:t>Agree</w:t>
            </w:r>
            <w:r w:rsidR="00387B93" w:rsidRPr="00C57D41">
              <w:rPr>
                <w:i/>
                <w:iCs/>
              </w:rPr>
              <w:t xml:space="preserve"> </w:t>
            </w:r>
          </w:p>
          <w:p w14:paraId="39EFCFE5" w14:textId="77777777" w:rsidR="00DF51E4" w:rsidRDefault="00DF51E4" w:rsidP="00E1287E"/>
          <w:p w14:paraId="1F42E23A" w14:textId="77777777" w:rsidR="00DF51E4" w:rsidRDefault="00DF51E4" w:rsidP="00E1287E">
            <w:r>
              <w:t xml:space="preserve">DAWE will </w:t>
            </w:r>
            <w:r w:rsidR="00FC5051">
              <w:t xml:space="preserve">examine the cost-effectiveness of the </w:t>
            </w:r>
            <w:r w:rsidR="001854D1">
              <w:t xml:space="preserve">Rainfall Deficiency Analyser provided by the </w:t>
            </w:r>
            <w:r w:rsidR="00FC5051">
              <w:t>Burea</w:t>
            </w:r>
            <w:r w:rsidR="00BC2BC4">
              <w:t>u</w:t>
            </w:r>
            <w:r w:rsidR="00FC5051">
              <w:t xml:space="preserve"> of </w:t>
            </w:r>
            <w:r w:rsidR="00BC2BC4">
              <w:t>Meteorology</w:t>
            </w:r>
            <w:r w:rsidR="006E7FEB">
              <w:t xml:space="preserve">, including consideration of </w:t>
            </w:r>
            <w:r w:rsidR="00387FA8">
              <w:t xml:space="preserve">alternative options </w:t>
            </w:r>
            <w:r w:rsidR="009A54B8">
              <w:t>for</w:t>
            </w:r>
            <w:r w:rsidR="00387FA8">
              <w:t xml:space="preserve"> </w:t>
            </w:r>
            <w:r w:rsidR="00C57D41">
              <w:t>assess</w:t>
            </w:r>
            <w:r w:rsidR="009A54B8">
              <w:t>ing</w:t>
            </w:r>
            <w:r w:rsidR="00387FA8">
              <w:t xml:space="preserve"> whether FMD holders are eligible for </w:t>
            </w:r>
            <w:r w:rsidR="000D0D3B">
              <w:t xml:space="preserve">the </w:t>
            </w:r>
            <w:r w:rsidR="00387FA8">
              <w:t>early access provision.</w:t>
            </w:r>
            <w:r w:rsidR="002F2724">
              <w:t xml:space="preserve"> </w:t>
            </w:r>
          </w:p>
          <w:p w14:paraId="2B5C4165" w14:textId="2C038CF2" w:rsidR="00E1287E" w:rsidRDefault="00E1287E" w:rsidP="00E1287E"/>
        </w:tc>
      </w:tr>
    </w:tbl>
    <w:p w14:paraId="5071B85A" w14:textId="77777777" w:rsidR="008809C1" w:rsidRDefault="008809C1"/>
    <w:sectPr w:rsidR="008809C1" w:rsidSect="00E1287E">
      <w:headerReference w:type="default" r:id="rId12"/>
      <w:footerReference w:type="default" r:id="rId13"/>
      <w:headerReference w:type="first" r:id="rId14"/>
      <w:pgSz w:w="11906" w:h="16838"/>
      <w:pgMar w:top="709" w:right="1440" w:bottom="993"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7D14" w14:textId="77777777" w:rsidR="001110CD" w:rsidRDefault="001110CD" w:rsidP="001110CD">
      <w:pPr>
        <w:spacing w:after="0" w:line="240" w:lineRule="auto"/>
      </w:pPr>
      <w:r>
        <w:separator/>
      </w:r>
    </w:p>
  </w:endnote>
  <w:endnote w:type="continuationSeparator" w:id="0">
    <w:p w14:paraId="1C42AC9E" w14:textId="77777777" w:rsidR="001110CD" w:rsidRDefault="001110CD" w:rsidP="001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4F49" w14:textId="1AABDB6B" w:rsidR="00E1287E" w:rsidRDefault="00E1287E">
    <w:pPr>
      <w:pStyle w:val="Footer"/>
      <w:jc w:val="center"/>
    </w:pPr>
    <w:r w:rsidRPr="00E1287E">
      <w:t>Farm Management Deposits Scheme evaluation 2021—Australian Government response</w:t>
    </w:r>
  </w:p>
  <w:p w14:paraId="2D7FE924" w14:textId="77777777" w:rsidR="00E1287E" w:rsidRDefault="00E1287E">
    <w:pPr>
      <w:pStyle w:val="Footer"/>
      <w:jc w:val="center"/>
    </w:pPr>
  </w:p>
  <w:sdt>
    <w:sdtPr>
      <w:id w:val="1000936995"/>
      <w:docPartObj>
        <w:docPartGallery w:val="Page Numbers (Bottom of Page)"/>
        <w:docPartUnique/>
      </w:docPartObj>
    </w:sdtPr>
    <w:sdtEndPr>
      <w:rPr>
        <w:noProof/>
      </w:rPr>
    </w:sdtEndPr>
    <w:sdtContent>
      <w:p w14:paraId="6D8881EA" w14:textId="669EE3ED" w:rsidR="00E1287E" w:rsidRDefault="00E1287E" w:rsidP="00E128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5671" w14:textId="77777777" w:rsidR="001110CD" w:rsidRDefault="001110CD" w:rsidP="001110CD">
      <w:pPr>
        <w:spacing w:after="0" w:line="240" w:lineRule="auto"/>
      </w:pPr>
      <w:r>
        <w:separator/>
      </w:r>
    </w:p>
  </w:footnote>
  <w:footnote w:type="continuationSeparator" w:id="0">
    <w:p w14:paraId="5C601C31" w14:textId="77777777" w:rsidR="001110CD" w:rsidRDefault="001110CD" w:rsidP="0011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5850" w14:textId="6873A0DF" w:rsidR="001110CD" w:rsidRPr="00877A8A" w:rsidRDefault="001110CD" w:rsidP="003D04F7">
    <w:pPr>
      <w:pStyle w:val="Classification"/>
    </w:pPr>
  </w:p>
  <w:p w14:paraId="0824C264" w14:textId="77777777" w:rsidR="001110CD" w:rsidRPr="001110CD" w:rsidRDefault="001110CD" w:rsidP="001110CD">
    <w:pPr>
      <w:pStyle w:val="Header"/>
      <w:keepNext/>
      <w:spacing w:before="120" w:after="200"/>
      <w:jc w:val="center"/>
      <w:outlineLvl w:val="0"/>
      <w:rPr>
        <w:rFonts w:ascii="Calibri" w:eastAsia="Calibri" w:hAnsi="Calibri" w:cs="Arial"/>
        <w:b/>
        <w:caps/>
        <w:sz w:val="30"/>
      </w:rPr>
    </w:pPr>
    <w:r w:rsidRPr="001110CD">
      <w:rPr>
        <w:rFonts w:ascii="Calibri" w:eastAsia="Calibri" w:hAnsi="Calibri" w:cs="Arial"/>
        <w:b/>
        <w:caps/>
        <w:sz w:val="30"/>
      </w:rPr>
      <w:t>DEPARTMENT OF AGRICULTURE WATER AND THE ENVIRONMENT</w:t>
    </w:r>
  </w:p>
  <w:p w14:paraId="0F826389" w14:textId="77777777" w:rsidR="001110CD" w:rsidRDefault="0011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6497" w14:textId="77777777" w:rsidR="00E1287E" w:rsidRPr="001110CD" w:rsidRDefault="00E1287E" w:rsidP="00E1287E">
    <w:pPr>
      <w:pStyle w:val="Header"/>
      <w:keepNext/>
      <w:spacing w:before="120" w:after="200"/>
      <w:jc w:val="center"/>
      <w:outlineLvl w:val="0"/>
      <w:rPr>
        <w:rFonts w:ascii="Calibri" w:eastAsia="Calibri" w:hAnsi="Calibri" w:cs="Arial"/>
        <w:b/>
        <w:caps/>
        <w:sz w:val="30"/>
      </w:rPr>
    </w:pPr>
    <w:r w:rsidRPr="001110CD">
      <w:rPr>
        <w:rFonts w:ascii="Calibri" w:eastAsia="Calibri" w:hAnsi="Calibri" w:cs="Arial"/>
        <w:b/>
        <w:caps/>
        <w:sz w:val="30"/>
      </w:rPr>
      <w:t>DEPARTMENT OF AGRICULTURE WATER AND THE ENVIRONMENT</w:t>
    </w:r>
  </w:p>
  <w:p w14:paraId="4D6E0C80" w14:textId="77777777" w:rsidR="00E1287E" w:rsidRDefault="00E12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6C0C242"/>
    <w:lvl w:ilvl="0">
      <w:start w:val="1"/>
      <w:numFmt w:val="decimal"/>
      <w:lvlText w:val="%1."/>
      <w:lvlJc w:val="left"/>
      <w:pPr>
        <w:tabs>
          <w:tab w:val="num" w:pos="360"/>
        </w:tabs>
        <w:ind w:left="360" w:hanging="360"/>
      </w:pPr>
    </w:lvl>
  </w:abstractNum>
  <w:abstractNum w:abstractNumId="1" w15:restartNumberingAfterBreak="0">
    <w:nsid w:val="013C1092"/>
    <w:multiLevelType w:val="hybridMultilevel"/>
    <w:tmpl w:val="1E66B608"/>
    <w:lvl w:ilvl="0" w:tplc="8C5C15F6">
      <w:start w:val="1"/>
      <w:numFmt w:val="decimal"/>
      <w:lvlText w:val="%1."/>
      <w:lvlJc w:val="left"/>
      <w:pPr>
        <w:ind w:left="1080" w:hanging="360"/>
      </w:pPr>
      <w:rPr>
        <w:color w:val="auto"/>
      </w:rPr>
    </w:lvl>
    <w:lvl w:ilvl="1" w:tplc="CDF8537E">
      <w:start w:val="1"/>
      <w:numFmt w:val="lowerLetter"/>
      <w:lvlText w:val="%2."/>
      <w:lvlJc w:val="left"/>
      <w:pPr>
        <w:ind w:left="1800" w:hanging="360"/>
      </w:pPr>
    </w:lvl>
    <w:lvl w:ilvl="2" w:tplc="7F28B29E" w:tentative="1">
      <w:start w:val="1"/>
      <w:numFmt w:val="lowerRoman"/>
      <w:lvlText w:val="%3."/>
      <w:lvlJc w:val="right"/>
      <w:pPr>
        <w:ind w:left="2520" w:hanging="180"/>
      </w:pPr>
    </w:lvl>
    <w:lvl w:ilvl="3" w:tplc="FCDAED22" w:tentative="1">
      <w:start w:val="1"/>
      <w:numFmt w:val="decimal"/>
      <w:lvlText w:val="%4."/>
      <w:lvlJc w:val="left"/>
      <w:pPr>
        <w:ind w:left="3240" w:hanging="360"/>
      </w:pPr>
    </w:lvl>
    <w:lvl w:ilvl="4" w:tplc="C7687642" w:tentative="1">
      <w:start w:val="1"/>
      <w:numFmt w:val="lowerLetter"/>
      <w:lvlText w:val="%5."/>
      <w:lvlJc w:val="left"/>
      <w:pPr>
        <w:ind w:left="3960" w:hanging="360"/>
      </w:pPr>
    </w:lvl>
    <w:lvl w:ilvl="5" w:tplc="21BEF6E6" w:tentative="1">
      <w:start w:val="1"/>
      <w:numFmt w:val="lowerRoman"/>
      <w:lvlText w:val="%6."/>
      <w:lvlJc w:val="right"/>
      <w:pPr>
        <w:ind w:left="4680" w:hanging="180"/>
      </w:pPr>
    </w:lvl>
    <w:lvl w:ilvl="6" w:tplc="5DF2A3B6" w:tentative="1">
      <w:start w:val="1"/>
      <w:numFmt w:val="decimal"/>
      <w:lvlText w:val="%7."/>
      <w:lvlJc w:val="left"/>
      <w:pPr>
        <w:ind w:left="5400" w:hanging="360"/>
      </w:pPr>
    </w:lvl>
    <w:lvl w:ilvl="7" w:tplc="0BCA9F06" w:tentative="1">
      <w:start w:val="1"/>
      <w:numFmt w:val="lowerLetter"/>
      <w:lvlText w:val="%8."/>
      <w:lvlJc w:val="left"/>
      <w:pPr>
        <w:ind w:left="6120" w:hanging="360"/>
      </w:pPr>
    </w:lvl>
    <w:lvl w:ilvl="8" w:tplc="438A91B8" w:tentative="1">
      <w:start w:val="1"/>
      <w:numFmt w:val="lowerRoman"/>
      <w:lvlText w:val="%9."/>
      <w:lvlJc w:val="right"/>
      <w:pPr>
        <w:ind w:left="6840" w:hanging="180"/>
      </w:pPr>
    </w:lvl>
  </w:abstractNum>
  <w:abstractNum w:abstractNumId="2" w15:restartNumberingAfterBreak="0">
    <w:nsid w:val="21A328D5"/>
    <w:multiLevelType w:val="hybridMultilevel"/>
    <w:tmpl w:val="B80AEA6E"/>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3799" w:hanging="964"/>
      </w:pPr>
      <w:rPr>
        <w:rFonts w:hint="default"/>
      </w:rPr>
    </w:lvl>
    <w:lvl w:ilvl="2">
      <w:start w:val="1"/>
      <w:numFmt w:val="decimal"/>
      <w:pStyle w:val="Heading4"/>
      <w:lvlText w:val="%1.%2.%3"/>
      <w:lvlJc w:val="left"/>
      <w:pPr>
        <w:ind w:left="252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4A15FE"/>
    <w:multiLevelType w:val="multilevel"/>
    <w:tmpl w:val="F36C17E8"/>
    <w:numStyleLink w:val="Headinglist"/>
  </w:abstractNum>
  <w:abstractNum w:abstractNumId="5" w15:restartNumberingAfterBreak="0">
    <w:nsid w:val="5B8F3B04"/>
    <w:multiLevelType w:val="hybridMultilevel"/>
    <w:tmpl w:val="B80AEA6E"/>
    <w:styleLink w:val="Numberlist"/>
    <w:lvl w:ilvl="0" w:tplc="06AA2660">
      <w:start w:val="1"/>
      <w:numFmt w:val="decimal"/>
      <w:lvlText w:val="%1)"/>
      <w:lvlJc w:val="left"/>
      <w:pPr>
        <w:ind w:left="425" w:hanging="425"/>
      </w:pPr>
      <w:rPr>
        <w:rFonts w:hint="default"/>
        <w:color w:val="auto"/>
      </w:rPr>
    </w:lvl>
    <w:lvl w:ilvl="1" w:tplc="D248C232">
      <w:start w:val="1"/>
      <w:numFmt w:val="lowerLetter"/>
      <w:pStyle w:val="ListNumber2"/>
      <w:lvlText w:val="%2)"/>
      <w:lvlJc w:val="left"/>
      <w:pPr>
        <w:ind w:left="851" w:hanging="426"/>
      </w:pPr>
      <w:rPr>
        <w:rFonts w:hint="default"/>
      </w:rPr>
    </w:lvl>
    <w:lvl w:ilvl="2" w:tplc="8C562690">
      <w:start w:val="1"/>
      <w:numFmt w:val="lowerRoman"/>
      <w:pStyle w:val="ListNumber3"/>
      <w:lvlText w:val="%3)"/>
      <w:lvlJc w:val="left"/>
      <w:pPr>
        <w:ind w:left="1191" w:hanging="340"/>
      </w:pPr>
      <w:rPr>
        <w:rFonts w:hint="default"/>
      </w:rPr>
    </w:lvl>
    <w:lvl w:ilvl="3" w:tplc="C24C7588">
      <w:start w:val="1"/>
      <w:numFmt w:val="decimal"/>
      <w:lvlText w:val="%4."/>
      <w:lvlJc w:val="left"/>
      <w:pPr>
        <w:ind w:left="1276" w:hanging="1276"/>
      </w:pPr>
      <w:rPr>
        <w:rFonts w:hint="default"/>
      </w:rPr>
    </w:lvl>
    <w:lvl w:ilvl="4" w:tplc="59D25656">
      <w:start w:val="1"/>
      <w:numFmt w:val="lowerLetter"/>
      <w:lvlText w:val="%5."/>
      <w:lvlJc w:val="left"/>
      <w:pPr>
        <w:ind w:left="567" w:hanging="567"/>
      </w:pPr>
      <w:rPr>
        <w:rFonts w:hint="default"/>
      </w:rPr>
    </w:lvl>
    <w:lvl w:ilvl="5" w:tplc="8B34ED9C">
      <w:start w:val="1"/>
      <w:numFmt w:val="lowerRoman"/>
      <w:lvlText w:val="%6."/>
      <w:lvlJc w:val="right"/>
      <w:pPr>
        <w:ind w:left="567" w:hanging="567"/>
      </w:pPr>
      <w:rPr>
        <w:rFonts w:hint="default"/>
      </w:rPr>
    </w:lvl>
    <w:lvl w:ilvl="6" w:tplc="FBB84B7E">
      <w:start w:val="1"/>
      <w:numFmt w:val="decimal"/>
      <w:lvlText w:val="%7."/>
      <w:lvlJc w:val="left"/>
      <w:pPr>
        <w:ind w:left="567" w:hanging="567"/>
      </w:pPr>
      <w:rPr>
        <w:rFonts w:hint="default"/>
      </w:rPr>
    </w:lvl>
    <w:lvl w:ilvl="7" w:tplc="A9F82140">
      <w:start w:val="1"/>
      <w:numFmt w:val="lowerLetter"/>
      <w:lvlText w:val="%8."/>
      <w:lvlJc w:val="left"/>
      <w:pPr>
        <w:ind w:left="567" w:hanging="567"/>
      </w:pPr>
      <w:rPr>
        <w:rFonts w:hint="default"/>
      </w:rPr>
    </w:lvl>
    <w:lvl w:ilvl="8" w:tplc="F8D23C80">
      <w:start w:val="1"/>
      <w:numFmt w:val="lowerRoman"/>
      <w:lvlText w:val="%9."/>
      <w:lvlJc w:val="right"/>
      <w:pPr>
        <w:ind w:left="567" w:hanging="567"/>
      </w:pPr>
      <w:rPr>
        <w:rFonts w:hint="default"/>
      </w:rPr>
    </w:lvl>
  </w:abstractNum>
  <w:num w:numId="1">
    <w:abstractNumId w:val="3"/>
  </w:num>
  <w:num w:numId="2">
    <w:abstractNumId w:val="2"/>
    <w:lvlOverride w:ilvl="0">
      <w:lvl w:ilvl="0" w:tplc="F5683444">
        <w:start w:val="1"/>
        <w:numFmt w:val="decimal"/>
        <w:lvlText w:val="%1)"/>
        <w:lvlJc w:val="left"/>
        <w:pPr>
          <w:ind w:left="425" w:hanging="425"/>
        </w:pPr>
        <w:rPr>
          <w:rFonts w:hint="default"/>
          <w:i w:val="0"/>
          <w:iCs/>
          <w:color w:val="auto"/>
        </w:rPr>
      </w:lvl>
    </w:lvlOverride>
  </w:num>
  <w:num w:numId="3">
    <w:abstractNumId w:val="4"/>
  </w:num>
  <w:num w:numId="4">
    <w:abstractNumId w:val="5"/>
    <w:lvlOverride w:ilvl="0">
      <w:startOverride w:val="1"/>
      <w:lvl w:ilvl="0" w:tplc="06AA2660">
        <w:start w:val="1"/>
        <w:numFmt w:val="decimal"/>
        <w:lvlText w:val="%1)"/>
        <w:lvlJc w:val="left"/>
        <w:pPr>
          <w:ind w:left="425" w:hanging="425"/>
        </w:pPr>
        <w:rPr>
          <w:rFonts w:hint="default"/>
          <w:iCs w:val="0"/>
          <w:color w:val="auto"/>
        </w:rPr>
      </w:lvl>
    </w:lvlOverride>
  </w:num>
  <w:num w:numId="5">
    <w:abstractNumId w:val="5"/>
  </w:num>
  <w:num w:numId="6">
    <w:abstractNumId w:val="2"/>
    <w:lvlOverride w:ilvl="0">
      <w:startOverride w:val="3"/>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0C"/>
    <w:rsid w:val="0000576C"/>
    <w:rsid w:val="00005859"/>
    <w:rsid w:val="00016AB2"/>
    <w:rsid w:val="00046BA7"/>
    <w:rsid w:val="0005104C"/>
    <w:rsid w:val="00055182"/>
    <w:rsid w:val="00091208"/>
    <w:rsid w:val="000D0D3B"/>
    <w:rsid w:val="001110CD"/>
    <w:rsid w:val="00123054"/>
    <w:rsid w:val="001241E8"/>
    <w:rsid w:val="00124F6E"/>
    <w:rsid w:val="001501B8"/>
    <w:rsid w:val="001677A6"/>
    <w:rsid w:val="001742F8"/>
    <w:rsid w:val="00182109"/>
    <w:rsid w:val="001854D1"/>
    <w:rsid w:val="001B01DC"/>
    <w:rsid w:val="001C3594"/>
    <w:rsid w:val="00204D25"/>
    <w:rsid w:val="00236A42"/>
    <w:rsid w:val="00244E02"/>
    <w:rsid w:val="00260F14"/>
    <w:rsid w:val="00275FA9"/>
    <w:rsid w:val="002851A8"/>
    <w:rsid w:val="00296409"/>
    <w:rsid w:val="002B7EBE"/>
    <w:rsid w:val="002E1B26"/>
    <w:rsid w:val="002F2724"/>
    <w:rsid w:val="0030076A"/>
    <w:rsid w:val="003261F5"/>
    <w:rsid w:val="003378E3"/>
    <w:rsid w:val="00387B93"/>
    <w:rsid w:val="00387FA8"/>
    <w:rsid w:val="003B265E"/>
    <w:rsid w:val="003B33D7"/>
    <w:rsid w:val="00416B15"/>
    <w:rsid w:val="00421141"/>
    <w:rsid w:val="00443010"/>
    <w:rsid w:val="00483B96"/>
    <w:rsid w:val="004A08A7"/>
    <w:rsid w:val="004D2192"/>
    <w:rsid w:val="004D741B"/>
    <w:rsid w:val="004E6F11"/>
    <w:rsid w:val="00501ADC"/>
    <w:rsid w:val="0051437D"/>
    <w:rsid w:val="00566576"/>
    <w:rsid w:val="00584CD8"/>
    <w:rsid w:val="005B5788"/>
    <w:rsid w:val="005D000C"/>
    <w:rsid w:val="00616FA7"/>
    <w:rsid w:val="00621102"/>
    <w:rsid w:val="0063467D"/>
    <w:rsid w:val="0063710A"/>
    <w:rsid w:val="00670751"/>
    <w:rsid w:val="00681355"/>
    <w:rsid w:val="006E7FEB"/>
    <w:rsid w:val="00716985"/>
    <w:rsid w:val="00771EA2"/>
    <w:rsid w:val="0079002F"/>
    <w:rsid w:val="007C4559"/>
    <w:rsid w:val="007C7FF9"/>
    <w:rsid w:val="007D50C6"/>
    <w:rsid w:val="007F24CE"/>
    <w:rsid w:val="00817051"/>
    <w:rsid w:val="0082713A"/>
    <w:rsid w:val="0083457B"/>
    <w:rsid w:val="008526FF"/>
    <w:rsid w:val="00865D4B"/>
    <w:rsid w:val="008727B3"/>
    <w:rsid w:val="008809C1"/>
    <w:rsid w:val="00882864"/>
    <w:rsid w:val="0089275A"/>
    <w:rsid w:val="008941A5"/>
    <w:rsid w:val="008C5C46"/>
    <w:rsid w:val="0093701D"/>
    <w:rsid w:val="00940F09"/>
    <w:rsid w:val="009A54B8"/>
    <w:rsid w:val="009E2FA3"/>
    <w:rsid w:val="00A032E2"/>
    <w:rsid w:val="00A45B4C"/>
    <w:rsid w:val="00A56F8C"/>
    <w:rsid w:val="00A63C8C"/>
    <w:rsid w:val="00A970A9"/>
    <w:rsid w:val="00A977F7"/>
    <w:rsid w:val="00AA08EC"/>
    <w:rsid w:val="00AD0A1F"/>
    <w:rsid w:val="00AD7D01"/>
    <w:rsid w:val="00AE17F4"/>
    <w:rsid w:val="00AE6903"/>
    <w:rsid w:val="00B41EA5"/>
    <w:rsid w:val="00B74E10"/>
    <w:rsid w:val="00BB551D"/>
    <w:rsid w:val="00BC2BC4"/>
    <w:rsid w:val="00BD6975"/>
    <w:rsid w:val="00C077AF"/>
    <w:rsid w:val="00C3462A"/>
    <w:rsid w:val="00C533B9"/>
    <w:rsid w:val="00C54106"/>
    <w:rsid w:val="00C549AC"/>
    <w:rsid w:val="00C55C6C"/>
    <w:rsid w:val="00C57D41"/>
    <w:rsid w:val="00C8481A"/>
    <w:rsid w:val="00C933D4"/>
    <w:rsid w:val="00CA379E"/>
    <w:rsid w:val="00CA3DE0"/>
    <w:rsid w:val="00CF1B54"/>
    <w:rsid w:val="00D03A4C"/>
    <w:rsid w:val="00D151ED"/>
    <w:rsid w:val="00D5151E"/>
    <w:rsid w:val="00DE1F02"/>
    <w:rsid w:val="00DE792A"/>
    <w:rsid w:val="00DF51E4"/>
    <w:rsid w:val="00E01C81"/>
    <w:rsid w:val="00E04CCA"/>
    <w:rsid w:val="00E066CA"/>
    <w:rsid w:val="00E1287E"/>
    <w:rsid w:val="00E31C80"/>
    <w:rsid w:val="00EC35EB"/>
    <w:rsid w:val="00ED38B5"/>
    <w:rsid w:val="00EF3A6E"/>
    <w:rsid w:val="00F166CD"/>
    <w:rsid w:val="00F65B5C"/>
    <w:rsid w:val="00F66C54"/>
    <w:rsid w:val="00F758F3"/>
    <w:rsid w:val="00F81358"/>
    <w:rsid w:val="00F82CB2"/>
    <w:rsid w:val="00F922AE"/>
    <w:rsid w:val="00F95D7E"/>
    <w:rsid w:val="00F95FD3"/>
    <w:rsid w:val="00FC5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D4240"/>
  <w15:chartTrackingRefBased/>
  <w15:docId w15:val="{EB663C9B-6DD3-49BF-9FA5-E9784D0E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3"/>
    <w:rsid w:val="005D000C"/>
    <w:pPr>
      <w:pageBreakBefore/>
      <w:numPr>
        <w:numId w:val="3"/>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5D000C"/>
    <w:pPr>
      <w:keepNext/>
      <w:keepLines/>
      <w:numPr>
        <w:ilvl w:val="1"/>
        <w:numId w:val="3"/>
      </w:numPr>
      <w:spacing w:after="0" w:line="240" w:lineRule="auto"/>
      <w:ind w:left="964"/>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5D000C"/>
    <w:pPr>
      <w:keepNext/>
      <w:numPr>
        <w:ilvl w:val="2"/>
        <w:numId w:val="3"/>
      </w:numPr>
      <w:spacing w:after="0" w:line="240" w:lineRule="auto"/>
      <w:ind w:left="964"/>
      <w:outlineLvl w:val="3"/>
    </w:pPr>
    <w:rPr>
      <w:rFonts w:ascii="Calibri" w:eastAsia="Times New Roman" w:hAnsi="Calibri"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D000C"/>
    <w:rPr>
      <w:rFonts w:ascii="Calibri" w:eastAsiaTheme="minorEastAsia" w:hAnsi="Calibri"/>
      <w:bCs/>
      <w:color w:val="000000"/>
      <w:sz w:val="56"/>
      <w:szCs w:val="28"/>
      <w:lang w:eastAsia="ja-JP"/>
    </w:rPr>
  </w:style>
  <w:style w:type="character" w:customStyle="1" w:styleId="Heading3Char">
    <w:name w:val="Heading 3 Char"/>
    <w:basedOn w:val="DefaultParagraphFont"/>
    <w:link w:val="Heading3"/>
    <w:uiPriority w:val="4"/>
    <w:rsid w:val="005D000C"/>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5D000C"/>
    <w:rPr>
      <w:rFonts w:ascii="Calibri" w:eastAsia="Times New Roman" w:hAnsi="Calibri" w:cs="Times New Roman"/>
      <w:b/>
      <w:bCs/>
      <w:sz w:val="28"/>
      <w:szCs w:val="24"/>
    </w:rPr>
  </w:style>
  <w:style w:type="paragraph" w:styleId="ListNumber">
    <w:name w:val="List Number"/>
    <w:basedOn w:val="Normal"/>
    <w:uiPriority w:val="99"/>
    <w:qFormat/>
    <w:rsid w:val="005D000C"/>
    <w:pPr>
      <w:tabs>
        <w:tab w:val="left" w:pos="142"/>
      </w:tabs>
      <w:spacing w:before="120" w:after="120" w:line="276" w:lineRule="auto"/>
      <w:ind w:left="425" w:hanging="425"/>
    </w:pPr>
    <w:rPr>
      <w:rFonts w:ascii="Cambria" w:hAnsi="Cambria"/>
    </w:rPr>
  </w:style>
  <w:style w:type="paragraph" w:styleId="ListNumber2">
    <w:name w:val="List Number 2"/>
    <w:uiPriority w:val="10"/>
    <w:qFormat/>
    <w:rsid w:val="005D000C"/>
    <w:pPr>
      <w:numPr>
        <w:ilvl w:val="1"/>
        <w:numId w:val="4"/>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5D000C"/>
    <w:pPr>
      <w:numPr>
        <w:ilvl w:val="2"/>
        <w:numId w:val="4"/>
      </w:numPr>
      <w:spacing w:before="120" w:after="120" w:line="264" w:lineRule="auto"/>
    </w:pPr>
    <w:rPr>
      <w:rFonts w:ascii="Cambria" w:eastAsia="Times New Roman" w:hAnsi="Cambria" w:cs="Times New Roman"/>
      <w:szCs w:val="24"/>
    </w:rPr>
  </w:style>
  <w:style w:type="numbering" w:customStyle="1" w:styleId="Numberlist">
    <w:name w:val="Number list"/>
    <w:uiPriority w:val="99"/>
    <w:rsid w:val="005D000C"/>
    <w:pPr>
      <w:numPr>
        <w:numId w:val="5"/>
      </w:numPr>
    </w:pPr>
  </w:style>
  <w:style w:type="numbering" w:customStyle="1" w:styleId="Headinglist">
    <w:name w:val="Heading list"/>
    <w:uiPriority w:val="99"/>
    <w:rsid w:val="005D000C"/>
    <w:pPr>
      <w:numPr>
        <w:numId w:val="1"/>
      </w:numPr>
    </w:pPr>
  </w:style>
  <w:style w:type="table" w:styleId="TableGrid">
    <w:name w:val="Table Grid"/>
    <w:basedOn w:val="TableNormal"/>
    <w:uiPriority w:val="39"/>
    <w:rsid w:val="00DE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0CD"/>
  </w:style>
  <w:style w:type="paragraph" w:styleId="Footer">
    <w:name w:val="footer"/>
    <w:basedOn w:val="Normal"/>
    <w:link w:val="FooterChar"/>
    <w:uiPriority w:val="99"/>
    <w:unhideWhenUsed/>
    <w:rsid w:val="00111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0CD"/>
  </w:style>
  <w:style w:type="paragraph" w:customStyle="1" w:styleId="Classification">
    <w:name w:val="Classification"/>
    <w:uiPriority w:val="10"/>
    <w:qFormat/>
    <w:rsid w:val="001110CD"/>
    <w:pPr>
      <w:tabs>
        <w:tab w:val="center" w:pos="4536"/>
        <w:tab w:val="center" w:pos="4819"/>
        <w:tab w:val="right" w:pos="9356"/>
      </w:tabs>
      <w:spacing w:after="0" w:line="240" w:lineRule="auto"/>
      <w:jc w:val="center"/>
    </w:pPr>
    <w:rPr>
      <w:rFonts w:ascii="Arial" w:eastAsia="Times New Roman" w:hAnsi="Arial" w:cs="Arial"/>
      <w:color w:val="FF0000"/>
      <w:sz w:val="28"/>
      <w:szCs w:val="28"/>
      <w:lang w:eastAsia="en-AU"/>
    </w:rPr>
  </w:style>
  <w:style w:type="character" w:styleId="CommentReference">
    <w:name w:val="annotation reference"/>
    <w:basedOn w:val="DefaultParagraphFont"/>
    <w:uiPriority w:val="99"/>
    <w:semiHidden/>
    <w:unhideWhenUsed/>
    <w:rsid w:val="00C54106"/>
    <w:rPr>
      <w:sz w:val="16"/>
      <w:szCs w:val="16"/>
    </w:rPr>
  </w:style>
  <w:style w:type="paragraph" w:styleId="CommentText">
    <w:name w:val="annotation text"/>
    <w:basedOn w:val="Normal"/>
    <w:link w:val="CommentTextChar"/>
    <w:uiPriority w:val="99"/>
    <w:semiHidden/>
    <w:unhideWhenUsed/>
    <w:rsid w:val="00C54106"/>
    <w:pPr>
      <w:spacing w:line="240" w:lineRule="auto"/>
    </w:pPr>
    <w:rPr>
      <w:sz w:val="20"/>
      <w:szCs w:val="20"/>
    </w:rPr>
  </w:style>
  <w:style w:type="character" w:customStyle="1" w:styleId="CommentTextChar">
    <w:name w:val="Comment Text Char"/>
    <w:basedOn w:val="DefaultParagraphFont"/>
    <w:link w:val="CommentText"/>
    <w:uiPriority w:val="99"/>
    <w:semiHidden/>
    <w:rsid w:val="00C54106"/>
    <w:rPr>
      <w:sz w:val="20"/>
      <w:szCs w:val="20"/>
    </w:rPr>
  </w:style>
  <w:style w:type="paragraph" w:styleId="CommentSubject">
    <w:name w:val="annotation subject"/>
    <w:basedOn w:val="CommentText"/>
    <w:next w:val="CommentText"/>
    <w:link w:val="CommentSubjectChar"/>
    <w:uiPriority w:val="99"/>
    <w:semiHidden/>
    <w:unhideWhenUsed/>
    <w:rsid w:val="00C54106"/>
    <w:rPr>
      <w:b/>
      <w:bCs/>
    </w:rPr>
  </w:style>
  <w:style w:type="character" w:customStyle="1" w:styleId="CommentSubjectChar">
    <w:name w:val="Comment Subject Char"/>
    <w:basedOn w:val="CommentTextChar"/>
    <w:link w:val="CommentSubject"/>
    <w:uiPriority w:val="99"/>
    <w:semiHidden/>
    <w:rsid w:val="00C54106"/>
    <w:rPr>
      <w:b/>
      <w:bCs/>
      <w:sz w:val="20"/>
      <w:szCs w:val="20"/>
    </w:rPr>
  </w:style>
  <w:style w:type="character" w:styleId="Strong">
    <w:name w:val="Strong"/>
    <w:basedOn w:val="DefaultParagraphFont"/>
    <w:uiPriority w:val="22"/>
    <w:qFormat/>
    <w:rsid w:val="00E1287E"/>
    <w:rPr>
      <w:b/>
      <w:bCs/>
    </w:rPr>
  </w:style>
  <w:style w:type="paragraph" w:styleId="Title">
    <w:name w:val="Title"/>
    <w:basedOn w:val="Normal"/>
    <w:next w:val="Normal"/>
    <w:link w:val="TitleChar"/>
    <w:uiPriority w:val="10"/>
    <w:qFormat/>
    <w:rsid w:val="00E1287E"/>
    <w:pPr>
      <w:spacing w:after="0" w:line="240" w:lineRule="auto"/>
      <w:contextualSpacing/>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uiPriority w:val="10"/>
    <w:rsid w:val="00E1287E"/>
    <w:rPr>
      <w:rFonts w:asciiTheme="majorHAnsi" w:eastAsiaTheme="majorEastAsia" w:hAnsiTheme="majorHAnsi" w:cstheme="majorBidi"/>
      <w:spacing w:val="-10"/>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0f563589-9cf9-4143-b1eb-fb0534803d38">
      <Value>59</Value>
    </TaxCatchAll>
    <_dlc_DocId xmlns="0f563589-9cf9-4143-b1eb-fb0534803d38">2021RG-318-587</_dlc_DocId>
    <_dlc_DocIdUrl xmlns="0f563589-9cf9-4143-b1eb-fb0534803d38">
      <Url>http://tweb/sites/rg/iitd/ic/_layouts/15/DocIdRedir.aspx?ID=2021RG-318-587</Url>
      <Description>2021RG-318-587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FB2B9277C6EED04188B5E2293680B5B2" ma:contentTypeVersion="41915" ma:contentTypeDescription="" ma:contentTypeScope="" ma:versionID="75a1ee757b6815930b97d7258c7cb21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4b30c8ec45b87e7df5ee94d7c3396aa5"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C8B80-2A6B-4DB1-B064-F3A6867B0A7F}">
  <ds:schemaRefs>
    <ds:schemaRef ds:uri="http://schemas.microsoft.com/sharepoint/events"/>
  </ds:schemaRefs>
</ds:datastoreItem>
</file>

<file path=customXml/itemProps2.xml><?xml version="1.0" encoding="utf-8"?>
<ds:datastoreItem xmlns:ds="http://schemas.openxmlformats.org/officeDocument/2006/customXml" ds:itemID="{7CCF4A61-F89D-40F3-879E-6336454B1176}">
  <ds:schemaRefs>
    <ds:schemaRef ds:uri="office.server.policy"/>
  </ds:schemaRefs>
</ds:datastoreItem>
</file>

<file path=customXml/itemProps3.xml><?xml version="1.0" encoding="utf-8"?>
<ds:datastoreItem xmlns:ds="http://schemas.openxmlformats.org/officeDocument/2006/customXml" ds:itemID="{56BA5F57-07E6-43AB-A0FD-057B39C4113C}">
  <ds:schemaRefs>
    <ds:schemaRef ds:uri="http://schemas.microsoft.com/sharepoint/v3/contenttype/forms"/>
  </ds:schemaRefs>
</ds:datastoreItem>
</file>

<file path=customXml/itemProps4.xml><?xml version="1.0" encoding="utf-8"?>
<ds:datastoreItem xmlns:ds="http://schemas.openxmlformats.org/officeDocument/2006/customXml" ds:itemID="{A4AB660F-9FE5-4B28-96F2-786ADAA64186}">
  <ds:schemaRefs>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9BD895B5-75BC-4A39-9FE8-003C2A6FF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Andrew</dc:creator>
  <cp:keywords/>
  <dc:description/>
  <cp:lastModifiedBy>Evans, David</cp:lastModifiedBy>
  <cp:revision>3</cp:revision>
  <dcterms:created xsi:type="dcterms:W3CDTF">2021-12-17T02:54:00Z</dcterms:created>
  <dcterms:modified xsi:type="dcterms:W3CDTF">2021-12-17T02:55:00Z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0x01010036BB8DE7EC542E42A8B2E98CC20CB69700FB2B9277C6EED04188B5E2293680B5B2</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100187c2-8a2f-4733-b642-03231f06e88f</vt:lpwstr>
  </property>
</Properties>
</file>