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69C62" w14:textId="77777777" w:rsidR="001A2829" w:rsidRDefault="001A2829" w:rsidP="0008012C">
      <w:pPr>
        <w:pStyle w:val="Subhead1"/>
        <w:spacing w:line="276" w:lineRule="auto"/>
        <w:rPr>
          <w:sz w:val="40"/>
          <w:szCs w:val="40"/>
        </w:rPr>
      </w:pPr>
      <w:bookmarkStart w:id="0" w:name="_GoBack"/>
      <w:bookmarkEnd w:id="0"/>
    </w:p>
    <w:p w14:paraId="063EA012" w14:textId="77777777" w:rsidR="0008012C" w:rsidRPr="00331E54" w:rsidRDefault="0008012C" w:rsidP="0008012C">
      <w:pPr>
        <w:pStyle w:val="Subhead1"/>
        <w:spacing w:line="276" w:lineRule="auto"/>
        <w:rPr>
          <w:sz w:val="40"/>
          <w:szCs w:val="40"/>
        </w:rPr>
      </w:pPr>
      <w:r>
        <w:rPr>
          <w:sz w:val="40"/>
          <w:szCs w:val="40"/>
        </w:rPr>
        <w:t>R22 PHASE OUT</w:t>
      </w:r>
    </w:p>
    <w:p w14:paraId="2B8F9860" w14:textId="77777777" w:rsidR="0008012C" w:rsidRPr="00A07820" w:rsidRDefault="0008012C" w:rsidP="0008012C">
      <w:pPr>
        <w:pStyle w:val="Subhead1"/>
        <w:spacing w:line="276" w:lineRule="auto"/>
        <w:rPr>
          <w:rFonts w:cs="Times New Roman"/>
          <w:b w:val="0"/>
          <w:sz w:val="20"/>
          <w:szCs w:val="20"/>
        </w:rPr>
      </w:pPr>
      <w:r w:rsidRPr="00A07820">
        <w:rPr>
          <w:rFonts w:cs="Times New Roman"/>
          <w:b w:val="0"/>
          <w:sz w:val="20"/>
          <w:szCs w:val="20"/>
        </w:rPr>
        <w:t xml:space="preserve">All 197 United Nations member </w:t>
      </w:r>
      <w:r>
        <w:rPr>
          <w:rFonts w:cs="Times New Roman"/>
          <w:b w:val="0"/>
          <w:sz w:val="20"/>
          <w:szCs w:val="20"/>
        </w:rPr>
        <w:t>countries</w:t>
      </w:r>
      <w:r w:rsidRPr="00A07820">
        <w:rPr>
          <w:rFonts w:cs="Times New Roman"/>
          <w:b w:val="0"/>
          <w:sz w:val="20"/>
          <w:szCs w:val="20"/>
        </w:rPr>
        <w:t xml:space="preserve"> are phasing out the production and import of ozone depleting substances, including R22,</w:t>
      </w:r>
      <w:r w:rsidRPr="00A07820">
        <w:rPr>
          <w:b w:val="0"/>
          <w:sz w:val="20"/>
          <w:szCs w:val="20"/>
        </w:rPr>
        <w:t xml:space="preserve"> under </w:t>
      </w:r>
      <w:r w:rsidRPr="00A07820">
        <w:rPr>
          <w:rFonts w:cs="Times New Roman"/>
          <w:b w:val="0"/>
          <w:sz w:val="20"/>
          <w:szCs w:val="20"/>
        </w:rPr>
        <w:t xml:space="preserve">the Montreal Protocol on Substances that Deplete the Ozone Layer. </w:t>
      </w:r>
    </w:p>
    <w:p w14:paraId="3ED55971" w14:textId="77777777" w:rsidR="0008012C" w:rsidRPr="00A72690" w:rsidRDefault="0008012C" w:rsidP="0008012C">
      <w:pPr>
        <w:pStyle w:val="Subhead1"/>
        <w:spacing w:line="276" w:lineRule="auto"/>
        <w:rPr>
          <w:sz w:val="28"/>
          <w:szCs w:val="28"/>
        </w:rPr>
      </w:pPr>
      <w:r w:rsidRPr="00A72690">
        <w:rPr>
          <w:sz w:val="28"/>
          <w:szCs w:val="28"/>
        </w:rPr>
        <w:t>Australia’s phase out of HCFCs including R22</w:t>
      </w:r>
    </w:p>
    <w:p w14:paraId="19D5113B" w14:textId="77777777" w:rsidR="0008012C" w:rsidRPr="00A07820" w:rsidRDefault="0008012C" w:rsidP="0008012C">
      <w:pPr>
        <w:pStyle w:val="Text"/>
        <w:spacing w:line="276" w:lineRule="auto"/>
        <w:rPr>
          <w:sz w:val="20"/>
          <w:szCs w:val="20"/>
        </w:rPr>
      </w:pPr>
      <w:r w:rsidRPr="00A07820">
        <w:rPr>
          <w:sz w:val="20"/>
          <w:szCs w:val="20"/>
        </w:rPr>
        <w:t xml:space="preserve">In 1996 Australia started its phase-out of </w:t>
      </w:r>
      <w:proofErr w:type="spellStart"/>
      <w:r w:rsidRPr="00A07820">
        <w:rPr>
          <w:sz w:val="20"/>
          <w:szCs w:val="20"/>
        </w:rPr>
        <w:t>hydrochlorofluorocarbons</w:t>
      </w:r>
      <w:proofErr w:type="spellEnd"/>
      <w:r w:rsidRPr="00A07820">
        <w:rPr>
          <w:sz w:val="20"/>
          <w:szCs w:val="20"/>
        </w:rPr>
        <w:t xml:space="preserve"> (HCFCs), through import controls under the </w:t>
      </w:r>
      <w:r w:rsidRPr="00A07820">
        <w:rPr>
          <w:rStyle w:val="TextItalic"/>
          <w:sz w:val="20"/>
          <w:szCs w:val="20"/>
        </w:rPr>
        <w:t>Ozone Protection and Synthetic Greenhouse Gas Management Act 1989</w:t>
      </w:r>
      <w:r w:rsidRPr="00A07820">
        <w:rPr>
          <w:sz w:val="20"/>
          <w:szCs w:val="20"/>
        </w:rPr>
        <w:t>.</w:t>
      </w:r>
    </w:p>
    <w:p w14:paraId="1E02BB5C" w14:textId="77777777" w:rsidR="0008012C" w:rsidRPr="00A07820" w:rsidRDefault="0008012C" w:rsidP="0008012C">
      <w:pPr>
        <w:pStyle w:val="Text"/>
        <w:spacing w:line="276" w:lineRule="auto"/>
        <w:rPr>
          <w:sz w:val="20"/>
          <w:szCs w:val="20"/>
        </w:rPr>
      </w:pPr>
      <w:r w:rsidRPr="00A07820">
        <w:rPr>
          <w:sz w:val="20"/>
          <w:szCs w:val="20"/>
        </w:rPr>
        <w:t>Australia does not manufacture HCFCs and has gradually reduced imports of bulk HCFCs since 1996. Australia's annual import of HCFCs dropped from 250 </w:t>
      </w:r>
      <w:proofErr w:type="spellStart"/>
      <w:r w:rsidRPr="00A07820">
        <w:rPr>
          <w:sz w:val="20"/>
          <w:szCs w:val="20"/>
        </w:rPr>
        <w:t>ODPt</w:t>
      </w:r>
      <w:proofErr w:type="spellEnd"/>
      <w:r w:rsidRPr="00A07820">
        <w:rPr>
          <w:sz w:val="20"/>
          <w:szCs w:val="20"/>
        </w:rPr>
        <w:t xml:space="preserve"> (ozone depleting potential tonnes) in 1996 to 2.5 </w:t>
      </w:r>
      <w:proofErr w:type="spellStart"/>
      <w:r w:rsidRPr="00A07820">
        <w:rPr>
          <w:sz w:val="20"/>
          <w:szCs w:val="20"/>
        </w:rPr>
        <w:t>ODPt</w:t>
      </w:r>
      <w:proofErr w:type="spellEnd"/>
      <w:r w:rsidRPr="00A07820">
        <w:rPr>
          <w:sz w:val="20"/>
          <w:szCs w:val="20"/>
        </w:rPr>
        <w:t xml:space="preserve"> in 2016. The phase out is supported by bans on new equipment containing HCFCs.</w:t>
      </w:r>
    </w:p>
    <w:p w14:paraId="69DA715D" w14:textId="77777777" w:rsidR="0008012C" w:rsidRPr="00F44C07" w:rsidRDefault="0008012C" w:rsidP="0008012C">
      <w:pPr>
        <w:pStyle w:val="Subhead1"/>
        <w:spacing w:line="276" w:lineRule="auto"/>
        <w:rPr>
          <w:b w:val="0"/>
          <w:caps/>
          <w:sz w:val="28"/>
          <w:szCs w:val="28"/>
        </w:rPr>
      </w:pPr>
      <w:r>
        <w:rPr>
          <w:sz w:val="28"/>
          <w:szCs w:val="28"/>
        </w:rPr>
        <w:t>What is R22 used for?</w:t>
      </w:r>
    </w:p>
    <w:p w14:paraId="7C3BFEC8" w14:textId="77777777" w:rsidR="0008012C" w:rsidRPr="00C92079" w:rsidRDefault="0008012C" w:rsidP="0008012C">
      <w:pPr>
        <w:pStyle w:val="Tex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R22</w:t>
      </w:r>
      <w:r w:rsidRPr="00F44C07">
        <w:rPr>
          <w:sz w:val="20"/>
          <w:szCs w:val="20"/>
        </w:rPr>
        <w:t xml:space="preserve"> </w:t>
      </w:r>
      <w:r>
        <w:rPr>
          <w:sz w:val="20"/>
          <w:szCs w:val="20"/>
        </w:rPr>
        <w:t>has been</w:t>
      </w:r>
      <w:r w:rsidRPr="00F44C07">
        <w:rPr>
          <w:sz w:val="20"/>
          <w:szCs w:val="20"/>
        </w:rPr>
        <w:t xml:space="preserve"> commonly used in</w:t>
      </w:r>
      <w:r>
        <w:rPr>
          <w:sz w:val="20"/>
          <w:szCs w:val="20"/>
        </w:rPr>
        <w:t xml:space="preserve"> residential and commercial refrigeration and air conditioning </w:t>
      </w:r>
      <w:r w:rsidRPr="00F44C07">
        <w:rPr>
          <w:sz w:val="20"/>
          <w:szCs w:val="20"/>
        </w:rPr>
        <w:t xml:space="preserve">systems </w:t>
      </w:r>
      <w:r>
        <w:rPr>
          <w:sz w:val="20"/>
          <w:szCs w:val="20"/>
        </w:rPr>
        <w:t>from</w:t>
      </w:r>
      <w:r w:rsidRPr="00F44C07">
        <w:rPr>
          <w:sz w:val="20"/>
          <w:szCs w:val="20"/>
        </w:rPr>
        <w:t xml:space="preserve"> the 1990s</w:t>
      </w:r>
      <w:r>
        <w:rPr>
          <w:sz w:val="20"/>
          <w:szCs w:val="20"/>
        </w:rPr>
        <w:t>,</w:t>
      </w:r>
      <w:r w:rsidRPr="00F44C07">
        <w:rPr>
          <w:sz w:val="20"/>
          <w:szCs w:val="20"/>
        </w:rPr>
        <w:t xml:space="preserve"> following the phase out of chlorofluorocarbons (CFCs) in 1995. </w:t>
      </w:r>
      <w:r>
        <w:rPr>
          <w:sz w:val="20"/>
          <w:szCs w:val="20"/>
        </w:rPr>
        <w:t xml:space="preserve">R22 equipment is gradually reaching the end of its useful life and is being replaced with new equipment using different refrigerants. </w:t>
      </w:r>
    </w:p>
    <w:p w14:paraId="24AA447B" w14:textId="77777777" w:rsidR="0008012C" w:rsidRPr="00896E8E" w:rsidRDefault="0008012C" w:rsidP="0008012C">
      <w:pPr>
        <w:pStyle w:val="Subhead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R22</w:t>
      </w:r>
      <w:r w:rsidRPr="00896E8E">
        <w:rPr>
          <w:sz w:val="28"/>
          <w:szCs w:val="28"/>
        </w:rPr>
        <w:t xml:space="preserve"> phase out quick facts</w:t>
      </w:r>
    </w:p>
    <w:p w14:paraId="3311E60C" w14:textId="77777777" w:rsidR="0008012C" w:rsidRDefault="0008012C" w:rsidP="0008012C">
      <w:pPr>
        <w:rPr>
          <w:sz w:val="20"/>
          <w:szCs w:val="20"/>
        </w:rPr>
      </w:pPr>
      <w:r w:rsidRPr="004C290E">
        <w:rPr>
          <w:sz w:val="20"/>
          <w:szCs w:val="20"/>
        </w:rPr>
        <w:t xml:space="preserve">Australia has largely phased out the import of HCFCs including </w:t>
      </w:r>
      <w:r>
        <w:rPr>
          <w:sz w:val="20"/>
          <w:szCs w:val="20"/>
        </w:rPr>
        <w:t>R22:</w:t>
      </w:r>
    </w:p>
    <w:p w14:paraId="50B31926" w14:textId="77777777" w:rsidR="0008012C" w:rsidRPr="004C290E" w:rsidRDefault="0008012C" w:rsidP="0008012C">
      <w:pPr>
        <w:pStyle w:val="ListParagraph"/>
        <w:numPr>
          <w:ilvl w:val="0"/>
          <w:numId w:val="50"/>
        </w:numPr>
        <w:contextualSpacing/>
        <w:rPr>
          <w:sz w:val="20"/>
          <w:szCs w:val="20"/>
        </w:rPr>
      </w:pPr>
      <w:r w:rsidRPr="004C290E">
        <w:rPr>
          <w:sz w:val="20"/>
          <w:szCs w:val="20"/>
        </w:rPr>
        <w:t xml:space="preserve">From 2016 to 2029, </w:t>
      </w:r>
      <w:r>
        <w:rPr>
          <w:sz w:val="20"/>
          <w:szCs w:val="20"/>
        </w:rPr>
        <w:t>imports are limited to</w:t>
      </w:r>
      <w:r w:rsidRPr="004C290E">
        <w:rPr>
          <w:sz w:val="20"/>
          <w:szCs w:val="20"/>
        </w:rPr>
        <w:t xml:space="preserve"> 2.5 </w:t>
      </w:r>
      <w:proofErr w:type="spellStart"/>
      <w:r>
        <w:rPr>
          <w:sz w:val="20"/>
          <w:szCs w:val="20"/>
        </w:rPr>
        <w:t>ODPt</w:t>
      </w:r>
      <w:proofErr w:type="spellEnd"/>
      <w:r w:rsidRPr="004C290E">
        <w:rPr>
          <w:sz w:val="20"/>
          <w:szCs w:val="20"/>
        </w:rPr>
        <w:t xml:space="preserve"> of HCFC</w:t>
      </w:r>
      <w:r>
        <w:rPr>
          <w:sz w:val="20"/>
          <w:szCs w:val="20"/>
        </w:rPr>
        <w:t xml:space="preserve"> annually (</w:t>
      </w:r>
      <w:r w:rsidRPr="004C290E">
        <w:rPr>
          <w:sz w:val="20"/>
          <w:szCs w:val="20"/>
        </w:rPr>
        <w:t xml:space="preserve">about 45 tonnes of </w:t>
      </w:r>
      <w:r>
        <w:rPr>
          <w:sz w:val="20"/>
          <w:szCs w:val="20"/>
        </w:rPr>
        <w:t>R22)</w:t>
      </w:r>
      <w:r w:rsidRPr="004C290E">
        <w:rPr>
          <w:sz w:val="20"/>
          <w:szCs w:val="20"/>
        </w:rPr>
        <w:t>.</w:t>
      </w:r>
    </w:p>
    <w:p w14:paraId="01D8A8E4" w14:textId="77777777" w:rsidR="0008012C" w:rsidRDefault="0008012C" w:rsidP="0008012C">
      <w:pPr>
        <w:pStyle w:val="ListParagraph"/>
        <w:numPr>
          <w:ilvl w:val="0"/>
          <w:numId w:val="50"/>
        </w:numPr>
        <w:contextualSpacing/>
        <w:rPr>
          <w:sz w:val="20"/>
          <w:szCs w:val="20"/>
        </w:rPr>
      </w:pPr>
      <w:r w:rsidRPr="004C290E">
        <w:rPr>
          <w:sz w:val="20"/>
          <w:szCs w:val="20"/>
        </w:rPr>
        <w:t xml:space="preserve">From 1 January 2030, bulk </w:t>
      </w:r>
      <w:r>
        <w:rPr>
          <w:sz w:val="20"/>
          <w:szCs w:val="20"/>
        </w:rPr>
        <w:t>R22</w:t>
      </w:r>
      <w:r w:rsidRPr="004C290E">
        <w:rPr>
          <w:sz w:val="20"/>
          <w:szCs w:val="20"/>
        </w:rPr>
        <w:t xml:space="preserve"> imports will be banned</w:t>
      </w:r>
      <w:r>
        <w:rPr>
          <w:sz w:val="20"/>
          <w:szCs w:val="20"/>
        </w:rPr>
        <w:t xml:space="preserve"> entirely</w:t>
      </w:r>
      <w:r w:rsidRPr="004C290E">
        <w:rPr>
          <w:sz w:val="20"/>
          <w:szCs w:val="20"/>
        </w:rPr>
        <w:t>.</w:t>
      </w:r>
    </w:p>
    <w:p w14:paraId="6FD3DD63" w14:textId="77777777" w:rsidR="0008012C" w:rsidRPr="004C290E" w:rsidRDefault="0008012C" w:rsidP="0008012C">
      <w:pPr>
        <w:pStyle w:val="ListParagraph"/>
        <w:numPr>
          <w:ilvl w:val="0"/>
          <w:numId w:val="50"/>
        </w:numPr>
        <w:contextualSpacing/>
        <w:rPr>
          <w:sz w:val="20"/>
          <w:szCs w:val="20"/>
        </w:rPr>
      </w:pPr>
      <w:r w:rsidRPr="004C290E">
        <w:rPr>
          <w:sz w:val="20"/>
          <w:szCs w:val="20"/>
        </w:rPr>
        <w:t xml:space="preserve">From 1 January 2020, bulk </w:t>
      </w:r>
      <w:r>
        <w:rPr>
          <w:sz w:val="20"/>
          <w:szCs w:val="20"/>
        </w:rPr>
        <w:t>R22</w:t>
      </w:r>
      <w:r w:rsidRPr="004C290E">
        <w:rPr>
          <w:sz w:val="20"/>
          <w:szCs w:val="20"/>
        </w:rPr>
        <w:t xml:space="preserve"> imported into Australia can only be used for servicing existing </w:t>
      </w:r>
      <w:r w:rsidRPr="00B479E0">
        <w:rPr>
          <w:rFonts w:cs="Arial"/>
          <w:sz w:val="20"/>
          <w:szCs w:val="20"/>
        </w:rPr>
        <w:t>refr</w:t>
      </w:r>
      <w:r>
        <w:rPr>
          <w:rFonts w:cs="Arial"/>
          <w:sz w:val="20"/>
          <w:szCs w:val="20"/>
        </w:rPr>
        <w:t xml:space="preserve">igeration and air conditioning </w:t>
      </w:r>
      <w:r w:rsidRPr="004C290E">
        <w:rPr>
          <w:sz w:val="20"/>
          <w:szCs w:val="20"/>
        </w:rPr>
        <w:t>equipment.</w:t>
      </w:r>
    </w:p>
    <w:p w14:paraId="2DE0FF67" w14:textId="77777777" w:rsidR="0008012C" w:rsidRPr="004C290E" w:rsidRDefault="0008012C" w:rsidP="0008012C">
      <w:pPr>
        <w:pStyle w:val="ListParagraph"/>
        <w:numPr>
          <w:ilvl w:val="0"/>
          <w:numId w:val="50"/>
        </w:num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Use of reclaimed R22 is allowed. Reclaimed R22 must be tested to confirm it meets manufacturer’s specification to ensure its quality. </w:t>
      </w:r>
      <w:r w:rsidRPr="009B2729">
        <w:rPr>
          <w:sz w:val="20"/>
          <w:szCs w:val="20"/>
        </w:rPr>
        <w:t>Contact your refrigerant supplier for further information.</w:t>
      </w:r>
    </w:p>
    <w:p w14:paraId="2BB2D422" w14:textId="77777777" w:rsidR="0008012C" w:rsidRPr="00B21BF3" w:rsidRDefault="0008012C" w:rsidP="0008012C">
      <w:pPr>
        <w:pStyle w:val="ListParagraph"/>
        <w:numPr>
          <w:ilvl w:val="0"/>
          <w:numId w:val="50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From 2030</w:t>
      </w:r>
      <w:r w:rsidRPr="00B21BF3">
        <w:rPr>
          <w:sz w:val="20"/>
          <w:szCs w:val="20"/>
        </w:rPr>
        <w:t xml:space="preserve"> </w:t>
      </w:r>
      <w:r>
        <w:rPr>
          <w:sz w:val="20"/>
          <w:szCs w:val="20"/>
        </w:rPr>
        <w:t>s</w:t>
      </w:r>
      <w:r w:rsidRPr="00B21BF3">
        <w:rPr>
          <w:sz w:val="20"/>
          <w:szCs w:val="20"/>
        </w:rPr>
        <w:t xml:space="preserve">ervicing of R22 systems will rely solely on </w:t>
      </w:r>
      <w:r>
        <w:rPr>
          <w:sz w:val="20"/>
          <w:szCs w:val="20"/>
        </w:rPr>
        <w:t>reclaimed</w:t>
      </w:r>
      <w:r w:rsidRPr="00B21BF3">
        <w:rPr>
          <w:sz w:val="20"/>
          <w:szCs w:val="20"/>
        </w:rPr>
        <w:t xml:space="preserve"> refrigerant.</w:t>
      </w:r>
    </w:p>
    <w:p w14:paraId="0680DB4C" w14:textId="77777777" w:rsidR="0008012C" w:rsidRPr="00B21BF3" w:rsidRDefault="0008012C" w:rsidP="0008012C">
      <w:pPr>
        <w:pStyle w:val="ListParagraph"/>
        <w:numPr>
          <w:ilvl w:val="0"/>
          <w:numId w:val="50"/>
        </w:numPr>
        <w:contextualSpacing/>
        <w:rPr>
          <w:sz w:val="20"/>
          <w:szCs w:val="20"/>
        </w:rPr>
      </w:pPr>
      <w:r w:rsidRPr="00B21BF3">
        <w:rPr>
          <w:sz w:val="20"/>
          <w:szCs w:val="20"/>
        </w:rPr>
        <w:t xml:space="preserve">The price of R22 may rise depending on </w:t>
      </w:r>
      <w:r>
        <w:rPr>
          <w:sz w:val="20"/>
          <w:szCs w:val="20"/>
        </w:rPr>
        <w:t>demand and availability</w:t>
      </w:r>
      <w:r w:rsidRPr="00B21BF3">
        <w:rPr>
          <w:sz w:val="20"/>
          <w:szCs w:val="20"/>
        </w:rPr>
        <w:t>.</w:t>
      </w:r>
    </w:p>
    <w:p w14:paraId="186995E7" w14:textId="77777777" w:rsidR="0008012C" w:rsidRDefault="0008012C" w:rsidP="0008012C">
      <w:pPr>
        <w:rPr>
          <w:rFonts w:cs="Arial"/>
          <w:b/>
          <w:sz w:val="28"/>
        </w:rPr>
      </w:pPr>
      <w:r w:rsidRPr="001C5558">
        <w:rPr>
          <w:rFonts w:cs="Arial"/>
          <w:b/>
          <w:sz w:val="28"/>
        </w:rPr>
        <w:t xml:space="preserve">What’s happening with </w:t>
      </w:r>
      <w:r>
        <w:rPr>
          <w:rFonts w:cs="Arial"/>
          <w:b/>
          <w:sz w:val="28"/>
        </w:rPr>
        <w:t>R22</w:t>
      </w:r>
      <w:r w:rsidRPr="001C5558">
        <w:rPr>
          <w:rFonts w:cs="Arial"/>
          <w:b/>
          <w:sz w:val="28"/>
        </w:rPr>
        <w:t xml:space="preserve"> equipment?</w:t>
      </w:r>
    </w:p>
    <w:p w14:paraId="25A8879A" w14:textId="77777777" w:rsidR="0008012C" w:rsidRPr="00897F63" w:rsidRDefault="0008012C" w:rsidP="0008012C">
      <w:pPr>
        <w:rPr>
          <w:sz w:val="20"/>
          <w:szCs w:val="20"/>
        </w:rPr>
      </w:pPr>
      <w:r w:rsidRPr="00897F63">
        <w:rPr>
          <w:sz w:val="20"/>
          <w:szCs w:val="20"/>
        </w:rPr>
        <w:t xml:space="preserve">New R22 </w:t>
      </w:r>
      <w:r>
        <w:rPr>
          <w:sz w:val="20"/>
          <w:szCs w:val="20"/>
        </w:rPr>
        <w:t>refrigeration and air conditioning</w:t>
      </w:r>
      <w:r w:rsidRPr="00897F63">
        <w:rPr>
          <w:sz w:val="20"/>
          <w:szCs w:val="20"/>
        </w:rPr>
        <w:t xml:space="preserve"> equipment can no longer be manufactured </w:t>
      </w:r>
      <w:r>
        <w:rPr>
          <w:sz w:val="20"/>
          <w:szCs w:val="20"/>
        </w:rPr>
        <w:t xml:space="preserve">in </w:t>
      </w:r>
      <w:r w:rsidRPr="00897F63">
        <w:rPr>
          <w:sz w:val="20"/>
          <w:szCs w:val="20"/>
        </w:rPr>
        <w:t xml:space="preserve">or imported into Australia, apart from some spare parts and </w:t>
      </w:r>
      <w:r>
        <w:rPr>
          <w:sz w:val="20"/>
          <w:szCs w:val="20"/>
        </w:rPr>
        <w:t xml:space="preserve">in some </w:t>
      </w:r>
      <w:r w:rsidRPr="00897F63">
        <w:rPr>
          <w:sz w:val="20"/>
          <w:szCs w:val="20"/>
        </w:rPr>
        <w:t>special circumstances.</w:t>
      </w:r>
    </w:p>
    <w:p w14:paraId="4D66D9C3" w14:textId="77777777" w:rsidR="0008012C" w:rsidRPr="00455EB0" w:rsidRDefault="0008012C" w:rsidP="0008012C">
      <w:pPr>
        <w:pStyle w:val="ListParagraph"/>
        <w:numPr>
          <w:ilvl w:val="0"/>
          <w:numId w:val="50"/>
        </w:numPr>
        <w:contextualSpacing/>
        <w:rPr>
          <w:rFonts w:cs="Arial"/>
          <w:sz w:val="20"/>
          <w:szCs w:val="20"/>
        </w:rPr>
      </w:pPr>
      <w:r w:rsidRPr="00455EB0">
        <w:rPr>
          <w:rFonts w:cs="Arial"/>
          <w:sz w:val="20"/>
          <w:szCs w:val="20"/>
        </w:rPr>
        <w:t xml:space="preserve">Existing R22 equipment already in Australia will not be banned and does not need to be retrofitted. </w:t>
      </w:r>
    </w:p>
    <w:p w14:paraId="7DBCFE3B" w14:textId="77777777" w:rsidR="0008012C" w:rsidRPr="00455EB0" w:rsidRDefault="0008012C" w:rsidP="0008012C">
      <w:pPr>
        <w:pStyle w:val="ListParagraph"/>
        <w:numPr>
          <w:ilvl w:val="0"/>
          <w:numId w:val="50"/>
        </w:numPr>
        <w:contextualSpacing/>
        <w:rPr>
          <w:rFonts w:cs="Arial"/>
          <w:sz w:val="20"/>
          <w:szCs w:val="20"/>
        </w:rPr>
      </w:pPr>
      <w:r w:rsidRPr="00455EB0">
        <w:rPr>
          <w:rFonts w:cs="Arial"/>
          <w:sz w:val="20"/>
          <w:szCs w:val="20"/>
        </w:rPr>
        <w:t xml:space="preserve">Existing units using R22 can continue to be serviced with R22. Regular servicing can benefit owners through reduced electricity costs and reduced replacement costs for leaked </w:t>
      </w:r>
      <w:r>
        <w:rPr>
          <w:rFonts w:cs="Arial"/>
          <w:sz w:val="20"/>
          <w:szCs w:val="20"/>
        </w:rPr>
        <w:t>refrigerant</w:t>
      </w:r>
      <w:r w:rsidRPr="00455EB0">
        <w:rPr>
          <w:rFonts w:cs="Arial"/>
          <w:sz w:val="20"/>
          <w:szCs w:val="20"/>
        </w:rPr>
        <w:t>.</w:t>
      </w:r>
    </w:p>
    <w:p w14:paraId="567208F4" w14:textId="77777777" w:rsidR="0008012C" w:rsidRPr="00455EB0" w:rsidRDefault="0008012C" w:rsidP="0008012C">
      <w:pPr>
        <w:pStyle w:val="ListParagraph"/>
        <w:numPr>
          <w:ilvl w:val="0"/>
          <w:numId w:val="50"/>
        </w:numPr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</w:t>
      </w:r>
      <w:r w:rsidRPr="0040472A">
        <w:rPr>
          <w:rFonts w:cs="Arial"/>
          <w:sz w:val="20"/>
          <w:szCs w:val="20"/>
        </w:rPr>
        <w:t>f your R22 system is in good working order</w:t>
      </w:r>
      <w:r w:rsidRPr="00455EB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t</w:t>
      </w:r>
      <w:r w:rsidRPr="00455EB0">
        <w:rPr>
          <w:rFonts w:cs="Arial"/>
          <w:sz w:val="20"/>
          <w:szCs w:val="20"/>
        </w:rPr>
        <w:t xml:space="preserve">here is no need to </w:t>
      </w:r>
      <w:r>
        <w:rPr>
          <w:rFonts w:cs="Arial"/>
          <w:sz w:val="20"/>
          <w:szCs w:val="20"/>
        </w:rPr>
        <w:t>change it</w:t>
      </w:r>
      <w:r w:rsidRPr="00455EB0">
        <w:rPr>
          <w:rFonts w:cs="Arial"/>
          <w:sz w:val="20"/>
          <w:szCs w:val="20"/>
        </w:rPr>
        <w:t xml:space="preserve"> to an alternative refrigerant or system. However, new equipment is generally more energy efficient and may have a smaller refrigerant charge and lower leakage rate, and therefore can be cheaper to run.</w:t>
      </w:r>
    </w:p>
    <w:p w14:paraId="6FCE6BA7" w14:textId="77777777" w:rsidR="0008012C" w:rsidRPr="00455EB0" w:rsidRDefault="0008012C" w:rsidP="0008012C">
      <w:pPr>
        <w:pStyle w:val="ListParagraph"/>
        <w:numPr>
          <w:ilvl w:val="0"/>
          <w:numId w:val="50"/>
        </w:numPr>
        <w:contextualSpacing/>
        <w:rPr>
          <w:rFonts w:cs="Arial"/>
          <w:sz w:val="20"/>
          <w:szCs w:val="20"/>
        </w:rPr>
      </w:pPr>
      <w:r w:rsidRPr="00455EB0">
        <w:rPr>
          <w:rFonts w:cs="Arial"/>
          <w:sz w:val="20"/>
          <w:szCs w:val="20"/>
        </w:rPr>
        <w:t>Spare parts might become harder to source as R22 equipment gets more out of date.</w:t>
      </w:r>
    </w:p>
    <w:p w14:paraId="5D04DEE7" w14:textId="77777777" w:rsidR="0008012C" w:rsidRPr="00740A44" w:rsidRDefault="0008012C" w:rsidP="0008012C">
      <w:pPr>
        <w:pStyle w:val="ListParagraph"/>
        <w:numPr>
          <w:ilvl w:val="0"/>
          <w:numId w:val="50"/>
        </w:numPr>
        <w:contextualSpacing/>
        <w:rPr>
          <w:rFonts w:cs="Arial"/>
          <w:sz w:val="20"/>
          <w:szCs w:val="20"/>
        </w:rPr>
      </w:pPr>
      <w:r w:rsidRPr="00A72690">
        <w:rPr>
          <w:rFonts w:cs="Arial"/>
          <w:sz w:val="20"/>
          <w:szCs w:val="20"/>
        </w:rPr>
        <w:t>Retrofitting of your existing system to use a non-HCFC refrigerant may be possible. Retrofits should only be done if the substitute refrigerant is suitable for that type of equipment and it is done in</w:t>
      </w:r>
      <w:r w:rsidRPr="00740A44">
        <w:rPr>
          <w:rFonts w:cs="Arial"/>
          <w:sz w:val="20"/>
          <w:szCs w:val="20"/>
        </w:rPr>
        <w:t xml:space="preserve"> accordance with relevant legislation and Australian Standards. </w:t>
      </w:r>
      <w:r w:rsidRPr="00740A44">
        <w:rPr>
          <w:rFonts w:cs="Arial"/>
          <w:sz w:val="20"/>
          <w:szCs w:val="20"/>
        </w:rPr>
        <w:br/>
        <w:t xml:space="preserve">Refer to the ‘Complying with </w:t>
      </w:r>
      <w:r>
        <w:rPr>
          <w:rFonts w:cs="Arial"/>
          <w:sz w:val="20"/>
          <w:szCs w:val="20"/>
        </w:rPr>
        <w:t>the law’</w:t>
      </w:r>
      <w:r w:rsidRPr="00740A44">
        <w:rPr>
          <w:rFonts w:cs="Arial"/>
          <w:sz w:val="20"/>
          <w:szCs w:val="20"/>
        </w:rPr>
        <w:t xml:space="preserve"> section of this fact sheet.</w:t>
      </w:r>
      <w:r w:rsidRPr="00740A44">
        <w:rPr>
          <w:rFonts w:cs="Arial"/>
          <w:sz w:val="20"/>
          <w:szCs w:val="20"/>
        </w:rPr>
        <w:br w:type="page"/>
      </w:r>
    </w:p>
    <w:p w14:paraId="1EE819DD" w14:textId="77777777" w:rsidR="0008012C" w:rsidRPr="00896E8E" w:rsidRDefault="0008012C" w:rsidP="0008012C">
      <w:pPr>
        <w:pStyle w:val="Subhead1"/>
        <w:spacing w:line="276" w:lineRule="auto"/>
        <w:rPr>
          <w:sz w:val="28"/>
          <w:szCs w:val="28"/>
        </w:rPr>
      </w:pPr>
      <w:r w:rsidRPr="00896E8E">
        <w:rPr>
          <w:sz w:val="28"/>
          <w:szCs w:val="28"/>
        </w:rPr>
        <w:lastRenderedPageBreak/>
        <w:t>Transition to other refrigerants</w:t>
      </w:r>
    </w:p>
    <w:p w14:paraId="4934F3E0" w14:textId="77777777" w:rsidR="0008012C" w:rsidRDefault="0008012C" w:rsidP="0008012C">
      <w:pPr>
        <w:pStyle w:val="Tex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The refrigeration and air conditioning i</w:t>
      </w:r>
      <w:r w:rsidRPr="00C92079">
        <w:rPr>
          <w:sz w:val="20"/>
          <w:szCs w:val="20"/>
        </w:rPr>
        <w:t xml:space="preserve">ndustry is already well advanced in the transition from </w:t>
      </w:r>
      <w:r>
        <w:rPr>
          <w:sz w:val="20"/>
          <w:szCs w:val="20"/>
        </w:rPr>
        <w:t>R22. From its peak of just over 30</w:t>
      </w:r>
      <w:r w:rsidRPr="0016259C">
        <w:rPr>
          <w:sz w:val="20"/>
          <w:szCs w:val="20"/>
        </w:rPr>
        <w:t xml:space="preserve"> </w:t>
      </w:r>
      <w:r w:rsidRPr="00C92079">
        <w:rPr>
          <w:sz w:val="20"/>
          <w:szCs w:val="20"/>
        </w:rPr>
        <w:t xml:space="preserve">per cent of the total </w:t>
      </w:r>
      <w:r>
        <w:rPr>
          <w:sz w:val="20"/>
          <w:szCs w:val="20"/>
        </w:rPr>
        <w:t>amount of</w:t>
      </w:r>
      <w:r w:rsidRPr="00C92079">
        <w:rPr>
          <w:sz w:val="20"/>
          <w:szCs w:val="20"/>
        </w:rPr>
        <w:t xml:space="preserve"> </w:t>
      </w:r>
      <w:r>
        <w:rPr>
          <w:sz w:val="20"/>
          <w:szCs w:val="20"/>
        </w:rPr>
        <w:t>refrigerant in use</w:t>
      </w:r>
      <w:r w:rsidRPr="00C92079">
        <w:rPr>
          <w:sz w:val="20"/>
          <w:szCs w:val="20"/>
        </w:rPr>
        <w:t xml:space="preserve"> in Australia</w:t>
      </w:r>
      <w:r>
        <w:rPr>
          <w:sz w:val="20"/>
          <w:szCs w:val="20"/>
        </w:rPr>
        <w:t xml:space="preserve"> in 2010, R22 accounted for just</w:t>
      </w:r>
      <w:r w:rsidRPr="00C92079">
        <w:rPr>
          <w:sz w:val="20"/>
          <w:szCs w:val="20"/>
        </w:rPr>
        <w:t xml:space="preserve"> </w:t>
      </w:r>
      <w:r>
        <w:rPr>
          <w:sz w:val="20"/>
          <w:szCs w:val="20"/>
        </w:rPr>
        <w:t>17 per cent</w:t>
      </w:r>
      <w:r w:rsidRPr="00C92079">
        <w:rPr>
          <w:sz w:val="20"/>
          <w:szCs w:val="20"/>
        </w:rPr>
        <w:t xml:space="preserve"> </w:t>
      </w:r>
      <w:r>
        <w:rPr>
          <w:sz w:val="20"/>
          <w:szCs w:val="20"/>
        </w:rPr>
        <w:t>of refrigerant in use in 2016</w:t>
      </w:r>
      <w:r>
        <w:rPr>
          <w:rStyle w:val="EndnoteReference"/>
          <w:sz w:val="20"/>
          <w:szCs w:val="20"/>
        </w:rPr>
        <w:endnoteReference w:id="1"/>
      </w:r>
      <w:r>
        <w:rPr>
          <w:sz w:val="20"/>
          <w:szCs w:val="20"/>
        </w:rPr>
        <w:t xml:space="preserve"> and continues to decline. Hydrofluorocarbons (HFCs) such as R-134a</w:t>
      </w:r>
      <w:r w:rsidRPr="00DE39AB">
        <w:rPr>
          <w:sz w:val="20"/>
          <w:szCs w:val="20"/>
        </w:rPr>
        <w:t xml:space="preserve"> </w:t>
      </w:r>
      <w:r>
        <w:rPr>
          <w:sz w:val="20"/>
          <w:szCs w:val="20"/>
        </w:rPr>
        <w:t>and R-410a are now the most common refrigerants, making up 81% of refrigerant in use in Australia. HFCs are being phased down</w:t>
      </w:r>
      <w:r w:rsidRPr="003F63E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 Australia (from 2018) and globally under the Montreal Protocol (from 2019), </w:t>
      </w:r>
      <w:r w:rsidRPr="00ED207F">
        <w:rPr>
          <w:sz w:val="20"/>
          <w:szCs w:val="20"/>
        </w:rPr>
        <w:t>as they</w:t>
      </w:r>
      <w:r>
        <w:rPr>
          <w:sz w:val="20"/>
          <w:szCs w:val="20"/>
        </w:rPr>
        <w:t xml:space="preserve"> </w:t>
      </w:r>
      <w:r w:rsidRPr="00ED207F">
        <w:rPr>
          <w:sz w:val="20"/>
          <w:szCs w:val="20"/>
        </w:rPr>
        <w:t>generally have a high global warming potential.</w:t>
      </w:r>
    </w:p>
    <w:p w14:paraId="0F7CA1E2" w14:textId="77777777" w:rsidR="0008012C" w:rsidRPr="00F91D1D" w:rsidRDefault="0008012C" w:rsidP="0008012C">
      <w:pPr>
        <w:pStyle w:val="Subhead1"/>
        <w:spacing w:line="276" w:lineRule="auto"/>
        <w:rPr>
          <w:sz w:val="28"/>
          <w:szCs w:val="28"/>
        </w:rPr>
      </w:pPr>
      <w:r w:rsidRPr="00F91D1D">
        <w:rPr>
          <w:sz w:val="28"/>
          <w:szCs w:val="28"/>
        </w:rPr>
        <w:t xml:space="preserve">Complying with </w:t>
      </w:r>
      <w:r>
        <w:rPr>
          <w:sz w:val="28"/>
          <w:szCs w:val="28"/>
        </w:rPr>
        <w:t>the law</w:t>
      </w:r>
    </w:p>
    <w:p w14:paraId="3B5B15D9" w14:textId="77777777" w:rsidR="0008012C" w:rsidRDefault="0008012C" w:rsidP="0008012C">
      <w:pPr>
        <w:pStyle w:val="Tex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The Australian Government’s </w:t>
      </w:r>
      <w:r w:rsidRPr="00A1583F">
        <w:rPr>
          <w:rStyle w:val="TextItalic"/>
          <w:sz w:val="20"/>
          <w:szCs w:val="20"/>
        </w:rPr>
        <w:t xml:space="preserve">Ozone Protection and Synthetic Greenhouse Gas Management </w:t>
      </w:r>
      <w:r>
        <w:rPr>
          <w:rStyle w:val="TextItalic"/>
          <w:sz w:val="20"/>
          <w:szCs w:val="20"/>
        </w:rPr>
        <w:t xml:space="preserve">legislation sets out legal requirements for </w:t>
      </w:r>
      <w:r>
        <w:rPr>
          <w:sz w:val="20"/>
          <w:szCs w:val="20"/>
        </w:rPr>
        <w:t xml:space="preserve">handling controlled HFC, HCFC and CFC </w:t>
      </w:r>
      <w:r w:rsidRPr="00F91D1D">
        <w:rPr>
          <w:sz w:val="20"/>
          <w:szCs w:val="20"/>
        </w:rPr>
        <w:t xml:space="preserve">refrigerants. </w:t>
      </w:r>
      <w:r>
        <w:rPr>
          <w:sz w:val="20"/>
          <w:szCs w:val="20"/>
        </w:rPr>
        <w:t>These requirements are designed to prevent discharge of refrigerant to the atmosphere. Importantly, refrigerant must not be discharged or ‘vented’, except in very limited circumstances, and must be recovered by a licensed technician when equipment reaches end of life. All work on</w:t>
      </w:r>
      <w:r w:rsidRPr="00F91D1D">
        <w:rPr>
          <w:sz w:val="20"/>
          <w:szCs w:val="20"/>
        </w:rPr>
        <w:t xml:space="preserve"> equipment </w:t>
      </w:r>
      <w:r>
        <w:rPr>
          <w:sz w:val="20"/>
          <w:szCs w:val="20"/>
        </w:rPr>
        <w:t xml:space="preserve">containing these refrigerants </w:t>
      </w:r>
      <w:r w:rsidRPr="00F91D1D">
        <w:rPr>
          <w:sz w:val="20"/>
          <w:szCs w:val="20"/>
        </w:rPr>
        <w:t xml:space="preserve">must </w:t>
      </w:r>
      <w:r>
        <w:rPr>
          <w:sz w:val="20"/>
          <w:szCs w:val="20"/>
        </w:rPr>
        <w:t xml:space="preserve">be done by appropriately licensed technicians (see next section) who must </w:t>
      </w:r>
      <w:r w:rsidRPr="00F91D1D">
        <w:rPr>
          <w:sz w:val="20"/>
          <w:szCs w:val="20"/>
        </w:rPr>
        <w:t xml:space="preserve">comply with </w:t>
      </w:r>
      <w:r>
        <w:rPr>
          <w:sz w:val="20"/>
          <w:szCs w:val="20"/>
        </w:rPr>
        <w:t xml:space="preserve">all </w:t>
      </w:r>
      <w:r w:rsidRPr="00F91D1D">
        <w:rPr>
          <w:sz w:val="20"/>
          <w:szCs w:val="20"/>
        </w:rPr>
        <w:t xml:space="preserve">relevant </w:t>
      </w:r>
      <w:r>
        <w:rPr>
          <w:sz w:val="20"/>
          <w:szCs w:val="20"/>
        </w:rPr>
        <w:t>laws and standards, including e</w:t>
      </w:r>
      <w:r w:rsidRPr="00F91D1D">
        <w:rPr>
          <w:sz w:val="20"/>
          <w:szCs w:val="20"/>
        </w:rPr>
        <w:t xml:space="preserve">lectrical </w:t>
      </w:r>
      <w:r>
        <w:rPr>
          <w:sz w:val="20"/>
          <w:szCs w:val="20"/>
        </w:rPr>
        <w:t>s</w:t>
      </w:r>
      <w:r w:rsidRPr="00F91D1D">
        <w:rPr>
          <w:sz w:val="20"/>
          <w:szCs w:val="20"/>
        </w:rPr>
        <w:t xml:space="preserve">afety </w:t>
      </w:r>
      <w:r>
        <w:rPr>
          <w:sz w:val="20"/>
          <w:szCs w:val="20"/>
        </w:rPr>
        <w:t>s</w:t>
      </w:r>
      <w:r w:rsidRPr="00F91D1D">
        <w:rPr>
          <w:sz w:val="20"/>
          <w:szCs w:val="20"/>
        </w:rPr>
        <w:t>tandards.</w:t>
      </w:r>
      <w:r>
        <w:rPr>
          <w:sz w:val="20"/>
          <w:szCs w:val="20"/>
        </w:rPr>
        <w:t xml:space="preserve"> A penalty of up to $63,000 for an individual or $315,000 for a corporation may apply for breaches of these refrigerant handling laws.</w:t>
      </w:r>
    </w:p>
    <w:p w14:paraId="3061E8E5" w14:textId="77777777" w:rsidR="0008012C" w:rsidRDefault="0008012C" w:rsidP="0008012C">
      <w:pPr>
        <w:pStyle w:val="Tex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There are also state and territory requirements which</w:t>
      </w:r>
      <w:r w:rsidRPr="00F91D1D">
        <w:rPr>
          <w:sz w:val="20"/>
          <w:szCs w:val="20"/>
        </w:rPr>
        <w:t xml:space="preserve"> vary between </w:t>
      </w:r>
      <w:r>
        <w:rPr>
          <w:sz w:val="20"/>
          <w:szCs w:val="20"/>
        </w:rPr>
        <w:t>jurisdictions. T</w:t>
      </w:r>
      <w:r w:rsidRPr="00F91D1D">
        <w:rPr>
          <w:sz w:val="20"/>
          <w:szCs w:val="20"/>
        </w:rPr>
        <w:t>he relevant authorities should always be consulted to ensure legal requirements are followed.</w:t>
      </w:r>
      <w:r>
        <w:rPr>
          <w:sz w:val="20"/>
          <w:szCs w:val="20"/>
        </w:rPr>
        <w:t xml:space="preserve"> </w:t>
      </w:r>
    </w:p>
    <w:p w14:paraId="37306279" w14:textId="77777777" w:rsidR="0008012C" w:rsidRPr="00F91D1D" w:rsidRDefault="0008012C" w:rsidP="0008012C">
      <w:pPr>
        <w:pStyle w:val="Text"/>
        <w:spacing w:line="276" w:lineRule="auto"/>
        <w:rPr>
          <w:sz w:val="20"/>
          <w:szCs w:val="20"/>
        </w:rPr>
      </w:pPr>
      <w:r w:rsidRPr="00F91D1D">
        <w:rPr>
          <w:sz w:val="20"/>
          <w:szCs w:val="20"/>
        </w:rPr>
        <w:t xml:space="preserve">If you are </w:t>
      </w:r>
      <w:r>
        <w:rPr>
          <w:sz w:val="20"/>
          <w:szCs w:val="20"/>
        </w:rPr>
        <w:t xml:space="preserve">considering </w:t>
      </w:r>
      <w:r w:rsidRPr="00F91D1D">
        <w:rPr>
          <w:sz w:val="20"/>
          <w:szCs w:val="20"/>
        </w:rPr>
        <w:t xml:space="preserve">substituting </w:t>
      </w:r>
      <w:r>
        <w:rPr>
          <w:sz w:val="20"/>
          <w:szCs w:val="20"/>
        </w:rPr>
        <w:t>R22</w:t>
      </w:r>
      <w:r w:rsidRPr="00F91D1D">
        <w:rPr>
          <w:sz w:val="20"/>
          <w:szCs w:val="20"/>
        </w:rPr>
        <w:t xml:space="preserve"> with an alternative refrigerant, check the relevant state or territory </w:t>
      </w:r>
      <w:r>
        <w:rPr>
          <w:sz w:val="20"/>
          <w:szCs w:val="20"/>
        </w:rPr>
        <w:t>regulations and the manufacturers’ requirements</w:t>
      </w:r>
      <w:r w:rsidRPr="00F91D1D">
        <w:rPr>
          <w:sz w:val="20"/>
          <w:szCs w:val="20"/>
        </w:rPr>
        <w:t xml:space="preserve">. </w:t>
      </w:r>
      <w:r>
        <w:rPr>
          <w:sz w:val="20"/>
          <w:szCs w:val="20"/>
        </w:rPr>
        <w:t>M</w:t>
      </w:r>
      <w:r w:rsidRPr="006D2EE1">
        <w:rPr>
          <w:sz w:val="20"/>
          <w:szCs w:val="20"/>
        </w:rPr>
        <w:t xml:space="preserve">odifications to the system or </w:t>
      </w:r>
      <w:r>
        <w:rPr>
          <w:sz w:val="20"/>
          <w:szCs w:val="20"/>
        </w:rPr>
        <w:t>its</w:t>
      </w:r>
      <w:r w:rsidRPr="006D2EE1">
        <w:rPr>
          <w:sz w:val="20"/>
          <w:szCs w:val="20"/>
        </w:rPr>
        <w:t xml:space="preserve"> surroundings may be necessary to achieve compliance with relevant legislation</w:t>
      </w:r>
      <w:r>
        <w:rPr>
          <w:sz w:val="20"/>
          <w:szCs w:val="20"/>
        </w:rPr>
        <w:t xml:space="preserve"> and standards</w:t>
      </w:r>
      <w:r w:rsidRPr="006D2EE1">
        <w:rPr>
          <w:sz w:val="20"/>
          <w:szCs w:val="20"/>
        </w:rPr>
        <w:t>.</w:t>
      </w:r>
      <w:r>
        <w:rPr>
          <w:sz w:val="23"/>
          <w:szCs w:val="23"/>
        </w:rPr>
        <w:t xml:space="preserve"> </w:t>
      </w:r>
    </w:p>
    <w:p w14:paraId="563E8828" w14:textId="77777777" w:rsidR="0008012C" w:rsidRPr="00BE0628" w:rsidRDefault="0008012C" w:rsidP="0008012C">
      <w:pPr>
        <w:pStyle w:val="Subhead2"/>
        <w:spacing w:line="276" w:lineRule="auto"/>
        <w:rPr>
          <w:szCs w:val="28"/>
        </w:rPr>
      </w:pPr>
      <w:r w:rsidRPr="00BE0628">
        <w:rPr>
          <w:szCs w:val="28"/>
        </w:rPr>
        <w:t>Licensing requirements for the handling of refrigerants</w:t>
      </w:r>
    </w:p>
    <w:p w14:paraId="37FA5C52" w14:textId="77777777" w:rsidR="0008012C" w:rsidRPr="00F91D1D" w:rsidRDefault="0008012C" w:rsidP="0008012C">
      <w:pPr>
        <w:pStyle w:val="Text"/>
        <w:spacing w:line="276" w:lineRule="auto"/>
        <w:rPr>
          <w:sz w:val="20"/>
          <w:szCs w:val="20"/>
        </w:rPr>
      </w:pPr>
      <w:r w:rsidRPr="00F91D1D">
        <w:rPr>
          <w:sz w:val="20"/>
          <w:szCs w:val="20"/>
        </w:rPr>
        <w:t xml:space="preserve">Licences </w:t>
      </w:r>
      <w:r>
        <w:rPr>
          <w:sz w:val="20"/>
          <w:szCs w:val="20"/>
        </w:rPr>
        <w:t>to handle or trade in controlled HCFC, HFC or CFC refrigerants are issued by</w:t>
      </w:r>
      <w:r w:rsidRPr="00F91D1D">
        <w:rPr>
          <w:sz w:val="20"/>
          <w:szCs w:val="20"/>
        </w:rPr>
        <w:t xml:space="preserve"> the Australian Refrigeration Council at </w:t>
      </w:r>
      <w:hyperlink r:id="rId8" w:history="1">
        <w:r w:rsidRPr="00F91D1D">
          <w:rPr>
            <w:sz w:val="20"/>
            <w:szCs w:val="20"/>
          </w:rPr>
          <w:t>www.arctick.org</w:t>
        </w:r>
      </w:hyperlink>
      <w:r>
        <w:rPr>
          <w:sz w:val="20"/>
          <w:szCs w:val="20"/>
        </w:rPr>
        <w:t>:</w:t>
      </w:r>
    </w:p>
    <w:p w14:paraId="1AB47DF3" w14:textId="77777777" w:rsidR="0008012C" w:rsidRPr="00E636E4" w:rsidRDefault="0008012C" w:rsidP="0008012C">
      <w:pPr>
        <w:pStyle w:val="ListParagraph"/>
        <w:numPr>
          <w:ilvl w:val="0"/>
          <w:numId w:val="50"/>
        </w:numPr>
        <w:contextualSpacing/>
        <w:rPr>
          <w:rFonts w:cs="Arial"/>
          <w:sz w:val="20"/>
          <w:szCs w:val="20"/>
        </w:rPr>
      </w:pPr>
      <w:r w:rsidRPr="000E2023">
        <w:rPr>
          <w:rFonts w:cs="Arial"/>
          <w:sz w:val="20"/>
          <w:szCs w:val="20"/>
        </w:rPr>
        <w:t xml:space="preserve">A </w:t>
      </w:r>
      <w:r w:rsidRPr="000E2023">
        <w:rPr>
          <w:rFonts w:cs="Arial"/>
          <w:b/>
          <w:sz w:val="20"/>
          <w:szCs w:val="20"/>
        </w:rPr>
        <w:t>Refrigerant Handling Licence</w:t>
      </w:r>
      <w:r w:rsidRPr="000E2023">
        <w:rPr>
          <w:rFonts w:cs="Arial"/>
          <w:sz w:val="20"/>
          <w:szCs w:val="20"/>
        </w:rPr>
        <w:t xml:space="preserve"> is required to decant refrigerant, manufacture, install</w:t>
      </w:r>
      <w:r>
        <w:rPr>
          <w:rFonts w:cs="Arial"/>
          <w:sz w:val="20"/>
          <w:szCs w:val="20"/>
        </w:rPr>
        <w:t>, commission, maintain</w:t>
      </w:r>
      <w:r w:rsidRPr="000E2023">
        <w:rPr>
          <w:rFonts w:cs="Arial"/>
          <w:sz w:val="20"/>
          <w:szCs w:val="20"/>
        </w:rPr>
        <w:t xml:space="preserve"> or service equipment, irrespective of whether or not </w:t>
      </w:r>
      <w:r>
        <w:rPr>
          <w:rFonts w:cs="Arial"/>
          <w:sz w:val="20"/>
          <w:szCs w:val="20"/>
        </w:rPr>
        <w:t xml:space="preserve">a controlled </w:t>
      </w:r>
      <w:r w:rsidRPr="000E2023">
        <w:rPr>
          <w:rFonts w:cs="Arial"/>
          <w:sz w:val="20"/>
          <w:szCs w:val="20"/>
        </w:rPr>
        <w:t>refrigerant is present</w:t>
      </w:r>
      <w:r>
        <w:rPr>
          <w:rFonts w:cs="Arial"/>
          <w:sz w:val="20"/>
          <w:szCs w:val="20"/>
        </w:rPr>
        <w:t xml:space="preserve">. This licence also covers </w:t>
      </w:r>
      <w:r w:rsidRPr="000E2023">
        <w:rPr>
          <w:rFonts w:cs="Arial"/>
          <w:sz w:val="20"/>
          <w:szCs w:val="20"/>
        </w:rPr>
        <w:t>decommission</w:t>
      </w:r>
      <w:r>
        <w:rPr>
          <w:rFonts w:cs="Arial"/>
          <w:sz w:val="20"/>
          <w:szCs w:val="20"/>
        </w:rPr>
        <w:t>ing</w:t>
      </w:r>
      <w:r w:rsidRPr="000E2023">
        <w:rPr>
          <w:rFonts w:cs="Arial"/>
          <w:sz w:val="20"/>
          <w:szCs w:val="20"/>
        </w:rPr>
        <w:t xml:space="preserve"> or dispos</w:t>
      </w:r>
      <w:r>
        <w:rPr>
          <w:rFonts w:cs="Arial"/>
          <w:sz w:val="20"/>
          <w:szCs w:val="20"/>
        </w:rPr>
        <w:t>al</w:t>
      </w:r>
      <w:r w:rsidRPr="000E2023">
        <w:rPr>
          <w:rFonts w:cs="Arial"/>
          <w:sz w:val="20"/>
          <w:szCs w:val="20"/>
        </w:rPr>
        <w:t xml:space="preserve"> of equipment </w:t>
      </w:r>
      <w:r>
        <w:rPr>
          <w:rFonts w:cs="Arial"/>
          <w:sz w:val="20"/>
          <w:szCs w:val="20"/>
        </w:rPr>
        <w:t>containing</w:t>
      </w:r>
      <w:r w:rsidRPr="000E2023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controlled </w:t>
      </w:r>
      <w:r w:rsidRPr="000E2023">
        <w:rPr>
          <w:rFonts w:cs="Arial"/>
          <w:sz w:val="20"/>
          <w:szCs w:val="20"/>
        </w:rPr>
        <w:t>refrigerant.</w:t>
      </w:r>
    </w:p>
    <w:p w14:paraId="195083AF" w14:textId="77777777" w:rsidR="0008012C" w:rsidRPr="00E636E4" w:rsidRDefault="0008012C" w:rsidP="0008012C">
      <w:pPr>
        <w:pStyle w:val="ListParagraph"/>
        <w:numPr>
          <w:ilvl w:val="0"/>
          <w:numId w:val="50"/>
        </w:numPr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 </w:t>
      </w:r>
      <w:r w:rsidRPr="000E2023">
        <w:rPr>
          <w:rFonts w:cs="Arial"/>
          <w:b/>
          <w:sz w:val="20"/>
          <w:szCs w:val="20"/>
        </w:rPr>
        <w:t>Refrigerant Trading Authorisation</w:t>
      </w:r>
      <w:r w:rsidRPr="007F6403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is required for a</w:t>
      </w:r>
      <w:r w:rsidRPr="000E2023">
        <w:rPr>
          <w:rFonts w:cs="Arial"/>
          <w:sz w:val="20"/>
          <w:szCs w:val="20"/>
        </w:rPr>
        <w:t xml:space="preserve">ny individual or business that acquires, possesses </w:t>
      </w:r>
      <w:r>
        <w:rPr>
          <w:rFonts w:cs="Arial"/>
          <w:sz w:val="20"/>
          <w:szCs w:val="20"/>
        </w:rPr>
        <w:t>or disposes of</w:t>
      </w:r>
      <w:r w:rsidRPr="000E2023">
        <w:rPr>
          <w:rFonts w:cs="Arial"/>
          <w:sz w:val="20"/>
          <w:szCs w:val="20"/>
        </w:rPr>
        <w:t xml:space="preserve"> controlled refrigerant.</w:t>
      </w:r>
    </w:p>
    <w:p w14:paraId="40D89116" w14:textId="77777777" w:rsidR="0008012C" w:rsidRPr="00E636E4" w:rsidRDefault="0008012C" w:rsidP="0008012C">
      <w:pPr>
        <w:pStyle w:val="ListParagraph"/>
        <w:numPr>
          <w:ilvl w:val="0"/>
          <w:numId w:val="50"/>
        </w:numPr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</w:t>
      </w:r>
      <w:r w:rsidRPr="002D05B9">
        <w:rPr>
          <w:rFonts w:cs="Arial"/>
          <w:sz w:val="20"/>
          <w:szCs w:val="20"/>
        </w:rPr>
        <w:t xml:space="preserve"> </w:t>
      </w:r>
      <w:r w:rsidRPr="000E2023">
        <w:rPr>
          <w:rFonts w:cs="Arial"/>
          <w:b/>
          <w:sz w:val="20"/>
          <w:szCs w:val="20"/>
        </w:rPr>
        <w:t xml:space="preserve">Restricted Refrigerant </w:t>
      </w:r>
      <w:proofErr w:type="spellStart"/>
      <w:r w:rsidRPr="000E2023">
        <w:rPr>
          <w:rFonts w:cs="Arial"/>
          <w:b/>
          <w:sz w:val="20"/>
          <w:szCs w:val="20"/>
        </w:rPr>
        <w:t>Recoverer</w:t>
      </w:r>
      <w:proofErr w:type="spellEnd"/>
      <w:r w:rsidRPr="000E2023">
        <w:rPr>
          <w:rFonts w:cs="Arial"/>
          <w:b/>
          <w:sz w:val="20"/>
          <w:szCs w:val="20"/>
        </w:rPr>
        <w:t xml:space="preserve"> Licence</w:t>
      </w:r>
      <w:r w:rsidRPr="007F6403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is one of the licence options for individuals </w:t>
      </w:r>
      <w:r w:rsidRPr="000E2023">
        <w:rPr>
          <w:rFonts w:cs="Arial"/>
          <w:sz w:val="20"/>
          <w:szCs w:val="20"/>
        </w:rPr>
        <w:t>(including a repairer or dismantler) who remove controlled refrigerant from any refrigeration or air conditioning system</w:t>
      </w:r>
      <w:r>
        <w:rPr>
          <w:rFonts w:cs="Arial"/>
          <w:sz w:val="20"/>
          <w:szCs w:val="20"/>
        </w:rPr>
        <w:t>s</w:t>
      </w:r>
      <w:r w:rsidRPr="000E2023">
        <w:rPr>
          <w:rFonts w:cs="Arial"/>
          <w:sz w:val="20"/>
          <w:szCs w:val="20"/>
        </w:rPr>
        <w:t xml:space="preserve">. </w:t>
      </w:r>
    </w:p>
    <w:p w14:paraId="4F42E1E4" w14:textId="77777777" w:rsidR="0008012C" w:rsidRDefault="0008012C" w:rsidP="0008012C">
      <w:pPr>
        <w:pStyle w:val="Tex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Additional </w:t>
      </w:r>
      <w:r w:rsidRPr="00F91D1D">
        <w:rPr>
          <w:sz w:val="20"/>
          <w:szCs w:val="20"/>
        </w:rPr>
        <w:t xml:space="preserve">licensing requirements </w:t>
      </w:r>
      <w:r>
        <w:rPr>
          <w:sz w:val="20"/>
          <w:szCs w:val="20"/>
        </w:rPr>
        <w:t xml:space="preserve">apply </w:t>
      </w:r>
      <w:r w:rsidRPr="00F91D1D">
        <w:rPr>
          <w:sz w:val="20"/>
          <w:szCs w:val="20"/>
        </w:rPr>
        <w:t>for working with some or all refrigerants in some states and territories. You should check the relevant requirements in your state or territory.</w:t>
      </w:r>
    </w:p>
    <w:p w14:paraId="53E0CD0E" w14:textId="77777777" w:rsidR="0008012C" w:rsidRPr="00F91D1D" w:rsidRDefault="0008012C" w:rsidP="0008012C">
      <w:pPr>
        <w:spacing w:after="0" w:line="240" w:lineRule="auto"/>
        <w:rPr>
          <w:sz w:val="28"/>
          <w:szCs w:val="28"/>
        </w:rPr>
      </w:pPr>
      <w:r w:rsidRPr="00F91D1D">
        <w:rPr>
          <w:sz w:val="28"/>
          <w:szCs w:val="28"/>
        </w:rPr>
        <w:t>More information</w:t>
      </w:r>
    </w:p>
    <w:p w14:paraId="72277B22" w14:textId="77777777" w:rsidR="0008012C" w:rsidRDefault="0008012C" w:rsidP="0008012C">
      <w:pPr>
        <w:pStyle w:val="Text"/>
        <w:spacing w:line="276" w:lineRule="auto"/>
        <w:rPr>
          <w:rStyle w:val="TextBold"/>
          <w:sz w:val="20"/>
          <w:szCs w:val="20"/>
        </w:rPr>
      </w:pPr>
      <w:r>
        <w:rPr>
          <w:rStyle w:val="TextBold"/>
          <w:sz w:val="20"/>
          <w:szCs w:val="20"/>
        </w:rPr>
        <w:t>HFC phase-down</w:t>
      </w:r>
    </w:p>
    <w:p w14:paraId="6FABBA84" w14:textId="77777777" w:rsidR="0008012C" w:rsidRPr="00BE0628" w:rsidRDefault="0008012C" w:rsidP="0008012C">
      <w:pPr>
        <w:pStyle w:val="Text"/>
        <w:spacing w:line="276" w:lineRule="auto"/>
        <w:rPr>
          <w:rStyle w:val="Hyperlink"/>
          <w:sz w:val="20"/>
          <w:szCs w:val="20"/>
        </w:rPr>
      </w:pPr>
      <w:r w:rsidRPr="00BE0628">
        <w:rPr>
          <w:rStyle w:val="Hyperlink"/>
          <w:sz w:val="20"/>
          <w:szCs w:val="20"/>
        </w:rPr>
        <w:t>www.environment.gov.au/protection/ozone/hfc-phase-down</w:t>
      </w:r>
    </w:p>
    <w:p w14:paraId="2A1F3AD6" w14:textId="77777777" w:rsidR="0008012C" w:rsidRPr="008A6F49" w:rsidRDefault="0008012C" w:rsidP="0008012C">
      <w:pPr>
        <w:pStyle w:val="Text"/>
        <w:spacing w:line="276" w:lineRule="auto"/>
        <w:rPr>
          <w:sz w:val="20"/>
          <w:szCs w:val="20"/>
        </w:rPr>
      </w:pPr>
      <w:r w:rsidRPr="008A6F49">
        <w:rPr>
          <w:rStyle w:val="TextBold"/>
          <w:sz w:val="20"/>
          <w:szCs w:val="20"/>
        </w:rPr>
        <w:t>Electrical Regulatory Authorities Council,</w:t>
      </w:r>
      <w:r w:rsidRPr="008A6F49">
        <w:rPr>
          <w:sz w:val="20"/>
          <w:szCs w:val="20"/>
        </w:rPr>
        <w:t xml:space="preserve"> for more information on electrical equipment safety:</w:t>
      </w:r>
    </w:p>
    <w:p w14:paraId="0B20F857" w14:textId="77777777" w:rsidR="0008012C" w:rsidRPr="008A6F49" w:rsidRDefault="00D643D2" w:rsidP="0008012C">
      <w:pPr>
        <w:pStyle w:val="Text"/>
        <w:spacing w:line="276" w:lineRule="auto"/>
        <w:rPr>
          <w:sz w:val="20"/>
          <w:szCs w:val="20"/>
        </w:rPr>
      </w:pPr>
      <w:hyperlink r:id="rId9" w:history="1">
        <w:r w:rsidR="0008012C" w:rsidRPr="008A6F49">
          <w:rPr>
            <w:rStyle w:val="Hyperlink"/>
            <w:sz w:val="20"/>
            <w:szCs w:val="20"/>
          </w:rPr>
          <w:t>www.erac.gov.au/</w:t>
        </w:r>
      </w:hyperlink>
      <w:r w:rsidR="0008012C" w:rsidRPr="008A6F49">
        <w:rPr>
          <w:sz w:val="20"/>
          <w:szCs w:val="20"/>
        </w:rPr>
        <w:t>.</w:t>
      </w:r>
    </w:p>
    <w:p w14:paraId="60003672" w14:textId="1072C93A" w:rsidR="00911523" w:rsidRPr="0008012C" w:rsidRDefault="0008012C" w:rsidP="0008012C">
      <w:pPr>
        <w:pStyle w:val="Text"/>
        <w:spacing w:line="276" w:lineRule="auto"/>
        <w:rPr>
          <w:sz w:val="20"/>
          <w:szCs w:val="20"/>
        </w:rPr>
      </w:pPr>
      <w:r w:rsidRPr="008A6F49">
        <w:rPr>
          <w:rStyle w:val="TextBold"/>
          <w:sz w:val="20"/>
          <w:szCs w:val="20"/>
        </w:rPr>
        <w:t>Safe Work Australia,</w:t>
      </w:r>
      <w:r w:rsidRPr="008A6F49">
        <w:rPr>
          <w:sz w:val="20"/>
          <w:szCs w:val="20"/>
        </w:rPr>
        <w:t xml:space="preserve"> to find the relevant work health and safety authority in your state or territory: </w:t>
      </w:r>
      <w:r w:rsidRPr="008A6F49">
        <w:rPr>
          <w:rStyle w:val="Hyperlink"/>
          <w:sz w:val="20"/>
          <w:szCs w:val="20"/>
        </w:rPr>
        <w:t>www.safeworkaustralia.gov.au</w:t>
      </w:r>
    </w:p>
    <w:sectPr w:rsidR="00911523" w:rsidRPr="0008012C" w:rsidSect="001A28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47" w:right="1134" w:bottom="567" w:left="1134" w:header="340" w:footer="425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852907" w16cid:durableId="1F702CA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DD79B" w14:textId="77777777" w:rsidR="00D20680" w:rsidRDefault="00D20680" w:rsidP="00A60185">
      <w:pPr>
        <w:spacing w:after="0" w:line="240" w:lineRule="auto"/>
      </w:pPr>
      <w:r>
        <w:separator/>
      </w:r>
    </w:p>
  </w:endnote>
  <w:endnote w:type="continuationSeparator" w:id="0">
    <w:p w14:paraId="71CFCB4C" w14:textId="77777777" w:rsidR="00D20680" w:rsidRDefault="00D20680" w:rsidP="00A60185">
      <w:pPr>
        <w:spacing w:after="0" w:line="240" w:lineRule="auto"/>
      </w:pPr>
      <w:r>
        <w:continuationSeparator/>
      </w:r>
    </w:p>
  </w:endnote>
  <w:endnote w:id="1">
    <w:p w14:paraId="61DCB384" w14:textId="77777777" w:rsidR="0008012C" w:rsidRPr="000E2023" w:rsidRDefault="0008012C" w:rsidP="0008012C">
      <w:pPr>
        <w:pStyle w:val="EndnoteText"/>
        <w:rPr>
          <w:lang w:val="en-AU"/>
        </w:rPr>
      </w:pPr>
      <w:r>
        <w:rPr>
          <w:rStyle w:val="EndnoteReference"/>
        </w:rPr>
        <w:endnoteRef/>
      </w:r>
      <w:r>
        <w:t xml:space="preserve"> </w:t>
      </w:r>
      <w:r w:rsidRPr="00FF3CCA">
        <w:rPr>
          <w:i/>
          <w:lang w:val="en-AU"/>
        </w:rPr>
        <w:t>Cold Hard Facts 3</w:t>
      </w:r>
      <w:r>
        <w:rPr>
          <w:lang w:val="en-AU"/>
        </w:rPr>
        <w:t>, Department of the Environment and Energy, 2018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AEC6B" w14:textId="77777777" w:rsidR="00D643D2" w:rsidRDefault="00D643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1496980"/>
      <w:docPartObj>
        <w:docPartGallery w:val="Page Numbers (Bottom of Page)"/>
        <w:docPartUnique/>
      </w:docPartObj>
    </w:sdtPr>
    <w:sdtEndPr/>
    <w:sdtContent>
      <w:p w14:paraId="44DB3042" w14:textId="77777777" w:rsidR="00100BEF" w:rsidRDefault="001474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43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AAA56" w14:textId="77777777" w:rsidR="00D643D2" w:rsidRDefault="00D643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AA354" w14:textId="77777777" w:rsidR="00D20680" w:rsidRDefault="00D20680" w:rsidP="00A60185">
      <w:pPr>
        <w:spacing w:after="0" w:line="240" w:lineRule="auto"/>
      </w:pPr>
      <w:r>
        <w:separator/>
      </w:r>
    </w:p>
  </w:footnote>
  <w:footnote w:type="continuationSeparator" w:id="0">
    <w:p w14:paraId="745774AE" w14:textId="77777777" w:rsidR="00D20680" w:rsidRDefault="00D20680" w:rsidP="00A60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FAA67" w14:textId="77777777" w:rsidR="00100BEF" w:rsidRDefault="00F2531D" w:rsidP="00E45765">
    <w:pPr>
      <w:pStyle w:val="Classification"/>
    </w:pPr>
    <w:r>
      <w:fldChar w:fldCharType="begin"/>
    </w:r>
    <w:r w:rsidR="00166690">
      <w:instrText xml:space="preserve"> DOCPROPERTY SecurityClassification \* MERGEFORMAT </w:instrText>
    </w:r>
    <w:r>
      <w:fldChar w:fldCharType="separate"/>
    </w:r>
    <w:r w:rsidR="00267B53"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9688D" w14:textId="77777777" w:rsidR="00D643D2" w:rsidRDefault="00D643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051E5" w14:textId="77777777" w:rsidR="00911523" w:rsidRPr="00826410" w:rsidRDefault="00911523" w:rsidP="00911523">
    <w:pPr>
      <w:pStyle w:val="Classification"/>
      <w:tabs>
        <w:tab w:val="clear" w:pos="4536"/>
        <w:tab w:val="clear" w:pos="4819"/>
        <w:tab w:val="clear" w:pos="9356"/>
      </w:tabs>
      <w:ind w:left="567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8B78B00" wp14:editId="745C5B75">
          <wp:simplePos x="0" y="0"/>
          <wp:positionH relativeFrom="page">
            <wp:posOffset>571500</wp:posOffset>
          </wp:positionH>
          <wp:positionV relativeFrom="page">
            <wp:posOffset>485775</wp:posOffset>
          </wp:positionV>
          <wp:extent cx="3517011" cy="608838"/>
          <wp:effectExtent l="0" t="0" r="7239" b="0"/>
          <wp:wrapNone/>
          <wp:docPr id="11" name="Picture 0" descr="Description: Department of th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_Env_logo_whi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17011" cy="6088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62D9D41" wp14:editId="6EF682E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439545"/>
          <wp:effectExtent l="0" t="0" r="0" b="0"/>
          <wp:wrapNone/>
          <wp:docPr id="12" name="Picture 12" descr="A4_Word_Header_Pla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Word_Header_Plai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59675" cy="1439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B29AE1" w14:textId="77777777" w:rsidR="00911523" w:rsidRDefault="00911523" w:rsidP="00911523">
    <w:pPr>
      <w:pStyle w:val="Heading1"/>
    </w:pPr>
  </w:p>
  <w:p w14:paraId="4BCDE131" w14:textId="77777777" w:rsidR="0088367B" w:rsidRPr="0088367B" w:rsidRDefault="0088367B" w:rsidP="0088367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 w15:restartNumberingAfterBreak="0">
    <w:nsid w:val="05EC64B3"/>
    <w:multiLevelType w:val="multilevel"/>
    <w:tmpl w:val="E5E89F92"/>
    <w:numStyleLink w:val="BulletList"/>
  </w:abstractNum>
  <w:abstractNum w:abstractNumId="12" w15:restartNumberingAfterBreak="0">
    <w:nsid w:val="073123A7"/>
    <w:multiLevelType w:val="hybridMultilevel"/>
    <w:tmpl w:val="0C09000F"/>
    <w:lvl w:ilvl="0" w:tplc="95706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42DD4A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3329D6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64522F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FDCB4C0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DDE6527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89C8CA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1D6AD1D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48BA8832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DCC7901"/>
    <w:multiLevelType w:val="hybridMultilevel"/>
    <w:tmpl w:val="F97493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AB21CC"/>
    <w:multiLevelType w:val="multilevel"/>
    <w:tmpl w:val="E898CC72"/>
    <w:numStyleLink w:val="KeyPoints"/>
  </w:abstractNum>
  <w:abstractNum w:abstractNumId="15" w15:restartNumberingAfterBreak="0">
    <w:nsid w:val="1784511A"/>
    <w:multiLevelType w:val="multilevel"/>
    <w:tmpl w:val="E898CC72"/>
    <w:numStyleLink w:val="KeyPoints"/>
  </w:abstractNum>
  <w:abstractNum w:abstractNumId="16" w15:restartNumberingAfterBreak="0">
    <w:nsid w:val="198F4124"/>
    <w:multiLevelType w:val="hybridMultilevel"/>
    <w:tmpl w:val="929E3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291970"/>
    <w:multiLevelType w:val="multilevel"/>
    <w:tmpl w:val="E898CC72"/>
    <w:numStyleLink w:val="KeyPoints"/>
  </w:abstractNum>
  <w:abstractNum w:abstractNumId="18" w15:restartNumberingAfterBreak="0">
    <w:nsid w:val="1F745BC2"/>
    <w:multiLevelType w:val="multilevel"/>
    <w:tmpl w:val="E5E89F92"/>
    <w:numStyleLink w:val="BulletList"/>
  </w:abstractNum>
  <w:abstractNum w:abstractNumId="19" w15:restartNumberingAfterBreak="0">
    <w:nsid w:val="29253B4A"/>
    <w:multiLevelType w:val="multilevel"/>
    <w:tmpl w:val="E898CC72"/>
    <w:numStyleLink w:val="KeyPoints"/>
  </w:abstractNum>
  <w:abstractNum w:abstractNumId="20" w15:restartNumberingAfterBreak="0">
    <w:nsid w:val="2C1B4F6C"/>
    <w:multiLevelType w:val="multilevel"/>
    <w:tmpl w:val="E898CC72"/>
    <w:numStyleLink w:val="KeyPoints"/>
  </w:abstractNum>
  <w:abstractNum w:abstractNumId="21" w15:restartNumberingAfterBreak="0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8816F9C"/>
    <w:multiLevelType w:val="multilevel"/>
    <w:tmpl w:val="E5E89F92"/>
    <w:numStyleLink w:val="BulletList"/>
  </w:abstractNum>
  <w:abstractNum w:abstractNumId="25" w15:restartNumberingAfterBreak="0">
    <w:nsid w:val="3B351B82"/>
    <w:multiLevelType w:val="multilevel"/>
    <w:tmpl w:val="E5E89F92"/>
    <w:numStyleLink w:val="BulletList"/>
  </w:abstractNum>
  <w:abstractNum w:abstractNumId="26" w15:restartNumberingAfterBreak="0">
    <w:nsid w:val="48B871CF"/>
    <w:multiLevelType w:val="multilevel"/>
    <w:tmpl w:val="E5E89F92"/>
    <w:numStyleLink w:val="BulletList"/>
  </w:abstractNum>
  <w:abstractNum w:abstractNumId="27" w15:restartNumberingAfterBreak="0">
    <w:nsid w:val="49016841"/>
    <w:multiLevelType w:val="multilevel"/>
    <w:tmpl w:val="E5E89F92"/>
    <w:numStyleLink w:val="BulletList"/>
  </w:abstractNum>
  <w:abstractNum w:abstractNumId="28" w15:restartNumberingAfterBreak="0">
    <w:nsid w:val="51A44175"/>
    <w:multiLevelType w:val="multilevel"/>
    <w:tmpl w:val="E5E89F92"/>
    <w:numStyleLink w:val="BulletList"/>
  </w:abstractNum>
  <w:abstractNum w:abstractNumId="29" w15:restartNumberingAfterBreak="0">
    <w:nsid w:val="544E7B99"/>
    <w:multiLevelType w:val="hybridMultilevel"/>
    <w:tmpl w:val="E332B6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683F9E"/>
    <w:multiLevelType w:val="hybridMultilevel"/>
    <w:tmpl w:val="AA84FF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456429"/>
    <w:multiLevelType w:val="multilevel"/>
    <w:tmpl w:val="E898CC72"/>
    <w:numStyleLink w:val="KeyPoints"/>
  </w:abstractNum>
  <w:abstractNum w:abstractNumId="32" w15:restartNumberingAfterBreak="0">
    <w:nsid w:val="672E0C2A"/>
    <w:multiLevelType w:val="multilevel"/>
    <w:tmpl w:val="E5E89F92"/>
    <w:numStyleLink w:val="BulletList"/>
  </w:abstractNum>
  <w:abstractNum w:abstractNumId="33" w15:restartNumberingAfterBreak="0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A823B13"/>
    <w:multiLevelType w:val="multilevel"/>
    <w:tmpl w:val="E5E89F92"/>
    <w:numStyleLink w:val="BulletList"/>
  </w:abstractNum>
  <w:abstractNum w:abstractNumId="36" w15:restartNumberingAfterBreak="0">
    <w:nsid w:val="6DF2198A"/>
    <w:multiLevelType w:val="multilevel"/>
    <w:tmpl w:val="E5E89F92"/>
    <w:numStyleLink w:val="BulletList"/>
  </w:abstractNum>
  <w:abstractNum w:abstractNumId="37" w15:restartNumberingAfterBreak="0">
    <w:nsid w:val="6F032444"/>
    <w:multiLevelType w:val="multilevel"/>
    <w:tmpl w:val="E5E89F92"/>
    <w:numStyleLink w:val="BulletList"/>
  </w:abstractNum>
  <w:abstractNum w:abstractNumId="38" w15:restartNumberingAfterBreak="0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7D6BDE"/>
    <w:multiLevelType w:val="hybridMultilevel"/>
    <w:tmpl w:val="E1006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C700E0"/>
    <w:multiLevelType w:val="multilevel"/>
    <w:tmpl w:val="E898CC72"/>
    <w:numStyleLink w:val="KeyPoints"/>
  </w:abstractNum>
  <w:abstractNum w:abstractNumId="41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2" w15:restartNumberingAfterBreak="0">
    <w:nsid w:val="788260C9"/>
    <w:multiLevelType w:val="multilevel"/>
    <w:tmpl w:val="E898CC72"/>
    <w:numStyleLink w:val="KeyPoints"/>
  </w:abstractNum>
  <w:abstractNum w:abstractNumId="43" w15:restartNumberingAfterBreak="0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C314760"/>
    <w:multiLevelType w:val="hybridMultilevel"/>
    <w:tmpl w:val="6F9C46BE"/>
    <w:lvl w:ilvl="0" w:tplc="2D70B12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3708B3"/>
    <w:multiLevelType w:val="multilevel"/>
    <w:tmpl w:val="E5E89F92"/>
    <w:numStyleLink w:val="BulletList"/>
  </w:abstractNum>
  <w:num w:numId="1">
    <w:abstractNumId w:val="41"/>
  </w:num>
  <w:num w:numId="2">
    <w:abstractNumId w:val="1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>
    <w:abstractNumId w:val="10"/>
  </w:num>
  <w:num w:numId="4">
    <w:abstractNumId w:val="26"/>
  </w:num>
  <w:num w:numId="5">
    <w:abstractNumId w:val="38"/>
  </w:num>
  <w:num w:numId="6">
    <w:abstractNumId w:val="39"/>
  </w:num>
  <w:num w:numId="7">
    <w:abstractNumId w:val="34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3"/>
  </w:num>
  <w:num w:numId="15">
    <w:abstractNumId w:val="16"/>
  </w:num>
  <w:num w:numId="16">
    <w:abstractNumId w:val="43"/>
  </w:num>
  <w:num w:numId="17">
    <w:abstractNumId w:val="12"/>
  </w:num>
  <w:num w:numId="18">
    <w:abstractNumId w:val="32"/>
  </w:num>
  <w:num w:numId="19">
    <w:abstractNumId w:val="11"/>
  </w:num>
  <w:num w:numId="20">
    <w:abstractNumId w:val="20"/>
  </w:num>
  <w:num w:numId="21">
    <w:abstractNumId w:val="14"/>
  </w:num>
  <w:num w:numId="22">
    <w:abstractNumId w:val="19"/>
  </w:num>
  <w:num w:numId="23">
    <w:abstractNumId w:val="27"/>
  </w:num>
  <w:num w:numId="24">
    <w:abstractNumId w:val="37"/>
  </w:num>
  <w:num w:numId="25">
    <w:abstractNumId w:val="33"/>
  </w:num>
  <w:num w:numId="26">
    <w:abstractNumId w:val="25"/>
  </w:num>
  <w:num w:numId="27">
    <w:abstractNumId w:val="40"/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4"/>
  </w:num>
  <w:num w:numId="31">
    <w:abstractNumId w:val="36"/>
  </w:num>
  <w:num w:numId="32">
    <w:abstractNumId w:val="33"/>
  </w:num>
  <w:num w:numId="33">
    <w:abstractNumId w:val="28"/>
  </w:num>
  <w:num w:numId="34">
    <w:abstractNumId w:val="17"/>
  </w:num>
  <w:num w:numId="35">
    <w:abstractNumId w:val="30"/>
  </w:num>
  <w:num w:numId="36">
    <w:abstractNumId w:val="44"/>
  </w:num>
  <w:num w:numId="37">
    <w:abstractNumId w:val="44"/>
    <w:lvlOverride w:ilvl="0">
      <w:startOverride w:val="1"/>
    </w:lvlOverride>
  </w:num>
  <w:num w:numId="38">
    <w:abstractNumId w:val="8"/>
  </w:num>
  <w:num w:numId="39">
    <w:abstractNumId w:val="22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2"/>
  </w:num>
  <w:num w:numId="45">
    <w:abstractNumId w:val="35"/>
  </w:num>
  <w:num w:numId="46">
    <w:abstractNumId w:val="45"/>
  </w:num>
  <w:num w:numId="47">
    <w:abstractNumId w:val="31"/>
  </w:num>
  <w:num w:numId="48">
    <w:abstractNumId w:val="18"/>
  </w:num>
  <w:num w:numId="49">
    <w:abstractNumId w:val="18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ecurityClassificationInHeader" w:val="False"/>
  </w:docVars>
  <w:rsids>
    <w:rsidRoot w:val="002E673B"/>
    <w:rsid w:val="00004AEE"/>
    <w:rsid w:val="00005CAA"/>
    <w:rsid w:val="00007630"/>
    <w:rsid w:val="00010210"/>
    <w:rsid w:val="00012D66"/>
    <w:rsid w:val="00015ADA"/>
    <w:rsid w:val="00020C99"/>
    <w:rsid w:val="0002707B"/>
    <w:rsid w:val="0005148E"/>
    <w:rsid w:val="0005230A"/>
    <w:rsid w:val="00072C5A"/>
    <w:rsid w:val="000759E5"/>
    <w:rsid w:val="0008012C"/>
    <w:rsid w:val="00084AC6"/>
    <w:rsid w:val="00091608"/>
    <w:rsid w:val="0009333C"/>
    <w:rsid w:val="0009704F"/>
    <w:rsid w:val="000A0F11"/>
    <w:rsid w:val="000A125A"/>
    <w:rsid w:val="000A15A4"/>
    <w:rsid w:val="000A57CD"/>
    <w:rsid w:val="000B2905"/>
    <w:rsid w:val="000B3758"/>
    <w:rsid w:val="000B7681"/>
    <w:rsid w:val="000B7B42"/>
    <w:rsid w:val="000C02B7"/>
    <w:rsid w:val="000C5100"/>
    <w:rsid w:val="000C5342"/>
    <w:rsid w:val="000C706A"/>
    <w:rsid w:val="000D2887"/>
    <w:rsid w:val="000D6D63"/>
    <w:rsid w:val="000E0081"/>
    <w:rsid w:val="000E07CF"/>
    <w:rsid w:val="000E31C1"/>
    <w:rsid w:val="000F2CF2"/>
    <w:rsid w:val="00100BEF"/>
    <w:rsid w:val="001106E0"/>
    <w:rsid w:val="00111326"/>
    <w:rsid w:val="0011498E"/>
    <w:rsid w:val="00117A45"/>
    <w:rsid w:val="001224AE"/>
    <w:rsid w:val="001337D4"/>
    <w:rsid w:val="001474E8"/>
    <w:rsid w:val="00147C12"/>
    <w:rsid w:val="001527A1"/>
    <w:rsid w:val="001530DC"/>
    <w:rsid w:val="00154989"/>
    <w:rsid w:val="00155A9F"/>
    <w:rsid w:val="00160262"/>
    <w:rsid w:val="00166690"/>
    <w:rsid w:val="0016780A"/>
    <w:rsid w:val="001713FA"/>
    <w:rsid w:val="00173EBF"/>
    <w:rsid w:val="00175ED3"/>
    <w:rsid w:val="0018266A"/>
    <w:rsid w:val="00183BD1"/>
    <w:rsid w:val="001842A2"/>
    <w:rsid w:val="00187FA8"/>
    <w:rsid w:val="00192F5E"/>
    <w:rsid w:val="00197772"/>
    <w:rsid w:val="001A2829"/>
    <w:rsid w:val="001A51C8"/>
    <w:rsid w:val="001B4CA8"/>
    <w:rsid w:val="001B5EA1"/>
    <w:rsid w:val="001C4F3D"/>
    <w:rsid w:val="001D0CDC"/>
    <w:rsid w:val="001D1D82"/>
    <w:rsid w:val="001E1182"/>
    <w:rsid w:val="00202C90"/>
    <w:rsid w:val="00213DE8"/>
    <w:rsid w:val="00216118"/>
    <w:rsid w:val="002209AB"/>
    <w:rsid w:val="002251E3"/>
    <w:rsid w:val="00227A95"/>
    <w:rsid w:val="00227E2A"/>
    <w:rsid w:val="002316BD"/>
    <w:rsid w:val="002473FC"/>
    <w:rsid w:val="00252E3C"/>
    <w:rsid w:val="002539F1"/>
    <w:rsid w:val="00262198"/>
    <w:rsid w:val="00267B53"/>
    <w:rsid w:val="00285F1B"/>
    <w:rsid w:val="00292B81"/>
    <w:rsid w:val="00296ABA"/>
    <w:rsid w:val="002B18AE"/>
    <w:rsid w:val="002C1C93"/>
    <w:rsid w:val="002C5066"/>
    <w:rsid w:val="002C5813"/>
    <w:rsid w:val="002D4AAC"/>
    <w:rsid w:val="002D52CB"/>
    <w:rsid w:val="002E673B"/>
    <w:rsid w:val="002F045A"/>
    <w:rsid w:val="0030039D"/>
    <w:rsid w:val="0030326F"/>
    <w:rsid w:val="00310701"/>
    <w:rsid w:val="00315980"/>
    <w:rsid w:val="00316F7F"/>
    <w:rsid w:val="003218E8"/>
    <w:rsid w:val="0032452C"/>
    <w:rsid w:val="00325E34"/>
    <w:rsid w:val="00330DCE"/>
    <w:rsid w:val="00331E11"/>
    <w:rsid w:val="00334761"/>
    <w:rsid w:val="00337EBC"/>
    <w:rsid w:val="00341DCD"/>
    <w:rsid w:val="0034563E"/>
    <w:rsid w:val="003518D6"/>
    <w:rsid w:val="0035460C"/>
    <w:rsid w:val="003556BD"/>
    <w:rsid w:val="00365147"/>
    <w:rsid w:val="0037016E"/>
    <w:rsid w:val="00372908"/>
    <w:rsid w:val="00380AB1"/>
    <w:rsid w:val="00383020"/>
    <w:rsid w:val="00394D7E"/>
    <w:rsid w:val="003975FD"/>
    <w:rsid w:val="003B057D"/>
    <w:rsid w:val="003B60CC"/>
    <w:rsid w:val="003B7B83"/>
    <w:rsid w:val="003C1B25"/>
    <w:rsid w:val="003C2443"/>
    <w:rsid w:val="003C5DA3"/>
    <w:rsid w:val="003D4BCD"/>
    <w:rsid w:val="003D6C2B"/>
    <w:rsid w:val="003E01D8"/>
    <w:rsid w:val="003E2100"/>
    <w:rsid w:val="003E6F59"/>
    <w:rsid w:val="003F6F5B"/>
    <w:rsid w:val="0040342D"/>
    <w:rsid w:val="0041192D"/>
    <w:rsid w:val="00413EE1"/>
    <w:rsid w:val="00420271"/>
    <w:rsid w:val="0042128E"/>
    <w:rsid w:val="00432B60"/>
    <w:rsid w:val="00440698"/>
    <w:rsid w:val="004540E2"/>
    <w:rsid w:val="00454454"/>
    <w:rsid w:val="00467924"/>
    <w:rsid w:val="004712A5"/>
    <w:rsid w:val="0047266F"/>
    <w:rsid w:val="00476D6B"/>
    <w:rsid w:val="00492C16"/>
    <w:rsid w:val="004A0678"/>
    <w:rsid w:val="004A48A3"/>
    <w:rsid w:val="004B0D92"/>
    <w:rsid w:val="004B0EC0"/>
    <w:rsid w:val="004B66F1"/>
    <w:rsid w:val="004C3EA0"/>
    <w:rsid w:val="004E0971"/>
    <w:rsid w:val="004F7169"/>
    <w:rsid w:val="00500C31"/>
    <w:rsid w:val="00500D66"/>
    <w:rsid w:val="00514C8E"/>
    <w:rsid w:val="00517579"/>
    <w:rsid w:val="00531DBF"/>
    <w:rsid w:val="00545759"/>
    <w:rsid w:val="00545BE0"/>
    <w:rsid w:val="00546930"/>
    <w:rsid w:val="00547A7E"/>
    <w:rsid w:val="00554C6A"/>
    <w:rsid w:val="00562E85"/>
    <w:rsid w:val="0056332F"/>
    <w:rsid w:val="005719B3"/>
    <w:rsid w:val="0057295E"/>
    <w:rsid w:val="00581C39"/>
    <w:rsid w:val="005903B6"/>
    <w:rsid w:val="005A0247"/>
    <w:rsid w:val="005A126E"/>
    <w:rsid w:val="005A452F"/>
    <w:rsid w:val="005B140D"/>
    <w:rsid w:val="005C1FEA"/>
    <w:rsid w:val="005C3495"/>
    <w:rsid w:val="005D2545"/>
    <w:rsid w:val="005E3DFC"/>
    <w:rsid w:val="005E5942"/>
    <w:rsid w:val="005E60AF"/>
    <w:rsid w:val="005F1DEA"/>
    <w:rsid w:val="005F4AE2"/>
    <w:rsid w:val="0060607C"/>
    <w:rsid w:val="00607FC9"/>
    <w:rsid w:val="00622FE1"/>
    <w:rsid w:val="0062521C"/>
    <w:rsid w:val="00630A2B"/>
    <w:rsid w:val="00632DC7"/>
    <w:rsid w:val="006357FB"/>
    <w:rsid w:val="006406FC"/>
    <w:rsid w:val="00640E57"/>
    <w:rsid w:val="00646122"/>
    <w:rsid w:val="00653E16"/>
    <w:rsid w:val="00657220"/>
    <w:rsid w:val="00657362"/>
    <w:rsid w:val="0066104B"/>
    <w:rsid w:val="006655EE"/>
    <w:rsid w:val="00667C10"/>
    <w:rsid w:val="00667EF4"/>
    <w:rsid w:val="00676FCA"/>
    <w:rsid w:val="00677177"/>
    <w:rsid w:val="006773A6"/>
    <w:rsid w:val="0068612E"/>
    <w:rsid w:val="00687C92"/>
    <w:rsid w:val="0069534E"/>
    <w:rsid w:val="0069669C"/>
    <w:rsid w:val="00696D34"/>
    <w:rsid w:val="006A1200"/>
    <w:rsid w:val="006A4F4E"/>
    <w:rsid w:val="006A6C23"/>
    <w:rsid w:val="006B030B"/>
    <w:rsid w:val="006B14DB"/>
    <w:rsid w:val="006B21C4"/>
    <w:rsid w:val="006B7BC5"/>
    <w:rsid w:val="006C4A1A"/>
    <w:rsid w:val="006D0393"/>
    <w:rsid w:val="006D1A83"/>
    <w:rsid w:val="006E1CFE"/>
    <w:rsid w:val="006F10C4"/>
    <w:rsid w:val="006F27A7"/>
    <w:rsid w:val="006F40E9"/>
    <w:rsid w:val="006F5603"/>
    <w:rsid w:val="006F7B87"/>
    <w:rsid w:val="00701400"/>
    <w:rsid w:val="007037CF"/>
    <w:rsid w:val="0070659C"/>
    <w:rsid w:val="007167C0"/>
    <w:rsid w:val="00720481"/>
    <w:rsid w:val="00733193"/>
    <w:rsid w:val="00744DDA"/>
    <w:rsid w:val="00745E03"/>
    <w:rsid w:val="0075732A"/>
    <w:rsid w:val="007600F8"/>
    <w:rsid w:val="00760262"/>
    <w:rsid w:val="0076310C"/>
    <w:rsid w:val="0076744F"/>
    <w:rsid w:val="00767BCE"/>
    <w:rsid w:val="00767EFC"/>
    <w:rsid w:val="007707DE"/>
    <w:rsid w:val="00770B5D"/>
    <w:rsid w:val="007752F1"/>
    <w:rsid w:val="00776768"/>
    <w:rsid w:val="0078187A"/>
    <w:rsid w:val="00794ED8"/>
    <w:rsid w:val="007A2573"/>
    <w:rsid w:val="007A70D4"/>
    <w:rsid w:val="007B106C"/>
    <w:rsid w:val="007B1A4E"/>
    <w:rsid w:val="007B3D05"/>
    <w:rsid w:val="007B5503"/>
    <w:rsid w:val="007C179C"/>
    <w:rsid w:val="007C6BB3"/>
    <w:rsid w:val="007D14B4"/>
    <w:rsid w:val="007D3AD7"/>
    <w:rsid w:val="007E24F6"/>
    <w:rsid w:val="00800F64"/>
    <w:rsid w:val="00801050"/>
    <w:rsid w:val="00801319"/>
    <w:rsid w:val="00802F0B"/>
    <w:rsid w:val="008048E2"/>
    <w:rsid w:val="00810A67"/>
    <w:rsid w:val="00814619"/>
    <w:rsid w:val="00833CF7"/>
    <w:rsid w:val="00834CDE"/>
    <w:rsid w:val="00842464"/>
    <w:rsid w:val="00845601"/>
    <w:rsid w:val="00855C5C"/>
    <w:rsid w:val="0088367B"/>
    <w:rsid w:val="008A3C96"/>
    <w:rsid w:val="008B4019"/>
    <w:rsid w:val="008B65C9"/>
    <w:rsid w:val="008C2D4A"/>
    <w:rsid w:val="008C5D1B"/>
    <w:rsid w:val="008D3900"/>
    <w:rsid w:val="008D6E1D"/>
    <w:rsid w:val="008E7A30"/>
    <w:rsid w:val="008F39B4"/>
    <w:rsid w:val="008F4162"/>
    <w:rsid w:val="0090395A"/>
    <w:rsid w:val="00903E02"/>
    <w:rsid w:val="00911523"/>
    <w:rsid w:val="00913175"/>
    <w:rsid w:val="00916EDB"/>
    <w:rsid w:val="00920861"/>
    <w:rsid w:val="009229D5"/>
    <w:rsid w:val="00922B13"/>
    <w:rsid w:val="009242EF"/>
    <w:rsid w:val="00932291"/>
    <w:rsid w:val="00932861"/>
    <w:rsid w:val="0093408E"/>
    <w:rsid w:val="00952DDF"/>
    <w:rsid w:val="00960EFE"/>
    <w:rsid w:val="00963B6A"/>
    <w:rsid w:val="00970950"/>
    <w:rsid w:val="009812D4"/>
    <w:rsid w:val="00981F47"/>
    <w:rsid w:val="009920D8"/>
    <w:rsid w:val="0099561B"/>
    <w:rsid w:val="009B38BE"/>
    <w:rsid w:val="009C3D0F"/>
    <w:rsid w:val="009E1B19"/>
    <w:rsid w:val="009F33EA"/>
    <w:rsid w:val="009F35E2"/>
    <w:rsid w:val="009F42AA"/>
    <w:rsid w:val="009F65F9"/>
    <w:rsid w:val="009F68BA"/>
    <w:rsid w:val="00A06277"/>
    <w:rsid w:val="00A079DC"/>
    <w:rsid w:val="00A111C2"/>
    <w:rsid w:val="00A338E7"/>
    <w:rsid w:val="00A35CAA"/>
    <w:rsid w:val="00A36E7F"/>
    <w:rsid w:val="00A41E65"/>
    <w:rsid w:val="00A43E0A"/>
    <w:rsid w:val="00A4769E"/>
    <w:rsid w:val="00A530C7"/>
    <w:rsid w:val="00A5563B"/>
    <w:rsid w:val="00A55F5B"/>
    <w:rsid w:val="00A60185"/>
    <w:rsid w:val="00A661EA"/>
    <w:rsid w:val="00A830E5"/>
    <w:rsid w:val="00A87135"/>
    <w:rsid w:val="00A93280"/>
    <w:rsid w:val="00A951EA"/>
    <w:rsid w:val="00AA2548"/>
    <w:rsid w:val="00AA58C4"/>
    <w:rsid w:val="00AA7003"/>
    <w:rsid w:val="00AB11C8"/>
    <w:rsid w:val="00AC08A8"/>
    <w:rsid w:val="00AD0F46"/>
    <w:rsid w:val="00AD56C8"/>
    <w:rsid w:val="00AD58F2"/>
    <w:rsid w:val="00B0512A"/>
    <w:rsid w:val="00B0529F"/>
    <w:rsid w:val="00B1418B"/>
    <w:rsid w:val="00B2010A"/>
    <w:rsid w:val="00B21195"/>
    <w:rsid w:val="00B24B22"/>
    <w:rsid w:val="00B25310"/>
    <w:rsid w:val="00B32F8F"/>
    <w:rsid w:val="00B3492A"/>
    <w:rsid w:val="00B4345C"/>
    <w:rsid w:val="00B54DE9"/>
    <w:rsid w:val="00B553EC"/>
    <w:rsid w:val="00B55E3F"/>
    <w:rsid w:val="00B70066"/>
    <w:rsid w:val="00B86BBE"/>
    <w:rsid w:val="00B93DD0"/>
    <w:rsid w:val="00B97732"/>
    <w:rsid w:val="00BA65A8"/>
    <w:rsid w:val="00BA6D19"/>
    <w:rsid w:val="00BA7461"/>
    <w:rsid w:val="00BA7DA9"/>
    <w:rsid w:val="00BC4215"/>
    <w:rsid w:val="00BD1A6F"/>
    <w:rsid w:val="00BD7D60"/>
    <w:rsid w:val="00BE2BC9"/>
    <w:rsid w:val="00BE6D3C"/>
    <w:rsid w:val="00BE7852"/>
    <w:rsid w:val="00BF7CEE"/>
    <w:rsid w:val="00C03880"/>
    <w:rsid w:val="00C1325B"/>
    <w:rsid w:val="00C135CF"/>
    <w:rsid w:val="00C2683F"/>
    <w:rsid w:val="00C3184D"/>
    <w:rsid w:val="00C4714E"/>
    <w:rsid w:val="00C51CCA"/>
    <w:rsid w:val="00C5504F"/>
    <w:rsid w:val="00C57B55"/>
    <w:rsid w:val="00C63376"/>
    <w:rsid w:val="00C74F97"/>
    <w:rsid w:val="00C8276E"/>
    <w:rsid w:val="00C842AC"/>
    <w:rsid w:val="00C96688"/>
    <w:rsid w:val="00CA0723"/>
    <w:rsid w:val="00CB1690"/>
    <w:rsid w:val="00CC4365"/>
    <w:rsid w:val="00CD11B0"/>
    <w:rsid w:val="00CE71C2"/>
    <w:rsid w:val="00CF14D9"/>
    <w:rsid w:val="00CF42D5"/>
    <w:rsid w:val="00CF4EDA"/>
    <w:rsid w:val="00CF698F"/>
    <w:rsid w:val="00D021CB"/>
    <w:rsid w:val="00D10F1A"/>
    <w:rsid w:val="00D116F8"/>
    <w:rsid w:val="00D17596"/>
    <w:rsid w:val="00D20680"/>
    <w:rsid w:val="00D22640"/>
    <w:rsid w:val="00D26D3A"/>
    <w:rsid w:val="00D45EE3"/>
    <w:rsid w:val="00D50618"/>
    <w:rsid w:val="00D509E9"/>
    <w:rsid w:val="00D53B1C"/>
    <w:rsid w:val="00D60EFC"/>
    <w:rsid w:val="00D643D2"/>
    <w:rsid w:val="00D90A0D"/>
    <w:rsid w:val="00DA1B12"/>
    <w:rsid w:val="00DA54C9"/>
    <w:rsid w:val="00DA6739"/>
    <w:rsid w:val="00DA6CAE"/>
    <w:rsid w:val="00DB1A9E"/>
    <w:rsid w:val="00DB31D6"/>
    <w:rsid w:val="00DB4005"/>
    <w:rsid w:val="00DB50ED"/>
    <w:rsid w:val="00DC1C15"/>
    <w:rsid w:val="00DC34EB"/>
    <w:rsid w:val="00DF1E5B"/>
    <w:rsid w:val="00DF2275"/>
    <w:rsid w:val="00DF3F5E"/>
    <w:rsid w:val="00DF5653"/>
    <w:rsid w:val="00E0596E"/>
    <w:rsid w:val="00E06F66"/>
    <w:rsid w:val="00E20CFF"/>
    <w:rsid w:val="00E356E5"/>
    <w:rsid w:val="00E36F81"/>
    <w:rsid w:val="00E45765"/>
    <w:rsid w:val="00E5098C"/>
    <w:rsid w:val="00E60213"/>
    <w:rsid w:val="00E661B2"/>
    <w:rsid w:val="00E74D29"/>
    <w:rsid w:val="00E83C74"/>
    <w:rsid w:val="00E83CEE"/>
    <w:rsid w:val="00E91F18"/>
    <w:rsid w:val="00E9226D"/>
    <w:rsid w:val="00EA416C"/>
    <w:rsid w:val="00EA5941"/>
    <w:rsid w:val="00EB60CE"/>
    <w:rsid w:val="00EB7D53"/>
    <w:rsid w:val="00EC2A2C"/>
    <w:rsid w:val="00EE3146"/>
    <w:rsid w:val="00EF50BB"/>
    <w:rsid w:val="00EF53FF"/>
    <w:rsid w:val="00F00192"/>
    <w:rsid w:val="00F01DF6"/>
    <w:rsid w:val="00F0340D"/>
    <w:rsid w:val="00F059A6"/>
    <w:rsid w:val="00F23756"/>
    <w:rsid w:val="00F2523A"/>
    <w:rsid w:val="00F2531D"/>
    <w:rsid w:val="00F25FFA"/>
    <w:rsid w:val="00F310D2"/>
    <w:rsid w:val="00F36F3D"/>
    <w:rsid w:val="00F477BD"/>
    <w:rsid w:val="00F53491"/>
    <w:rsid w:val="00F54CD3"/>
    <w:rsid w:val="00F65A1C"/>
    <w:rsid w:val="00F66F50"/>
    <w:rsid w:val="00F82FF8"/>
    <w:rsid w:val="00F8330D"/>
    <w:rsid w:val="00F84305"/>
    <w:rsid w:val="00F8485C"/>
    <w:rsid w:val="00F87149"/>
    <w:rsid w:val="00F87FFE"/>
    <w:rsid w:val="00F954C9"/>
    <w:rsid w:val="00FA4CF0"/>
    <w:rsid w:val="00FA61AA"/>
    <w:rsid w:val="00FA69A4"/>
    <w:rsid w:val="00FB1279"/>
    <w:rsid w:val="00FB1495"/>
    <w:rsid w:val="00FB7084"/>
    <w:rsid w:val="00FD1694"/>
    <w:rsid w:val="00FD7636"/>
    <w:rsid w:val="00FE3229"/>
    <w:rsid w:val="00FE74C3"/>
    <w:rsid w:val="00FF215C"/>
    <w:rsid w:val="00FF49E8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B29D351"/>
  <w15:docId w15:val="{DD5CE2B6-1098-4A7A-A2DF-FCA053A6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AD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pPr>
      <w:spacing w:line="240" w:lineRule="auto"/>
    </w:pPr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39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after="0"/>
    </w:pPr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86BBE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B70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70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708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0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084"/>
    <w:rPr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08012C"/>
    <w:rPr>
      <w:color w:val="0000FF" w:themeColor="hyperlink"/>
      <w:u w:val="single"/>
    </w:rPr>
  </w:style>
  <w:style w:type="paragraph" w:customStyle="1" w:styleId="Subhead1">
    <w:name w:val="Subhead 1"/>
    <w:next w:val="Normal"/>
    <w:uiPriority w:val="99"/>
    <w:qFormat/>
    <w:rsid w:val="0008012C"/>
    <w:pPr>
      <w:spacing w:before="240" w:after="120"/>
    </w:pPr>
    <w:rPr>
      <w:rFonts w:cs="Arial"/>
      <w:b/>
      <w:sz w:val="36"/>
      <w:szCs w:val="22"/>
      <w:lang w:eastAsia="en-US"/>
    </w:rPr>
  </w:style>
  <w:style w:type="paragraph" w:customStyle="1" w:styleId="Text">
    <w:name w:val="Text"/>
    <w:uiPriority w:val="99"/>
    <w:qFormat/>
    <w:rsid w:val="0008012C"/>
    <w:pPr>
      <w:spacing w:before="120" w:after="120" w:line="360" w:lineRule="auto"/>
    </w:pPr>
    <w:rPr>
      <w:sz w:val="22"/>
      <w:szCs w:val="22"/>
      <w:lang w:eastAsia="en-US"/>
    </w:rPr>
  </w:style>
  <w:style w:type="character" w:customStyle="1" w:styleId="TextItalic">
    <w:name w:val="Text Italic"/>
    <w:uiPriority w:val="99"/>
    <w:rsid w:val="0008012C"/>
    <w:rPr>
      <w:i/>
      <w:iCs/>
    </w:rPr>
  </w:style>
  <w:style w:type="character" w:customStyle="1" w:styleId="TextBold">
    <w:name w:val="Text Bold"/>
    <w:uiPriority w:val="99"/>
    <w:rsid w:val="0008012C"/>
    <w:rPr>
      <w:b/>
      <w:bCs/>
    </w:rPr>
  </w:style>
  <w:style w:type="paragraph" w:customStyle="1" w:styleId="Subhead2">
    <w:name w:val="Subhead 2"/>
    <w:next w:val="Text"/>
    <w:uiPriority w:val="99"/>
    <w:qFormat/>
    <w:rsid w:val="0008012C"/>
    <w:pPr>
      <w:spacing w:before="240" w:after="120" w:line="360" w:lineRule="auto"/>
    </w:pPr>
    <w:rPr>
      <w:rFonts w:cs="Arial"/>
      <w:b/>
      <w:sz w:val="28"/>
      <w:szCs w:val="22"/>
      <w:lang w:eastAsia="en-US"/>
    </w:rPr>
  </w:style>
  <w:style w:type="character" w:styleId="EndnoteReference">
    <w:name w:val="endnote reference"/>
    <w:uiPriority w:val="99"/>
    <w:rsid w:val="0008012C"/>
    <w:rPr>
      <w:rFonts w:ascii="ArialMT" w:hAnsi="ArialMT" w:cs="ArialMT"/>
      <w:w w:val="100"/>
      <w:vertAlign w:val="superscript"/>
    </w:rPr>
  </w:style>
  <w:style w:type="paragraph" w:styleId="EndnoteText">
    <w:name w:val="endnote text"/>
    <w:basedOn w:val="Text"/>
    <w:link w:val="EndnoteTextChar"/>
    <w:uiPriority w:val="99"/>
    <w:rsid w:val="0008012C"/>
    <w:pPr>
      <w:widowControl w:val="0"/>
      <w:suppressAutoHyphens/>
      <w:autoSpaceDE w:val="0"/>
      <w:autoSpaceDN w:val="0"/>
      <w:adjustRightInd w:val="0"/>
      <w:spacing w:before="113" w:after="0" w:line="240" w:lineRule="atLeast"/>
      <w:ind w:left="227" w:hanging="227"/>
      <w:textAlignment w:val="center"/>
    </w:pPr>
    <w:rPr>
      <w:rFonts w:ascii="ArialMT" w:eastAsia="Times New Roman" w:hAnsi="ArialMT"/>
      <w:color w:val="000000"/>
      <w:spacing w:val="-2"/>
      <w:sz w:val="18"/>
      <w:szCs w:val="18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8012C"/>
    <w:rPr>
      <w:rFonts w:ascii="ArialMT" w:eastAsia="Times New Roman" w:hAnsi="ArialMT"/>
      <w:color w:val="000000"/>
      <w:spacing w:val="-2"/>
      <w:sz w:val="18"/>
      <w:szCs w:val="18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80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tick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rac.gov.au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31AF3-4908-4654-A745-D840B2937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AEA6B53E.dotm</Template>
  <TotalTime>0</TotalTime>
  <Pages>2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R22 Phase Out Fact Sheet</vt:lpstr>
    </vt:vector>
  </TitlesOfParts>
  <Company/>
  <LinksUpToDate>false</LinksUpToDate>
  <CharactersWithSpaces>6342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R22 Phase Out Fact Sheet</dc:title>
  <dc:creator>Department of the Environment and Energy</dc:creator>
  <cp:lastModifiedBy>Nguyen, Lien</cp:lastModifiedBy>
  <cp:revision>2</cp:revision>
  <dcterms:created xsi:type="dcterms:W3CDTF">2019-05-01T02:03:00Z</dcterms:created>
  <dcterms:modified xsi:type="dcterms:W3CDTF">2019-05-01T02:04:00Z</dcterms:modified>
</cp:coreProperties>
</file>