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E305"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6B1A3F2F" w14:textId="47EF5E7C" w:rsidR="00A211B5" w:rsidRDefault="0036731C" w:rsidP="00A35D03">
      <w:pPr>
        <w:spacing w:before="120"/>
      </w:pPr>
      <w:r>
        <w:t xml:space="preserve">This table details the payment </w:t>
      </w:r>
      <w:r w:rsidR="006F4757">
        <w:t>I</w:t>
      </w:r>
      <w:r>
        <w:t xml:space="preserve">nformation for the </w:t>
      </w:r>
      <w:r w:rsidR="005939E0">
        <w:t xml:space="preserve">Science to Practice 2.0 </w:t>
      </w:r>
      <w:r w:rsidR="2A690FB8">
        <w:t xml:space="preserve">Program </w:t>
      </w:r>
      <w:r>
        <w:t xml:space="preserve">as required under </w:t>
      </w:r>
      <w:r w:rsidR="00407F97">
        <w:t>S</w:t>
      </w:r>
      <w:r>
        <w:t xml:space="preserve">ection 27A of the </w:t>
      </w:r>
      <w:r w:rsidRPr="3B478513">
        <w:rPr>
          <w:rStyle w:val="Emphasis"/>
        </w:rPr>
        <w:t>Future</w:t>
      </w:r>
      <w:r w:rsidR="00101422" w:rsidRPr="3B478513">
        <w:rPr>
          <w:rStyle w:val="Emphasis"/>
        </w:rPr>
        <w:t> </w:t>
      </w:r>
      <w:r w:rsidRPr="3B478513">
        <w:rPr>
          <w:rStyle w:val="Emphasis"/>
        </w:rPr>
        <w:t>Drought Fund Act 2019</w:t>
      </w:r>
      <w:r w:rsidR="00C73D05">
        <w:t>.</w:t>
      </w:r>
    </w:p>
    <w:p w14:paraId="68F6DE64" w14:textId="77777777" w:rsidR="00BC1FDA" w:rsidRDefault="00DB6BC0" w:rsidP="00A35D03">
      <w:pPr>
        <w:spacing w:before="120"/>
      </w:pPr>
      <w:r>
        <w:t>All payments in this table are GST exclusiv</w:t>
      </w:r>
      <w:r w:rsidR="00577949">
        <w:t>e</w:t>
      </w:r>
      <w:r w:rsidR="00CD21B4">
        <w:t>.</w:t>
      </w:r>
    </w:p>
    <w:p w14:paraId="61BE86F5" w14:textId="45C8E4B8" w:rsidR="00656160" w:rsidRDefault="009010F9" w:rsidP="009010F9">
      <w:pPr>
        <w:pStyle w:val="Caption"/>
      </w:pPr>
      <w:r>
        <w:t xml:space="preserve">Table </w:t>
      </w:r>
      <w:r w:rsidR="00D14724">
        <w:fldChar w:fldCharType="begin"/>
      </w:r>
      <w:r w:rsidR="00D14724">
        <w:instrText xml:space="preserve"> SEQ Table \* ARABIC </w:instrText>
      </w:r>
      <w:r w:rsidR="00D14724">
        <w:fldChar w:fldCharType="separate"/>
      </w:r>
      <w:r w:rsidR="00C61698">
        <w:rPr>
          <w:noProof/>
        </w:rPr>
        <w:t>1</w:t>
      </w:r>
      <w:r w:rsidR="00D14724">
        <w:rPr>
          <w:noProof/>
        </w:rPr>
        <w:fldChar w:fldCharType="end"/>
      </w:r>
      <w:r w:rsidR="00190152">
        <w:rPr>
          <w:noProof/>
        </w:rPr>
        <w:t>.</w:t>
      </w:r>
      <w:r w:rsidR="003A195C">
        <w:t xml:space="preserve"> </w:t>
      </w:r>
      <w:r w:rsidR="005939E0">
        <w:t xml:space="preserve">Science to Practice 2.0 </w:t>
      </w:r>
    </w:p>
    <w:tbl>
      <w:tblPr>
        <w:tblStyle w:val="TableGrid"/>
        <w:tblW w:w="5000" w:type="pct"/>
        <w:tblLook w:val="04A0" w:firstRow="1" w:lastRow="0" w:firstColumn="1" w:lastColumn="0" w:noHBand="0" w:noVBand="1"/>
      </w:tblPr>
      <w:tblGrid>
        <w:gridCol w:w="2000"/>
        <w:gridCol w:w="1114"/>
        <w:gridCol w:w="1844"/>
        <w:gridCol w:w="2975"/>
        <w:gridCol w:w="1304"/>
        <w:gridCol w:w="1704"/>
        <w:gridCol w:w="1531"/>
        <w:gridCol w:w="1520"/>
      </w:tblGrid>
      <w:tr w:rsidR="00F21CD2" w14:paraId="3D34E247" w14:textId="77777777" w:rsidTr="0010309E">
        <w:trPr>
          <w:cantSplit/>
          <w:tblHeader/>
        </w:trPr>
        <w:tc>
          <w:tcPr>
            <w:tcW w:w="715" w:type="pct"/>
          </w:tcPr>
          <w:p w14:paraId="654C3CAB" w14:textId="77777777" w:rsidR="00F21CD2" w:rsidRPr="00CB0F02" w:rsidDel="000310E2" w:rsidRDefault="00F21CD2" w:rsidP="00EF0676">
            <w:pPr>
              <w:pStyle w:val="TableHeading"/>
            </w:pPr>
            <w:bookmarkStart w:id="0" w:name="Title_1"/>
            <w:bookmarkEnd w:id="0"/>
            <w:r w:rsidRPr="00CB0F02">
              <w:t>Organisation</w:t>
            </w:r>
          </w:p>
        </w:tc>
        <w:tc>
          <w:tcPr>
            <w:tcW w:w="398" w:type="pct"/>
          </w:tcPr>
          <w:p w14:paraId="38C059E4" w14:textId="77777777" w:rsidR="00F21CD2" w:rsidRPr="00CB0F02" w:rsidDel="000310E2" w:rsidRDefault="00F21CD2" w:rsidP="00EF0676">
            <w:pPr>
              <w:pStyle w:val="TableHeading"/>
            </w:pPr>
            <w:r w:rsidRPr="00CB0F02">
              <w:t>Region</w:t>
            </w:r>
          </w:p>
        </w:tc>
        <w:tc>
          <w:tcPr>
            <w:tcW w:w="659" w:type="pct"/>
          </w:tcPr>
          <w:p w14:paraId="46455DA3" w14:textId="77777777" w:rsidR="00F21CD2" w:rsidRPr="00CB0F02" w:rsidDel="000310E2" w:rsidRDefault="00F21CD2" w:rsidP="00EF0676">
            <w:pPr>
              <w:pStyle w:val="TableHeading"/>
            </w:pPr>
            <w:r w:rsidRPr="00CB0F02">
              <w:t>Legislative purpose</w:t>
            </w:r>
          </w:p>
        </w:tc>
        <w:tc>
          <w:tcPr>
            <w:tcW w:w="1063" w:type="pct"/>
          </w:tcPr>
          <w:p w14:paraId="6E261FF0" w14:textId="77777777" w:rsidR="00F21CD2" w:rsidRPr="00CB0F02" w:rsidDel="000310E2" w:rsidRDefault="00F21CD2" w:rsidP="00EF0676">
            <w:pPr>
              <w:pStyle w:val="TableHeading"/>
            </w:pPr>
            <w:r w:rsidRPr="00CB0F02">
              <w:t>Program description</w:t>
            </w:r>
          </w:p>
        </w:tc>
        <w:tc>
          <w:tcPr>
            <w:tcW w:w="466" w:type="pct"/>
          </w:tcPr>
          <w:p w14:paraId="47A41F57" w14:textId="77777777" w:rsidR="00F21CD2" w:rsidRPr="00CB0F02" w:rsidDel="000310E2" w:rsidRDefault="00F21CD2" w:rsidP="00EF0676">
            <w:pPr>
              <w:pStyle w:val="TableHeading"/>
            </w:pPr>
            <w:r w:rsidRPr="00CB0F02">
              <w:t>Total amount payable</w:t>
            </w:r>
          </w:p>
        </w:tc>
        <w:tc>
          <w:tcPr>
            <w:tcW w:w="609" w:type="pct"/>
          </w:tcPr>
          <w:p w14:paraId="7E532ED5" w14:textId="584264F3" w:rsidR="00F21CD2" w:rsidRPr="00CB0F02" w:rsidDel="000310E2" w:rsidRDefault="00F21CD2" w:rsidP="00EF0676">
            <w:pPr>
              <w:pStyle w:val="TableHeading"/>
            </w:pPr>
            <w:r w:rsidRPr="00CB0F02">
              <w:t xml:space="preserve">Total amount paid as </w:t>
            </w:r>
            <w:proofErr w:type="gramStart"/>
            <w:r w:rsidRPr="00CB0F02">
              <w:t>at</w:t>
            </w:r>
            <w:proofErr w:type="gramEnd"/>
            <w:r w:rsidRPr="00CB0F02">
              <w:t xml:space="preserve"> </w:t>
            </w:r>
            <w:r w:rsidR="005939E0">
              <w:t>15 May 2025</w:t>
            </w:r>
          </w:p>
        </w:tc>
        <w:tc>
          <w:tcPr>
            <w:tcW w:w="547" w:type="pct"/>
          </w:tcPr>
          <w:p w14:paraId="5838A69A" w14:textId="77777777" w:rsidR="00F21CD2" w:rsidRPr="00CB0F02" w:rsidRDefault="00F21CD2" w:rsidP="00EF0676">
            <w:pPr>
              <w:pStyle w:val="TableHeading"/>
            </w:pPr>
            <w:r w:rsidRPr="00CB0F02">
              <w:t>Payment date</w:t>
            </w:r>
          </w:p>
        </w:tc>
        <w:tc>
          <w:tcPr>
            <w:tcW w:w="543" w:type="pct"/>
          </w:tcPr>
          <w:p w14:paraId="105C3A4A" w14:textId="77777777" w:rsidR="00F21CD2" w:rsidRPr="00CB0F02" w:rsidRDefault="00F21CD2" w:rsidP="00EF0676">
            <w:pPr>
              <w:pStyle w:val="TableHeading"/>
            </w:pPr>
            <w:r w:rsidRPr="00CB0F02">
              <w:t>Payment amount</w:t>
            </w:r>
          </w:p>
        </w:tc>
      </w:tr>
      <w:tr w:rsidR="00190152" w:rsidRPr="005939E0" w14:paraId="3D8CA728" w14:textId="77777777" w:rsidTr="0010309E">
        <w:trPr>
          <w:trHeight w:val="340"/>
        </w:trPr>
        <w:tc>
          <w:tcPr>
            <w:tcW w:w="715" w:type="pct"/>
            <w:vMerge w:val="restart"/>
          </w:tcPr>
          <w:p w14:paraId="30D99CE1" w14:textId="193E9545" w:rsidR="00190152" w:rsidRPr="00A62A84" w:rsidRDefault="00190152" w:rsidP="00F21CD2">
            <w:pPr>
              <w:pStyle w:val="TableText"/>
              <w:rPr>
                <w:rStyle w:val="Strong"/>
                <w:color w:val="FF0000"/>
              </w:rPr>
            </w:pPr>
            <w:r>
              <w:t>Superlative Pictures Pty Ltd</w:t>
            </w:r>
          </w:p>
        </w:tc>
        <w:tc>
          <w:tcPr>
            <w:tcW w:w="398" w:type="pct"/>
            <w:vMerge w:val="restart"/>
          </w:tcPr>
          <w:p w14:paraId="27642A79" w14:textId="6C4B70FA" w:rsidR="00190152" w:rsidRPr="00A62A84" w:rsidRDefault="00190152" w:rsidP="00F21CD2">
            <w:pPr>
              <w:pStyle w:val="TableText"/>
              <w:rPr>
                <w:rStyle w:val="Strong"/>
                <w:color w:val="FF0000"/>
              </w:rPr>
            </w:pPr>
            <w:r>
              <w:t>National</w:t>
            </w:r>
          </w:p>
        </w:tc>
        <w:tc>
          <w:tcPr>
            <w:tcW w:w="659" w:type="pct"/>
            <w:vMerge w:val="restart"/>
          </w:tcPr>
          <w:p w14:paraId="48BE296A" w14:textId="77777777" w:rsidR="00190152" w:rsidRPr="00A62A84" w:rsidRDefault="00190152" w:rsidP="00F21CD2">
            <w:pPr>
              <w:pStyle w:val="TableText"/>
              <w:rPr>
                <w:rStyle w:val="Strong"/>
                <w:color w:val="FF0000"/>
              </w:rPr>
            </w:pPr>
            <w:r w:rsidRPr="005939E0">
              <w:t>s21(1)(c) – Carrying out a project that is directed towards achieving drought resilience</w:t>
            </w:r>
          </w:p>
        </w:tc>
        <w:tc>
          <w:tcPr>
            <w:tcW w:w="1063" w:type="pct"/>
            <w:vMerge w:val="restart"/>
          </w:tcPr>
          <w:p w14:paraId="4247AFF5" w14:textId="1A01EEE8" w:rsidR="00190152" w:rsidRPr="005939E0" w:rsidRDefault="00190152" w:rsidP="3B478513">
            <w:pPr>
              <w:pStyle w:val="TableText"/>
              <w:rPr>
                <w:b/>
                <w:bCs/>
              </w:rPr>
            </w:pPr>
            <w:r>
              <w:t xml:space="preserve">The </w:t>
            </w:r>
            <w:r w:rsidR="4BF31D05">
              <w:t xml:space="preserve">Science to </w:t>
            </w:r>
            <w:r w:rsidR="67B782A5">
              <w:t>Practice</w:t>
            </w:r>
            <w:r>
              <w:t xml:space="preserve"> 2.0 program is a key element of the FDF's Measuring Progress and Knowledge Sharing theme and will generate a range of FDF impact stories through tangible, visual evidence of the FDF's influence on the ground. Knowledge sharing is critical to enhancing community, farm and landscape resilience and the creation and distribution of FDF impact stories via DAFF channels, stakeholder networks and regional events and media will contribute to demonstrating the intersection of program outcomes, FDF themes, and regional and industry-based impact.</w:t>
            </w:r>
          </w:p>
        </w:tc>
        <w:tc>
          <w:tcPr>
            <w:tcW w:w="466" w:type="pct"/>
            <w:vMerge w:val="restart"/>
          </w:tcPr>
          <w:p w14:paraId="53362BC9" w14:textId="5C5FC7C3" w:rsidR="00190152" w:rsidRPr="005939E0" w:rsidRDefault="00190152" w:rsidP="00F21CD2">
            <w:pPr>
              <w:pStyle w:val="TableText"/>
              <w:jc w:val="right"/>
              <w:rPr>
                <w:rStyle w:val="Strong"/>
              </w:rPr>
            </w:pPr>
            <w:r w:rsidRPr="005939E0">
              <w:t>$300,000.00</w:t>
            </w:r>
          </w:p>
        </w:tc>
        <w:tc>
          <w:tcPr>
            <w:tcW w:w="609" w:type="pct"/>
            <w:vMerge w:val="restart"/>
          </w:tcPr>
          <w:p w14:paraId="603A996E" w14:textId="5AA240C0" w:rsidR="00190152" w:rsidRPr="005939E0" w:rsidRDefault="00190152" w:rsidP="00F21CD2">
            <w:pPr>
              <w:pStyle w:val="TableText"/>
              <w:jc w:val="right"/>
              <w:rPr>
                <w:rStyle w:val="Strong"/>
              </w:rPr>
            </w:pPr>
            <w:r>
              <w:t>$64,704.10</w:t>
            </w:r>
          </w:p>
        </w:tc>
        <w:tc>
          <w:tcPr>
            <w:tcW w:w="547" w:type="pct"/>
          </w:tcPr>
          <w:p w14:paraId="431D01E1" w14:textId="0F22F468" w:rsidR="00190152" w:rsidRPr="005939E0" w:rsidRDefault="00190152" w:rsidP="00F21CD2">
            <w:pPr>
              <w:pStyle w:val="TableText"/>
              <w:jc w:val="right"/>
              <w:rPr>
                <w:rStyle w:val="Strong"/>
              </w:rPr>
            </w:pPr>
            <w:r w:rsidRPr="005939E0">
              <w:t>4/04/2025</w:t>
            </w:r>
          </w:p>
        </w:tc>
        <w:tc>
          <w:tcPr>
            <w:tcW w:w="543" w:type="pct"/>
          </w:tcPr>
          <w:p w14:paraId="4ADDE450" w14:textId="416A5024" w:rsidR="00190152" w:rsidRPr="005939E0" w:rsidRDefault="00190152" w:rsidP="00F21CD2">
            <w:pPr>
              <w:pStyle w:val="TableText"/>
              <w:jc w:val="right"/>
            </w:pPr>
            <w:r w:rsidRPr="005939E0">
              <w:t>$17,728.40</w:t>
            </w:r>
          </w:p>
        </w:tc>
      </w:tr>
      <w:tr w:rsidR="00190152" w:rsidRPr="005939E0" w14:paraId="4BF35CE1" w14:textId="77777777" w:rsidTr="0010309E">
        <w:trPr>
          <w:trHeight w:val="340"/>
        </w:trPr>
        <w:tc>
          <w:tcPr>
            <w:tcW w:w="715" w:type="pct"/>
            <w:vMerge/>
          </w:tcPr>
          <w:p w14:paraId="57F5780E" w14:textId="77777777" w:rsidR="00190152" w:rsidRPr="00A62A84" w:rsidRDefault="00190152" w:rsidP="00F21CD2">
            <w:pPr>
              <w:pStyle w:val="TableText"/>
              <w:rPr>
                <w:color w:val="FF0000"/>
              </w:rPr>
            </w:pPr>
          </w:p>
        </w:tc>
        <w:tc>
          <w:tcPr>
            <w:tcW w:w="398" w:type="pct"/>
            <w:vMerge/>
          </w:tcPr>
          <w:p w14:paraId="7F0B98B5" w14:textId="77777777" w:rsidR="00190152" w:rsidRPr="00A62A84" w:rsidRDefault="00190152" w:rsidP="00F21CD2">
            <w:pPr>
              <w:pStyle w:val="TableText"/>
              <w:rPr>
                <w:color w:val="FF0000"/>
              </w:rPr>
            </w:pPr>
          </w:p>
        </w:tc>
        <w:tc>
          <w:tcPr>
            <w:tcW w:w="659" w:type="pct"/>
            <w:vMerge/>
          </w:tcPr>
          <w:p w14:paraId="7AEE5FF8" w14:textId="77777777" w:rsidR="00190152" w:rsidRPr="00A62A84" w:rsidRDefault="00190152" w:rsidP="00F21CD2">
            <w:pPr>
              <w:pStyle w:val="TableText"/>
              <w:rPr>
                <w:color w:val="FF0000"/>
              </w:rPr>
            </w:pPr>
          </w:p>
        </w:tc>
        <w:tc>
          <w:tcPr>
            <w:tcW w:w="1063" w:type="pct"/>
            <w:vMerge/>
          </w:tcPr>
          <w:p w14:paraId="25E4B5FD" w14:textId="77777777" w:rsidR="00190152" w:rsidRPr="00A62A84" w:rsidRDefault="00190152" w:rsidP="00F21CD2">
            <w:pPr>
              <w:pStyle w:val="TableText"/>
              <w:rPr>
                <w:color w:val="FF0000"/>
              </w:rPr>
            </w:pPr>
          </w:p>
        </w:tc>
        <w:tc>
          <w:tcPr>
            <w:tcW w:w="466" w:type="pct"/>
            <w:vMerge/>
          </w:tcPr>
          <w:p w14:paraId="52267F5B" w14:textId="77777777" w:rsidR="00190152" w:rsidRPr="005939E0" w:rsidRDefault="00190152" w:rsidP="00F21CD2">
            <w:pPr>
              <w:pStyle w:val="TableText"/>
              <w:jc w:val="right"/>
            </w:pPr>
          </w:p>
        </w:tc>
        <w:tc>
          <w:tcPr>
            <w:tcW w:w="609" w:type="pct"/>
            <w:vMerge/>
          </w:tcPr>
          <w:p w14:paraId="29F094BC" w14:textId="77777777" w:rsidR="00190152" w:rsidRPr="005939E0" w:rsidRDefault="00190152" w:rsidP="00F21CD2">
            <w:pPr>
              <w:pStyle w:val="TableText"/>
              <w:jc w:val="right"/>
            </w:pPr>
          </w:p>
        </w:tc>
        <w:tc>
          <w:tcPr>
            <w:tcW w:w="547" w:type="pct"/>
          </w:tcPr>
          <w:p w14:paraId="0D86BF80" w14:textId="3181067F" w:rsidR="00190152" w:rsidRPr="005939E0" w:rsidRDefault="00190152" w:rsidP="00F21CD2">
            <w:pPr>
              <w:pStyle w:val="TableText"/>
              <w:jc w:val="right"/>
              <w:rPr>
                <w:rStyle w:val="Strong"/>
              </w:rPr>
            </w:pPr>
            <w:r w:rsidRPr="005939E0">
              <w:t>22/04/2025</w:t>
            </w:r>
          </w:p>
        </w:tc>
        <w:tc>
          <w:tcPr>
            <w:tcW w:w="543" w:type="pct"/>
          </w:tcPr>
          <w:p w14:paraId="056D44C1" w14:textId="7392E544" w:rsidR="00190152" w:rsidRPr="005939E0" w:rsidRDefault="00190152" w:rsidP="00F21CD2">
            <w:pPr>
              <w:pStyle w:val="TableText"/>
              <w:jc w:val="right"/>
            </w:pPr>
            <w:r w:rsidRPr="005939E0">
              <w:t>$14,947.90</w:t>
            </w:r>
          </w:p>
        </w:tc>
      </w:tr>
      <w:tr w:rsidR="00190152" w:rsidRPr="005939E0" w14:paraId="0A64AFBB" w14:textId="77777777" w:rsidTr="0010309E">
        <w:trPr>
          <w:trHeight w:val="340"/>
        </w:trPr>
        <w:tc>
          <w:tcPr>
            <w:tcW w:w="715" w:type="pct"/>
            <w:vMerge/>
          </w:tcPr>
          <w:p w14:paraId="523F097D" w14:textId="77777777" w:rsidR="00190152" w:rsidRPr="00A62A84" w:rsidRDefault="00190152" w:rsidP="00F21CD2">
            <w:pPr>
              <w:pStyle w:val="TableText"/>
              <w:rPr>
                <w:color w:val="FF0000"/>
              </w:rPr>
            </w:pPr>
          </w:p>
        </w:tc>
        <w:tc>
          <w:tcPr>
            <w:tcW w:w="398" w:type="pct"/>
            <w:vMerge/>
          </w:tcPr>
          <w:p w14:paraId="575BF3E0" w14:textId="77777777" w:rsidR="00190152" w:rsidRPr="00A62A84" w:rsidRDefault="00190152" w:rsidP="00F21CD2">
            <w:pPr>
              <w:pStyle w:val="TableText"/>
              <w:rPr>
                <w:color w:val="FF0000"/>
              </w:rPr>
            </w:pPr>
          </w:p>
        </w:tc>
        <w:tc>
          <w:tcPr>
            <w:tcW w:w="659" w:type="pct"/>
            <w:vMerge/>
          </w:tcPr>
          <w:p w14:paraId="7DA7AEB0" w14:textId="77777777" w:rsidR="00190152" w:rsidRPr="00A62A84" w:rsidRDefault="00190152" w:rsidP="00F21CD2">
            <w:pPr>
              <w:pStyle w:val="TableText"/>
              <w:rPr>
                <w:color w:val="FF0000"/>
              </w:rPr>
            </w:pPr>
          </w:p>
        </w:tc>
        <w:tc>
          <w:tcPr>
            <w:tcW w:w="1063" w:type="pct"/>
            <w:vMerge/>
          </w:tcPr>
          <w:p w14:paraId="24E59FBC" w14:textId="77777777" w:rsidR="00190152" w:rsidRPr="00A62A84" w:rsidRDefault="00190152" w:rsidP="00F21CD2">
            <w:pPr>
              <w:pStyle w:val="TableText"/>
              <w:rPr>
                <w:color w:val="FF0000"/>
              </w:rPr>
            </w:pPr>
          </w:p>
        </w:tc>
        <w:tc>
          <w:tcPr>
            <w:tcW w:w="466" w:type="pct"/>
            <w:vMerge/>
          </w:tcPr>
          <w:p w14:paraId="182DA446" w14:textId="77777777" w:rsidR="00190152" w:rsidRPr="005939E0" w:rsidRDefault="00190152" w:rsidP="00F21CD2">
            <w:pPr>
              <w:pStyle w:val="TableText"/>
              <w:jc w:val="right"/>
            </w:pPr>
          </w:p>
        </w:tc>
        <w:tc>
          <w:tcPr>
            <w:tcW w:w="609" w:type="pct"/>
            <w:vMerge/>
          </w:tcPr>
          <w:p w14:paraId="2A03D504" w14:textId="77777777" w:rsidR="00190152" w:rsidRPr="005939E0" w:rsidRDefault="00190152" w:rsidP="00F21CD2">
            <w:pPr>
              <w:pStyle w:val="TableText"/>
              <w:jc w:val="right"/>
            </w:pPr>
          </w:p>
        </w:tc>
        <w:tc>
          <w:tcPr>
            <w:tcW w:w="547" w:type="pct"/>
          </w:tcPr>
          <w:p w14:paraId="700FCE25" w14:textId="54637C85" w:rsidR="00190152" w:rsidRPr="005939E0" w:rsidRDefault="00190152" w:rsidP="00F21CD2">
            <w:pPr>
              <w:pStyle w:val="TableText"/>
              <w:jc w:val="right"/>
              <w:rPr>
                <w:rStyle w:val="Strong"/>
              </w:rPr>
            </w:pPr>
            <w:r w:rsidRPr="005939E0">
              <w:t>8/05/2025</w:t>
            </w:r>
          </w:p>
        </w:tc>
        <w:tc>
          <w:tcPr>
            <w:tcW w:w="543" w:type="pct"/>
          </w:tcPr>
          <w:p w14:paraId="29645D86" w14:textId="0589C55C" w:rsidR="00190152" w:rsidRPr="005939E0" w:rsidRDefault="00190152" w:rsidP="00F21CD2">
            <w:pPr>
              <w:pStyle w:val="TableText"/>
              <w:jc w:val="right"/>
            </w:pPr>
            <w:r w:rsidRPr="005939E0">
              <w:t>S1,650.00</w:t>
            </w:r>
          </w:p>
        </w:tc>
      </w:tr>
      <w:tr w:rsidR="00190152" w:rsidRPr="005939E0" w14:paraId="206ED72D" w14:textId="77777777" w:rsidTr="0010309E">
        <w:trPr>
          <w:trHeight w:val="340"/>
        </w:trPr>
        <w:tc>
          <w:tcPr>
            <w:tcW w:w="715" w:type="pct"/>
            <w:vMerge/>
          </w:tcPr>
          <w:p w14:paraId="53B64870" w14:textId="77777777" w:rsidR="00190152" w:rsidRPr="00A62A84" w:rsidRDefault="00190152" w:rsidP="00F21CD2">
            <w:pPr>
              <w:pStyle w:val="TableText"/>
              <w:rPr>
                <w:color w:val="FF0000"/>
              </w:rPr>
            </w:pPr>
          </w:p>
        </w:tc>
        <w:tc>
          <w:tcPr>
            <w:tcW w:w="398" w:type="pct"/>
            <w:vMerge/>
          </w:tcPr>
          <w:p w14:paraId="1305D0AC" w14:textId="77777777" w:rsidR="00190152" w:rsidRPr="00A62A84" w:rsidRDefault="00190152" w:rsidP="00F21CD2">
            <w:pPr>
              <w:pStyle w:val="TableText"/>
              <w:rPr>
                <w:color w:val="FF0000"/>
              </w:rPr>
            </w:pPr>
          </w:p>
        </w:tc>
        <w:tc>
          <w:tcPr>
            <w:tcW w:w="659" w:type="pct"/>
            <w:vMerge/>
          </w:tcPr>
          <w:p w14:paraId="6123241C" w14:textId="77777777" w:rsidR="00190152" w:rsidRPr="00A62A84" w:rsidRDefault="00190152" w:rsidP="00F21CD2">
            <w:pPr>
              <w:pStyle w:val="TableText"/>
              <w:rPr>
                <w:color w:val="FF0000"/>
              </w:rPr>
            </w:pPr>
          </w:p>
        </w:tc>
        <w:tc>
          <w:tcPr>
            <w:tcW w:w="1063" w:type="pct"/>
            <w:vMerge/>
          </w:tcPr>
          <w:p w14:paraId="1C2D26E8" w14:textId="77777777" w:rsidR="00190152" w:rsidRPr="00A62A84" w:rsidRDefault="00190152" w:rsidP="00F21CD2">
            <w:pPr>
              <w:pStyle w:val="TableText"/>
              <w:rPr>
                <w:color w:val="FF0000"/>
              </w:rPr>
            </w:pPr>
          </w:p>
        </w:tc>
        <w:tc>
          <w:tcPr>
            <w:tcW w:w="466" w:type="pct"/>
            <w:vMerge/>
          </w:tcPr>
          <w:p w14:paraId="0B3A58DE" w14:textId="77777777" w:rsidR="00190152" w:rsidRPr="005939E0" w:rsidRDefault="00190152" w:rsidP="00F21CD2">
            <w:pPr>
              <w:pStyle w:val="TableText"/>
              <w:jc w:val="right"/>
            </w:pPr>
          </w:p>
        </w:tc>
        <w:tc>
          <w:tcPr>
            <w:tcW w:w="609" w:type="pct"/>
            <w:vMerge/>
          </w:tcPr>
          <w:p w14:paraId="586FF42B" w14:textId="77777777" w:rsidR="00190152" w:rsidRPr="005939E0" w:rsidRDefault="00190152" w:rsidP="00F21CD2">
            <w:pPr>
              <w:pStyle w:val="TableText"/>
              <w:jc w:val="right"/>
            </w:pPr>
          </w:p>
        </w:tc>
        <w:tc>
          <w:tcPr>
            <w:tcW w:w="547" w:type="pct"/>
            <w:tcBorders>
              <w:bottom w:val="single" w:sz="4" w:space="0" w:color="auto"/>
            </w:tcBorders>
          </w:tcPr>
          <w:p w14:paraId="59F70650" w14:textId="2DA59C95" w:rsidR="00190152" w:rsidRPr="005939E0" w:rsidRDefault="00190152" w:rsidP="00F21CD2">
            <w:pPr>
              <w:pStyle w:val="TableText"/>
              <w:jc w:val="right"/>
              <w:rPr>
                <w:rStyle w:val="Strong"/>
              </w:rPr>
            </w:pPr>
            <w:r w:rsidRPr="005939E0">
              <w:t>14/05/2025</w:t>
            </w:r>
          </w:p>
        </w:tc>
        <w:tc>
          <w:tcPr>
            <w:tcW w:w="543" w:type="pct"/>
            <w:tcBorders>
              <w:bottom w:val="single" w:sz="4" w:space="0" w:color="auto"/>
            </w:tcBorders>
          </w:tcPr>
          <w:p w14:paraId="74BA0C17" w14:textId="5B495362" w:rsidR="00190152" w:rsidRPr="005939E0" w:rsidRDefault="00190152" w:rsidP="00F21CD2">
            <w:pPr>
              <w:pStyle w:val="TableText"/>
              <w:jc w:val="right"/>
            </w:pPr>
            <w:r w:rsidRPr="005939E0">
              <w:t>$13,353.40</w:t>
            </w:r>
          </w:p>
        </w:tc>
      </w:tr>
      <w:tr w:rsidR="00190152" w:rsidRPr="005939E0" w14:paraId="3DBC9EA4" w14:textId="77777777" w:rsidTr="0010309E">
        <w:trPr>
          <w:trHeight w:val="492"/>
        </w:trPr>
        <w:tc>
          <w:tcPr>
            <w:tcW w:w="715" w:type="pct"/>
            <w:vMerge/>
          </w:tcPr>
          <w:p w14:paraId="5741A6E6" w14:textId="77777777" w:rsidR="00190152" w:rsidRPr="00A62A84" w:rsidRDefault="00190152" w:rsidP="00F21CD2">
            <w:pPr>
              <w:pStyle w:val="TableText"/>
              <w:rPr>
                <w:color w:val="FF0000"/>
              </w:rPr>
            </w:pPr>
          </w:p>
        </w:tc>
        <w:tc>
          <w:tcPr>
            <w:tcW w:w="398" w:type="pct"/>
            <w:vMerge/>
          </w:tcPr>
          <w:p w14:paraId="0CAC9F52" w14:textId="77777777" w:rsidR="00190152" w:rsidRPr="00A62A84" w:rsidRDefault="00190152" w:rsidP="00F21CD2">
            <w:pPr>
              <w:pStyle w:val="TableText"/>
              <w:rPr>
                <w:color w:val="FF0000"/>
              </w:rPr>
            </w:pPr>
          </w:p>
        </w:tc>
        <w:tc>
          <w:tcPr>
            <w:tcW w:w="659" w:type="pct"/>
            <w:vMerge/>
          </w:tcPr>
          <w:p w14:paraId="5568D77E" w14:textId="77777777" w:rsidR="00190152" w:rsidRPr="00A62A84" w:rsidRDefault="00190152" w:rsidP="00F21CD2">
            <w:pPr>
              <w:pStyle w:val="TableText"/>
              <w:rPr>
                <w:color w:val="FF0000"/>
              </w:rPr>
            </w:pPr>
          </w:p>
        </w:tc>
        <w:tc>
          <w:tcPr>
            <w:tcW w:w="1063" w:type="pct"/>
            <w:vMerge/>
          </w:tcPr>
          <w:p w14:paraId="321FDA49" w14:textId="77777777" w:rsidR="00190152" w:rsidRPr="00A62A84" w:rsidRDefault="00190152" w:rsidP="00F21CD2">
            <w:pPr>
              <w:pStyle w:val="TableText"/>
              <w:rPr>
                <w:color w:val="FF0000"/>
              </w:rPr>
            </w:pPr>
          </w:p>
        </w:tc>
        <w:tc>
          <w:tcPr>
            <w:tcW w:w="466" w:type="pct"/>
            <w:vMerge/>
          </w:tcPr>
          <w:p w14:paraId="0B05F060" w14:textId="77777777" w:rsidR="00190152" w:rsidRPr="005939E0" w:rsidRDefault="00190152" w:rsidP="00F21CD2">
            <w:pPr>
              <w:pStyle w:val="TableText"/>
              <w:jc w:val="right"/>
            </w:pPr>
          </w:p>
        </w:tc>
        <w:tc>
          <w:tcPr>
            <w:tcW w:w="609" w:type="pct"/>
            <w:vMerge/>
          </w:tcPr>
          <w:p w14:paraId="7DE33BC8" w14:textId="77777777" w:rsidR="00190152" w:rsidRPr="005939E0" w:rsidRDefault="00190152" w:rsidP="00F21CD2">
            <w:pPr>
              <w:pStyle w:val="TableText"/>
              <w:jc w:val="right"/>
            </w:pPr>
          </w:p>
        </w:tc>
        <w:tc>
          <w:tcPr>
            <w:tcW w:w="547" w:type="pct"/>
          </w:tcPr>
          <w:p w14:paraId="11796E9B" w14:textId="4EA8BD0B" w:rsidR="00190152" w:rsidRPr="005939E0" w:rsidRDefault="00190152" w:rsidP="00F21CD2">
            <w:pPr>
              <w:pStyle w:val="TableText"/>
              <w:jc w:val="right"/>
              <w:rPr>
                <w:rStyle w:val="Strong"/>
              </w:rPr>
            </w:pPr>
            <w:r w:rsidRPr="005939E0">
              <w:t>15/05/2025</w:t>
            </w:r>
          </w:p>
        </w:tc>
        <w:tc>
          <w:tcPr>
            <w:tcW w:w="543" w:type="pct"/>
          </w:tcPr>
          <w:p w14:paraId="7A94E907" w14:textId="5B64D7B7" w:rsidR="00190152" w:rsidRPr="005939E0" w:rsidRDefault="00190152" w:rsidP="00F21CD2">
            <w:pPr>
              <w:pStyle w:val="TableText"/>
              <w:jc w:val="right"/>
            </w:pPr>
            <w:r w:rsidRPr="005939E0">
              <w:t>$17,024.40</w:t>
            </w:r>
          </w:p>
        </w:tc>
      </w:tr>
      <w:tr w:rsidR="0010309E" w:rsidRPr="005939E0" w14:paraId="0CF61CD7" w14:textId="77777777" w:rsidTr="0010309E">
        <w:trPr>
          <w:trHeight w:val="1579"/>
        </w:trPr>
        <w:tc>
          <w:tcPr>
            <w:tcW w:w="715" w:type="pct"/>
            <w:vMerge/>
          </w:tcPr>
          <w:p w14:paraId="7CCE1CE7" w14:textId="77777777" w:rsidR="0010309E" w:rsidRPr="00A62A84" w:rsidRDefault="0010309E" w:rsidP="00F21CD2">
            <w:pPr>
              <w:pStyle w:val="TableText"/>
              <w:rPr>
                <w:color w:val="FF0000"/>
              </w:rPr>
            </w:pPr>
          </w:p>
        </w:tc>
        <w:tc>
          <w:tcPr>
            <w:tcW w:w="398" w:type="pct"/>
            <w:vMerge/>
          </w:tcPr>
          <w:p w14:paraId="0A37CE65" w14:textId="77777777" w:rsidR="0010309E" w:rsidRPr="00A62A84" w:rsidRDefault="0010309E" w:rsidP="00F21CD2">
            <w:pPr>
              <w:pStyle w:val="TableText"/>
              <w:rPr>
                <w:color w:val="FF0000"/>
              </w:rPr>
            </w:pPr>
          </w:p>
        </w:tc>
        <w:tc>
          <w:tcPr>
            <w:tcW w:w="659" w:type="pct"/>
            <w:vMerge/>
          </w:tcPr>
          <w:p w14:paraId="19F5B191" w14:textId="77777777" w:rsidR="0010309E" w:rsidRPr="00A62A84" w:rsidRDefault="0010309E" w:rsidP="00F21CD2">
            <w:pPr>
              <w:pStyle w:val="TableText"/>
              <w:rPr>
                <w:color w:val="FF0000"/>
              </w:rPr>
            </w:pPr>
          </w:p>
        </w:tc>
        <w:tc>
          <w:tcPr>
            <w:tcW w:w="1063" w:type="pct"/>
            <w:vMerge/>
          </w:tcPr>
          <w:p w14:paraId="01A9B5FC" w14:textId="77777777" w:rsidR="0010309E" w:rsidRPr="00A62A84" w:rsidRDefault="0010309E" w:rsidP="00F21CD2">
            <w:pPr>
              <w:pStyle w:val="TableText"/>
              <w:rPr>
                <w:color w:val="FF0000"/>
              </w:rPr>
            </w:pPr>
          </w:p>
        </w:tc>
        <w:tc>
          <w:tcPr>
            <w:tcW w:w="466" w:type="pct"/>
            <w:vMerge/>
          </w:tcPr>
          <w:p w14:paraId="66B741C3" w14:textId="77777777" w:rsidR="0010309E" w:rsidRPr="005939E0" w:rsidRDefault="0010309E" w:rsidP="00F21CD2">
            <w:pPr>
              <w:pStyle w:val="TableText"/>
              <w:jc w:val="right"/>
            </w:pPr>
          </w:p>
        </w:tc>
        <w:tc>
          <w:tcPr>
            <w:tcW w:w="609" w:type="pct"/>
            <w:vMerge/>
          </w:tcPr>
          <w:p w14:paraId="1F62BF0B" w14:textId="77777777" w:rsidR="0010309E" w:rsidRPr="005939E0" w:rsidRDefault="0010309E" w:rsidP="00F21CD2">
            <w:pPr>
              <w:pStyle w:val="TableText"/>
              <w:jc w:val="right"/>
            </w:pPr>
          </w:p>
        </w:tc>
        <w:tc>
          <w:tcPr>
            <w:tcW w:w="547" w:type="pct"/>
          </w:tcPr>
          <w:p w14:paraId="2A47C8D6" w14:textId="77777777" w:rsidR="0010309E" w:rsidRPr="005939E0" w:rsidRDefault="0010309E" w:rsidP="00F21CD2">
            <w:pPr>
              <w:pStyle w:val="TableText"/>
              <w:jc w:val="right"/>
            </w:pPr>
          </w:p>
        </w:tc>
        <w:tc>
          <w:tcPr>
            <w:tcW w:w="543" w:type="pct"/>
          </w:tcPr>
          <w:p w14:paraId="1EF08A4B" w14:textId="77777777" w:rsidR="0010309E" w:rsidRPr="005939E0" w:rsidRDefault="0010309E" w:rsidP="00F21CD2">
            <w:pPr>
              <w:pStyle w:val="TableText"/>
              <w:jc w:val="right"/>
            </w:pPr>
          </w:p>
        </w:tc>
      </w:tr>
      <w:tr w:rsidR="00D16D9A" w:rsidRPr="005939E0" w14:paraId="71022937" w14:textId="77777777" w:rsidTr="00D16D9A">
        <w:trPr>
          <w:trHeight w:val="559"/>
        </w:trPr>
        <w:tc>
          <w:tcPr>
            <w:tcW w:w="2835" w:type="pct"/>
            <w:gridSpan w:val="4"/>
          </w:tcPr>
          <w:p w14:paraId="2B6C2095" w14:textId="5650C858" w:rsidR="00D16D9A" w:rsidRPr="00D16D9A" w:rsidRDefault="00D16D9A" w:rsidP="00D16D9A">
            <w:pPr>
              <w:pStyle w:val="TableText"/>
              <w:rPr>
                <w:b/>
                <w:bCs/>
              </w:rPr>
            </w:pPr>
            <w:r w:rsidRPr="00D16D9A">
              <w:rPr>
                <w:b/>
                <w:bCs/>
              </w:rPr>
              <w:t>Totals for Science to Practice 2.0</w:t>
            </w:r>
          </w:p>
        </w:tc>
        <w:tc>
          <w:tcPr>
            <w:tcW w:w="466" w:type="pct"/>
          </w:tcPr>
          <w:p w14:paraId="6E2AB610" w14:textId="1413E6CA" w:rsidR="00D16D9A" w:rsidRPr="00D16D9A" w:rsidRDefault="00D16D9A" w:rsidP="00D16D9A">
            <w:pPr>
              <w:pStyle w:val="TableText"/>
              <w:jc w:val="right"/>
              <w:rPr>
                <w:b/>
                <w:bCs/>
              </w:rPr>
            </w:pPr>
            <w:r w:rsidRPr="00D16D9A">
              <w:rPr>
                <w:b/>
                <w:bCs/>
              </w:rPr>
              <w:t>$300,000.00</w:t>
            </w:r>
          </w:p>
        </w:tc>
        <w:tc>
          <w:tcPr>
            <w:tcW w:w="609" w:type="pct"/>
          </w:tcPr>
          <w:p w14:paraId="77977E04" w14:textId="5A898908" w:rsidR="00D16D9A" w:rsidRPr="00D16D9A" w:rsidRDefault="00D16D9A" w:rsidP="00D16D9A">
            <w:pPr>
              <w:pStyle w:val="TableText"/>
              <w:jc w:val="right"/>
              <w:rPr>
                <w:b/>
                <w:bCs/>
              </w:rPr>
            </w:pPr>
            <w:r w:rsidRPr="00D16D9A">
              <w:rPr>
                <w:b/>
                <w:bCs/>
              </w:rPr>
              <w:t>$64,704.10</w:t>
            </w:r>
          </w:p>
        </w:tc>
        <w:tc>
          <w:tcPr>
            <w:tcW w:w="547" w:type="pct"/>
            <w:shd w:val="clear" w:color="auto" w:fill="F2F2F2" w:themeFill="background1" w:themeFillShade="F2"/>
          </w:tcPr>
          <w:p w14:paraId="09CA698D" w14:textId="77777777" w:rsidR="00D16D9A" w:rsidRPr="00D16D9A" w:rsidRDefault="00D16D9A" w:rsidP="00D16D9A">
            <w:pPr>
              <w:pStyle w:val="TableText"/>
              <w:jc w:val="right"/>
              <w:rPr>
                <w:b/>
                <w:bCs/>
              </w:rPr>
            </w:pPr>
          </w:p>
        </w:tc>
        <w:tc>
          <w:tcPr>
            <w:tcW w:w="543" w:type="pct"/>
          </w:tcPr>
          <w:p w14:paraId="353FF0B5" w14:textId="5A6272B0" w:rsidR="00D16D9A" w:rsidRPr="00D16D9A" w:rsidRDefault="00D16D9A" w:rsidP="00D16D9A">
            <w:pPr>
              <w:pStyle w:val="TableText"/>
              <w:jc w:val="right"/>
              <w:rPr>
                <w:b/>
                <w:bCs/>
              </w:rPr>
            </w:pPr>
            <w:r w:rsidRPr="00D16D9A">
              <w:rPr>
                <w:b/>
                <w:bCs/>
              </w:rPr>
              <w:t>$64,704.10</w:t>
            </w:r>
          </w:p>
        </w:tc>
      </w:tr>
    </w:tbl>
    <w:p w14:paraId="5279F907" w14:textId="77777777" w:rsidR="00AB0966" w:rsidRDefault="00AB0966" w:rsidP="00BC5DC5">
      <w:pPr>
        <w:pStyle w:val="Normalsmall"/>
        <w:spacing w:before="240"/>
        <w:rPr>
          <w:rStyle w:val="Strong"/>
        </w:rPr>
      </w:pPr>
    </w:p>
    <w:p w14:paraId="5DEAF961" w14:textId="517D6434" w:rsidR="008D1B48" w:rsidRDefault="008D1B48" w:rsidP="00BC5DC5">
      <w:pPr>
        <w:pStyle w:val="Normalsmall"/>
        <w:spacing w:before="240"/>
      </w:pPr>
      <w:r>
        <w:rPr>
          <w:rStyle w:val="Strong"/>
        </w:rPr>
        <w:t>Acknowledgement of Country</w:t>
      </w:r>
    </w:p>
    <w:p w14:paraId="1A6DEFE8"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6995FD1" w14:textId="7DD802EC" w:rsidR="00262394" w:rsidRDefault="00262394" w:rsidP="00262394">
      <w:pPr>
        <w:pStyle w:val="Normalsmall"/>
        <w:spacing w:before="360"/>
      </w:pPr>
      <w:r>
        <w:t>© Commonwealth of Australia 202</w:t>
      </w:r>
      <w:r w:rsidR="0031296A">
        <w:t>4</w:t>
      </w:r>
    </w:p>
    <w:p w14:paraId="44FD81CF"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4C69B478"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E3D4A5F"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9F82" w14:textId="77777777" w:rsidR="00290CD9" w:rsidRDefault="00290CD9">
      <w:r>
        <w:separator/>
      </w:r>
    </w:p>
    <w:p w14:paraId="37914433" w14:textId="77777777" w:rsidR="00290CD9" w:rsidRDefault="00290CD9"/>
    <w:p w14:paraId="5AF229AC" w14:textId="77777777" w:rsidR="00290CD9" w:rsidRDefault="00290CD9"/>
  </w:endnote>
  <w:endnote w:type="continuationSeparator" w:id="0">
    <w:p w14:paraId="7F67835C" w14:textId="77777777" w:rsidR="00290CD9" w:rsidRDefault="00290CD9">
      <w:r>
        <w:continuationSeparator/>
      </w:r>
    </w:p>
    <w:p w14:paraId="41274FEA" w14:textId="77777777" w:rsidR="00290CD9" w:rsidRDefault="00290CD9"/>
    <w:p w14:paraId="1C31A8A4" w14:textId="77777777" w:rsidR="00290CD9" w:rsidRDefault="00290CD9"/>
  </w:endnote>
  <w:endnote w:type="continuationNotice" w:id="1">
    <w:p w14:paraId="23D54183" w14:textId="77777777" w:rsidR="00290CD9" w:rsidRDefault="00290CD9">
      <w:pPr>
        <w:pStyle w:val="Footer"/>
      </w:pPr>
    </w:p>
    <w:p w14:paraId="473EF609" w14:textId="77777777" w:rsidR="00290CD9" w:rsidRDefault="00290CD9"/>
    <w:p w14:paraId="5571A0FE" w14:textId="77777777" w:rsidR="00290CD9" w:rsidRDefault="00290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EEBE" w14:textId="71DAEB52" w:rsidR="00490D61" w:rsidRDefault="00490D61">
    <w:pPr>
      <w:pStyle w:val="Footer"/>
    </w:pPr>
    <w:r>
      <w:rPr>
        <w:noProof/>
      </w:rPr>
      <mc:AlternateContent>
        <mc:Choice Requires="wps">
          <w:drawing>
            <wp:anchor distT="0" distB="0" distL="0" distR="0" simplePos="0" relativeHeight="251658752" behindDoc="0" locked="0" layoutInCell="1" allowOverlap="1" wp14:anchorId="76828E8A" wp14:editId="16474C62">
              <wp:simplePos x="635" y="635"/>
              <wp:positionH relativeFrom="page">
                <wp:align>center</wp:align>
              </wp:positionH>
              <wp:positionV relativeFrom="page">
                <wp:align>bottom</wp:align>
              </wp:positionV>
              <wp:extent cx="551815" cy="404495"/>
              <wp:effectExtent l="0" t="0" r="635" b="0"/>
              <wp:wrapNone/>
              <wp:docPr id="151212091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7014A3" w14:textId="32D4891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28E8A" id="_x0000_t202" coordsize="21600,21600" o:spt="202" path="m,l,21600r21600,l21600,xe">
              <v:stroke joinstyle="miter"/>
              <v:path gradientshapeok="t" o:connecttype="rect"/>
            </v:shapetype>
            <v:shape id="Text Box 7" o:spid="_x0000_s1028"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C7014A3" w14:textId="32D4891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7710F" w14:textId="58BA6039" w:rsidR="002A193C" w:rsidRDefault="00490D61" w:rsidP="0031296A">
    <w:pPr>
      <w:pStyle w:val="Footer"/>
      <w:jc w:val="right"/>
    </w:pPr>
    <w:r>
      <w:rPr>
        <w:noProof/>
      </w:rPr>
      <mc:AlternateContent>
        <mc:Choice Requires="wps">
          <w:drawing>
            <wp:anchor distT="0" distB="0" distL="0" distR="0" simplePos="0" relativeHeight="251659776" behindDoc="0" locked="0" layoutInCell="1" allowOverlap="1" wp14:anchorId="010A4BF8" wp14:editId="5E73D85F">
              <wp:simplePos x="901065" y="6918960"/>
              <wp:positionH relativeFrom="page">
                <wp:align>center</wp:align>
              </wp:positionH>
              <wp:positionV relativeFrom="page">
                <wp:align>bottom</wp:align>
              </wp:positionV>
              <wp:extent cx="551815" cy="404495"/>
              <wp:effectExtent l="0" t="0" r="635" b="0"/>
              <wp:wrapNone/>
              <wp:docPr id="208250383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D501E9" w14:textId="24B707B6"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A4BF8" id="_x0000_t202" coordsize="21600,21600" o:spt="202" path="m,l,21600r21600,l21600,xe">
              <v:stroke joinstyle="miter"/>
              <v:path gradientshapeok="t" o:connecttype="rect"/>
            </v:shapetype>
            <v:shape id="Text Box 8" o:spid="_x0000_s1029" type="#_x0000_t202" alt="OFFICIAL" style="position:absolute;left:0;text-align:left;margin-left:0;margin-top:0;width:43.45pt;height:31.8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6D501E9" w14:textId="24B707B6"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41791821"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565F" w14:textId="5BF64504" w:rsidR="002A193C" w:rsidRDefault="00490D61" w:rsidP="0031296A">
    <w:pPr>
      <w:pStyle w:val="Footer"/>
      <w:jc w:val="right"/>
    </w:pPr>
    <w:r>
      <w:rPr>
        <w:noProof/>
      </w:rPr>
      <mc:AlternateContent>
        <mc:Choice Requires="wps">
          <w:drawing>
            <wp:anchor distT="0" distB="0" distL="0" distR="0" simplePos="0" relativeHeight="251657728" behindDoc="0" locked="0" layoutInCell="1" allowOverlap="1" wp14:anchorId="11C2A471" wp14:editId="39B24014">
              <wp:simplePos x="899770" y="6920179"/>
              <wp:positionH relativeFrom="page">
                <wp:align>center</wp:align>
              </wp:positionH>
              <wp:positionV relativeFrom="page">
                <wp:align>bottom</wp:align>
              </wp:positionV>
              <wp:extent cx="551815" cy="404495"/>
              <wp:effectExtent l="0" t="0" r="635" b="0"/>
              <wp:wrapNone/>
              <wp:docPr id="18434695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B07D034" w14:textId="35CB25F8"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2A471"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B07D034" w14:textId="35CB25F8"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4F6F5A32"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D14BB" w14:textId="77777777" w:rsidR="00290CD9" w:rsidRDefault="00290CD9">
      <w:r>
        <w:separator/>
      </w:r>
    </w:p>
    <w:p w14:paraId="65011D1A" w14:textId="77777777" w:rsidR="00290CD9" w:rsidRDefault="00290CD9"/>
    <w:p w14:paraId="76C6601C" w14:textId="77777777" w:rsidR="00290CD9" w:rsidRDefault="00290CD9"/>
  </w:footnote>
  <w:footnote w:type="continuationSeparator" w:id="0">
    <w:p w14:paraId="51CFBC6C" w14:textId="77777777" w:rsidR="00290CD9" w:rsidRDefault="00290CD9">
      <w:r>
        <w:continuationSeparator/>
      </w:r>
    </w:p>
    <w:p w14:paraId="297C4D82" w14:textId="77777777" w:rsidR="00290CD9" w:rsidRDefault="00290CD9"/>
    <w:p w14:paraId="20B638A3" w14:textId="77777777" w:rsidR="00290CD9" w:rsidRDefault="00290CD9"/>
  </w:footnote>
  <w:footnote w:type="continuationNotice" w:id="1">
    <w:p w14:paraId="7D9F187D" w14:textId="77777777" w:rsidR="00290CD9" w:rsidRDefault="00290CD9">
      <w:pPr>
        <w:pStyle w:val="Footer"/>
      </w:pPr>
    </w:p>
    <w:p w14:paraId="5B7B6FF1" w14:textId="77777777" w:rsidR="00290CD9" w:rsidRDefault="00290CD9"/>
    <w:p w14:paraId="29824632" w14:textId="77777777" w:rsidR="00290CD9" w:rsidRDefault="00290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5D03" w14:textId="2C1F9D89" w:rsidR="002A193C" w:rsidRDefault="00490D61">
    <w:pPr>
      <w:pStyle w:val="Header"/>
    </w:pPr>
    <w:r>
      <w:rPr>
        <w:noProof/>
      </w:rPr>
      <mc:AlternateContent>
        <mc:Choice Requires="wps">
          <w:drawing>
            <wp:anchor distT="0" distB="0" distL="0" distR="0" simplePos="0" relativeHeight="251655680" behindDoc="0" locked="0" layoutInCell="1" allowOverlap="1" wp14:anchorId="53EB6942" wp14:editId="50B426EA">
              <wp:simplePos x="635" y="635"/>
              <wp:positionH relativeFrom="page">
                <wp:align>center</wp:align>
              </wp:positionH>
              <wp:positionV relativeFrom="page">
                <wp:align>top</wp:align>
              </wp:positionV>
              <wp:extent cx="551815" cy="404495"/>
              <wp:effectExtent l="0" t="0" r="635" b="14605"/>
              <wp:wrapNone/>
              <wp:docPr id="146243824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468CFF" w14:textId="259BF76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B6942" id="_x0000_t202" coordsize="21600,21600" o:spt="202" path="m,l,21600r21600,l21600,xe">
              <v:stroke joinstyle="miter"/>
              <v:path gradientshapeok="t" o:connecttype="rect"/>
            </v:shapetype>
            <v:shape id="Text Box 4" o:spid="_x0000_s1026"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8468CFF" w14:textId="259BF76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EA47F1">
      <w:rPr>
        <w:noProof/>
      </w:rPr>
      <w:pict w14:anchorId="1CAEA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3360" o:spid="_x0000_s1028" type="#_x0000_t136" style="position:absolute;left:0;text-align:left;margin-left:0;margin-top:0;width:479.5pt;height:159.8pt;rotation:315;z-index:-251655680;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A8FA" w14:textId="4E6CBE8A" w:rsidR="002A193C" w:rsidRDefault="00490D61">
    <w:pPr>
      <w:pStyle w:val="Header"/>
    </w:pPr>
    <w:r>
      <w:rPr>
        <w:noProof/>
      </w:rPr>
      <mc:AlternateContent>
        <mc:Choice Requires="wps">
          <w:drawing>
            <wp:anchor distT="0" distB="0" distL="0" distR="0" simplePos="0" relativeHeight="251656704" behindDoc="0" locked="0" layoutInCell="1" allowOverlap="1" wp14:anchorId="3CD699D0" wp14:editId="75EFCFEF">
              <wp:simplePos x="901065" y="360680"/>
              <wp:positionH relativeFrom="page">
                <wp:align>center</wp:align>
              </wp:positionH>
              <wp:positionV relativeFrom="page">
                <wp:align>top</wp:align>
              </wp:positionV>
              <wp:extent cx="551815" cy="404495"/>
              <wp:effectExtent l="0" t="0" r="635" b="14605"/>
              <wp:wrapNone/>
              <wp:docPr id="197345744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9D0980" w14:textId="49825249"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699D0"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E9D0980" w14:textId="49825249"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42ED70DB" w:rsidRPr="00895B77">
      <w:t>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11A4" w14:textId="72387691" w:rsidR="005525E9" w:rsidRDefault="00490D61" w:rsidP="009C477C">
    <w:pPr>
      <w:pStyle w:val="Header"/>
      <w:jc w:val="left"/>
    </w:pPr>
    <w:r>
      <w:rPr>
        <w:noProof/>
        <w:u w:val="single"/>
      </w:rPr>
      <mc:AlternateContent>
        <mc:Choice Requires="wps">
          <w:drawing>
            <wp:anchor distT="0" distB="0" distL="0" distR="0" simplePos="0" relativeHeight="251654656" behindDoc="0" locked="0" layoutInCell="1" allowOverlap="1" wp14:anchorId="7B298CD0" wp14:editId="1A476028">
              <wp:simplePos x="899770" y="358445"/>
              <wp:positionH relativeFrom="page">
                <wp:align>center</wp:align>
              </wp:positionH>
              <wp:positionV relativeFrom="page">
                <wp:align>top</wp:align>
              </wp:positionV>
              <wp:extent cx="551815" cy="404495"/>
              <wp:effectExtent l="0" t="0" r="635" b="14605"/>
              <wp:wrapNone/>
              <wp:docPr id="20035070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714301" w14:textId="58243D47"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98CD0" id="_x0000_t202" coordsize="21600,21600" o:spt="202" path="m,l,21600r21600,l21600,xe">
              <v:stroke joinstyle="miter"/>
              <v:path gradientshapeok="t" o:connecttype="rect"/>
            </v:shapetype>
            <v:shape id="Text Box 3" o:spid="_x0000_s1030" type="#_x0000_t202" alt="OFFICIAL" style="position:absolute;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4714301" w14:textId="58243D47"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31296A" w:rsidRPr="0031296A">
      <w:rPr>
        <w:noProof/>
        <w:u w:val="single"/>
      </w:rPr>
      <w:drawing>
        <wp:inline distT="0" distB="0" distL="0" distR="0" wp14:anchorId="36150751" wp14:editId="3DBC9D5F">
          <wp:extent cx="3482035" cy="1011814"/>
          <wp:effectExtent l="0" t="0" r="0" b="0"/>
          <wp:docPr id="1421464061" name="Picture 2"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a black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625" cy="1020412"/>
                  </a:xfrm>
                  <a:prstGeom prst="rect">
                    <a:avLst/>
                  </a:prstGeom>
                  <a:noFill/>
                  <a:ln>
                    <a:noFill/>
                  </a:ln>
                </pic:spPr>
              </pic:pic>
            </a:graphicData>
          </a:graphic>
        </wp:inline>
      </w:drawing>
    </w:r>
    <w:r w:rsidR="0031296A" w:rsidRPr="0031296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6A"/>
    <w:rsid w:val="00027C59"/>
    <w:rsid w:val="000310E2"/>
    <w:rsid w:val="00046B12"/>
    <w:rsid w:val="0004740E"/>
    <w:rsid w:val="0007746F"/>
    <w:rsid w:val="0007749B"/>
    <w:rsid w:val="00080447"/>
    <w:rsid w:val="000838DB"/>
    <w:rsid w:val="00087FF1"/>
    <w:rsid w:val="0009515B"/>
    <w:rsid w:val="000B5C24"/>
    <w:rsid w:val="000B60E0"/>
    <w:rsid w:val="000D4D49"/>
    <w:rsid w:val="000D6DD8"/>
    <w:rsid w:val="000E7C0B"/>
    <w:rsid w:val="000F3E04"/>
    <w:rsid w:val="000F5400"/>
    <w:rsid w:val="00101422"/>
    <w:rsid w:val="0010309E"/>
    <w:rsid w:val="00112B86"/>
    <w:rsid w:val="00156316"/>
    <w:rsid w:val="001567E9"/>
    <w:rsid w:val="00165FA2"/>
    <w:rsid w:val="00167450"/>
    <w:rsid w:val="00176517"/>
    <w:rsid w:val="00183612"/>
    <w:rsid w:val="00190152"/>
    <w:rsid w:val="001A15E1"/>
    <w:rsid w:val="001A1F79"/>
    <w:rsid w:val="001A22FB"/>
    <w:rsid w:val="001B1009"/>
    <w:rsid w:val="001C3583"/>
    <w:rsid w:val="001D0F68"/>
    <w:rsid w:val="001D77BC"/>
    <w:rsid w:val="001E1C4C"/>
    <w:rsid w:val="001E790B"/>
    <w:rsid w:val="00201500"/>
    <w:rsid w:val="0020313A"/>
    <w:rsid w:val="00217BBD"/>
    <w:rsid w:val="0022055A"/>
    <w:rsid w:val="002252AE"/>
    <w:rsid w:val="0022724F"/>
    <w:rsid w:val="002320BA"/>
    <w:rsid w:val="0023478F"/>
    <w:rsid w:val="0024136F"/>
    <w:rsid w:val="00243E26"/>
    <w:rsid w:val="00251BA3"/>
    <w:rsid w:val="00262394"/>
    <w:rsid w:val="002726AF"/>
    <w:rsid w:val="00280973"/>
    <w:rsid w:val="00290CD9"/>
    <w:rsid w:val="00294055"/>
    <w:rsid w:val="00294D2E"/>
    <w:rsid w:val="00296373"/>
    <w:rsid w:val="002A04F3"/>
    <w:rsid w:val="002A193C"/>
    <w:rsid w:val="002A3994"/>
    <w:rsid w:val="002B603F"/>
    <w:rsid w:val="002D063B"/>
    <w:rsid w:val="002D5253"/>
    <w:rsid w:val="002D6D35"/>
    <w:rsid w:val="002E04F2"/>
    <w:rsid w:val="00305911"/>
    <w:rsid w:val="0031296A"/>
    <w:rsid w:val="003267A5"/>
    <w:rsid w:val="00337332"/>
    <w:rsid w:val="00340820"/>
    <w:rsid w:val="00350394"/>
    <w:rsid w:val="0035144E"/>
    <w:rsid w:val="00356CB3"/>
    <w:rsid w:val="00357095"/>
    <w:rsid w:val="00362353"/>
    <w:rsid w:val="0036731C"/>
    <w:rsid w:val="00381D23"/>
    <w:rsid w:val="003825C9"/>
    <w:rsid w:val="0039005A"/>
    <w:rsid w:val="00396339"/>
    <w:rsid w:val="003A195C"/>
    <w:rsid w:val="003A42B1"/>
    <w:rsid w:val="003A4B4A"/>
    <w:rsid w:val="003A5986"/>
    <w:rsid w:val="003B0FD5"/>
    <w:rsid w:val="003D3CE1"/>
    <w:rsid w:val="003D44DC"/>
    <w:rsid w:val="0040167D"/>
    <w:rsid w:val="00402404"/>
    <w:rsid w:val="00404AB0"/>
    <w:rsid w:val="00406AC2"/>
    <w:rsid w:val="00407235"/>
    <w:rsid w:val="00407F97"/>
    <w:rsid w:val="0041307F"/>
    <w:rsid w:val="00433029"/>
    <w:rsid w:val="0044630A"/>
    <w:rsid w:val="0045406C"/>
    <w:rsid w:val="00454611"/>
    <w:rsid w:val="00460750"/>
    <w:rsid w:val="004705F2"/>
    <w:rsid w:val="00473964"/>
    <w:rsid w:val="004771E9"/>
    <w:rsid w:val="004837B1"/>
    <w:rsid w:val="0048569E"/>
    <w:rsid w:val="00486C20"/>
    <w:rsid w:val="00490D61"/>
    <w:rsid w:val="00490E7F"/>
    <w:rsid w:val="004963CC"/>
    <w:rsid w:val="004A19A7"/>
    <w:rsid w:val="004B36B7"/>
    <w:rsid w:val="004C6362"/>
    <w:rsid w:val="004C6C47"/>
    <w:rsid w:val="004D2941"/>
    <w:rsid w:val="004F7452"/>
    <w:rsid w:val="00505020"/>
    <w:rsid w:val="00517459"/>
    <w:rsid w:val="0055013B"/>
    <w:rsid w:val="00550C4C"/>
    <w:rsid w:val="005525E9"/>
    <w:rsid w:val="00577949"/>
    <w:rsid w:val="00585CCC"/>
    <w:rsid w:val="005939E0"/>
    <w:rsid w:val="005E4B6B"/>
    <w:rsid w:val="005F0E4D"/>
    <w:rsid w:val="005F11BA"/>
    <w:rsid w:val="005F3F9E"/>
    <w:rsid w:val="005F6876"/>
    <w:rsid w:val="00611DA7"/>
    <w:rsid w:val="006247DB"/>
    <w:rsid w:val="006338DA"/>
    <w:rsid w:val="006416D4"/>
    <w:rsid w:val="006517F0"/>
    <w:rsid w:val="0065584A"/>
    <w:rsid w:val="00656160"/>
    <w:rsid w:val="00681679"/>
    <w:rsid w:val="00692100"/>
    <w:rsid w:val="006F4757"/>
    <w:rsid w:val="00710469"/>
    <w:rsid w:val="0072232F"/>
    <w:rsid w:val="007405CB"/>
    <w:rsid w:val="00741C50"/>
    <w:rsid w:val="00761DCB"/>
    <w:rsid w:val="00764CB7"/>
    <w:rsid w:val="00777A7F"/>
    <w:rsid w:val="00780CA6"/>
    <w:rsid w:val="007864DD"/>
    <w:rsid w:val="00793A83"/>
    <w:rsid w:val="00796044"/>
    <w:rsid w:val="00797360"/>
    <w:rsid w:val="007B1F92"/>
    <w:rsid w:val="007C5B94"/>
    <w:rsid w:val="00803A3C"/>
    <w:rsid w:val="008112C5"/>
    <w:rsid w:val="008153FE"/>
    <w:rsid w:val="0082249A"/>
    <w:rsid w:val="00826F01"/>
    <w:rsid w:val="00833933"/>
    <w:rsid w:val="00834F0B"/>
    <w:rsid w:val="008624A9"/>
    <w:rsid w:val="0086493A"/>
    <w:rsid w:val="00895B77"/>
    <w:rsid w:val="008A3190"/>
    <w:rsid w:val="008C2E82"/>
    <w:rsid w:val="008D1B48"/>
    <w:rsid w:val="008D4721"/>
    <w:rsid w:val="008E60B8"/>
    <w:rsid w:val="008F2552"/>
    <w:rsid w:val="009010F9"/>
    <w:rsid w:val="0090774C"/>
    <w:rsid w:val="00930DDF"/>
    <w:rsid w:val="009503A2"/>
    <w:rsid w:val="00966EB8"/>
    <w:rsid w:val="009679F4"/>
    <w:rsid w:val="00991227"/>
    <w:rsid w:val="009C2243"/>
    <w:rsid w:val="009C2A13"/>
    <w:rsid w:val="009C4772"/>
    <w:rsid w:val="009C477C"/>
    <w:rsid w:val="009C7BA3"/>
    <w:rsid w:val="009D6922"/>
    <w:rsid w:val="009F14E9"/>
    <w:rsid w:val="00A211B5"/>
    <w:rsid w:val="00A26D23"/>
    <w:rsid w:val="00A35D03"/>
    <w:rsid w:val="00A446CB"/>
    <w:rsid w:val="00A44877"/>
    <w:rsid w:val="00A45542"/>
    <w:rsid w:val="00A459C2"/>
    <w:rsid w:val="00A5160A"/>
    <w:rsid w:val="00A51F07"/>
    <w:rsid w:val="00A52439"/>
    <w:rsid w:val="00A62A84"/>
    <w:rsid w:val="00A71E48"/>
    <w:rsid w:val="00A81BAD"/>
    <w:rsid w:val="00A86FB6"/>
    <w:rsid w:val="00A9002C"/>
    <w:rsid w:val="00A94F0D"/>
    <w:rsid w:val="00AA70E3"/>
    <w:rsid w:val="00AB0966"/>
    <w:rsid w:val="00AB0FBE"/>
    <w:rsid w:val="00AD0378"/>
    <w:rsid w:val="00AD12E9"/>
    <w:rsid w:val="00AE17E9"/>
    <w:rsid w:val="00AF1EB9"/>
    <w:rsid w:val="00AF5211"/>
    <w:rsid w:val="00AF746D"/>
    <w:rsid w:val="00B01F31"/>
    <w:rsid w:val="00B01FB8"/>
    <w:rsid w:val="00B106DE"/>
    <w:rsid w:val="00B118BC"/>
    <w:rsid w:val="00B35721"/>
    <w:rsid w:val="00B407A6"/>
    <w:rsid w:val="00B42378"/>
    <w:rsid w:val="00B43A41"/>
    <w:rsid w:val="00B43CA3"/>
    <w:rsid w:val="00B5453F"/>
    <w:rsid w:val="00B54604"/>
    <w:rsid w:val="00B72B89"/>
    <w:rsid w:val="00B73838"/>
    <w:rsid w:val="00B8305A"/>
    <w:rsid w:val="00B96152"/>
    <w:rsid w:val="00BA0AFF"/>
    <w:rsid w:val="00BA323D"/>
    <w:rsid w:val="00BA3A0F"/>
    <w:rsid w:val="00BA5617"/>
    <w:rsid w:val="00BB1B25"/>
    <w:rsid w:val="00BB3143"/>
    <w:rsid w:val="00BB49FF"/>
    <w:rsid w:val="00BB6549"/>
    <w:rsid w:val="00BB6ACE"/>
    <w:rsid w:val="00BC1FDA"/>
    <w:rsid w:val="00BC5DC5"/>
    <w:rsid w:val="00BC6BA3"/>
    <w:rsid w:val="00BD2275"/>
    <w:rsid w:val="00BE353A"/>
    <w:rsid w:val="00BE4944"/>
    <w:rsid w:val="00BF3D70"/>
    <w:rsid w:val="00BF3E2D"/>
    <w:rsid w:val="00C00AAC"/>
    <w:rsid w:val="00C05EA8"/>
    <w:rsid w:val="00C06619"/>
    <w:rsid w:val="00C12D92"/>
    <w:rsid w:val="00C34C77"/>
    <w:rsid w:val="00C3545F"/>
    <w:rsid w:val="00C37592"/>
    <w:rsid w:val="00C37ABD"/>
    <w:rsid w:val="00C51E35"/>
    <w:rsid w:val="00C5649E"/>
    <w:rsid w:val="00C61698"/>
    <w:rsid w:val="00C62BB2"/>
    <w:rsid w:val="00C62D97"/>
    <w:rsid w:val="00C67E7F"/>
    <w:rsid w:val="00C73D05"/>
    <w:rsid w:val="00C759F8"/>
    <w:rsid w:val="00CA1314"/>
    <w:rsid w:val="00CA4596"/>
    <w:rsid w:val="00CB0F02"/>
    <w:rsid w:val="00CD21B4"/>
    <w:rsid w:val="00CD2D44"/>
    <w:rsid w:val="00CD5F2C"/>
    <w:rsid w:val="00CE2103"/>
    <w:rsid w:val="00CE67E4"/>
    <w:rsid w:val="00CE6D9C"/>
    <w:rsid w:val="00CF090C"/>
    <w:rsid w:val="00D06356"/>
    <w:rsid w:val="00D14724"/>
    <w:rsid w:val="00D16D9A"/>
    <w:rsid w:val="00D36729"/>
    <w:rsid w:val="00D37BFD"/>
    <w:rsid w:val="00D45274"/>
    <w:rsid w:val="00D45E0E"/>
    <w:rsid w:val="00D57062"/>
    <w:rsid w:val="00D6013D"/>
    <w:rsid w:val="00D666DC"/>
    <w:rsid w:val="00D85C6D"/>
    <w:rsid w:val="00D912A7"/>
    <w:rsid w:val="00D943F5"/>
    <w:rsid w:val="00DA1FEF"/>
    <w:rsid w:val="00DB6BC0"/>
    <w:rsid w:val="00DD6045"/>
    <w:rsid w:val="00DF36DA"/>
    <w:rsid w:val="00E05D92"/>
    <w:rsid w:val="00E06600"/>
    <w:rsid w:val="00E12E96"/>
    <w:rsid w:val="00E26D28"/>
    <w:rsid w:val="00E33F52"/>
    <w:rsid w:val="00E362EF"/>
    <w:rsid w:val="00E732BE"/>
    <w:rsid w:val="00E822F8"/>
    <w:rsid w:val="00E96E54"/>
    <w:rsid w:val="00EA47F1"/>
    <w:rsid w:val="00ED51AB"/>
    <w:rsid w:val="00EF0676"/>
    <w:rsid w:val="00EF656C"/>
    <w:rsid w:val="00F07735"/>
    <w:rsid w:val="00F12222"/>
    <w:rsid w:val="00F209F0"/>
    <w:rsid w:val="00F21CD2"/>
    <w:rsid w:val="00F251B0"/>
    <w:rsid w:val="00F31B1B"/>
    <w:rsid w:val="00F35EE8"/>
    <w:rsid w:val="00F37C42"/>
    <w:rsid w:val="00F421C7"/>
    <w:rsid w:val="00F5050B"/>
    <w:rsid w:val="00F64FBA"/>
    <w:rsid w:val="00F65558"/>
    <w:rsid w:val="00F65DFD"/>
    <w:rsid w:val="00F70230"/>
    <w:rsid w:val="00F72D07"/>
    <w:rsid w:val="00F90D42"/>
    <w:rsid w:val="00F95C15"/>
    <w:rsid w:val="00F96C16"/>
    <w:rsid w:val="00FA4E29"/>
    <w:rsid w:val="00FB088E"/>
    <w:rsid w:val="00FB2401"/>
    <w:rsid w:val="00FB6115"/>
    <w:rsid w:val="00FC0212"/>
    <w:rsid w:val="00FC2209"/>
    <w:rsid w:val="00FD117D"/>
    <w:rsid w:val="00FF6F56"/>
    <w:rsid w:val="00FF7A9C"/>
    <w:rsid w:val="02A5815D"/>
    <w:rsid w:val="2A690FB8"/>
    <w:rsid w:val="3B478513"/>
    <w:rsid w:val="42ED70DB"/>
    <w:rsid w:val="4BF31D05"/>
    <w:rsid w:val="67B782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520F"/>
  <w15:docId w15:val="{C7F07F9B-C8D0-4460-A611-25FD945B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27"/>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7"/>
      </w:numPr>
      <w:spacing w:before="120" w:after="120"/>
      <w:contextualSpacing/>
    </w:pPr>
  </w:style>
  <w:style w:type="paragraph" w:styleId="ListNumber">
    <w:name w:val="List Number"/>
    <w:basedOn w:val="Normal"/>
    <w:uiPriority w:val="9"/>
    <w:qFormat/>
    <w:rsid w:val="00BB6ACE"/>
    <w:pPr>
      <w:numPr>
        <w:numId w:val="24"/>
      </w:numPr>
      <w:tabs>
        <w:tab w:val="left" w:pos="142"/>
      </w:tabs>
      <w:spacing w:before="120" w:after="120"/>
    </w:pPr>
  </w:style>
  <w:style w:type="paragraph" w:styleId="ListNumber2">
    <w:name w:val="List Number 2"/>
    <w:uiPriority w:val="10"/>
    <w:qFormat/>
    <w:rsid w:val="00BB6ACE"/>
    <w:pPr>
      <w:numPr>
        <w:ilvl w:val="1"/>
        <w:numId w:val="2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2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EBF196-FB31-42C6-B83D-7AA40957C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81c01dc6-2c49-4730-b140-874c95cac377"/>
    <ds:schemaRef ds:uri="c95b51c2-b2ac-4224-a5b5-069909057829"/>
    <ds:schemaRef ds:uri="2b53c995-2120-4bc0-8922-c25044d37f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Future Drought Fund: Funding information - Science to Practice 2.0 Program</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 - Science to Practice 2.0 Program</dc:title>
  <dc:creator>Department of Agriculture, Fisheries and Forestry</dc:creator>
  <cp:revision>8</cp:revision>
  <cp:lastPrinted>2025-06-13T03:50:00Z</cp:lastPrinted>
  <dcterms:created xsi:type="dcterms:W3CDTF">2025-06-13T01:27:00Z</dcterms:created>
  <dcterms:modified xsi:type="dcterms:W3CDTF">2025-06-20T03:59:00Z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ClassificationContentMarkingHeaderShapeIds">
    <vt:lpwstr>776b1777,572b0965,75a09226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6de11cf6,5a212254,7c207c96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2024-09-17T00:47:37Z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1d77f281-e97f-443a-9c83-428ed2b1e7b1</vt:lpwstr>
  </property>
  <property fmtid="{D5CDD505-2E9C-101B-9397-08002B2CF9AE}" pid="16" name="MSIP_Label_933d8be6-3c40-4052-87a2-9c2adcba8759_ContentBits">
    <vt:lpwstr>3</vt:lpwstr>
  </property>
  <property fmtid="{D5CDD505-2E9C-101B-9397-08002B2CF9AE}" pid="17" name="MediaServiceImageTags">
    <vt:lpwstr/>
  </property>
</Properties>
</file>